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utoSpaceDE/>
        <w:autoSpaceDN/>
        <w:spacing w:line="360" w:lineRule="auto"/>
        <w:ind w:firstLine="0" w:firstLineChars="0"/>
        <w:jc w:val="center"/>
        <w:rPr>
          <w:rFonts w:ascii="Arial" w:hAnsi="Arial" w:eastAsia="宋体" w:cs="Cambria Math"/>
          <w:b/>
          <w:vanish w:val="0"/>
          <w:color w:val="auto"/>
          <w:kern w:val="28"/>
          <w:sz w:val="28"/>
          <w:szCs w:val="21"/>
          <w:highlight w:val="none"/>
          <w:lang w:val="en-US" w:eastAsia="zh-CN" w:bidi="ar-SA"/>
        </w:rPr>
      </w:pPr>
      <w:r>
        <w:rPr>
          <w:rFonts w:hint="eastAsia" w:ascii="Arial" w:hAnsi="Arial" w:eastAsia="宋体" w:cs="Cambria Math"/>
          <w:b/>
          <w:vanish w:val="0"/>
          <w:color w:val="auto"/>
          <w:kern w:val="28"/>
          <w:sz w:val="28"/>
          <w:szCs w:val="21"/>
          <w:highlight w:val="none"/>
          <w:lang w:val="en-US" w:eastAsia="zh-CN" w:bidi="ar-SA"/>
        </w:rPr>
        <w:t>重庆三峡银行</w:t>
      </w:r>
      <w:r>
        <w:rPr>
          <w:rFonts w:ascii="Arial" w:hAnsi="Arial" w:eastAsia="宋体" w:cs="Cambria Math"/>
          <w:b/>
          <w:vanish w:val="0"/>
          <w:color w:val="auto"/>
          <w:kern w:val="28"/>
          <w:sz w:val="28"/>
          <w:szCs w:val="21"/>
          <w:highlight w:val="none"/>
          <w:lang w:val="en-US" w:eastAsia="zh-CN" w:bidi="ar-SA"/>
        </w:rPr>
        <w:t>2027年度西永数据中心基础设施运维外包服务项目</w:t>
      </w:r>
    </w:p>
    <w:p>
      <w:pPr>
        <w:widowControl w:val="0"/>
        <w:autoSpaceDE/>
        <w:autoSpaceDN/>
        <w:spacing w:line="360" w:lineRule="auto"/>
        <w:ind w:firstLine="0" w:firstLineChars="0"/>
        <w:jc w:val="center"/>
        <w:rPr>
          <w:rFonts w:ascii="Arial" w:hAnsi="Arial" w:eastAsia="宋体" w:cs="Cambria Math"/>
          <w:b/>
          <w:color w:val="auto"/>
          <w:kern w:val="28"/>
          <w:sz w:val="28"/>
          <w:szCs w:val="21"/>
          <w:highlight w:val="none"/>
          <w:lang w:val="en-US" w:eastAsia="zh-CN" w:bidi="ar-SA"/>
        </w:rPr>
      </w:pPr>
      <w:r>
        <w:rPr>
          <w:rFonts w:hint="eastAsia" w:ascii="Arial" w:hAnsi="Arial" w:eastAsia="宋体" w:cs="Cambria Math"/>
          <w:b/>
          <w:color w:val="auto"/>
          <w:kern w:val="28"/>
          <w:sz w:val="28"/>
          <w:szCs w:val="21"/>
          <w:highlight w:val="none"/>
          <w:lang w:val="en-US" w:eastAsia="zh-CN" w:bidi="ar-SA"/>
        </w:rPr>
        <w:t>询比公告</w:t>
      </w:r>
    </w:p>
    <w:p>
      <w:pPr>
        <w:widowControl w:val="0"/>
        <w:autoSpaceDE w:val="0"/>
        <w:autoSpaceDN w:val="0"/>
        <w:spacing w:line="600" w:lineRule="exact"/>
        <w:ind w:firstLine="0" w:firstLineChars="0"/>
        <w:jc w:val="left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</w:pPr>
      <w:bookmarkStart w:id="0" w:name="_Toc1435"/>
      <w:bookmarkStart w:id="1" w:name="_Toc19027"/>
      <w:bookmarkStart w:id="2" w:name="_Toc492300546"/>
      <w:bookmarkStart w:id="3" w:name="_Toc22653"/>
      <w:bookmarkStart w:id="4" w:name="_Toc31037"/>
      <w:bookmarkStart w:id="5" w:name="_Toc13298"/>
      <w:bookmarkStart w:id="6" w:name="_Toc23137"/>
      <w:bookmarkStart w:id="7" w:name="_Toc31597"/>
      <w:bookmarkStart w:id="8" w:name="_Toc21021"/>
      <w:bookmarkStart w:id="9" w:name="_Toc22470"/>
      <w:bookmarkStart w:id="10" w:name="_Toc29828"/>
      <w:bookmarkStart w:id="11" w:name="_Toc3165"/>
      <w:bookmarkStart w:id="12" w:name="_Toc15916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 xml:space="preserve">1.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询比条件</w:t>
      </w:r>
      <w:bookmarkStart w:id="136" w:name="_GoBack"/>
      <w:bookmarkEnd w:id="136"/>
    </w:p>
    <w:p>
      <w:pPr>
        <w:autoSpaceDE w:val="0"/>
        <w:autoSpaceDN w:val="0"/>
        <w:spacing w:line="360" w:lineRule="auto"/>
        <w:ind w:firstLine="420" w:firstLineChars="200"/>
        <w:jc w:val="left"/>
        <w:rPr>
          <w:rFonts w:ascii="Times New Roman" w:hAnsi="Times New Roman" w:eastAsia="宋体" w:cs="Cambria Math"/>
          <w:color w:val="auto"/>
          <w:szCs w:val="21"/>
          <w:highlight w:val="none"/>
        </w:rPr>
      </w:pP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采购人：重庆三峡银行股份有限公司</w:t>
      </w:r>
    </w:p>
    <w:p>
      <w:pPr>
        <w:autoSpaceDE w:val="0"/>
        <w:autoSpaceDN w:val="0"/>
        <w:spacing w:line="360" w:lineRule="auto"/>
        <w:ind w:firstLine="420" w:firstLineChars="200"/>
        <w:jc w:val="left"/>
        <w:rPr>
          <w:rFonts w:ascii="Times New Roman" w:hAnsi="Times New Roman" w:eastAsia="宋体" w:cs="Cambria Math"/>
          <w:color w:val="auto"/>
          <w:szCs w:val="21"/>
          <w:highlight w:val="none"/>
        </w:rPr>
      </w:pP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资金来源：企业自筹，资金已落实。</w:t>
      </w:r>
    </w:p>
    <w:p>
      <w:pPr>
        <w:widowControl w:val="0"/>
        <w:autoSpaceDE w:val="0"/>
        <w:autoSpaceDN w:val="0"/>
        <w:spacing w:after="120" w:line="360" w:lineRule="auto"/>
        <w:ind w:firstLine="420" w:firstLineChars="200"/>
        <w:jc w:val="left"/>
        <w:rPr>
          <w:rFonts w:ascii="Times New Roman" w:hAnsi="Times New Roman" w:eastAsia="宋体" w:cs="Cambria Math"/>
          <w:color w:val="auto"/>
          <w:kern w:val="2"/>
          <w:sz w:val="21"/>
          <w:szCs w:val="21"/>
          <w:highlight w:val="none"/>
          <w:lang w:val="en-US" w:eastAsia="zh-CN" w:bidi="ar-SA"/>
        </w:rPr>
      </w:pPr>
      <w:bookmarkStart w:id="13" w:name="_Toc19608"/>
      <w:bookmarkStart w:id="14" w:name="_Toc21478"/>
      <w:bookmarkStart w:id="15" w:name="_Toc31834"/>
      <w:bookmarkStart w:id="16" w:name="_Toc20299"/>
      <w:bookmarkStart w:id="17" w:name="_Toc13223"/>
      <w:bookmarkStart w:id="18" w:name="_Toc29603"/>
      <w:bookmarkStart w:id="19" w:name="_Toc23667"/>
      <w:bookmarkStart w:id="20" w:name="_Toc22009"/>
      <w:bookmarkStart w:id="21" w:name="_Toc15672"/>
      <w:bookmarkStart w:id="22" w:name="_Toc492300547"/>
      <w:bookmarkStart w:id="23" w:name="_Toc15871"/>
      <w:bookmarkStart w:id="24" w:name="_Toc24481"/>
      <w:bookmarkStart w:id="25" w:name="_Toc17362"/>
      <w:r>
        <w:rPr>
          <w:rFonts w:hint="eastAsia" w:ascii="Times New Roman" w:hAnsi="Times New Roman" w:eastAsia="宋体" w:cs="Cambria Math"/>
          <w:color w:val="auto"/>
          <w:kern w:val="2"/>
          <w:sz w:val="21"/>
          <w:szCs w:val="21"/>
          <w:highlight w:val="none"/>
          <w:lang w:val="en-US" w:eastAsia="zh-CN" w:bidi="ar-SA"/>
        </w:rPr>
        <w:t>项目名称：</w:t>
      </w:r>
      <w:r>
        <w:rPr>
          <w:rFonts w:ascii="Times New Roman" w:hAnsi="Times New Roman" w:eastAsia="宋体" w:cs="Cambria Math"/>
          <w:color w:val="auto"/>
          <w:kern w:val="2"/>
          <w:sz w:val="21"/>
          <w:szCs w:val="21"/>
          <w:highlight w:val="none"/>
          <w:lang w:val="en-US" w:eastAsia="zh-CN" w:bidi="ar-SA"/>
        </w:rPr>
        <w:t>重庆三峡银行</w:t>
      </w:r>
      <w:r>
        <w:rPr>
          <w:rFonts w:ascii="Times New Roman" w:hAnsi="Times New Roman" w:eastAsia="宋体" w:cs="Cambria Math"/>
          <w:vanish w:val="0"/>
          <w:color w:val="auto"/>
          <w:kern w:val="2"/>
          <w:sz w:val="21"/>
          <w:szCs w:val="21"/>
          <w:highlight w:val="none"/>
          <w:lang w:val="en-US" w:eastAsia="zh-CN" w:bidi="ar-SA"/>
        </w:rPr>
        <w:t>2027年度西永数据中心基础设施运维外包服务项目</w:t>
      </w:r>
    </w:p>
    <w:p>
      <w:pPr>
        <w:widowControl w:val="0"/>
        <w:autoSpaceDE w:val="0"/>
        <w:autoSpaceDN w:val="0"/>
        <w:spacing w:line="600" w:lineRule="exact"/>
        <w:ind w:firstLine="0" w:firstLineChars="0"/>
        <w:jc w:val="left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 xml:space="preserve">2. 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询比内容</w:t>
      </w:r>
    </w:p>
    <w:p>
      <w:pPr>
        <w:autoSpaceDE w:val="0"/>
        <w:autoSpaceDN w:val="0"/>
        <w:spacing w:line="360" w:lineRule="auto"/>
        <w:ind w:firstLine="420" w:firstLineChars="200"/>
        <w:jc w:val="left"/>
        <w:rPr>
          <w:rFonts w:ascii="Times New Roman" w:hAnsi="Times New Roman" w:eastAsia="宋体" w:cs="Cambria Math"/>
          <w:color w:val="auto"/>
          <w:szCs w:val="21"/>
          <w:highlight w:val="none"/>
        </w:rPr>
      </w:pPr>
      <w:bookmarkStart w:id="26" w:name="_Hlk536432704"/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2.1 询比范围：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</w:rPr>
        <w:t>在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>采购人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</w:rPr>
        <w:t>工作人员的指导下，由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lang w:val="en-US" w:eastAsia="zh-CN"/>
        </w:rPr>
        <w:t>响应人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</w:rPr>
        <w:t>负责统筹管理服务人员完成西永数据中心基础设施设备运维工作，保持数据中心7×24全天候稳定运行。设施设备包括数据中心的高低压供配电系统、UPS系统、柴油发电系统、暖通</w:t>
      </w:r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空调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</w:rPr>
        <w:t>系统、弱电系统、监控系统、数据机房专用安防监控、系统楼宇智能化系统、照明系统、给排水系统、电梯系统、消防系统、办公楼空调与新风系统、各类管道、楼宇装饰装修工程等。</w:t>
      </w:r>
    </w:p>
    <w:p>
      <w:pPr>
        <w:autoSpaceDE w:val="0"/>
        <w:autoSpaceDN w:val="0"/>
        <w:spacing w:line="360" w:lineRule="auto"/>
        <w:ind w:firstLine="420" w:firstLineChars="200"/>
        <w:jc w:val="left"/>
        <w:rPr>
          <w:rFonts w:ascii="宋体" w:hAnsi="Times New Roman" w:eastAsia="宋体" w:cs="宋体"/>
          <w:color w:val="auto"/>
          <w:szCs w:val="21"/>
          <w:highlight w:val="none"/>
        </w:rPr>
      </w:pP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2.2 时间要求：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  <w:lang w:val="en-US" w:eastAsia="zh-CN"/>
        </w:rPr>
        <w:t>维保时间为</w:t>
      </w:r>
      <w:r>
        <w:rPr>
          <w:rFonts w:ascii="宋体" w:hAnsi="Times New Roman" w:eastAsia="宋体" w:cs="宋体"/>
          <w:color w:val="auto"/>
          <w:szCs w:val="21"/>
          <w:highlight w:val="none"/>
        </w:rPr>
        <w:t>2027年1月9日至2028年1月8日</w:t>
      </w:r>
    </w:p>
    <w:p>
      <w:pPr>
        <w:autoSpaceDE w:val="0"/>
        <w:autoSpaceDN w:val="0"/>
        <w:spacing w:line="360" w:lineRule="auto"/>
        <w:ind w:firstLine="420" w:firstLineChars="200"/>
        <w:jc w:val="left"/>
        <w:rPr>
          <w:rFonts w:ascii="Times New Roman" w:hAnsi="Times New Roman" w:eastAsia="宋体" w:cs="Cambria Math"/>
          <w:i w:val="0"/>
          <w:iCs w:val="0"/>
          <w:color w:val="auto"/>
          <w:szCs w:val="21"/>
          <w:highlight w:val="none"/>
        </w:rPr>
      </w:pP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2.3 地点要求：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  <w:lang w:val="en-US" w:eastAsia="zh-CN"/>
        </w:rPr>
        <w:t>服务地点为</w:t>
      </w:r>
      <w:r>
        <w:rPr>
          <w:rFonts w:ascii="宋体" w:hAnsi="宋体" w:eastAsia="宋体" w:cs="宋体"/>
          <w:i w:val="0"/>
          <w:iCs w:val="0"/>
          <w:color w:val="auto"/>
          <w:szCs w:val="21"/>
          <w:highlight w:val="none"/>
        </w:rPr>
        <w:t>重庆</w:t>
      </w:r>
      <w:r>
        <w:rPr>
          <w:rFonts w:hint="eastAsia" w:ascii="宋体" w:hAnsi="宋体" w:eastAsia="宋体" w:cs="宋体"/>
          <w:i w:val="0"/>
          <w:iCs w:val="0"/>
          <w:color w:val="auto"/>
          <w:szCs w:val="21"/>
          <w:highlight w:val="none"/>
        </w:rPr>
        <w:t>市</w:t>
      </w:r>
    </w:p>
    <w:bookmarkEnd w:id="26"/>
    <w:p>
      <w:pPr>
        <w:widowControl w:val="0"/>
        <w:autoSpaceDE w:val="0"/>
        <w:autoSpaceDN w:val="0"/>
        <w:spacing w:line="600" w:lineRule="exact"/>
        <w:ind w:firstLine="0" w:firstLineChars="0"/>
        <w:jc w:val="left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</w:pPr>
      <w:bookmarkStart w:id="27" w:name="_Toc9125"/>
      <w:bookmarkStart w:id="28" w:name="_Toc9261"/>
      <w:bookmarkStart w:id="29" w:name="_Toc24295"/>
      <w:bookmarkStart w:id="30" w:name="_Toc26795"/>
      <w:bookmarkStart w:id="31" w:name="_Toc628"/>
      <w:bookmarkStart w:id="32" w:name="_Toc9779"/>
      <w:bookmarkStart w:id="33" w:name="_Toc9991"/>
      <w:bookmarkStart w:id="34" w:name="_Toc12661"/>
      <w:bookmarkStart w:id="35" w:name="_Toc151"/>
      <w:bookmarkStart w:id="36" w:name="_Toc10221"/>
      <w:bookmarkStart w:id="37" w:name="_Toc21473"/>
      <w:bookmarkStart w:id="38" w:name="_Toc20142"/>
      <w:bookmarkStart w:id="39" w:name="_Toc492300548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3. 响应人资格要求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>
      <w:pPr>
        <w:autoSpaceDE w:val="0"/>
        <w:autoSpaceDN w:val="0"/>
        <w:spacing w:line="360" w:lineRule="auto"/>
        <w:ind w:firstLine="420" w:firstLineChars="200"/>
        <w:jc w:val="left"/>
        <w:rPr>
          <w:rFonts w:ascii="Times New Roman" w:hAnsi="Times New Roman" w:eastAsia="宋体" w:cs="Cambria Math"/>
          <w:color w:val="auto"/>
          <w:szCs w:val="21"/>
          <w:highlight w:val="none"/>
        </w:rPr>
      </w:pP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3.1 本次询比要求响应人须具备以下条件</w:t>
      </w:r>
    </w:p>
    <w:p>
      <w:pPr>
        <w:widowControl w:val="0"/>
        <w:autoSpaceDE w:val="0"/>
        <w:autoSpaceDN w:val="0"/>
        <w:spacing w:before="100" w:after="100" w:line="240" w:lineRule="auto"/>
        <w:ind w:firstLine="420" w:firstLineChars="200"/>
        <w:jc w:val="left"/>
        <w:rPr>
          <w:rFonts w:ascii="Times New Roman" w:hAnsi="Times New Roman" w:eastAsia="宋体" w:cs="Cambria Math"/>
          <w:bCs/>
          <w:color w:val="auto"/>
          <w:kern w:val="2"/>
          <w:sz w:val="21"/>
          <w:szCs w:val="18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Cambria Math"/>
          <w:bCs/>
          <w:color w:val="auto"/>
          <w:kern w:val="2"/>
          <w:sz w:val="21"/>
          <w:szCs w:val="18"/>
          <w:highlight w:val="none"/>
          <w:lang w:val="en-US" w:eastAsia="zh-CN" w:bidi="ar-SA"/>
        </w:rPr>
        <w:t>3.1.1 本次询比要求响应人具备的资质条件：</w:t>
      </w:r>
    </w:p>
    <w:p>
      <w:pPr>
        <w:autoSpaceDE w:val="0"/>
        <w:autoSpaceDN w:val="0"/>
        <w:spacing w:line="360" w:lineRule="auto"/>
        <w:ind w:firstLine="420" w:firstLineChars="200"/>
        <w:jc w:val="left"/>
        <w:rPr>
          <w:rFonts w:ascii="Times New Roman" w:hAnsi="Times New Roman" w:eastAsia="宋体" w:cs="Cambria Math"/>
          <w:color w:val="auto"/>
          <w:szCs w:val="21"/>
          <w:highlight w:val="none"/>
        </w:rPr>
      </w:pP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（1）响应人具备独立承担民事责任的能力，具备有效的营业执照。</w:t>
      </w:r>
    </w:p>
    <w:p>
      <w:pPr>
        <w:autoSpaceDE w:val="0"/>
        <w:autoSpaceDN w:val="0"/>
        <w:spacing w:line="360" w:lineRule="auto"/>
        <w:ind w:firstLine="420" w:firstLineChars="200"/>
        <w:jc w:val="left"/>
        <w:rPr>
          <w:rFonts w:ascii="Times New Roman" w:hAnsi="Times New Roman" w:eastAsia="宋体" w:cs="Cambria Math"/>
          <w:color w:val="auto"/>
          <w:szCs w:val="21"/>
          <w:highlight w:val="none"/>
        </w:rPr>
      </w:pP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3.1.2 响应人还应具有其他相应的能力，如业绩、人员、资金等。详见询比文件第二章响应人须知前附表第 1.4.1 项内容。</w:t>
      </w:r>
    </w:p>
    <w:p>
      <w:pPr>
        <w:autoSpaceDE w:val="0"/>
        <w:autoSpaceDN w:val="0"/>
        <w:spacing w:line="360" w:lineRule="auto"/>
        <w:ind w:firstLine="420" w:firstLineChars="200"/>
        <w:jc w:val="left"/>
        <w:rPr>
          <w:rFonts w:ascii="Times New Roman" w:hAnsi="Times New Roman" w:eastAsia="宋体" w:cs="Cambria Math"/>
          <w:color w:val="auto"/>
          <w:szCs w:val="21"/>
          <w:highlight w:val="none"/>
        </w:rPr>
      </w:pP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3.2 本项目不接受联合体响应。</w:t>
      </w:r>
    </w:p>
    <w:p>
      <w:pPr>
        <w:widowControl w:val="0"/>
        <w:autoSpaceDE w:val="0"/>
        <w:autoSpaceDN w:val="0"/>
        <w:spacing w:line="600" w:lineRule="exact"/>
        <w:ind w:firstLine="0" w:firstLineChars="0"/>
        <w:jc w:val="left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</w:pPr>
      <w:bookmarkStart w:id="40" w:name="_Toc2063"/>
      <w:bookmarkStart w:id="41" w:name="_Toc287620670"/>
      <w:bookmarkStart w:id="42" w:name="_Toc5895"/>
      <w:bookmarkStart w:id="43" w:name="_Toc224103302"/>
      <w:bookmarkStart w:id="44" w:name="_Toc509218695"/>
      <w:bookmarkStart w:id="45" w:name="_Toc10442"/>
      <w:bookmarkStart w:id="46" w:name="_Toc430530419"/>
      <w:bookmarkStart w:id="47" w:name="_Toc287607731"/>
      <w:bookmarkStart w:id="48" w:name="_Toc6233"/>
      <w:bookmarkStart w:id="49" w:name="_Toc200359241"/>
      <w:bookmarkStart w:id="50" w:name="_Toc200359430"/>
      <w:bookmarkStart w:id="51" w:name="_Toc26390"/>
      <w:bookmarkStart w:id="52" w:name="_Toc4902"/>
      <w:bookmarkStart w:id="53" w:name="_Toc11187"/>
      <w:bookmarkStart w:id="54" w:name="_Toc277082539"/>
      <w:bookmarkStart w:id="55" w:name="_Toc3527"/>
      <w:bookmarkStart w:id="56" w:name="_Toc5188"/>
      <w:bookmarkStart w:id="57" w:name="_Toc31872"/>
      <w:bookmarkStart w:id="58" w:name="_Toc30008"/>
      <w:bookmarkStart w:id="59" w:name="_Toc6775"/>
      <w:bookmarkStart w:id="60" w:name="_Toc492300549"/>
      <w:bookmarkStart w:id="61" w:name="_Toc19369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4</w:t>
      </w:r>
      <w:r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 xml:space="preserve">. </w:t>
      </w:r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询比文件</w:t>
      </w:r>
      <w:r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的获取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p>
      <w:pPr>
        <w:autoSpaceDE w:val="0"/>
        <w:autoSpaceDN w:val="0"/>
        <w:spacing w:line="360" w:lineRule="auto"/>
        <w:ind w:firstLine="420" w:firstLineChars="200"/>
        <w:jc w:val="left"/>
        <w:rPr>
          <w:rFonts w:ascii="Times New Roman" w:hAnsi="Times New Roman" w:eastAsia="宋体" w:cs="Cambria Math"/>
          <w:color w:val="auto"/>
          <w:szCs w:val="21"/>
          <w:highlight w:val="none"/>
        </w:rPr>
      </w:pP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 xml:space="preserve">4.1 </w:t>
      </w:r>
      <w:r>
        <w:rPr>
          <w:rFonts w:ascii="Times New Roman" w:hAnsi="Times New Roman" w:eastAsia="宋体" w:cs="Cambria Math"/>
          <w:color w:val="auto"/>
          <w:szCs w:val="21"/>
          <w:highlight w:val="none"/>
        </w:rPr>
        <w:t>本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项目</w:t>
      </w:r>
      <w:r>
        <w:rPr>
          <w:rFonts w:ascii="Times New Roman" w:hAnsi="Times New Roman" w:eastAsia="宋体" w:cs="Cambria Math"/>
          <w:color w:val="auto"/>
          <w:szCs w:val="21"/>
          <w:highlight w:val="none"/>
        </w:rPr>
        <w:t>采用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全流程电子采购</w:t>
      </w:r>
      <w:r>
        <w:rPr>
          <w:rFonts w:ascii="Times New Roman" w:hAnsi="Times New Roman" w:eastAsia="宋体" w:cs="Cambria Math"/>
          <w:color w:val="auto"/>
          <w:szCs w:val="21"/>
          <w:highlight w:val="none"/>
        </w:rPr>
        <w:t>，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响应人</w:t>
      </w:r>
      <w:r>
        <w:rPr>
          <w:rFonts w:ascii="Times New Roman" w:hAnsi="Times New Roman" w:eastAsia="宋体" w:cs="Cambria Math"/>
          <w:color w:val="auto"/>
          <w:szCs w:val="21"/>
          <w:highlight w:val="none"/>
        </w:rPr>
        <w:t>在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参与项目</w:t>
      </w:r>
      <w:r>
        <w:rPr>
          <w:rFonts w:ascii="Times New Roman" w:hAnsi="Times New Roman" w:eastAsia="宋体" w:cs="Cambria Math"/>
          <w:color w:val="auto"/>
          <w:szCs w:val="21"/>
          <w:highlight w:val="none"/>
        </w:rPr>
        <w:t>前可在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重庆市公共资源交易网</w:t>
      </w:r>
      <w:r>
        <w:rPr>
          <w:rFonts w:ascii="Times New Roman" w:hAnsi="Times New Roman" w:eastAsia="宋体" w:cs="Cambria Math"/>
          <w:color w:val="auto"/>
          <w:szCs w:val="21"/>
          <w:highlight w:val="none"/>
        </w:rPr>
        <w:t>下载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询比文件</w:t>
      </w:r>
      <w:r>
        <w:rPr>
          <w:rFonts w:ascii="Times New Roman" w:hAnsi="Times New Roman" w:eastAsia="宋体" w:cs="Cambria Math"/>
          <w:color w:val="auto"/>
          <w:szCs w:val="21"/>
          <w:highlight w:val="none"/>
        </w:rPr>
        <w:t>资料。参与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项目</w:t>
      </w:r>
      <w:r>
        <w:rPr>
          <w:rFonts w:ascii="Times New Roman" w:hAnsi="Times New Roman" w:eastAsia="宋体" w:cs="Cambria Math"/>
          <w:color w:val="auto"/>
          <w:szCs w:val="21"/>
          <w:highlight w:val="none"/>
        </w:rPr>
        <w:t>的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响应人需在重庆市公共资源交易网完成统一用户中心注册以及 CA 数字证书办理，办理方式请参见重庆市公共资源交易网“统一用户中心”栏目中“统一用户中心注册”“CA互认与办理”。若响应人未及时完成统一用户中心注册和 CA 数字证书办理导致无法完成全流程电子采购的，责任自负</w:t>
      </w:r>
      <w:r>
        <w:rPr>
          <w:rFonts w:ascii="Times New Roman" w:hAnsi="Times New Roman" w:eastAsia="宋体" w:cs="Cambria Math"/>
          <w:color w:val="auto"/>
          <w:szCs w:val="21"/>
          <w:highlight w:val="none"/>
        </w:rPr>
        <w:t>。</w:t>
      </w:r>
    </w:p>
    <w:p>
      <w:pPr>
        <w:autoSpaceDE w:val="0"/>
        <w:autoSpaceDN w:val="0"/>
        <w:spacing w:line="360" w:lineRule="auto"/>
        <w:ind w:firstLine="420" w:firstLineChars="200"/>
        <w:jc w:val="left"/>
        <w:rPr>
          <w:rFonts w:ascii="Times New Roman" w:hAnsi="Times New Roman" w:eastAsia="宋体" w:cs="Cambria Math"/>
          <w:color w:val="auto"/>
          <w:szCs w:val="21"/>
          <w:highlight w:val="none"/>
        </w:rPr>
      </w:pP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4.2 响应人可在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  <w:u w:val="single"/>
          <w:lang w:val="en-US" w:eastAsia="zh-CN"/>
        </w:rPr>
        <w:t>2026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年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  <w:u w:val="single"/>
          <w:lang w:val="en-US" w:eastAsia="zh-CN"/>
        </w:rPr>
        <w:t>11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月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  <w:u w:val="single"/>
          <w:lang w:val="en-US" w:eastAsia="zh-CN"/>
        </w:rPr>
        <w:t>1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日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  <w:u w:val="single"/>
          <w:lang w:val="en-US" w:eastAsia="zh-CN"/>
        </w:rPr>
        <w:t>17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时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  <w:u w:val="single"/>
          <w:lang w:val="en-US" w:eastAsia="zh-CN"/>
        </w:rPr>
        <w:t>00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分（北京时间）前在重庆市公共资源交易网本项目询比公告网页下方“我要提问”栏提出疑问。</w:t>
      </w:r>
    </w:p>
    <w:p>
      <w:pPr>
        <w:autoSpaceDE w:val="0"/>
        <w:autoSpaceDN w:val="0"/>
        <w:spacing w:line="360" w:lineRule="auto"/>
        <w:ind w:firstLine="420" w:firstLineChars="200"/>
        <w:jc w:val="left"/>
        <w:rPr>
          <w:rFonts w:ascii="Times New Roman" w:hAnsi="Times New Roman" w:eastAsia="宋体" w:cs="Cambria Math"/>
          <w:color w:val="auto"/>
          <w:szCs w:val="21"/>
          <w:highlight w:val="none"/>
        </w:rPr>
      </w:pP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4.3 采购人应在重庆市公共资源交易网发布澄清或修改。</w:t>
      </w:r>
    </w:p>
    <w:p>
      <w:pPr>
        <w:widowControl w:val="0"/>
        <w:autoSpaceDE w:val="0"/>
        <w:autoSpaceDN w:val="0"/>
        <w:spacing w:line="600" w:lineRule="exact"/>
        <w:ind w:firstLine="0" w:firstLineChars="0"/>
        <w:jc w:val="left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</w:pPr>
      <w:bookmarkStart w:id="62" w:name="_Toc287607732"/>
      <w:bookmarkStart w:id="63" w:name="_Toc200359431"/>
      <w:bookmarkStart w:id="64" w:name="_Toc6579"/>
      <w:bookmarkStart w:id="65" w:name="_Toc15714"/>
      <w:bookmarkStart w:id="66" w:name="_Toc277082540"/>
      <w:bookmarkStart w:id="67" w:name="_Toc200359242"/>
      <w:bookmarkStart w:id="68" w:name="_Toc21073"/>
      <w:bookmarkStart w:id="69" w:name="_Toc2314"/>
      <w:bookmarkStart w:id="70" w:name="_Toc430530420"/>
      <w:bookmarkStart w:id="71" w:name="_Toc23837"/>
      <w:bookmarkStart w:id="72" w:name="_Toc25061"/>
      <w:bookmarkStart w:id="73" w:name="_Toc14552"/>
      <w:bookmarkStart w:id="74" w:name="_Toc287620671"/>
      <w:bookmarkStart w:id="75" w:name="_Toc14639"/>
      <w:bookmarkStart w:id="76" w:name="_Toc224103303"/>
      <w:bookmarkStart w:id="77" w:name="_Toc23629"/>
      <w:bookmarkStart w:id="78" w:name="_Toc9110"/>
      <w:bookmarkStart w:id="79" w:name="_Toc8204"/>
      <w:bookmarkStart w:id="80" w:name="_Toc509218696"/>
      <w:bookmarkStart w:id="81" w:name="_Toc27424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5</w:t>
      </w:r>
      <w:r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 xml:space="preserve">. </w:t>
      </w:r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响应文件</w:t>
      </w:r>
      <w:r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的递交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</w:p>
    <w:p>
      <w:pPr>
        <w:autoSpaceDE w:val="0"/>
        <w:autoSpaceDN w:val="0"/>
        <w:spacing w:line="360" w:lineRule="auto"/>
        <w:ind w:firstLine="420" w:firstLineChars="200"/>
        <w:jc w:val="left"/>
        <w:rPr>
          <w:rFonts w:ascii="Times New Roman" w:hAnsi="Times New Roman" w:eastAsia="宋体" w:cs="Cambria Math"/>
          <w:color w:val="auto"/>
          <w:szCs w:val="21"/>
          <w:highlight w:val="none"/>
        </w:rPr>
      </w:pP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5</w:t>
      </w:r>
      <w:r>
        <w:rPr>
          <w:rFonts w:ascii="Times New Roman" w:hAnsi="Times New Roman" w:eastAsia="宋体" w:cs="Cambria Math"/>
          <w:color w:val="auto"/>
          <w:szCs w:val="21"/>
          <w:highlight w:val="none"/>
        </w:rPr>
        <w:t xml:space="preserve">.1 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响应文件</w:t>
      </w:r>
      <w:r>
        <w:rPr>
          <w:rFonts w:ascii="Times New Roman" w:hAnsi="Times New Roman" w:eastAsia="宋体" w:cs="Cambria Math"/>
          <w:color w:val="auto"/>
          <w:szCs w:val="21"/>
          <w:highlight w:val="none"/>
        </w:rPr>
        <w:t>递交的截止时间（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响应截止时间</w:t>
      </w:r>
      <w:r>
        <w:rPr>
          <w:rFonts w:ascii="Times New Roman" w:hAnsi="Times New Roman" w:eastAsia="宋体" w:cs="Cambria Math"/>
          <w:color w:val="auto"/>
          <w:szCs w:val="21"/>
          <w:highlight w:val="none"/>
        </w:rPr>
        <w:t>，下同）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为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  <w:u w:val="single"/>
          <w:lang w:val="en-US" w:eastAsia="zh-CN"/>
        </w:rPr>
        <w:t>2026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年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  <w:u w:val="single"/>
          <w:lang w:val="en-US" w:eastAsia="zh-CN"/>
        </w:rPr>
        <w:t>11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月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  <w:u w:val="single"/>
          <w:lang w:val="en-US" w:eastAsia="zh-CN"/>
        </w:rPr>
        <w:t>13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日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  <w:u w:val="single"/>
          <w:lang w:val="en-US" w:eastAsia="zh-CN"/>
        </w:rPr>
        <w:t>9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时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  <w:u w:val="single"/>
          <w:lang w:val="en-US" w:eastAsia="zh-CN"/>
        </w:rPr>
        <w:t>30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分（北京时间）</w:t>
      </w:r>
      <w:r>
        <w:rPr>
          <w:rFonts w:ascii="Times New Roman" w:hAnsi="Times New Roman" w:eastAsia="宋体" w:cs="Cambria Math"/>
          <w:color w:val="auto"/>
          <w:szCs w:val="21"/>
          <w:highlight w:val="none"/>
        </w:rPr>
        <w:t>，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响应人应当在响应截止时间前，通过互联网使用CA数字证书登录重庆市电子招投标系统，将加密的电子响应文件上传。</w:t>
      </w:r>
    </w:p>
    <w:p>
      <w:pPr>
        <w:autoSpaceDE w:val="0"/>
        <w:autoSpaceDN w:val="0"/>
        <w:spacing w:line="360" w:lineRule="auto"/>
        <w:ind w:firstLine="420" w:firstLineChars="200"/>
        <w:jc w:val="left"/>
        <w:rPr>
          <w:rFonts w:ascii="Times New Roman" w:hAnsi="Times New Roman" w:eastAsia="宋体" w:cs="Cambria Math"/>
          <w:color w:val="auto"/>
          <w:szCs w:val="21"/>
          <w:highlight w:val="none"/>
        </w:rPr>
      </w:pP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5</w:t>
      </w:r>
      <w:r>
        <w:rPr>
          <w:rFonts w:ascii="Times New Roman" w:hAnsi="Times New Roman" w:eastAsia="宋体" w:cs="Cambria Math"/>
          <w:color w:val="auto"/>
          <w:szCs w:val="21"/>
          <w:highlight w:val="none"/>
        </w:rPr>
        <w:t xml:space="preserve">.2 </w:t>
      </w: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未按要求加密的电子响应文件，将无法上传至重庆市电子招投标系统，逾期未完成上传响应文件的，视为撤回响应文件。</w:t>
      </w:r>
    </w:p>
    <w:bookmarkEnd w:id="60"/>
    <w:bookmarkEnd w:id="61"/>
    <w:p>
      <w:pPr>
        <w:widowControl w:val="0"/>
        <w:autoSpaceDE w:val="0"/>
        <w:autoSpaceDN w:val="0"/>
        <w:spacing w:line="600" w:lineRule="exact"/>
        <w:ind w:firstLine="0" w:firstLineChars="0"/>
        <w:jc w:val="left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</w:pPr>
      <w:bookmarkStart w:id="82" w:name="_Toc1610"/>
      <w:bookmarkStart w:id="83" w:name="_Toc4450"/>
      <w:bookmarkStart w:id="84" w:name="_Toc31327"/>
      <w:bookmarkStart w:id="85" w:name="_Toc20172"/>
      <w:bookmarkStart w:id="86" w:name="_Toc18124"/>
      <w:bookmarkStart w:id="87" w:name="_Toc492300551"/>
      <w:bookmarkStart w:id="88" w:name="_Toc11935"/>
      <w:bookmarkStart w:id="89" w:name="_Toc21928"/>
      <w:bookmarkStart w:id="90" w:name="_Toc24240"/>
      <w:bookmarkStart w:id="91" w:name="_Toc3258"/>
      <w:bookmarkStart w:id="92" w:name="_Toc27842"/>
      <w:bookmarkStart w:id="93" w:name="_Toc4346"/>
      <w:bookmarkStart w:id="94" w:name="_Toc20062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6. 发布公告的媒介</w:t>
      </w:r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</w:p>
    <w:p>
      <w:pPr>
        <w:autoSpaceDE w:val="0"/>
        <w:autoSpaceDN w:val="0"/>
        <w:spacing w:line="360" w:lineRule="auto"/>
        <w:ind w:firstLine="420" w:firstLineChars="200"/>
        <w:jc w:val="left"/>
        <w:rPr>
          <w:rFonts w:ascii="Times New Roman" w:hAnsi="Times New Roman" w:eastAsia="宋体" w:cs="Cambria Math"/>
          <w:color w:val="auto"/>
          <w:szCs w:val="21"/>
          <w:highlight w:val="none"/>
        </w:rPr>
      </w:pPr>
      <w:r>
        <w:rPr>
          <w:rFonts w:hint="eastAsia" w:ascii="Times New Roman" w:hAnsi="Times New Roman" w:eastAsia="宋体" w:cs="Cambria Math"/>
          <w:color w:val="auto"/>
          <w:szCs w:val="21"/>
          <w:highlight w:val="none"/>
        </w:rPr>
        <w:t>本次询比公告在重庆市公共资源交易网上发布。</w:t>
      </w:r>
    </w:p>
    <w:p>
      <w:pPr>
        <w:widowControl w:val="0"/>
        <w:autoSpaceDE w:val="0"/>
        <w:autoSpaceDN w:val="0"/>
        <w:spacing w:line="600" w:lineRule="exact"/>
        <w:ind w:firstLine="0" w:firstLineChars="0"/>
        <w:jc w:val="left"/>
        <w:outlineLvl w:val="1"/>
        <w:rPr>
          <w:rFonts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</w:pPr>
      <w:bookmarkStart w:id="95" w:name="_Toc11678"/>
      <w:bookmarkStart w:id="96" w:name="_Toc14113"/>
      <w:bookmarkStart w:id="97" w:name="_Toc2931"/>
      <w:bookmarkStart w:id="98" w:name="_Toc903"/>
      <w:bookmarkStart w:id="99" w:name="_Toc6030"/>
      <w:bookmarkStart w:id="100" w:name="_Toc9366"/>
      <w:bookmarkStart w:id="101" w:name="_Toc9586"/>
      <w:bookmarkStart w:id="102" w:name="_Toc30480"/>
      <w:bookmarkStart w:id="103" w:name="_Toc6875"/>
      <w:bookmarkStart w:id="104" w:name="_Toc19538"/>
      <w:bookmarkStart w:id="105" w:name="_Toc18933"/>
      <w:bookmarkStart w:id="106" w:name="_Toc8501"/>
      <w:bookmarkStart w:id="107" w:name="_Toc492300552"/>
      <w:r>
        <w:rPr>
          <w:rFonts w:hint="eastAsia" w:ascii="Times New Roman" w:hAnsi="Times New Roman" w:eastAsia="宋体" w:cs="Times New Roman"/>
          <w:b/>
          <w:bCs/>
          <w:snapToGrid w:val="0"/>
          <w:color w:val="auto"/>
          <w:kern w:val="2"/>
          <w:sz w:val="21"/>
          <w:szCs w:val="24"/>
          <w:highlight w:val="none"/>
          <w:lang w:val="en-US" w:eastAsia="zh-CN" w:bidi="ar-SA"/>
        </w:rPr>
        <w:t>7. 联系方式</w:t>
      </w:r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</w:p>
    <w:tbl>
      <w:tblPr>
        <w:tblStyle w:val="2"/>
        <w:tblW w:w="842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3"/>
        <w:gridCol w:w="44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Cambria Math"/>
                <w:color w:val="auto"/>
                <w:szCs w:val="21"/>
                <w:highlight w:val="none"/>
              </w:rPr>
            </w:pPr>
            <w:bookmarkStart w:id="108" w:name="_Toc247527535"/>
            <w:bookmarkEnd w:id="108"/>
            <w:bookmarkStart w:id="109" w:name="_Toc152042288"/>
            <w:bookmarkEnd w:id="109"/>
            <w:bookmarkStart w:id="110" w:name="_Toc361508562"/>
            <w:bookmarkEnd w:id="110"/>
            <w:bookmarkStart w:id="111" w:name="_Toc144974481"/>
            <w:bookmarkEnd w:id="111"/>
            <w:bookmarkStart w:id="112" w:name="_Toc369531498"/>
            <w:bookmarkEnd w:id="112"/>
            <w:bookmarkStart w:id="113" w:name="_Toc361508563"/>
            <w:bookmarkEnd w:id="113"/>
            <w:bookmarkStart w:id="114" w:name="_Toc17972"/>
            <w:bookmarkEnd w:id="114"/>
            <w:bookmarkStart w:id="115" w:name="_Toc30817"/>
            <w:bookmarkEnd w:id="115"/>
            <w:bookmarkStart w:id="116" w:name="_Toc369531497"/>
            <w:bookmarkEnd w:id="116"/>
            <w:bookmarkStart w:id="117" w:name="_Toc352691455"/>
            <w:bookmarkEnd w:id="117"/>
            <w:bookmarkStart w:id="118" w:name="_Toc300834929"/>
            <w:bookmarkEnd w:id="118"/>
            <w:bookmarkStart w:id="119" w:name="_Toc384308185"/>
            <w:bookmarkEnd w:id="119"/>
            <w:bookmarkStart w:id="120" w:name="_Toc247527536"/>
            <w:bookmarkEnd w:id="120"/>
            <w:bookmarkStart w:id="121" w:name="_Toc247513935"/>
            <w:bookmarkEnd w:id="121"/>
            <w:bookmarkStart w:id="122" w:name="_Toc369531495"/>
            <w:bookmarkEnd w:id="122"/>
            <w:bookmarkStart w:id="123" w:name="_Toc352691456"/>
            <w:bookmarkEnd w:id="123"/>
            <w:bookmarkStart w:id="124" w:name="_Toc384308188"/>
            <w:bookmarkEnd w:id="124"/>
            <w:bookmarkStart w:id="125" w:name="_Toc247513934"/>
            <w:bookmarkEnd w:id="125"/>
            <w:bookmarkStart w:id="126" w:name="_Toc300834930"/>
            <w:bookmarkEnd w:id="126"/>
            <w:bookmarkStart w:id="127" w:name="_Toc152042289"/>
            <w:bookmarkEnd w:id="127"/>
            <w:bookmarkStart w:id="128" w:name="_Toc361508560"/>
            <w:bookmarkEnd w:id="128"/>
            <w:bookmarkStart w:id="129" w:name="_Toc384308187"/>
            <w:bookmarkEnd w:id="129"/>
            <w:bookmarkStart w:id="130" w:name="_Toc152045512"/>
            <w:bookmarkEnd w:id="130"/>
            <w:bookmarkStart w:id="131" w:name="_Toc300834927"/>
            <w:bookmarkEnd w:id="131"/>
            <w:bookmarkStart w:id="132" w:name="_Toc10785"/>
            <w:bookmarkEnd w:id="132"/>
            <w:bookmarkStart w:id="133" w:name="_Toc152045513"/>
            <w:bookmarkEnd w:id="133"/>
            <w:bookmarkStart w:id="134" w:name="_Toc144974480"/>
            <w:bookmarkEnd w:id="134"/>
            <w:bookmarkStart w:id="135" w:name="_Toc352691453"/>
            <w:bookmarkEnd w:id="135"/>
            <w:r>
              <w:rPr>
                <w:rFonts w:hint="eastAsia" w:ascii="Times New Roman" w:hAnsi="Times New Roman" w:eastAsia="宋体" w:cs="Cambria Math"/>
                <w:color w:val="auto"/>
                <w:szCs w:val="21"/>
                <w:highlight w:val="none"/>
              </w:rPr>
              <w:t>项目需求咨询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Cambria Math"/>
                <w:color w:val="auto"/>
                <w:szCs w:val="21"/>
                <w:highlight w:val="none"/>
              </w:rPr>
              <w:t>项目联系人：</w:t>
            </w:r>
            <w:r>
              <w:rPr>
                <w:rFonts w:ascii="Times New Roman" w:hAnsi="Times New Roman" w:eastAsia="宋体" w:cs="Cambria Math"/>
                <w:color w:val="auto"/>
                <w:szCs w:val="21"/>
                <w:highlight w:val="none"/>
              </w:rPr>
              <w:t>梁老师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Cambria Math"/>
                <w:color w:val="auto"/>
                <w:szCs w:val="21"/>
                <w:highlight w:val="none"/>
              </w:rPr>
              <w:t>联系方式：</w:t>
            </w:r>
            <w:r>
              <w:rPr>
                <w:rFonts w:ascii="Times New Roman" w:hAnsi="Times New Roman" w:eastAsia="宋体" w:cs="Cambria Math"/>
                <w:color w:val="auto"/>
                <w:szCs w:val="21"/>
                <w:highlight w:val="none"/>
              </w:rPr>
              <w:t>02388170728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Cambria Math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Cambria Math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Cambria Math"/>
                <w:color w:val="auto"/>
                <w:szCs w:val="21"/>
                <w:highlight w:val="none"/>
              </w:rPr>
              <w:t>项目流程咨询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Cambria Math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Cambria Math"/>
                <w:color w:val="auto"/>
                <w:szCs w:val="21"/>
                <w:highlight w:val="none"/>
              </w:rPr>
              <w:t>平台服务机构：重庆联合产权交易所集团股份有限公司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Cambria Math"/>
                <w:color w:val="auto"/>
                <w:szCs w:val="21"/>
                <w:highlight w:val="none"/>
              </w:rPr>
              <w:t>平台联系人：</w:t>
            </w:r>
            <w:r>
              <w:rPr>
                <w:rFonts w:hint="eastAsia" w:ascii="Times New Roman" w:hAnsi="Times New Roman" w:eastAsia="宋体" w:cs="Cambria Math"/>
                <w:color w:val="auto"/>
                <w:szCs w:val="21"/>
                <w:highlight w:val="none"/>
                <w:lang w:eastAsia="zh-CN"/>
              </w:rPr>
              <w:t>杜老师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hint="default" w:ascii="Times New Roman" w:hAnsi="Times New Roman" w:eastAsia="宋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Cambria Math"/>
                <w:color w:val="auto"/>
                <w:szCs w:val="21"/>
                <w:highlight w:val="none"/>
              </w:rPr>
              <w:t>联系方式：023-6362</w:t>
            </w:r>
            <w:r>
              <w:rPr>
                <w:rFonts w:hint="eastAsia" w:ascii="Times New Roman" w:hAnsi="Times New Roman" w:eastAsia="宋体" w:cs="Cambria Math"/>
                <w:color w:val="auto"/>
                <w:szCs w:val="21"/>
                <w:highlight w:val="none"/>
                <w:lang w:val="en-US" w:eastAsia="zh-CN"/>
              </w:rPr>
              <w:t>1694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Cambria Math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Cambria Math"/>
                <w:color w:val="auto"/>
                <w:szCs w:val="21"/>
                <w:highlight w:val="none"/>
              </w:rPr>
              <w:t>技术支持联系方式：023-</w:t>
            </w:r>
            <w:r>
              <w:rPr>
                <w:rFonts w:hint="eastAsia" w:ascii="Times New Roman" w:hAnsi="Times New Roman" w:eastAsia="宋体" w:cs="Cambria Math"/>
                <w:color w:val="auto"/>
                <w:szCs w:val="21"/>
                <w:highlight w:val="none"/>
                <w:lang w:val="en-US" w:eastAsia="zh-CN"/>
              </w:rPr>
              <w:t>63627106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Cambria Math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Cambria Math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Cambria Math"/>
                <w:color w:val="auto"/>
                <w:szCs w:val="21"/>
                <w:highlight w:val="none"/>
              </w:rPr>
              <w:t>采购人联系方式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Cambria Math"/>
                <w:color w:val="auto"/>
                <w:szCs w:val="21"/>
                <w:highlight w:val="none"/>
              </w:rPr>
              <w:t>联系人：杨老师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Cambria Math"/>
                <w:color w:val="auto"/>
                <w:szCs w:val="21"/>
                <w:highlight w:val="none"/>
              </w:rPr>
              <w:t>联系方式：023-88890381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Cambria Math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Cambria Math"/>
                <w:color w:val="auto"/>
                <w:szCs w:val="21"/>
                <w:highlight w:val="none"/>
              </w:rPr>
              <w:t>采购人地址：重庆市</w:t>
            </w:r>
            <w:r>
              <w:rPr>
                <w:rFonts w:hint="eastAsia" w:ascii="Times New Roman" w:hAnsi="Times New Roman" w:eastAsia="宋体" w:cs="Cambria Math"/>
                <w:color w:val="auto"/>
                <w:szCs w:val="21"/>
                <w:highlight w:val="none"/>
                <w:lang w:val="en-US" w:eastAsia="zh-CN"/>
              </w:rPr>
              <w:t>两江新区</w:t>
            </w:r>
            <w:r>
              <w:rPr>
                <w:rFonts w:hint="eastAsia" w:ascii="Times New Roman" w:hAnsi="Times New Roman" w:eastAsia="宋体" w:cs="Cambria Math"/>
                <w:color w:val="auto"/>
                <w:szCs w:val="21"/>
                <w:highlight w:val="none"/>
              </w:rPr>
              <w:t>嘉州路88号中渝国际都会4号写字楼21层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Lucida Sans">
    <w:altName w:val="Lucida Sans Unicode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E0706B"/>
    <w:rsid w:val="7BE0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Lucida Sans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2026-10-29T09:57:00Z</dcterms:created>
  <dc:creator>杨漪</dc:creator>
  <cp:lastModifiedBy>杨漪</cp:lastModifiedBy>
  <dcterms:modified xsi:type="dcterms:W3CDTF">2026-10-29T09:58:58Z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</Properties>
</file>