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8756C">
      <w:pPr>
        <w:widowControl w:val="0"/>
        <w:autoSpaceDE/>
        <w:autoSpaceDN/>
        <w:bidi w:val="0"/>
        <w:spacing w:line="360" w:lineRule="auto"/>
        <w:ind w:firstLine="0" w:firstLineChars="0"/>
        <w:jc w:val="center"/>
        <w:rPr>
          <w:rFonts w:ascii="Arial" w:hAnsi="Arial" w:eastAsia="宋体" w:cs="Cambria Math"/>
          <w:b/>
          <w:kern w:val="28"/>
          <w:sz w:val="28"/>
          <w:szCs w:val="20"/>
          <w:highlight w:val="none"/>
          <w:lang w:val="en-US" w:eastAsia="zh-CN" w:bidi="ar-SA"/>
        </w:rPr>
      </w:pPr>
      <w:r>
        <w:rPr>
          <w:rFonts w:hint="eastAsia" w:ascii="Arial" w:hAnsi="Arial" w:eastAsia="宋体" w:cs="Cambria Math"/>
          <w:b/>
          <w:kern w:val="28"/>
          <w:sz w:val="28"/>
          <w:szCs w:val="20"/>
          <w:highlight w:val="none"/>
          <w:lang w:val="en-US" w:eastAsia="zh-CN" w:bidi="ar-SA"/>
        </w:rPr>
        <w:t>重庆三峡银行磐石系统建设项目（第二次）询比公告</w:t>
      </w:r>
    </w:p>
    <w:p w14:paraId="67F0E37A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</w:pPr>
      <w:bookmarkStart w:id="0" w:name="_Toc23137"/>
      <w:bookmarkStart w:id="1" w:name="_Toc21021"/>
      <w:bookmarkStart w:id="2" w:name="_Toc22653"/>
      <w:bookmarkStart w:id="3" w:name="_Toc13298"/>
      <w:bookmarkStart w:id="4" w:name="_Toc3165"/>
      <w:bookmarkStart w:id="5" w:name="_Toc22470"/>
      <w:bookmarkStart w:id="6" w:name="_Toc492300546"/>
      <w:bookmarkStart w:id="7" w:name="_Toc31037"/>
      <w:bookmarkStart w:id="8" w:name="_Toc31597"/>
      <w:bookmarkStart w:id="9" w:name="_Toc19027"/>
      <w:bookmarkStart w:id="10" w:name="_Toc1435"/>
      <w:bookmarkStart w:id="11" w:name="_Toc15916"/>
      <w:bookmarkStart w:id="12" w:name="_Toc29828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 xml:space="preserve">1.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询比条件</w:t>
      </w:r>
    </w:p>
    <w:p w14:paraId="1F754CD1">
      <w:pPr>
        <w:rPr>
          <w:highlight w:val="none"/>
        </w:rPr>
      </w:pPr>
      <w:r>
        <w:rPr>
          <w:rFonts w:hint="eastAsia"/>
          <w:highlight w:val="none"/>
        </w:rPr>
        <w:t>采购人：重庆三峡银行股份有限公司</w:t>
      </w:r>
    </w:p>
    <w:p w14:paraId="0040059C">
      <w:pPr>
        <w:rPr>
          <w:highlight w:val="none"/>
        </w:rPr>
      </w:pPr>
      <w:r>
        <w:rPr>
          <w:rFonts w:hint="eastAsia"/>
          <w:highlight w:val="none"/>
        </w:rPr>
        <w:t>资金来源：</w:t>
      </w:r>
      <w:r>
        <w:rPr>
          <w:rFonts w:hint="eastAsia"/>
          <w:highlight w:val="none"/>
          <w:u w:val="none"/>
        </w:rPr>
        <w:t>企业自筹</w:t>
      </w:r>
      <w:r>
        <w:rPr>
          <w:rFonts w:hint="eastAsia"/>
          <w:highlight w:val="none"/>
        </w:rPr>
        <w:t>，资金已落实。</w:t>
      </w:r>
    </w:p>
    <w:p w14:paraId="0CC22E56">
      <w:pPr>
        <w:rPr>
          <w:rFonts w:hint="eastAsia" w:eastAsia="宋体"/>
          <w:highlight w:val="none"/>
          <w:lang w:eastAsia="zh-CN"/>
        </w:rPr>
      </w:pPr>
      <w:r>
        <w:rPr>
          <w:rFonts w:hint="eastAsia"/>
          <w:highlight w:val="none"/>
        </w:rPr>
        <w:t>项目名称：</w:t>
      </w:r>
      <w:r>
        <w:rPr>
          <w:rFonts w:hint="eastAsia" w:hAnsi="宋体"/>
          <w:highlight w:val="none"/>
        </w:rPr>
        <w:t>重庆三峡银行</w:t>
      </w:r>
      <w:r>
        <w:rPr>
          <w:rFonts w:hint="eastAsia" w:eastAsia="宋体"/>
          <w:highlight w:val="none"/>
          <w:lang w:eastAsia="zh-CN"/>
        </w:rPr>
        <w:t>磐石系统建设项目（第二次）</w:t>
      </w:r>
    </w:p>
    <w:p w14:paraId="755F05B8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</w:pPr>
      <w:bookmarkStart w:id="13" w:name="_Toc20299"/>
      <w:bookmarkStart w:id="14" w:name="_Toc15672"/>
      <w:bookmarkStart w:id="15" w:name="_Toc17362"/>
      <w:bookmarkStart w:id="16" w:name="_Toc13223"/>
      <w:bookmarkStart w:id="17" w:name="_Toc15871"/>
      <w:bookmarkStart w:id="18" w:name="_Toc29603"/>
      <w:bookmarkStart w:id="19" w:name="_Toc492300547"/>
      <w:bookmarkStart w:id="20" w:name="_Toc31834"/>
      <w:bookmarkStart w:id="21" w:name="_Toc23667"/>
      <w:bookmarkStart w:id="22" w:name="_Toc24481"/>
      <w:bookmarkStart w:id="23" w:name="_Toc21478"/>
      <w:bookmarkStart w:id="24" w:name="_Toc19608"/>
      <w:bookmarkStart w:id="25" w:name="_Toc22009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 xml:space="preserve">2. 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询比内容</w:t>
      </w:r>
      <w:bookmarkStart w:id="136" w:name="_GoBack"/>
      <w:bookmarkEnd w:id="136"/>
    </w:p>
    <w:p w14:paraId="4ADB7C55">
      <w:pPr>
        <w:widowControl w:val="0"/>
        <w:autoSpaceDE w:val="0"/>
        <w:autoSpaceDN w:val="0"/>
        <w:spacing w:after="120" w:line="360" w:lineRule="auto"/>
        <w:ind w:firstLine="420" w:firstLineChars="200"/>
        <w:jc w:val="both"/>
        <w:rPr>
          <w:rFonts w:ascii="Times New Roman" w:hAnsi="Times New Roman" w:eastAsia="宋体" w:cs="Cambria Math"/>
          <w:kern w:val="2"/>
          <w:sz w:val="21"/>
          <w:szCs w:val="24"/>
          <w:highlight w:val="none"/>
          <w:lang w:val="en-US" w:eastAsia="zh-CN" w:bidi="ar-SA"/>
        </w:rPr>
      </w:pPr>
      <w:bookmarkStart w:id="26" w:name="_Hlk536432704"/>
      <w:r>
        <w:rPr>
          <w:rFonts w:hint="eastAsia"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2.1询比范围：</w:t>
      </w:r>
      <w:r>
        <w:rPr>
          <w:rFonts w:ascii="Times New Roman" w:hAnsi="宋体" w:eastAsia="宋体" w:cs="Cambria Math"/>
          <w:kern w:val="2"/>
          <w:sz w:val="21"/>
          <w:szCs w:val="20"/>
          <w:highlight w:val="none"/>
          <w:lang w:val="en-US" w:eastAsia="zh-CN" w:bidi="ar-SA"/>
        </w:rPr>
        <w:t>为授信业务提供辅助性的数据支持、流程衔接等配套服务</w:t>
      </w:r>
      <w:r>
        <w:rPr>
          <w:rFonts w:hint="eastAsia" w:ascii="Times New Roman" w:hAnsi="宋体" w:eastAsia="宋体" w:cs="Cambria Math"/>
          <w:kern w:val="2"/>
          <w:sz w:val="21"/>
          <w:szCs w:val="20"/>
          <w:highlight w:val="none"/>
          <w:lang w:val="en-US" w:eastAsia="zh-CN" w:bidi="ar-SA"/>
        </w:rPr>
        <w:t>，</w:t>
      </w:r>
      <w:r>
        <w:rPr>
          <w:rFonts w:ascii="Times New Roman" w:hAnsi="宋体" w:eastAsia="宋体" w:cs="Cambria Math"/>
          <w:kern w:val="2"/>
          <w:sz w:val="21"/>
          <w:szCs w:val="20"/>
          <w:highlight w:val="none"/>
          <w:lang w:val="en-US" w:eastAsia="zh-CN" w:bidi="ar-SA"/>
        </w:rPr>
        <w:t>项目以智能尽调报告助手、审查及贷后检查报告辅助自动生成为建设核心，整合财务报表、流水识别分析能力，形成“识别-分析-报告-数据流转”的高效流程</w:t>
      </w:r>
      <w:r>
        <w:rPr>
          <w:rFonts w:hint="eastAsia" w:ascii="Times New Roman" w:hAnsi="宋体" w:eastAsia="宋体" w:cs="Cambria Math"/>
          <w:kern w:val="2"/>
          <w:sz w:val="21"/>
          <w:szCs w:val="20"/>
          <w:highlight w:val="none"/>
          <w:lang w:val="en-US" w:eastAsia="zh-CN" w:bidi="ar-SA"/>
        </w:rPr>
        <w:t>。</w:t>
      </w:r>
      <w:r>
        <w:rPr>
          <w:rFonts w:hint="eastAsia"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本项目建设范围包括</w:t>
      </w:r>
      <w:r>
        <w:rPr>
          <w:rFonts w:ascii="Times New Roman" w:hAnsi="Times New Roman" w:eastAsia="宋体" w:cs="Cambria Math"/>
          <w:b/>
          <w:bCs/>
          <w:kern w:val="2"/>
          <w:sz w:val="21"/>
          <w:szCs w:val="20"/>
          <w:highlight w:val="none"/>
          <w:lang w:val="en-US" w:eastAsia="zh-CN" w:bidi="ar-SA"/>
        </w:rPr>
        <w:t>财报识别与分析、流水识别与分析、报告智能</w:t>
      </w:r>
      <w:r>
        <w:rPr>
          <w:rFonts w:hint="eastAsia" w:ascii="Times New Roman" w:hAnsi="Times New Roman" w:eastAsia="宋体" w:cs="Cambria Math"/>
          <w:b/>
          <w:bCs/>
          <w:kern w:val="2"/>
          <w:sz w:val="21"/>
          <w:szCs w:val="20"/>
          <w:highlight w:val="none"/>
          <w:lang w:val="en-US" w:eastAsia="zh-CN" w:bidi="ar-SA"/>
        </w:rPr>
        <w:t>撰写</w:t>
      </w:r>
      <w:r>
        <w:rPr>
          <w:rFonts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三大功能板块</w:t>
      </w:r>
      <w:r>
        <w:rPr>
          <w:rFonts w:hint="eastAsia"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。</w:t>
      </w:r>
      <w:r>
        <w:rPr>
          <w:rFonts w:ascii="Times New Roman" w:hAnsi="Times New Roman" w:eastAsia="宋体" w:cs="Cambria Math"/>
          <w:kern w:val="2"/>
          <w:sz w:val="21"/>
          <w:szCs w:val="24"/>
          <w:highlight w:val="none"/>
          <w:lang w:val="en-US" w:eastAsia="zh-CN" w:bidi="ar-SA"/>
        </w:rPr>
        <w:t>项目本期建设内容，无需采用 AI 大模型、智能体相关技术</w:t>
      </w:r>
      <w:r>
        <w:rPr>
          <w:rFonts w:hint="eastAsia" w:ascii="Times New Roman" w:hAnsi="Times New Roman" w:eastAsia="宋体" w:cs="Cambria Math"/>
          <w:kern w:val="2"/>
          <w:sz w:val="21"/>
          <w:szCs w:val="24"/>
          <w:highlight w:val="none"/>
          <w:lang w:val="en-US" w:eastAsia="zh-CN" w:bidi="ar-SA"/>
        </w:rPr>
        <w:t>方案</w:t>
      </w:r>
      <w:r>
        <w:rPr>
          <w:rFonts w:ascii="Times New Roman" w:hAnsi="Times New Roman" w:eastAsia="宋体" w:cs="Cambria Math"/>
          <w:kern w:val="2"/>
          <w:sz w:val="21"/>
          <w:szCs w:val="24"/>
          <w:highlight w:val="none"/>
          <w:lang w:val="en-US" w:eastAsia="zh-CN" w:bidi="ar-SA"/>
        </w:rPr>
        <w:t>实施建设。</w:t>
      </w:r>
    </w:p>
    <w:p w14:paraId="02433B69">
      <w:pPr>
        <w:rPr>
          <w:rFonts w:cs="Times New Roman"/>
          <w:highlight w:val="none"/>
          <w:lang w:bidi="ar-SA"/>
        </w:rPr>
      </w:pPr>
      <w:r>
        <w:rPr>
          <w:rFonts w:hint="eastAsia"/>
          <w:highlight w:val="none"/>
        </w:rPr>
        <w:t>2.2 时间要求：交付时间以项目合同为准。</w:t>
      </w:r>
    </w:p>
    <w:p w14:paraId="4EDFB133">
      <w:pPr>
        <w:rPr>
          <w:highlight w:val="none"/>
        </w:rPr>
      </w:pPr>
      <w:r>
        <w:rPr>
          <w:rFonts w:hint="eastAsia"/>
          <w:highlight w:val="none"/>
        </w:rPr>
        <w:t>2.3</w:t>
      </w:r>
      <w:r>
        <w:rPr>
          <w:highlight w:val="none"/>
        </w:rPr>
        <w:t xml:space="preserve"> </w:t>
      </w:r>
      <w:r>
        <w:rPr>
          <w:rFonts w:hint="eastAsia"/>
          <w:highlight w:val="none"/>
        </w:rPr>
        <w:t>地点要求：重庆市内，采购人指定地点。</w:t>
      </w:r>
    </w:p>
    <w:p w14:paraId="04DC3396">
      <w:pPr>
        <w:rPr>
          <w:highlight w:val="none"/>
        </w:rPr>
      </w:pPr>
      <w:r>
        <w:rPr>
          <w:rFonts w:hint="eastAsia"/>
          <w:highlight w:val="none"/>
        </w:rPr>
        <w:t>2.4 标段名称：重庆三峡银行</w:t>
      </w:r>
      <w:r>
        <w:rPr>
          <w:rFonts w:hint="eastAsia" w:eastAsia="宋体"/>
          <w:highlight w:val="none"/>
          <w:lang w:eastAsia="zh-CN"/>
        </w:rPr>
        <w:t>磐石系统建设项目（第二次）</w:t>
      </w:r>
      <w:r>
        <w:rPr>
          <w:rFonts w:hint="eastAsia"/>
          <w:highlight w:val="none"/>
        </w:rPr>
        <w:t>（标段1：报告智能</w:t>
      </w:r>
      <w:r>
        <w:rPr>
          <w:highlight w:val="none"/>
        </w:rPr>
        <w:t>撰写</w:t>
      </w:r>
      <w:r>
        <w:rPr>
          <w:rFonts w:hint="eastAsia"/>
          <w:highlight w:val="none"/>
        </w:rPr>
        <w:t>）、重庆三峡银行</w:t>
      </w:r>
      <w:r>
        <w:rPr>
          <w:rFonts w:hint="eastAsia" w:eastAsia="宋体"/>
          <w:highlight w:val="none"/>
          <w:lang w:eastAsia="zh-CN"/>
        </w:rPr>
        <w:t>磐石系统建设项目（第二次）</w:t>
      </w:r>
      <w:r>
        <w:rPr>
          <w:rFonts w:hint="eastAsia"/>
          <w:highlight w:val="none"/>
        </w:rPr>
        <w:t>（标段2：OCR识别财报和流水以及财报分析）、重庆三峡银行</w:t>
      </w:r>
      <w:r>
        <w:rPr>
          <w:rFonts w:hint="eastAsia" w:eastAsia="宋体"/>
          <w:highlight w:val="none"/>
          <w:lang w:eastAsia="zh-CN"/>
        </w:rPr>
        <w:t>磐石系统建设项目（第二次）</w:t>
      </w:r>
      <w:r>
        <w:rPr>
          <w:rFonts w:hint="eastAsia"/>
          <w:highlight w:val="none"/>
        </w:rPr>
        <w:t>（标段3：流水分析）。</w:t>
      </w:r>
      <w:bookmarkEnd w:id="26"/>
      <w:bookmarkStart w:id="27" w:name="_Toc9125"/>
      <w:bookmarkStart w:id="28" w:name="_Toc492300548"/>
      <w:bookmarkStart w:id="29" w:name="_Toc9991"/>
      <w:bookmarkStart w:id="30" w:name="_Toc151"/>
      <w:bookmarkStart w:id="31" w:name="_Toc10221"/>
      <w:bookmarkStart w:id="32" w:name="_Toc628"/>
      <w:bookmarkStart w:id="33" w:name="_Toc9261"/>
      <w:bookmarkStart w:id="34" w:name="_Toc26795"/>
      <w:bookmarkStart w:id="35" w:name="_Toc12661"/>
      <w:bookmarkStart w:id="36" w:name="_Toc21473"/>
      <w:bookmarkStart w:id="37" w:name="_Toc20142"/>
      <w:bookmarkStart w:id="38" w:name="_Toc24295"/>
      <w:bookmarkStart w:id="39" w:name="_Toc9779"/>
    </w:p>
    <w:p w14:paraId="53BC48BC">
      <w:pPr>
        <w:widowControl w:val="0"/>
        <w:autoSpaceDE w:val="0"/>
        <w:autoSpaceDN w:val="0"/>
        <w:spacing w:after="120" w:line="360" w:lineRule="auto"/>
        <w:ind w:firstLine="420" w:firstLineChars="200"/>
        <w:jc w:val="both"/>
        <w:rPr>
          <w:rFonts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2.5 项目要求：</w:t>
      </w:r>
      <w:r>
        <w:rPr>
          <w:rFonts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本项目划分为三个独立标段实施</w:t>
      </w:r>
      <w:r>
        <w:rPr>
          <w:rFonts w:hint="eastAsia"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询比</w:t>
      </w:r>
      <w:r>
        <w:rPr>
          <w:rFonts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，若任一标段发生流标，其余已正常完成</w:t>
      </w:r>
      <w:r>
        <w:rPr>
          <w:rFonts w:hint="eastAsia"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询比</w:t>
      </w:r>
      <w:r>
        <w:rPr>
          <w:rFonts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流程的标段</w:t>
      </w:r>
      <w:r>
        <w:rPr>
          <w:rFonts w:hint="eastAsia"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成交单位</w:t>
      </w:r>
      <w:r>
        <w:rPr>
          <w:rFonts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，须待本项目全部标段</w:t>
      </w:r>
      <w:r>
        <w:rPr>
          <w:rFonts w:hint="eastAsia"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询比</w:t>
      </w:r>
      <w:r>
        <w:rPr>
          <w:rFonts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工作全部办结后，方可统一进场开展实施工作。</w:t>
      </w:r>
    </w:p>
    <w:p w14:paraId="1295182B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3. 响应人资格要求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4602C0D1">
      <w:pPr>
        <w:rPr>
          <w:highlight w:val="none"/>
        </w:rPr>
      </w:pPr>
      <w:r>
        <w:rPr>
          <w:rFonts w:hint="eastAsia"/>
          <w:highlight w:val="none"/>
        </w:rPr>
        <w:t>3.1 本次询比要求响应人须具备以下条件</w:t>
      </w:r>
    </w:p>
    <w:p w14:paraId="3A1947D4">
      <w:pPr>
        <w:widowControl w:val="0"/>
        <w:autoSpaceDE w:val="0"/>
        <w:autoSpaceDN w:val="0"/>
        <w:spacing w:before="100" w:after="100" w:line="240" w:lineRule="auto"/>
        <w:ind w:firstLine="420" w:firstLineChars="200"/>
        <w:jc w:val="both"/>
        <w:rPr>
          <w:rFonts w:ascii="Times New Roman" w:hAnsi="Times New Roman" w:eastAsia="宋体" w:cs="Cambria Math"/>
          <w:bCs/>
          <w:kern w:val="2"/>
          <w:sz w:val="21"/>
          <w:szCs w:val="1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Cambria Math"/>
          <w:bCs/>
          <w:kern w:val="2"/>
          <w:sz w:val="21"/>
          <w:szCs w:val="18"/>
          <w:highlight w:val="none"/>
          <w:lang w:val="en-US" w:eastAsia="zh-CN" w:bidi="ar-SA"/>
        </w:rPr>
        <w:t>3.1.1 本次询比要求响应人具备的资质条件：</w:t>
      </w:r>
    </w:p>
    <w:p w14:paraId="023F044F">
      <w:pPr>
        <w:widowControl w:val="0"/>
        <w:autoSpaceDE w:val="0"/>
        <w:autoSpaceDN w:val="0"/>
        <w:spacing w:before="100" w:after="100" w:line="240" w:lineRule="auto"/>
        <w:ind w:firstLine="420" w:firstLineChars="200"/>
        <w:jc w:val="both"/>
        <w:rPr>
          <w:rFonts w:ascii="Times New Roman" w:hAnsi="Times New Roman" w:eastAsia="宋体" w:cs="Cambria Math"/>
          <w:bCs/>
          <w:kern w:val="2"/>
          <w:sz w:val="21"/>
          <w:szCs w:val="1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Cambria Math"/>
          <w:bCs/>
          <w:kern w:val="2"/>
          <w:sz w:val="21"/>
          <w:szCs w:val="18"/>
          <w:highlight w:val="none"/>
          <w:lang w:val="en-US" w:eastAsia="zh-CN" w:bidi="ar-SA"/>
        </w:rPr>
        <w:t>（1）具备独立承担民事责任的能力，具备有效的营业执照。</w:t>
      </w:r>
    </w:p>
    <w:p w14:paraId="3D852756">
      <w:pPr>
        <w:rPr>
          <w:highlight w:val="none"/>
        </w:rPr>
      </w:pPr>
      <w:r>
        <w:rPr>
          <w:rFonts w:hint="eastAsia"/>
          <w:highlight w:val="none"/>
        </w:rPr>
        <w:t>3.1.2 响应人还应具有其他相应的能力，如业绩、人员、资金等。详见询比文件第二章响应人须知前附表第 1.4.1 项内容。</w:t>
      </w:r>
    </w:p>
    <w:p w14:paraId="25EFD3A2">
      <w:pPr>
        <w:rPr>
          <w:highlight w:val="none"/>
        </w:rPr>
      </w:pPr>
      <w:r>
        <w:rPr>
          <w:rFonts w:hint="eastAsia"/>
          <w:highlight w:val="none"/>
        </w:rPr>
        <w:t>3.2 不接受联合体响应。</w:t>
      </w:r>
    </w:p>
    <w:p w14:paraId="66584B11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</w:pPr>
      <w:bookmarkStart w:id="40" w:name="_Toc224103302"/>
      <w:bookmarkStart w:id="41" w:name="_Toc10442"/>
      <w:bookmarkStart w:id="42" w:name="_Toc26390"/>
      <w:bookmarkStart w:id="43" w:name="_Toc6775"/>
      <w:bookmarkStart w:id="44" w:name="_Toc5188"/>
      <w:bookmarkStart w:id="45" w:name="_Toc430530419"/>
      <w:bookmarkStart w:id="46" w:name="_Toc4902"/>
      <w:bookmarkStart w:id="47" w:name="_Toc200359241"/>
      <w:bookmarkStart w:id="48" w:name="_Toc2063"/>
      <w:bookmarkStart w:id="49" w:name="_Toc6233"/>
      <w:bookmarkStart w:id="50" w:name="_Toc509218695"/>
      <w:bookmarkStart w:id="51" w:name="_Toc277082539"/>
      <w:bookmarkStart w:id="52" w:name="_Toc30008"/>
      <w:bookmarkStart w:id="53" w:name="_Toc200359430"/>
      <w:bookmarkStart w:id="54" w:name="_Toc3527"/>
      <w:bookmarkStart w:id="55" w:name="_Toc31872"/>
      <w:bookmarkStart w:id="56" w:name="_Toc287620670"/>
      <w:bookmarkStart w:id="57" w:name="_Toc5895"/>
      <w:bookmarkStart w:id="58" w:name="_Toc287607731"/>
      <w:bookmarkStart w:id="59" w:name="_Toc11187"/>
      <w:bookmarkStart w:id="60" w:name="_Toc19369"/>
      <w:bookmarkStart w:id="61" w:name="_Toc492300549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4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询比文件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的获取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48D88769">
      <w:pPr>
        <w:rPr>
          <w:highlight w:val="none"/>
        </w:rPr>
      </w:pPr>
      <w:r>
        <w:rPr>
          <w:rFonts w:hint="eastAsia"/>
          <w:highlight w:val="none"/>
        </w:rPr>
        <w:t xml:space="preserve">4.1 </w:t>
      </w:r>
      <w:r>
        <w:rPr>
          <w:highlight w:val="none"/>
        </w:rPr>
        <w:t>本</w:t>
      </w:r>
      <w:r>
        <w:rPr>
          <w:rFonts w:hint="eastAsia"/>
          <w:highlight w:val="none"/>
        </w:rPr>
        <w:t>项目</w:t>
      </w:r>
      <w:r>
        <w:rPr>
          <w:highlight w:val="none"/>
        </w:rPr>
        <w:t>采用</w:t>
      </w:r>
      <w:r>
        <w:rPr>
          <w:rFonts w:hint="eastAsia"/>
          <w:highlight w:val="none"/>
        </w:rPr>
        <w:t>全流程电子采购</w:t>
      </w:r>
      <w:r>
        <w:rPr>
          <w:highlight w:val="none"/>
        </w:rPr>
        <w:t>，</w:t>
      </w:r>
      <w:r>
        <w:rPr>
          <w:rFonts w:hint="eastAsia"/>
          <w:highlight w:val="none"/>
        </w:rPr>
        <w:t>响应人</w:t>
      </w:r>
      <w:r>
        <w:rPr>
          <w:highlight w:val="none"/>
        </w:rPr>
        <w:t>在</w:t>
      </w:r>
      <w:r>
        <w:rPr>
          <w:rFonts w:hint="eastAsia"/>
          <w:highlight w:val="none"/>
        </w:rPr>
        <w:t>参与项目</w:t>
      </w:r>
      <w:r>
        <w:rPr>
          <w:highlight w:val="none"/>
        </w:rPr>
        <w:t>前可在</w:t>
      </w:r>
      <w:r>
        <w:rPr>
          <w:rFonts w:hint="eastAsia"/>
          <w:highlight w:val="none"/>
        </w:rPr>
        <w:t>重庆市公共资源交易网</w:t>
      </w:r>
      <w:r>
        <w:rPr>
          <w:highlight w:val="none"/>
        </w:rPr>
        <w:t>下载</w:t>
      </w:r>
      <w:r>
        <w:rPr>
          <w:rFonts w:hint="eastAsia"/>
          <w:highlight w:val="none"/>
        </w:rPr>
        <w:t>询比文件</w:t>
      </w:r>
      <w:r>
        <w:rPr>
          <w:highlight w:val="none"/>
        </w:rPr>
        <w:t>资料。参与</w:t>
      </w:r>
      <w:r>
        <w:rPr>
          <w:rFonts w:hint="eastAsia"/>
          <w:highlight w:val="none"/>
        </w:rPr>
        <w:t>项目</w:t>
      </w:r>
      <w:r>
        <w:rPr>
          <w:highlight w:val="none"/>
        </w:rPr>
        <w:t>的</w:t>
      </w:r>
      <w:r>
        <w:rPr>
          <w:rFonts w:hint="eastAsia"/>
          <w:highlight w:val="none"/>
        </w:rPr>
        <w:t>响应人需在重庆市公共资源交易网完成统一用户中心注册以及 CA 数字证书办理，办理方式请参见重庆市公共资源交易网“统一用户中心”栏目中“统一用户中心注册”“CA互认与办理”。若响应人未及时完成统一用户中心注册和 CA 数字证书办理导致无法完成全流程电子采购的，责任自负</w:t>
      </w:r>
      <w:r>
        <w:rPr>
          <w:highlight w:val="none"/>
        </w:rPr>
        <w:t>。</w:t>
      </w:r>
    </w:p>
    <w:p w14:paraId="6F68C007">
      <w:pPr>
        <w:rPr>
          <w:highlight w:val="none"/>
        </w:rPr>
      </w:pPr>
      <w:r>
        <w:rPr>
          <w:rFonts w:hint="eastAsia"/>
          <w:highlight w:val="none"/>
        </w:rPr>
        <w:t>4.2 响应人可在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2026</w:t>
      </w:r>
      <w:r>
        <w:rPr>
          <w:rFonts w:hint="eastAsia" w:ascii="Times New Roman" w:eastAsia="宋体"/>
          <w:highlight w:val="none"/>
          <w:lang w:val="en-US" w:eastAsia="zh-CN"/>
        </w:rPr>
        <w:t>年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11</w:t>
      </w:r>
      <w:r>
        <w:rPr>
          <w:rFonts w:hint="eastAsia" w:ascii="Times New Roman" w:eastAsia="宋体"/>
          <w:highlight w:val="none"/>
          <w:lang w:val="en-US" w:eastAsia="zh-CN"/>
        </w:rPr>
        <w:t>月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04</w:t>
      </w:r>
      <w:r>
        <w:rPr>
          <w:rFonts w:hint="eastAsia" w:ascii="Times New Roman" w:eastAsia="宋体"/>
          <w:highlight w:val="none"/>
          <w:lang w:val="en-US" w:eastAsia="zh-CN"/>
        </w:rPr>
        <w:t>日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17</w:t>
      </w:r>
      <w:r>
        <w:rPr>
          <w:rFonts w:hint="eastAsia" w:ascii="Times New Roman" w:eastAsia="宋体"/>
          <w:highlight w:val="none"/>
          <w:lang w:val="en-US" w:eastAsia="zh-CN"/>
        </w:rPr>
        <w:t>时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00</w:t>
      </w:r>
      <w:r>
        <w:rPr>
          <w:rFonts w:hint="eastAsia" w:ascii="Times New Roman" w:eastAsia="宋体"/>
          <w:highlight w:val="none"/>
          <w:lang w:val="en-US" w:eastAsia="zh-CN"/>
        </w:rPr>
        <w:t>分</w:t>
      </w:r>
      <w:r>
        <w:rPr>
          <w:rFonts w:hint="eastAsia"/>
          <w:highlight w:val="none"/>
        </w:rPr>
        <w:t>（北京时间）前在重庆市公共资源交易网本项目询比公告网页下方“我要提问”栏提出疑问。</w:t>
      </w:r>
    </w:p>
    <w:p w14:paraId="73F4E957">
      <w:pPr>
        <w:rPr>
          <w:highlight w:val="none"/>
        </w:rPr>
      </w:pPr>
      <w:r>
        <w:rPr>
          <w:rFonts w:hint="eastAsia"/>
          <w:highlight w:val="none"/>
        </w:rPr>
        <w:t>4.3 采购人应在重庆市公共资源交易网发布澄清或修改。</w:t>
      </w:r>
    </w:p>
    <w:p w14:paraId="146C230A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</w:pPr>
      <w:bookmarkStart w:id="62" w:name="_Toc509218696"/>
      <w:bookmarkStart w:id="63" w:name="_Toc8204"/>
      <w:bookmarkStart w:id="64" w:name="_Toc287620671"/>
      <w:bookmarkStart w:id="65" w:name="_Toc2314"/>
      <w:bookmarkStart w:id="66" w:name="_Toc430530420"/>
      <w:bookmarkStart w:id="67" w:name="_Toc23629"/>
      <w:bookmarkStart w:id="68" w:name="_Toc224103303"/>
      <w:bookmarkStart w:id="69" w:name="_Toc23837"/>
      <w:bookmarkStart w:id="70" w:name="_Toc15714"/>
      <w:bookmarkStart w:id="71" w:name="_Toc14639"/>
      <w:bookmarkStart w:id="72" w:name="_Toc200359431"/>
      <w:bookmarkStart w:id="73" w:name="_Toc14552"/>
      <w:bookmarkStart w:id="74" w:name="_Toc6579"/>
      <w:bookmarkStart w:id="75" w:name="_Toc27424"/>
      <w:bookmarkStart w:id="76" w:name="_Toc287607732"/>
      <w:bookmarkStart w:id="77" w:name="_Toc9110"/>
      <w:bookmarkStart w:id="78" w:name="_Toc25061"/>
      <w:bookmarkStart w:id="79" w:name="_Toc277082540"/>
      <w:bookmarkStart w:id="80" w:name="_Toc21073"/>
      <w:bookmarkStart w:id="81" w:name="_Toc200359242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5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响应文件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的递交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 w14:paraId="70D94AC9">
      <w:pPr>
        <w:rPr>
          <w:highlight w:val="none"/>
        </w:rPr>
      </w:pPr>
      <w:r>
        <w:rPr>
          <w:rFonts w:hint="eastAsia"/>
          <w:highlight w:val="none"/>
        </w:rPr>
        <w:t>5</w:t>
      </w:r>
      <w:r>
        <w:rPr>
          <w:highlight w:val="none"/>
        </w:rPr>
        <w:t xml:space="preserve">.1 </w:t>
      </w:r>
      <w:r>
        <w:rPr>
          <w:rFonts w:hint="eastAsia"/>
          <w:highlight w:val="none"/>
        </w:rPr>
        <w:t>响应文件</w:t>
      </w:r>
      <w:r>
        <w:rPr>
          <w:highlight w:val="none"/>
        </w:rPr>
        <w:t>递交的截止时间（</w:t>
      </w:r>
      <w:r>
        <w:rPr>
          <w:rFonts w:hint="eastAsia"/>
          <w:highlight w:val="none"/>
        </w:rPr>
        <w:t>响应截止时间</w:t>
      </w:r>
      <w:r>
        <w:rPr>
          <w:highlight w:val="none"/>
        </w:rPr>
        <w:t>，下同）</w:t>
      </w:r>
      <w:r>
        <w:rPr>
          <w:rFonts w:hint="eastAsia"/>
          <w:highlight w:val="none"/>
        </w:rPr>
        <w:t>为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2026</w:t>
      </w:r>
      <w:r>
        <w:rPr>
          <w:rFonts w:hint="eastAsia" w:ascii="Times New Roman" w:eastAsia="宋体"/>
          <w:highlight w:val="none"/>
          <w:lang w:val="en-US" w:eastAsia="zh-CN"/>
        </w:rPr>
        <w:t>年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11</w:t>
      </w:r>
      <w:r>
        <w:rPr>
          <w:rFonts w:hint="eastAsia" w:ascii="Times New Roman" w:eastAsia="宋体"/>
          <w:highlight w:val="none"/>
          <w:lang w:val="en-US" w:eastAsia="zh-CN"/>
        </w:rPr>
        <w:t>月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13</w:t>
      </w:r>
      <w:r>
        <w:rPr>
          <w:rFonts w:hint="eastAsia" w:ascii="Times New Roman" w:eastAsia="宋体"/>
          <w:highlight w:val="none"/>
          <w:lang w:val="en-US" w:eastAsia="zh-CN"/>
        </w:rPr>
        <w:t>日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09</w:t>
      </w:r>
      <w:r>
        <w:rPr>
          <w:rFonts w:hint="eastAsia" w:ascii="Times New Roman" w:eastAsia="宋体"/>
          <w:highlight w:val="none"/>
          <w:lang w:val="en-US" w:eastAsia="zh-CN"/>
        </w:rPr>
        <w:t>时</w:t>
      </w:r>
      <w:r>
        <w:rPr>
          <w:rFonts w:hint="eastAsia" w:ascii="Times New Roman" w:eastAsia="宋体"/>
          <w:highlight w:val="none"/>
          <w:u w:val="single"/>
          <w:lang w:val="en-US" w:eastAsia="zh-CN"/>
        </w:rPr>
        <w:t>30</w:t>
      </w:r>
      <w:r>
        <w:rPr>
          <w:rFonts w:hint="eastAsia" w:ascii="Times New Roman" w:eastAsia="宋体"/>
          <w:highlight w:val="none"/>
          <w:lang w:val="en-US" w:eastAsia="zh-CN"/>
        </w:rPr>
        <w:t>分</w:t>
      </w:r>
      <w:r>
        <w:rPr>
          <w:rFonts w:hint="eastAsia"/>
          <w:highlight w:val="none"/>
        </w:rPr>
        <w:t>（北京时间）</w:t>
      </w:r>
      <w:r>
        <w:rPr>
          <w:highlight w:val="none"/>
        </w:rPr>
        <w:t>，</w:t>
      </w:r>
      <w:r>
        <w:rPr>
          <w:rFonts w:hint="eastAsia"/>
          <w:highlight w:val="none"/>
        </w:rPr>
        <w:t>响应人应当在响应截止时间前，通过互联网使用CA数字证书登录重庆市电子招投标系统，将加密的电子响应文件上传。</w:t>
      </w:r>
    </w:p>
    <w:p w14:paraId="1E19E2BE">
      <w:pPr>
        <w:rPr>
          <w:highlight w:val="none"/>
        </w:rPr>
      </w:pPr>
      <w:r>
        <w:rPr>
          <w:rFonts w:hint="eastAsia"/>
          <w:highlight w:val="none"/>
        </w:rPr>
        <w:t>5</w:t>
      </w:r>
      <w:r>
        <w:rPr>
          <w:highlight w:val="none"/>
        </w:rPr>
        <w:t xml:space="preserve">.2 </w:t>
      </w:r>
      <w:r>
        <w:rPr>
          <w:rFonts w:hint="eastAsia"/>
          <w:highlight w:val="none"/>
        </w:rPr>
        <w:t>未按要求加密的电子响应文件，将无法上传至重庆市电子招投标系统，逾期未完成上传响应文件的，视为撤回响应文件。</w:t>
      </w:r>
    </w:p>
    <w:bookmarkEnd w:id="60"/>
    <w:bookmarkEnd w:id="61"/>
    <w:p w14:paraId="6579058A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</w:pPr>
      <w:bookmarkStart w:id="82" w:name="_Toc21928"/>
      <w:bookmarkStart w:id="83" w:name="_Toc1610"/>
      <w:bookmarkStart w:id="84" w:name="_Toc20062"/>
      <w:bookmarkStart w:id="85" w:name="_Toc3258"/>
      <w:bookmarkStart w:id="86" w:name="_Toc18124"/>
      <w:bookmarkStart w:id="87" w:name="_Toc24240"/>
      <w:bookmarkStart w:id="88" w:name="_Toc492300551"/>
      <w:bookmarkStart w:id="89" w:name="_Toc11935"/>
      <w:bookmarkStart w:id="90" w:name="_Toc31327"/>
      <w:bookmarkStart w:id="91" w:name="_Toc20172"/>
      <w:bookmarkStart w:id="92" w:name="_Toc4450"/>
      <w:bookmarkStart w:id="93" w:name="_Toc4346"/>
      <w:bookmarkStart w:id="94" w:name="_Toc27842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6. 发布公告的媒介</w:t>
      </w:r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</w:p>
    <w:p w14:paraId="41E36FE1">
      <w:pPr>
        <w:rPr>
          <w:highlight w:val="none"/>
        </w:rPr>
      </w:pPr>
      <w:r>
        <w:rPr>
          <w:rFonts w:hint="eastAsia"/>
          <w:highlight w:val="none"/>
        </w:rPr>
        <w:t>本次询比公告在重庆市公共资源交易网上发布。</w:t>
      </w:r>
    </w:p>
    <w:p w14:paraId="5463E63E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</w:pPr>
      <w:bookmarkStart w:id="95" w:name="_Toc2931"/>
      <w:bookmarkStart w:id="96" w:name="_Toc18933"/>
      <w:bookmarkStart w:id="97" w:name="_Toc8501"/>
      <w:bookmarkStart w:id="98" w:name="_Toc6030"/>
      <w:bookmarkStart w:id="99" w:name="_Toc492300552"/>
      <w:bookmarkStart w:id="100" w:name="_Toc9366"/>
      <w:bookmarkStart w:id="101" w:name="_Toc19538"/>
      <w:bookmarkStart w:id="102" w:name="_Toc9586"/>
      <w:bookmarkStart w:id="103" w:name="_Toc30480"/>
      <w:bookmarkStart w:id="104" w:name="_Toc6875"/>
      <w:bookmarkStart w:id="105" w:name="_Toc11678"/>
      <w:bookmarkStart w:id="106" w:name="_Toc903"/>
      <w:bookmarkStart w:id="107" w:name="_Toc14113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7. 联系方式</w:t>
      </w:r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tbl>
      <w:tblPr>
        <w:tblStyle w:val="7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3"/>
        <w:gridCol w:w="4480"/>
      </w:tblGrid>
      <w:tr w14:paraId="6BB04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6310BBDF">
            <w:pPr>
              <w:ind w:firstLine="0" w:firstLineChars="0"/>
              <w:jc w:val="left"/>
              <w:rPr>
                <w:highlight w:val="none"/>
              </w:rPr>
            </w:pPr>
            <w:bookmarkStart w:id="108" w:name="_Toc352691455"/>
            <w:bookmarkEnd w:id="108"/>
            <w:bookmarkStart w:id="109" w:name="_Toc361508563"/>
            <w:bookmarkEnd w:id="109"/>
            <w:bookmarkStart w:id="110" w:name="_Toc17972"/>
            <w:bookmarkEnd w:id="110"/>
            <w:bookmarkStart w:id="111" w:name="_Toc369531495"/>
            <w:bookmarkEnd w:id="111"/>
            <w:bookmarkStart w:id="112" w:name="_Toc369531498"/>
            <w:bookmarkEnd w:id="112"/>
            <w:bookmarkStart w:id="113" w:name="_Toc384308185"/>
            <w:bookmarkEnd w:id="113"/>
            <w:bookmarkStart w:id="114" w:name="_Toc30817"/>
            <w:bookmarkEnd w:id="114"/>
            <w:bookmarkStart w:id="115" w:name="_Toc300834927"/>
            <w:bookmarkEnd w:id="115"/>
            <w:bookmarkStart w:id="116" w:name="_Toc369531497"/>
            <w:bookmarkEnd w:id="116"/>
            <w:bookmarkStart w:id="117" w:name="_Toc247527535"/>
            <w:bookmarkEnd w:id="117"/>
            <w:bookmarkStart w:id="118" w:name="_Toc300834929"/>
            <w:bookmarkEnd w:id="118"/>
            <w:bookmarkStart w:id="119" w:name="_Toc152042288"/>
            <w:bookmarkEnd w:id="119"/>
            <w:bookmarkStart w:id="120" w:name="_Toc361508562"/>
            <w:bookmarkEnd w:id="120"/>
            <w:bookmarkStart w:id="121" w:name="_Toc152045513"/>
            <w:bookmarkEnd w:id="121"/>
            <w:bookmarkStart w:id="122" w:name="_Toc384308187"/>
            <w:bookmarkEnd w:id="122"/>
            <w:bookmarkStart w:id="123" w:name="_Toc144974481"/>
            <w:bookmarkEnd w:id="123"/>
            <w:bookmarkStart w:id="124" w:name="_Toc352691453"/>
            <w:bookmarkEnd w:id="124"/>
            <w:bookmarkStart w:id="125" w:name="_Toc144974480"/>
            <w:bookmarkEnd w:id="125"/>
            <w:bookmarkStart w:id="126" w:name="_Toc247513934"/>
            <w:bookmarkEnd w:id="126"/>
            <w:bookmarkStart w:id="127" w:name="_Toc300834930"/>
            <w:bookmarkEnd w:id="127"/>
            <w:bookmarkStart w:id="128" w:name="_Toc152042289"/>
            <w:bookmarkEnd w:id="128"/>
            <w:bookmarkStart w:id="129" w:name="_Toc247527536"/>
            <w:bookmarkEnd w:id="129"/>
            <w:bookmarkStart w:id="130" w:name="_Toc152045512"/>
            <w:bookmarkEnd w:id="130"/>
            <w:bookmarkStart w:id="131" w:name="_Toc361508560"/>
            <w:bookmarkEnd w:id="131"/>
            <w:bookmarkStart w:id="132" w:name="_Toc247513935"/>
            <w:bookmarkEnd w:id="132"/>
            <w:bookmarkStart w:id="133" w:name="_Toc384308188"/>
            <w:bookmarkEnd w:id="133"/>
            <w:bookmarkStart w:id="134" w:name="_Toc10785"/>
            <w:bookmarkEnd w:id="134"/>
            <w:bookmarkStart w:id="135" w:name="_Toc352691456"/>
            <w:bookmarkEnd w:id="135"/>
            <w:r>
              <w:rPr>
                <w:rFonts w:hint="eastAsia"/>
                <w:highlight w:val="none"/>
              </w:rPr>
              <w:t>项目需求咨询</w:t>
            </w:r>
          </w:p>
        </w:tc>
      </w:tr>
      <w:tr w14:paraId="1B093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 w14:paraId="637A6982">
            <w:pPr>
              <w:ind w:firstLine="0" w:firstLineChars="0"/>
              <w:jc w:val="left"/>
              <w:rPr>
                <w:rFonts w:cs="宋体"/>
                <w:szCs w:val="21"/>
                <w:highlight w:val="none"/>
                <w:lang w:bidi="ar-SA"/>
              </w:rPr>
            </w:pPr>
            <w:r>
              <w:rPr>
                <w:rFonts w:hint="eastAsia"/>
                <w:highlight w:val="none"/>
              </w:rPr>
              <w:t>项目联系人：董老师、李老师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 w14:paraId="2F7D0F23">
            <w:pPr>
              <w:ind w:firstLine="0" w:firstLineChars="0"/>
              <w:jc w:val="left"/>
              <w:rPr>
                <w:rFonts w:cs="宋体"/>
                <w:szCs w:val="21"/>
                <w:highlight w:val="none"/>
                <w:lang w:bidi="ar-SA"/>
              </w:rPr>
            </w:pPr>
            <w:r>
              <w:rPr>
                <w:rFonts w:hint="eastAsia"/>
                <w:highlight w:val="none"/>
              </w:rPr>
              <w:t>联系方式：</w:t>
            </w:r>
            <w:r>
              <w:rPr>
                <w:rFonts w:hint="eastAsia" w:ascii="Times New Roman" w:eastAsia="宋体"/>
                <w:highlight w:val="none"/>
                <w:lang w:val="en-US" w:eastAsia="zh-CN"/>
              </w:rPr>
              <w:t>023-88890370</w:t>
            </w:r>
            <w:r>
              <w:rPr>
                <w:rFonts w:hint="eastAsia"/>
                <w:highlight w:val="none"/>
              </w:rPr>
              <w:t>/</w:t>
            </w:r>
            <w:r>
              <w:rPr>
                <w:rFonts w:hint="eastAsia" w:ascii="Times New Roman" w:eastAsia="宋体"/>
                <w:highlight w:val="none"/>
                <w:lang w:val="en-US" w:eastAsia="zh-CN"/>
              </w:rPr>
              <w:t>023-88170836</w:t>
            </w:r>
          </w:p>
        </w:tc>
      </w:tr>
      <w:tr w14:paraId="7705E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2F54B0E4">
            <w:pPr>
              <w:ind w:firstLine="0" w:firstLineChars="0"/>
              <w:jc w:val="left"/>
              <w:rPr>
                <w:highlight w:val="none"/>
              </w:rPr>
            </w:pPr>
          </w:p>
        </w:tc>
      </w:tr>
      <w:tr w14:paraId="0B8F0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50EADACD">
            <w:pPr>
              <w:ind w:firstLine="0" w:firstLineChars="0"/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项目流程咨询</w:t>
            </w:r>
          </w:p>
        </w:tc>
      </w:tr>
      <w:tr w14:paraId="402FF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0D6E344D">
            <w:pPr>
              <w:ind w:firstLine="0" w:firstLineChars="0"/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平台服务机构：重庆联合产权交易所集团股份有限公司</w:t>
            </w:r>
          </w:p>
        </w:tc>
      </w:tr>
      <w:tr w14:paraId="0BFDB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 w14:paraId="7B1A5FB7">
            <w:pPr>
              <w:ind w:firstLine="0" w:firstLineChars="0"/>
              <w:jc w:val="left"/>
              <w:rPr>
                <w:rFonts w:hint="eastAsia" w:eastAsia="宋体" w:cs="宋体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平台联系人：</w:t>
            </w:r>
            <w:r>
              <w:rPr>
                <w:rFonts w:hint="eastAsia" w:ascii="Times New Roman" w:eastAsia="宋体"/>
                <w:highlight w:val="none"/>
                <w:lang w:val="en-US" w:eastAsia="zh-CN"/>
              </w:rPr>
              <w:t>罗老师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 w14:paraId="03C1EA4D">
            <w:pPr>
              <w:ind w:firstLine="0" w:firstLineChars="0"/>
              <w:jc w:val="left"/>
              <w:rPr>
                <w:rFonts w:eastAsia="宋体" w:cs="宋体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联系方式：023-6362</w:t>
            </w:r>
            <w:r>
              <w:rPr>
                <w:rFonts w:hint="eastAsia" w:ascii="Times New Roman" w:eastAsia="宋体"/>
                <w:highlight w:val="none"/>
                <w:lang w:val="en-US" w:eastAsia="zh-CN"/>
              </w:rPr>
              <w:t>1694</w:t>
            </w:r>
          </w:p>
        </w:tc>
      </w:tr>
      <w:tr w14:paraId="6D95C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55A58F00">
            <w:pPr>
              <w:ind w:firstLine="0" w:firstLineChars="0"/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技术支持联系方式：023-63153651</w:t>
            </w:r>
          </w:p>
        </w:tc>
      </w:tr>
      <w:tr w14:paraId="77223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7CD23FBF">
            <w:pPr>
              <w:ind w:firstLine="0" w:firstLineChars="0"/>
              <w:jc w:val="left"/>
              <w:rPr>
                <w:highlight w:val="none"/>
              </w:rPr>
            </w:pPr>
          </w:p>
        </w:tc>
      </w:tr>
      <w:tr w14:paraId="05FD5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3C15CA0C">
            <w:pPr>
              <w:ind w:firstLine="0" w:firstLineChars="0"/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采购人联系方式</w:t>
            </w:r>
          </w:p>
        </w:tc>
      </w:tr>
      <w:tr w14:paraId="28FB1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 w14:paraId="7676301D">
            <w:pPr>
              <w:ind w:firstLine="0" w:firstLineChars="0"/>
              <w:jc w:val="left"/>
              <w:rPr>
                <w:rFonts w:cs="宋体"/>
                <w:szCs w:val="21"/>
                <w:highlight w:val="none"/>
                <w:lang w:bidi="ar-SA"/>
              </w:rPr>
            </w:pPr>
            <w:r>
              <w:rPr>
                <w:rFonts w:hint="eastAsia"/>
                <w:highlight w:val="none"/>
              </w:rPr>
              <w:t>联系人：杨老师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 w14:paraId="26CE21B9">
            <w:pPr>
              <w:ind w:firstLine="0" w:firstLineChars="0"/>
              <w:jc w:val="left"/>
              <w:rPr>
                <w:rFonts w:cs="宋体"/>
                <w:szCs w:val="21"/>
                <w:highlight w:val="none"/>
                <w:lang w:bidi="ar-SA"/>
              </w:rPr>
            </w:pPr>
            <w:r>
              <w:rPr>
                <w:rFonts w:hint="eastAsia"/>
                <w:highlight w:val="none"/>
              </w:rPr>
              <w:t>联系方式：023-88890381</w:t>
            </w:r>
          </w:p>
        </w:tc>
      </w:tr>
      <w:tr w14:paraId="12FDE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296BFD">
            <w:pPr>
              <w:ind w:firstLine="0" w:firstLineChars="0"/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采购人地址：重庆市渝北区嘉州路88号中渝国际都会4号写字楼21层</w:t>
            </w:r>
          </w:p>
        </w:tc>
      </w:tr>
    </w:tbl>
    <w:p w14:paraId="2729D895">
      <w:pPr>
        <w:rPr>
          <w:highlight w:val="none"/>
        </w:rPr>
      </w:pPr>
    </w:p>
    <w:p w14:paraId="33816A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240471"/>
    <w:rsid w:val="09AD738E"/>
    <w:rsid w:val="0AC7217B"/>
    <w:rsid w:val="10240471"/>
    <w:rsid w:val="24A51F50"/>
    <w:rsid w:val="334F6C71"/>
    <w:rsid w:val="40993106"/>
    <w:rsid w:val="452A2AD9"/>
    <w:rsid w:val="6E9C129B"/>
    <w:rsid w:val="714B7C09"/>
    <w:rsid w:val="7C12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line="360" w:lineRule="auto"/>
      <w:ind w:firstLine="200" w:firstLineChars="200"/>
      <w:jc w:val="both"/>
    </w:pPr>
    <w:rPr>
      <w:rFonts w:ascii="Times New Roman" w:hAnsi="Times New Roman" w:eastAsia="宋体" w:cs="Cambria Math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0" w:firstLineChars="0"/>
      <w:outlineLvl w:val="0"/>
    </w:pPr>
    <w:rPr>
      <w:rFonts w:eastAsia="方正黑体_GBK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640" w:firstLineChars="200"/>
      <w:outlineLvl w:val="1"/>
    </w:pPr>
    <w:rPr>
      <w:rFonts w:ascii="Arial" w:hAnsi="Arial" w:eastAsia="方正楷体_GBK"/>
    </w:rPr>
  </w:style>
  <w:style w:type="paragraph" w:styleId="4">
    <w:name w:val="heading 3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640" w:firstLineChars="200"/>
      <w:outlineLvl w:val="2"/>
    </w:p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Subtitle"/>
    <w:basedOn w:val="1"/>
    <w:qFormat/>
    <w:uiPriority w:val="0"/>
    <w:pPr>
      <w:autoSpaceDE/>
      <w:autoSpaceDN/>
      <w:ind w:firstLine="0" w:firstLineChars="0"/>
      <w:jc w:val="center"/>
    </w:pPr>
    <w:rPr>
      <w:rFonts w:ascii="Arial" w:hAnsi="Arial"/>
      <w:b/>
      <w:kern w:val="28"/>
      <w:sz w:val="28"/>
    </w:rPr>
  </w:style>
  <w:style w:type="character" w:customStyle="1" w:styleId="9">
    <w:name w:val="提示词 Char"/>
    <w:basedOn w:val="8"/>
    <w:link w:val="10"/>
    <w:qFormat/>
    <w:uiPriority w:val="0"/>
    <w:rPr>
      <w:rFonts w:ascii="宋体" w:hAnsi="宋体" w:cs="宋体"/>
      <w:i/>
      <w:iCs/>
      <w:szCs w:val="21"/>
      <w:lang w:bidi="ar-SA"/>
    </w:rPr>
  </w:style>
  <w:style w:type="paragraph" w:customStyle="1" w:styleId="10">
    <w:name w:val="提示词"/>
    <w:basedOn w:val="1"/>
    <w:link w:val="9"/>
    <w:qFormat/>
    <w:uiPriority w:val="0"/>
    <w:pPr>
      <w:ind w:firstLine="0" w:firstLineChars="0"/>
      <w:jc w:val="center"/>
    </w:pPr>
    <w:rPr>
      <w:rFonts w:ascii="宋体" w:hAnsi="宋体" w:cs="宋体"/>
      <w:i/>
      <w:iCs/>
      <w:szCs w:val="21"/>
      <w:lang w:bidi="ar-SA"/>
    </w:rPr>
  </w:style>
  <w:style w:type="paragraph" w:customStyle="1" w:styleId="11">
    <w:name w:val="表格"/>
    <w:basedOn w:val="1"/>
    <w:qFormat/>
    <w:locked/>
    <w:uiPriority w:val="0"/>
    <w:pPr>
      <w:spacing w:before="100" w:after="100" w:line="240" w:lineRule="auto"/>
    </w:pPr>
    <w:rPr>
      <w:bCs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1200</Words>
  <Characters>1317</Characters>
  <Lines>0</Lines>
  <Paragraphs>0</Paragraphs>
  <TotalTime>0</TotalTime>
  <ScaleCrop>false</ScaleCrop>
  <LinksUpToDate>false</LinksUpToDate>
  <CharactersWithSpaces>1363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2026-10-27T07:29:00Z</dcterms:created>
  <dc:creator>交易中心-罗</dc:creator>
  <cp:lastModifiedBy>交易中心-罗</cp:lastModifiedBy>
  <dcterms:modified xsi:type="dcterms:W3CDTF">2026-10-29T07:00:10Z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4EDCF06E037B48229C3BA16666912964_11</vt:lpwstr>
  </property>
  <property fmtid="{D5CDD505-2E9C-101B-9397-08002B2CF9AE}" pid="4" name="KSOTemplateDocerSaveRecord">
    <vt:lpwstr>eyJoZGlkIjoiMjVjZjRkMDFhNDc2MTVlMjc2NGNhMDU2ZTFjMmRmNmUiLCJ1c2VySWQiOiIxNTcyMDkyNjg5In0=</vt:lpwstr>
  </property>
</Properties>
</file>