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0A56F">
      <w:pPr>
        <w:widowControl w:val="0"/>
        <w:autoSpaceDE/>
        <w:autoSpaceDN/>
        <w:spacing w:line="360" w:lineRule="auto"/>
        <w:ind w:firstLine="0" w:firstLineChars="0"/>
        <w:jc w:val="center"/>
        <w:rPr>
          <w:rFonts w:ascii="Arial" w:hAnsi="Arial" w:eastAsia="宋体" w:cs="Cambria Math"/>
          <w:b/>
          <w:color w:val="auto"/>
          <w:kern w:val="28"/>
          <w:sz w:val="28"/>
          <w:highlight w:val="none"/>
          <w:lang w:val="en-US" w:eastAsia="zh-CN" w:bidi="ar-SA"/>
        </w:rPr>
      </w:pPr>
      <w:r>
        <w:rPr>
          <w:rFonts w:hint="eastAsia" w:ascii="Arial" w:hAnsi="Arial" w:eastAsia="宋体" w:cs="Cambria Math"/>
          <w:b/>
          <w:color w:val="auto"/>
          <w:kern w:val="28"/>
          <w:sz w:val="28"/>
          <w:highlight w:val="none"/>
          <w:u w:val="none"/>
          <w:lang w:val="en-US" w:eastAsia="zh-CN" w:bidi="ar-SA"/>
        </w:rPr>
        <w:t>重庆三峡银行企业微信社交银行系统建设项目</w:t>
      </w:r>
      <w:r>
        <w:rPr>
          <w:rFonts w:hint="eastAsia" w:ascii="Arial" w:hAnsi="Arial" w:eastAsia="宋体" w:cs="Cambria Math"/>
          <w:b/>
          <w:color w:val="auto"/>
          <w:kern w:val="28"/>
          <w:sz w:val="28"/>
          <w:highlight w:val="none"/>
          <w:lang w:val="en-US" w:eastAsia="zh-CN" w:bidi="ar-SA"/>
        </w:rPr>
        <w:t>询比公告</w:t>
      </w:r>
    </w:p>
    <w:p w14:paraId="42401D37">
      <w:pPr>
        <w:widowControl w:val="0"/>
        <w:autoSpaceDE w:val="0"/>
        <w:autoSpaceDN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bookmarkStart w:id="0" w:name="_Toc29828"/>
      <w:bookmarkStart w:id="1" w:name="_Toc23137"/>
      <w:bookmarkStart w:id="2" w:name="_Toc3165"/>
      <w:bookmarkStart w:id="3" w:name="_Toc19027"/>
      <w:bookmarkStart w:id="4" w:name="_Toc31597"/>
      <w:bookmarkStart w:id="5" w:name="_Toc31037"/>
      <w:bookmarkStart w:id="6" w:name="_Toc22653"/>
      <w:bookmarkStart w:id="7" w:name="_Toc21021"/>
      <w:bookmarkStart w:id="8" w:name="_Toc22470"/>
      <w:bookmarkStart w:id="9" w:name="_Toc13298"/>
      <w:bookmarkStart w:id="10" w:name="_Toc492300546"/>
      <w:bookmarkStart w:id="11" w:name="_Toc1435"/>
      <w:bookmarkStart w:id="12" w:name="_Toc15916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 xml:space="preserve">1.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询比条件</w:t>
      </w:r>
    </w:p>
    <w:p w14:paraId="38EAA6E8">
      <w:pPr>
        <w:ind w:firstLine="42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采购人：重庆三峡银行股份有限公司</w:t>
      </w:r>
    </w:p>
    <w:p w14:paraId="5A2AD42F">
      <w:pPr>
        <w:ind w:firstLine="42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资金来源：</w:t>
      </w:r>
      <w:r>
        <w:rPr>
          <w:rFonts w:hint="eastAsia"/>
          <w:color w:val="auto"/>
          <w:highlight w:val="none"/>
          <w:u w:val="single"/>
        </w:rPr>
        <w:t xml:space="preserve"> 企业自筹 </w:t>
      </w:r>
      <w:r>
        <w:rPr>
          <w:rFonts w:hint="eastAsia"/>
          <w:color w:val="auto"/>
          <w:highlight w:val="none"/>
        </w:rPr>
        <w:t>，资金已落实。</w:t>
      </w:r>
    </w:p>
    <w:p w14:paraId="63D22474">
      <w:pPr>
        <w:widowControl w:val="0"/>
        <w:autoSpaceDE w:val="0"/>
        <w:autoSpaceDN w:val="0"/>
        <w:spacing w:after="120" w:line="360" w:lineRule="auto"/>
        <w:ind w:firstLine="420" w:firstLineChars="200"/>
        <w:jc w:val="both"/>
        <w:rPr>
          <w:rFonts w:hint="default" w:ascii="Times New Roman" w:hAnsi="Times New Roman" w:eastAsia="宋体" w:cs="Cambria Math"/>
          <w:color w:val="auto"/>
          <w:kern w:val="2"/>
          <w:sz w:val="21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Cambria Math"/>
          <w:color w:val="auto"/>
          <w:kern w:val="2"/>
          <w:sz w:val="21"/>
          <w:highlight w:val="none"/>
          <w:lang w:val="en-US" w:eastAsia="zh-CN" w:bidi="ar-SA"/>
        </w:rPr>
        <w:t>项目名称：</w:t>
      </w:r>
      <w:r>
        <w:rPr>
          <w:rFonts w:hint="eastAsia" w:ascii="Times New Roman" w:hAnsi="Times New Roman" w:eastAsia="宋体" w:cs="Cambria Math"/>
          <w:color w:val="auto"/>
          <w:kern w:val="2"/>
          <w:sz w:val="21"/>
          <w:szCs w:val="21"/>
          <w:highlight w:val="none"/>
          <w:lang w:val="en-US" w:eastAsia="zh-CN" w:bidi="ar-SA"/>
        </w:rPr>
        <w:t>重庆三峡银行企业微信社交银行系统建设项目</w:t>
      </w:r>
    </w:p>
    <w:p w14:paraId="7916DEAA">
      <w:pPr>
        <w:widowControl w:val="0"/>
        <w:autoSpaceDE w:val="0"/>
        <w:autoSpaceDN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bookmarkStart w:id="13" w:name="_Toc492300547"/>
      <w:bookmarkStart w:id="14" w:name="_Toc19608"/>
      <w:bookmarkStart w:id="15" w:name="_Toc21478"/>
      <w:bookmarkStart w:id="16" w:name="_Toc24481"/>
      <w:bookmarkStart w:id="17" w:name="_Toc29603"/>
      <w:bookmarkStart w:id="18" w:name="_Toc23667"/>
      <w:bookmarkStart w:id="19" w:name="_Toc15672"/>
      <w:bookmarkStart w:id="20" w:name="_Toc22009"/>
      <w:bookmarkStart w:id="21" w:name="_Toc15871"/>
      <w:bookmarkStart w:id="22" w:name="_Toc31834"/>
      <w:bookmarkStart w:id="23" w:name="_Toc20299"/>
      <w:bookmarkStart w:id="24" w:name="_Toc13223"/>
      <w:bookmarkStart w:id="25" w:name="_Toc17362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 xml:space="preserve">2. 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询比内容</w:t>
      </w:r>
    </w:p>
    <w:p w14:paraId="125FC648">
      <w:pPr>
        <w:ind w:firstLine="420"/>
        <w:rPr>
          <w:color w:val="auto"/>
          <w:highlight w:val="none"/>
        </w:rPr>
      </w:pPr>
      <w:bookmarkStart w:id="26" w:name="_Hlk536432704"/>
      <w:r>
        <w:rPr>
          <w:rFonts w:hint="eastAsia"/>
          <w:color w:val="auto"/>
          <w:highlight w:val="none"/>
        </w:rPr>
        <w:t>2.1 询比范围：</w:t>
      </w:r>
      <w:r>
        <w:rPr>
          <w:rFonts w:hint="eastAsia"/>
          <w:color w:val="auto"/>
          <w:szCs w:val="21"/>
          <w:highlight w:val="none"/>
          <w:lang w:val="en-US" w:eastAsia="zh-CN"/>
        </w:rPr>
        <w:t>面向零售客户数字化经营需求，搭建一体化企微社交银行系统并配套运营陪跑服务。系统涵盖客户与社群全生命周期运营、多渠道活码获客、全链路营销转化、金融微店展业、多维数据统计、合规风控及系统配置等核心能力，支撑客户分层运营、社群裂变增长、精准营销触达、风险实时管控，满足零售业务精准营销、高效服务、合规管理要求。项目同步配套 3 个月运营咨询陪跑服务，分阶段完成链路搭建、试点迭代与标杆输出，保障业务落地并移交自主运营能力。</w:t>
      </w:r>
    </w:p>
    <w:p w14:paraId="3DC237E6">
      <w:pPr>
        <w:ind w:firstLine="42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2.2 时间要求：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项目建设周期7个月；项目上线后运营陪跑服务3个月</w:t>
      </w:r>
    </w:p>
    <w:p w14:paraId="488306D2">
      <w:pPr>
        <w:ind w:firstLine="420"/>
        <w:rPr>
          <w:rFonts w:hint="default" w:eastAsia="宋体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</w:rPr>
        <w:t>2.3 地点要求：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重庆市</w:t>
      </w:r>
    </w:p>
    <w:p w14:paraId="3F07845B">
      <w:pPr>
        <w:ind w:firstLine="420"/>
        <w:rPr>
          <w:rFonts w:hint="eastAsia" w:eastAsia="宋体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</w:rPr>
        <w:t>2.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4</w:t>
      </w:r>
      <w:r>
        <w:rPr>
          <w:rFonts w:hint="eastAsia"/>
          <w:color w:val="auto"/>
          <w:highlight w:val="none"/>
        </w:rPr>
        <w:t xml:space="preserve"> 其他：</w:t>
      </w:r>
      <w:r>
        <w:rPr>
          <w:rFonts w:hint="eastAsia" w:ascii="Times New Roman" w:eastAsia="宋体"/>
          <w:color w:val="auto"/>
          <w:highlight w:val="none"/>
          <w:lang w:val="en-US" w:eastAsia="zh-CN"/>
        </w:rPr>
        <w:t>/</w:t>
      </w:r>
    </w:p>
    <w:bookmarkEnd w:id="26"/>
    <w:p w14:paraId="3B81757F">
      <w:pPr>
        <w:widowControl w:val="0"/>
        <w:autoSpaceDE w:val="0"/>
        <w:autoSpaceDN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bookmarkStart w:id="27" w:name="_Toc628"/>
      <w:bookmarkStart w:id="28" w:name="_Toc20142"/>
      <w:bookmarkStart w:id="29" w:name="_Toc26795"/>
      <w:bookmarkStart w:id="30" w:name="_Toc151"/>
      <w:bookmarkStart w:id="31" w:name="_Toc9991"/>
      <w:bookmarkStart w:id="32" w:name="_Toc9779"/>
      <w:bookmarkStart w:id="33" w:name="_Toc9261"/>
      <w:bookmarkStart w:id="34" w:name="_Toc492300548"/>
      <w:bookmarkStart w:id="35" w:name="_Toc10221"/>
      <w:bookmarkStart w:id="36" w:name="_Toc24295"/>
      <w:bookmarkStart w:id="37" w:name="_Toc21473"/>
      <w:bookmarkStart w:id="38" w:name="_Toc9125"/>
      <w:bookmarkStart w:id="39" w:name="_Toc12661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3. 响应人资格要求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636FA75E">
      <w:pPr>
        <w:ind w:firstLine="42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3.1 本次询比要求响应人须具备以下条件</w:t>
      </w:r>
    </w:p>
    <w:p w14:paraId="201B8086">
      <w:pPr>
        <w:widowControl w:val="0"/>
        <w:autoSpaceDE w:val="0"/>
        <w:autoSpaceDN w:val="0"/>
        <w:spacing w:before="100" w:after="100" w:line="240" w:lineRule="auto"/>
        <w:ind w:firstLine="420" w:firstLineChars="200"/>
        <w:jc w:val="both"/>
        <w:rPr>
          <w:rFonts w:ascii="Times New Roman" w:hAnsi="Times New Roman" w:eastAsia="宋体" w:cs="Cambria Math"/>
          <w:bCs/>
          <w:color w:val="auto"/>
          <w:kern w:val="2"/>
          <w:sz w:val="21"/>
          <w:szCs w:val="18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Cambria Math"/>
          <w:bCs/>
          <w:color w:val="auto"/>
          <w:kern w:val="2"/>
          <w:sz w:val="21"/>
          <w:szCs w:val="18"/>
          <w:highlight w:val="none"/>
          <w:lang w:val="en-US" w:eastAsia="zh-CN" w:bidi="ar-SA"/>
        </w:rPr>
        <w:t>3.1.1 本次询比要求响应人具备的资质条件：</w:t>
      </w:r>
    </w:p>
    <w:p w14:paraId="62A3D970">
      <w:pPr>
        <w:ind w:firstLine="42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（1）响应人具备独立承担民事责任的能力，具备有效的营业执照。</w:t>
      </w:r>
    </w:p>
    <w:p w14:paraId="57F64E3C">
      <w:pPr>
        <w:ind w:firstLine="42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3.1.2 响应人还应具有其他相应的能力，如业绩、人员、资金等。详见询比文件第二章响应人须知前附表第 1.4.1 项内容。</w:t>
      </w:r>
    </w:p>
    <w:p w14:paraId="02020E6E">
      <w:pPr>
        <w:ind w:firstLine="42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3.2 本项目不接受联合体响应。</w:t>
      </w:r>
    </w:p>
    <w:p w14:paraId="240C69EA">
      <w:pPr>
        <w:widowControl w:val="0"/>
        <w:autoSpaceDE w:val="0"/>
        <w:autoSpaceDN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bookmarkStart w:id="40" w:name="_Toc10442"/>
      <w:bookmarkStart w:id="41" w:name="_Toc200359430"/>
      <w:bookmarkStart w:id="42" w:name="_Toc430530419"/>
      <w:bookmarkStart w:id="43" w:name="_Toc200359241"/>
      <w:bookmarkStart w:id="44" w:name="_Toc31872"/>
      <w:bookmarkStart w:id="45" w:name="_Toc30008"/>
      <w:bookmarkStart w:id="46" w:name="_Toc11187"/>
      <w:bookmarkStart w:id="47" w:name="_Toc287620670"/>
      <w:bookmarkStart w:id="48" w:name="_Toc277082539"/>
      <w:bookmarkStart w:id="49" w:name="_Toc5895"/>
      <w:bookmarkStart w:id="50" w:name="_Toc287607731"/>
      <w:bookmarkStart w:id="51" w:name="_Toc3527"/>
      <w:bookmarkStart w:id="52" w:name="_Toc509218695"/>
      <w:bookmarkStart w:id="53" w:name="_Toc224103302"/>
      <w:bookmarkStart w:id="54" w:name="_Toc6775"/>
      <w:bookmarkStart w:id="55" w:name="_Toc2063"/>
      <w:bookmarkStart w:id="56" w:name="_Toc5188"/>
      <w:bookmarkStart w:id="57" w:name="_Toc4902"/>
      <w:bookmarkStart w:id="58" w:name="_Toc26390"/>
      <w:bookmarkStart w:id="59" w:name="_Toc6233"/>
      <w:bookmarkStart w:id="60" w:name="_Toc19369"/>
      <w:bookmarkStart w:id="61" w:name="_Toc492300549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4</w:t>
      </w:r>
      <w:r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询比文件</w:t>
      </w:r>
      <w:r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的获取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14:paraId="3955EFFD">
      <w:pPr>
        <w:ind w:firstLine="42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 xml:space="preserve">4.1 </w:t>
      </w:r>
      <w:r>
        <w:rPr>
          <w:color w:val="auto"/>
          <w:highlight w:val="none"/>
        </w:rPr>
        <w:t>本</w:t>
      </w:r>
      <w:r>
        <w:rPr>
          <w:rFonts w:hint="eastAsia"/>
          <w:color w:val="auto"/>
          <w:highlight w:val="none"/>
        </w:rPr>
        <w:t>项目</w:t>
      </w:r>
      <w:r>
        <w:rPr>
          <w:color w:val="auto"/>
          <w:highlight w:val="none"/>
        </w:rPr>
        <w:t>采用</w:t>
      </w:r>
      <w:r>
        <w:rPr>
          <w:rFonts w:hint="eastAsia"/>
          <w:color w:val="auto"/>
          <w:highlight w:val="none"/>
        </w:rPr>
        <w:t>全流程电子采购</w:t>
      </w:r>
      <w:r>
        <w:rPr>
          <w:color w:val="auto"/>
          <w:highlight w:val="none"/>
        </w:rPr>
        <w:t>，</w:t>
      </w:r>
      <w:r>
        <w:rPr>
          <w:rFonts w:hint="eastAsia"/>
          <w:color w:val="auto"/>
          <w:highlight w:val="none"/>
        </w:rPr>
        <w:t>响应人</w:t>
      </w:r>
      <w:r>
        <w:rPr>
          <w:color w:val="auto"/>
          <w:highlight w:val="none"/>
        </w:rPr>
        <w:t>在</w:t>
      </w:r>
      <w:r>
        <w:rPr>
          <w:rFonts w:hint="eastAsia"/>
          <w:color w:val="auto"/>
          <w:highlight w:val="none"/>
        </w:rPr>
        <w:t>参与项目</w:t>
      </w:r>
      <w:r>
        <w:rPr>
          <w:color w:val="auto"/>
          <w:highlight w:val="none"/>
        </w:rPr>
        <w:t>前可在</w:t>
      </w:r>
      <w:r>
        <w:rPr>
          <w:rFonts w:hint="eastAsia"/>
          <w:color w:val="auto"/>
          <w:highlight w:val="none"/>
        </w:rPr>
        <w:t>重庆市公共资源交易网</w:t>
      </w:r>
      <w:r>
        <w:rPr>
          <w:color w:val="auto"/>
          <w:highlight w:val="none"/>
        </w:rPr>
        <w:t>下载</w:t>
      </w:r>
      <w:r>
        <w:rPr>
          <w:rFonts w:hint="eastAsia"/>
          <w:color w:val="auto"/>
          <w:highlight w:val="none"/>
        </w:rPr>
        <w:t>询比文件</w:t>
      </w:r>
      <w:r>
        <w:rPr>
          <w:color w:val="auto"/>
          <w:highlight w:val="none"/>
        </w:rPr>
        <w:t>资料。参与</w:t>
      </w:r>
      <w:r>
        <w:rPr>
          <w:rFonts w:hint="eastAsia"/>
          <w:color w:val="auto"/>
          <w:highlight w:val="none"/>
        </w:rPr>
        <w:t>项目</w:t>
      </w:r>
      <w:r>
        <w:rPr>
          <w:color w:val="auto"/>
          <w:highlight w:val="none"/>
        </w:rPr>
        <w:t>的</w:t>
      </w:r>
      <w:r>
        <w:rPr>
          <w:rFonts w:hint="eastAsia"/>
          <w:color w:val="auto"/>
          <w:highlight w:val="none"/>
        </w:rPr>
        <w:t>响应人需在重庆市公共资源交易网完成统一用户中心注册以及 CA 数字证书办理，办理方式请参见重庆市公共资源交易网“统一用户中心”栏目中“统一用户中心注册”“CA互认与办理”。若响应人未及时完成统一用户中心注册和 CA 数字证书办理导致无法完成全流程电子采购的，责任自负</w:t>
      </w:r>
      <w:r>
        <w:rPr>
          <w:color w:val="auto"/>
          <w:highlight w:val="none"/>
        </w:rPr>
        <w:t>。</w:t>
      </w:r>
    </w:p>
    <w:p w14:paraId="2E349D0D">
      <w:pPr>
        <w:ind w:firstLine="42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4.2 响应人可在</w:t>
      </w:r>
      <w:r>
        <w:rPr>
          <w:rFonts w:hint="eastAsia" w:ascii="Times New Roman" w:eastAsia="宋体"/>
          <w:color w:val="auto"/>
          <w:highlight w:val="none"/>
          <w:u w:val="single"/>
          <w:lang w:val="en-US" w:eastAsia="zh-CN"/>
        </w:rPr>
        <w:t>2026</w:t>
      </w:r>
      <w:r>
        <w:rPr>
          <w:rFonts w:hint="eastAsia"/>
          <w:color w:val="auto"/>
          <w:highlight w:val="none"/>
        </w:rPr>
        <w:t>年</w:t>
      </w:r>
      <w:r>
        <w:rPr>
          <w:rFonts w:hint="eastAsia" w:ascii="Times New Roman" w:eastAsia="宋体"/>
          <w:color w:val="auto"/>
          <w:highlight w:val="none"/>
          <w:u w:val="single"/>
          <w:lang w:val="en-US" w:eastAsia="zh-CN"/>
        </w:rPr>
        <w:t>9</w:t>
      </w:r>
      <w:r>
        <w:rPr>
          <w:rFonts w:hint="eastAsia"/>
          <w:color w:val="auto"/>
          <w:highlight w:val="none"/>
        </w:rPr>
        <w:t>月</w:t>
      </w:r>
      <w:r>
        <w:rPr>
          <w:rFonts w:hint="eastAsia" w:ascii="Times New Roman" w:eastAsia="宋体"/>
          <w:color w:val="auto"/>
          <w:highlight w:val="none"/>
          <w:u w:val="single"/>
          <w:lang w:val="en-US" w:eastAsia="zh-CN"/>
        </w:rPr>
        <w:t>14</w:t>
      </w:r>
      <w:r>
        <w:rPr>
          <w:rFonts w:hint="eastAsia"/>
          <w:color w:val="auto"/>
          <w:highlight w:val="none"/>
        </w:rPr>
        <w:t>日</w:t>
      </w:r>
      <w:r>
        <w:rPr>
          <w:rFonts w:hint="eastAsia" w:ascii="Times New Roman" w:eastAsia="宋体"/>
          <w:color w:val="auto"/>
          <w:highlight w:val="none"/>
          <w:u w:val="single"/>
          <w:lang w:val="en-US" w:eastAsia="zh-CN"/>
        </w:rPr>
        <w:t>17</w:t>
      </w:r>
      <w:r>
        <w:rPr>
          <w:rFonts w:hint="eastAsia"/>
          <w:color w:val="auto"/>
          <w:highlight w:val="none"/>
        </w:rPr>
        <w:t>时</w:t>
      </w:r>
      <w:r>
        <w:rPr>
          <w:rFonts w:hint="eastAsia" w:ascii="Times New Roman" w:eastAsia="宋体"/>
          <w:color w:val="auto"/>
          <w:highlight w:val="none"/>
          <w:u w:val="single"/>
          <w:lang w:val="en-US" w:eastAsia="zh-CN"/>
        </w:rPr>
        <w:t>00</w:t>
      </w:r>
      <w:r>
        <w:rPr>
          <w:rFonts w:hint="eastAsia"/>
          <w:color w:val="auto"/>
          <w:highlight w:val="none"/>
        </w:rPr>
        <w:t>分（北京时间）前在重庆市公共资源交易网本项目询比公告网页下方“我要提问”栏提出疑问。</w:t>
      </w:r>
    </w:p>
    <w:p w14:paraId="2C7F99A2">
      <w:pPr>
        <w:ind w:firstLine="42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4.3 采购人应在重庆市公共资源交易网发布澄清或修改。</w:t>
      </w:r>
    </w:p>
    <w:p w14:paraId="045C40BE">
      <w:pPr>
        <w:widowControl w:val="0"/>
        <w:autoSpaceDE w:val="0"/>
        <w:autoSpaceDN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bookmarkStart w:id="62" w:name="_Toc2314"/>
      <w:bookmarkStart w:id="63" w:name="_Toc15714"/>
      <w:bookmarkStart w:id="64" w:name="_Toc277082540"/>
      <w:bookmarkStart w:id="65" w:name="_Toc21073"/>
      <w:bookmarkStart w:id="66" w:name="_Toc14639"/>
      <w:bookmarkStart w:id="67" w:name="_Toc430530420"/>
      <w:bookmarkStart w:id="68" w:name="_Toc23837"/>
      <w:bookmarkStart w:id="69" w:name="_Toc287620671"/>
      <w:bookmarkStart w:id="70" w:name="_Toc27424"/>
      <w:bookmarkStart w:id="71" w:name="_Toc14552"/>
      <w:bookmarkStart w:id="72" w:name="_Toc23629"/>
      <w:bookmarkStart w:id="73" w:name="_Toc8204"/>
      <w:bookmarkStart w:id="74" w:name="_Toc287607732"/>
      <w:bookmarkStart w:id="75" w:name="_Toc25061"/>
      <w:bookmarkStart w:id="76" w:name="_Toc6579"/>
      <w:bookmarkStart w:id="77" w:name="_Toc509218696"/>
      <w:bookmarkStart w:id="78" w:name="_Toc9110"/>
      <w:bookmarkStart w:id="79" w:name="_Toc200359431"/>
      <w:bookmarkStart w:id="80" w:name="_Toc200359242"/>
      <w:bookmarkStart w:id="81" w:name="_Toc224103303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5</w:t>
      </w:r>
      <w:r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响应文件</w:t>
      </w:r>
      <w:r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的递交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14:paraId="75D985AA">
      <w:pPr>
        <w:ind w:firstLine="42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5</w:t>
      </w:r>
      <w:r>
        <w:rPr>
          <w:color w:val="auto"/>
          <w:highlight w:val="none"/>
        </w:rPr>
        <w:t xml:space="preserve">.1 </w:t>
      </w:r>
      <w:r>
        <w:rPr>
          <w:rFonts w:hint="eastAsia"/>
          <w:color w:val="auto"/>
          <w:highlight w:val="none"/>
        </w:rPr>
        <w:t>响应文件</w:t>
      </w:r>
      <w:r>
        <w:rPr>
          <w:color w:val="auto"/>
          <w:highlight w:val="none"/>
        </w:rPr>
        <w:t>递交的截止时间（</w:t>
      </w:r>
      <w:r>
        <w:rPr>
          <w:rFonts w:hint="eastAsia"/>
          <w:color w:val="auto"/>
          <w:highlight w:val="none"/>
        </w:rPr>
        <w:t>响应截止时间</w:t>
      </w:r>
      <w:r>
        <w:rPr>
          <w:color w:val="auto"/>
          <w:highlight w:val="none"/>
        </w:rPr>
        <w:t>，下同）</w:t>
      </w:r>
      <w:r>
        <w:rPr>
          <w:rFonts w:hint="eastAsia"/>
          <w:color w:val="auto"/>
          <w:highlight w:val="none"/>
        </w:rPr>
        <w:t>为</w:t>
      </w:r>
      <w:r>
        <w:rPr>
          <w:rFonts w:hint="eastAsia" w:ascii="Times New Roman" w:eastAsia="宋体"/>
          <w:color w:val="auto"/>
          <w:highlight w:val="none"/>
          <w:u w:val="single"/>
          <w:lang w:val="en-US" w:eastAsia="zh-CN"/>
        </w:rPr>
        <w:t>2026</w:t>
      </w:r>
      <w:r>
        <w:rPr>
          <w:rFonts w:hint="eastAsia"/>
          <w:color w:val="auto"/>
          <w:highlight w:val="none"/>
        </w:rPr>
        <w:t>年</w:t>
      </w:r>
      <w:r>
        <w:rPr>
          <w:rFonts w:hint="eastAsia" w:ascii="Times New Roman" w:eastAsia="宋体"/>
          <w:color w:val="auto"/>
          <w:highlight w:val="none"/>
          <w:u w:val="single"/>
          <w:lang w:val="en-US" w:eastAsia="zh-CN"/>
        </w:rPr>
        <w:t>9</w:t>
      </w:r>
      <w:r>
        <w:rPr>
          <w:rFonts w:hint="eastAsia"/>
          <w:color w:val="auto"/>
          <w:highlight w:val="none"/>
        </w:rPr>
        <w:t>月</w:t>
      </w:r>
      <w:r>
        <w:rPr>
          <w:rFonts w:hint="eastAsia" w:ascii="Times New Roman" w:eastAsia="宋体"/>
          <w:color w:val="auto"/>
          <w:highlight w:val="none"/>
          <w:u w:val="single"/>
          <w:lang w:val="en-US" w:eastAsia="zh-CN"/>
        </w:rPr>
        <w:t>28</w:t>
      </w:r>
      <w:r>
        <w:rPr>
          <w:rFonts w:hint="eastAsia"/>
          <w:color w:val="auto"/>
          <w:highlight w:val="none"/>
        </w:rPr>
        <w:t>日</w:t>
      </w:r>
      <w:r>
        <w:rPr>
          <w:rFonts w:hint="eastAsia" w:ascii="Times New Roman" w:eastAsia="宋体"/>
          <w:color w:val="auto"/>
          <w:highlight w:val="none"/>
          <w:u w:val="single"/>
          <w:lang w:val="en-US" w:eastAsia="zh-CN"/>
        </w:rPr>
        <w:t>9</w:t>
      </w:r>
      <w:r>
        <w:rPr>
          <w:rFonts w:hint="eastAsia"/>
          <w:color w:val="auto"/>
          <w:highlight w:val="none"/>
        </w:rPr>
        <w:t>时</w:t>
      </w:r>
      <w:r>
        <w:rPr>
          <w:rFonts w:hint="eastAsia" w:ascii="Times New Roman" w:eastAsia="宋体"/>
          <w:color w:val="auto"/>
          <w:highlight w:val="none"/>
          <w:u w:val="single"/>
          <w:lang w:val="en-US" w:eastAsia="zh-CN"/>
        </w:rPr>
        <w:t>30</w:t>
      </w:r>
      <w:r>
        <w:rPr>
          <w:rFonts w:hint="eastAsia"/>
          <w:color w:val="auto"/>
          <w:highlight w:val="none"/>
        </w:rPr>
        <w:t>分（北京时间）</w:t>
      </w:r>
      <w:r>
        <w:rPr>
          <w:color w:val="auto"/>
          <w:highlight w:val="none"/>
        </w:rPr>
        <w:t>，</w:t>
      </w:r>
      <w:r>
        <w:rPr>
          <w:rFonts w:hint="eastAsia"/>
          <w:color w:val="auto"/>
          <w:highlight w:val="none"/>
        </w:rPr>
        <w:t>响应人应当在响应截止时间前，通过互联网使用CA数字证书登录重庆市电子招投标系统，将加密的电子响应文件上传。</w:t>
      </w:r>
    </w:p>
    <w:p w14:paraId="5AADFDEB">
      <w:pPr>
        <w:ind w:firstLine="42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5</w:t>
      </w:r>
      <w:r>
        <w:rPr>
          <w:color w:val="auto"/>
          <w:highlight w:val="none"/>
        </w:rPr>
        <w:t xml:space="preserve">.2 </w:t>
      </w:r>
      <w:r>
        <w:rPr>
          <w:rFonts w:hint="eastAsia"/>
          <w:color w:val="auto"/>
          <w:highlight w:val="none"/>
        </w:rPr>
        <w:t>未按要求加密的电子响应文件，将无法上传至重庆市电子招投标系统，逾期未完成上传响应文件的，视为撤回响应文件。</w:t>
      </w:r>
      <w:bookmarkStart w:id="136" w:name="_GoBack"/>
      <w:bookmarkEnd w:id="136"/>
    </w:p>
    <w:bookmarkEnd w:id="60"/>
    <w:bookmarkEnd w:id="61"/>
    <w:p w14:paraId="4F760960">
      <w:pPr>
        <w:widowControl w:val="0"/>
        <w:autoSpaceDE w:val="0"/>
        <w:autoSpaceDN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bookmarkStart w:id="82" w:name="_Toc4346"/>
      <w:bookmarkStart w:id="83" w:name="_Toc492300551"/>
      <w:bookmarkStart w:id="84" w:name="_Toc20172"/>
      <w:bookmarkStart w:id="85" w:name="_Toc3258"/>
      <w:bookmarkStart w:id="86" w:name="_Toc11935"/>
      <w:bookmarkStart w:id="87" w:name="_Toc27842"/>
      <w:bookmarkStart w:id="88" w:name="_Toc18124"/>
      <w:bookmarkStart w:id="89" w:name="_Toc21928"/>
      <w:bookmarkStart w:id="90" w:name="_Toc31327"/>
      <w:bookmarkStart w:id="91" w:name="_Toc1610"/>
      <w:bookmarkStart w:id="92" w:name="_Toc24240"/>
      <w:bookmarkStart w:id="93" w:name="_Toc4450"/>
      <w:bookmarkStart w:id="94" w:name="_Toc20062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6. 发布公告的媒介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14:paraId="225A974F">
      <w:pPr>
        <w:ind w:firstLine="42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本次询比公告在重庆市公共资源交易网上发布。</w:t>
      </w:r>
    </w:p>
    <w:p w14:paraId="49C8BFA8">
      <w:pPr>
        <w:widowControl w:val="0"/>
        <w:autoSpaceDE w:val="0"/>
        <w:autoSpaceDN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bookmarkStart w:id="95" w:name="_Toc6875"/>
      <w:bookmarkStart w:id="96" w:name="_Toc9366"/>
      <w:bookmarkStart w:id="97" w:name="_Toc492300552"/>
      <w:bookmarkStart w:id="98" w:name="_Toc18933"/>
      <w:bookmarkStart w:id="99" w:name="_Toc2931"/>
      <w:bookmarkStart w:id="100" w:name="_Toc6030"/>
      <w:bookmarkStart w:id="101" w:name="_Toc903"/>
      <w:bookmarkStart w:id="102" w:name="_Toc19538"/>
      <w:bookmarkStart w:id="103" w:name="_Toc14113"/>
      <w:bookmarkStart w:id="104" w:name="_Toc9586"/>
      <w:bookmarkStart w:id="105" w:name="_Toc11678"/>
      <w:bookmarkStart w:id="106" w:name="_Toc30480"/>
      <w:bookmarkStart w:id="107" w:name="_Toc8501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highlight w:val="none"/>
          <w:lang w:val="en-US" w:eastAsia="zh-CN" w:bidi="ar-SA"/>
        </w:rPr>
        <w:t>7. 联系方式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tbl>
      <w:tblPr>
        <w:tblStyle w:val="10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3"/>
        <w:gridCol w:w="4480"/>
      </w:tblGrid>
      <w:tr w14:paraId="761ED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0A70F42B">
            <w:pPr>
              <w:ind w:firstLine="0" w:firstLineChars="0"/>
              <w:jc w:val="left"/>
              <w:rPr>
                <w:color w:val="auto"/>
                <w:highlight w:val="none"/>
              </w:rPr>
            </w:pPr>
            <w:bookmarkStart w:id="108" w:name="_Toc17972"/>
            <w:bookmarkEnd w:id="108"/>
            <w:bookmarkStart w:id="109" w:name="_Toc152045513"/>
            <w:bookmarkEnd w:id="109"/>
            <w:bookmarkStart w:id="110" w:name="_Toc369531498"/>
            <w:bookmarkEnd w:id="110"/>
            <w:bookmarkStart w:id="111" w:name="_Toc361508562"/>
            <w:bookmarkEnd w:id="111"/>
            <w:bookmarkStart w:id="112" w:name="_Toc369531495"/>
            <w:bookmarkEnd w:id="112"/>
            <w:bookmarkStart w:id="113" w:name="_Toc384308188"/>
            <w:bookmarkEnd w:id="113"/>
            <w:bookmarkStart w:id="114" w:name="_Toc361508563"/>
            <w:bookmarkEnd w:id="114"/>
            <w:bookmarkStart w:id="115" w:name="_Toc247513934"/>
            <w:bookmarkEnd w:id="115"/>
            <w:bookmarkStart w:id="116" w:name="_Toc10785"/>
            <w:bookmarkEnd w:id="116"/>
            <w:bookmarkStart w:id="117" w:name="_Toc361508560"/>
            <w:bookmarkEnd w:id="117"/>
            <w:bookmarkStart w:id="118" w:name="_Toc152045512"/>
            <w:bookmarkEnd w:id="118"/>
            <w:bookmarkStart w:id="119" w:name="_Toc384308187"/>
            <w:bookmarkEnd w:id="119"/>
            <w:bookmarkStart w:id="120" w:name="_Toc144974480"/>
            <w:bookmarkEnd w:id="120"/>
            <w:bookmarkStart w:id="121" w:name="_Toc369531497"/>
            <w:bookmarkEnd w:id="121"/>
            <w:bookmarkStart w:id="122" w:name="_Toc152042288"/>
            <w:bookmarkEnd w:id="122"/>
            <w:bookmarkStart w:id="123" w:name="_Toc300834930"/>
            <w:bookmarkEnd w:id="123"/>
            <w:bookmarkStart w:id="124" w:name="_Toc247527536"/>
            <w:bookmarkEnd w:id="124"/>
            <w:bookmarkStart w:id="125" w:name="_Toc352691453"/>
            <w:bookmarkEnd w:id="125"/>
            <w:bookmarkStart w:id="126" w:name="_Toc352691455"/>
            <w:bookmarkEnd w:id="126"/>
            <w:bookmarkStart w:id="127" w:name="_Toc144974481"/>
            <w:bookmarkEnd w:id="127"/>
            <w:bookmarkStart w:id="128" w:name="_Toc152042289"/>
            <w:bookmarkEnd w:id="128"/>
            <w:bookmarkStart w:id="129" w:name="_Toc300834927"/>
            <w:bookmarkEnd w:id="129"/>
            <w:bookmarkStart w:id="130" w:name="_Toc300834929"/>
            <w:bookmarkEnd w:id="130"/>
            <w:bookmarkStart w:id="131" w:name="_Toc247513935"/>
            <w:bookmarkEnd w:id="131"/>
            <w:bookmarkStart w:id="132" w:name="_Toc352691456"/>
            <w:bookmarkEnd w:id="132"/>
            <w:bookmarkStart w:id="133" w:name="_Toc30817"/>
            <w:bookmarkEnd w:id="133"/>
            <w:bookmarkStart w:id="134" w:name="_Toc247527535"/>
            <w:bookmarkEnd w:id="134"/>
            <w:bookmarkStart w:id="135" w:name="_Toc384308185"/>
            <w:bookmarkEnd w:id="135"/>
          </w:p>
        </w:tc>
      </w:tr>
      <w:tr w14:paraId="213A8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6B9BC055">
            <w:pPr>
              <w:ind w:firstLine="0" w:firstLineChars="0"/>
              <w:jc w:val="left"/>
              <w:rPr>
                <w:rFonts w:hint="default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项目联系人：</w:t>
            </w:r>
            <w:r>
              <w:rPr>
                <w:rFonts w:hint="eastAsia" w:ascii="Times New Roman" w:eastAsia="宋体"/>
                <w:color w:val="auto"/>
                <w:highlight w:val="none"/>
                <w:lang w:val="en-US" w:eastAsia="zh-CN"/>
              </w:rPr>
              <w:t>罗老师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5E698881">
            <w:pPr>
              <w:ind w:firstLine="0" w:firstLineChars="0"/>
              <w:jc w:val="left"/>
              <w:rPr>
                <w:rFonts w:hint="default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联系方式：</w:t>
            </w:r>
            <w:r>
              <w:rPr>
                <w:rFonts w:hint="eastAsia" w:ascii="Times New Roman" w:eastAsia="宋体"/>
                <w:color w:val="auto"/>
                <w:highlight w:val="none"/>
                <w:lang w:val="en-US" w:eastAsia="zh-CN"/>
              </w:rPr>
              <w:t>023-88890278</w:t>
            </w:r>
          </w:p>
        </w:tc>
      </w:tr>
      <w:tr w14:paraId="63C0D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B128E00">
            <w:pPr>
              <w:ind w:firstLine="0" w:firstLineChars="0"/>
              <w:jc w:val="left"/>
              <w:rPr>
                <w:color w:val="auto"/>
                <w:highlight w:val="none"/>
              </w:rPr>
            </w:pPr>
          </w:p>
        </w:tc>
      </w:tr>
      <w:tr w14:paraId="24CFF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0182588">
            <w:pPr>
              <w:ind w:firstLine="0" w:firstLineChars="0"/>
              <w:jc w:val="left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项目流程咨询</w:t>
            </w:r>
          </w:p>
        </w:tc>
      </w:tr>
      <w:tr w14:paraId="0963E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15FDCE5">
            <w:pPr>
              <w:ind w:firstLine="0" w:firstLineChars="0"/>
              <w:jc w:val="left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平台服务机构：重庆联合产权交易所集团股份有限公司</w:t>
            </w:r>
          </w:p>
        </w:tc>
      </w:tr>
      <w:tr w14:paraId="111E7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111729C7">
            <w:pPr>
              <w:ind w:firstLine="0" w:firstLineChars="0"/>
              <w:jc w:val="left"/>
              <w:rPr>
                <w:rFonts w:hint="eastAsia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平台联系人：</w:t>
            </w:r>
            <w:r>
              <w:rPr>
                <w:rFonts w:hint="eastAsia" w:ascii="Times New Roman" w:eastAsia="宋体"/>
                <w:color w:val="auto"/>
                <w:highlight w:val="none"/>
                <w:lang w:val="en-US" w:eastAsia="zh-CN"/>
              </w:rPr>
              <w:t>吴老师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52A44F0D">
            <w:pPr>
              <w:ind w:firstLine="0" w:firstLineChars="0"/>
              <w:jc w:val="left"/>
              <w:rPr>
                <w:rFonts w:hint="default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联系方式：023-6362</w:t>
            </w:r>
            <w:r>
              <w:rPr>
                <w:rFonts w:hint="eastAsia" w:ascii="Times New Roman" w:eastAsia="宋体"/>
                <w:color w:val="auto"/>
                <w:highlight w:val="none"/>
                <w:lang w:val="en-US" w:eastAsia="zh-CN"/>
              </w:rPr>
              <w:t>1694</w:t>
            </w:r>
          </w:p>
        </w:tc>
      </w:tr>
      <w:tr w14:paraId="5BF9B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C679BDF">
            <w:pPr>
              <w:ind w:firstLine="0" w:firstLineChars="0"/>
              <w:jc w:val="left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技术支持联系方式：023-63153651</w:t>
            </w:r>
          </w:p>
        </w:tc>
      </w:tr>
      <w:tr w14:paraId="6EFFE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8235CB5">
            <w:pPr>
              <w:ind w:firstLine="0" w:firstLineChars="0"/>
              <w:jc w:val="left"/>
              <w:rPr>
                <w:color w:val="auto"/>
                <w:highlight w:val="none"/>
              </w:rPr>
            </w:pPr>
          </w:p>
        </w:tc>
      </w:tr>
      <w:tr w14:paraId="10607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FA978B5">
            <w:pPr>
              <w:ind w:firstLine="0" w:firstLineChars="0"/>
              <w:jc w:val="left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采购人联系方式</w:t>
            </w:r>
          </w:p>
        </w:tc>
      </w:tr>
      <w:tr w14:paraId="2DBCA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58410D63">
            <w:pPr>
              <w:ind w:firstLine="0" w:firstLineChars="0"/>
              <w:jc w:val="left"/>
              <w:rPr>
                <w:rFonts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联系人：杨老师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5E6493B0">
            <w:pPr>
              <w:ind w:firstLine="0" w:firstLineChars="0"/>
              <w:jc w:val="left"/>
              <w:rPr>
                <w:rFonts w:cs="宋体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联系方式：023-88890381</w:t>
            </w:r>
          </w:p>
        </w:tc>
      </w:tr>
      <w:tr w14:paraId="5A71D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E8FA8">
            <w:pPr>
              <w:ind w:firstLine="0" w:firstLineChars="0"/>
              <w:jc w:val="left"/>
              <w:rPr>
                <w:rFonts w:hint="default"/>
                <w:color w:val="auto"/>
                <w:highlight w:val="none"/>
                <w:lang w:val="en-US"/>
              </w:rPr>
            </w:pPr>
            <w:r>
              <w:rPr>
                <w:rFonts w:hint="default"/>
                <w:color w:val="auto"/>
                <w:highlight w:val="none"/>
                <w:lang w:val="en-US"/>
              </w:rPr>
              <w:t>采购人地址：重庆市</w:t>
            </w:r>
            <w:r>
              <w:rPr>
                <w:rFonts w:hint="default"/>
                <w:color w:val="auto"/>
                <w:highlight w:val="none"/>
                <w:lang w:val="en-US" w:eastAsia="zh-CN"/>
              </w:rPr>
              <w:t>两江新区</w:t>
            </w:r>
            <w:r>
              <w:rPr>
                <w:rFonts w:hint="default"/>
                <w:color w:val="auto"/>
                <w:highlight w:val="none"/>
                <w:lang w:val="en-US"/>
              </w:rPr>
              <w:t>嘉州路88号中渝国际都会4号写字楼21层</w:t>
            </w:r>
          </w:p>
        </w:tc>
      </w:tr>
    </w:tbl>
    <w:p w14:paraId="0C523B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E537B"/>
    <w:rsid w:val="0D652EFF"/>
    <w:rsid w:val="0E811524"/>
    <w:rsid w:val="1E191C93"/>
    <w:rsid w:val="21C30246"/>
    <w:rsid w:val="2EF35012"/>
    <w:rsid w:val="381D2FDA"/>
    <w:rsid w:val="4B4E7647"/>
    <w:rsid w:val="4F175D9E"/>
    <w:rsid w:val="4F475E46"/>
    <w:rsid w:val="59584170"/>
    <w:rsid w:val="5A8772FA"/>
    <w:rsid w:val="5B9A661D"/>
    <w:rsid w:val="671008FA"/>
    <w:rsid w:val="6AFE537B"/>
    <w:rsid w:val="6DFA4114"/>
    <w:rsid w:val="728106FF"/>
    <w:rsid w:val="7941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pacing w:line="360" w:lineRule="auto"/>
      <w:ind w:firstLine="1044" w:firstLineChars="200"/>
      <w:jc w:val="both"/>
    </w:pPr>
    <w:rPr>
      <w:rFonts w:ascii="Times New Roman" w:hAnsi="Times New Roman" w:eastAsia="宋体" w:cs="Cambria Math"/>
      <w:kern w:val="2"/>
      <w:sz w:val="21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paragraph" w:styleId="7">
    <w:name w:val="heading 2"/>
    <w:basedOn w:val="1"/>
    <w:next w:val="1"/>
    <w:link w:val="13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720" w:firstLineChars="200"/>
      <w:outlineLvl w:val="1"/>
    </w:pPr>
    <w:rPr>
      <w:rFonts w:ascii="Arial" w:hAnsi="Arial" w:eastAsia="方正黑体_GBK"/>
    </w:rPr>
  </w:style>
  <w:style w:type="paragraph" w:styleId="8">
    <w:name w:val="heading 3"/>
    <w:basedOn w:val="1"/>
    <w:next w:val="1"/>
    <w:link w:val="14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720" w:firstLineChars="200"/>
      <w:outlineLvl w:val="2"/>
    </w:pPr>
    <w:rPr>
      <w:rFonts w:eastAsia="方正楷体_GBK" w:asciiTheme="minorAscii" w:hAnsiTheme="minorAscii"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spacing w:after="120"/>
      <w:ind w:firstLine="100" w:firstLineChars="100"/>
    </w:pPr>
    <w:rPr>
      <w:rFonts w:ascii="仿宋_GB2312" w:hAnsi="仿宋_GB2312"/>
      <w:sz w:val="21"/>
    </w:r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Balloon Text"/>
    <w:basedOn w:val="1"/>
    <w:next w:val="5"/>
    <w:qFormat/>
    <w:uiPriority w:val="0"/>
    <w:pPr>
      <w:spacing w:line="240" w:lineRule="auto"/>
    </w:pPr>
    <w:rPr>
      <w:sz w:val="18"/>
      <w:szCs w:val="18"/>
    </w:rPr>
  </w:style>
  <w:style w:type="paragraph" w:styleId="5">
    <w:name w:val="toc 3"/>
    <w:basedOn w:val="1"/>
    <w:next w:val="1"/>
    <w:qFormat/>
    <w:uiPriority w:val="0"/>
    <w:pPr>
      <w:ind w:left="840"/>
    </w:pPr>
  </w:style>
  <w:style w:type="paragraph" w:styleId="9">
    <w:name w:val="Subtitle"/>
    <w:basedOn w:val="1"/>
    <w:qFormat/>
    <w:uiPriority w:val="0"/>
    <w:pPr>
      <w:autoSpaceDE/>
      <w:autoSpaceDN/>
      <w:ind w:firstLine="0" w:firstLineChars="0"/>
      <w:jc w:val="center"/>
    </w:pPr>
    <w:rPr>
      <w:rFonts w:ascii="Arial" w:hAnsi="Arial"/>
      <w:b/>
      <w:kern w:val="28"/>
      <w:sz w:val="28"/>
    </w:r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character" w:customStyle="1" w:styleId="13">
    <w:name w:val="标题 2 Char"/>
    <w:link w:val="7"/>
    <w:qFormat/>
    <w:uiPriority w:val="0"/>
    <w:rPr>
      <w:rFonts w:ascii="Arial" w:hAnsi="Arial" w:eastAsia="方正黑体_GBK"/>
    </w:rPr>
  </w:style>
  <w:style w:type="character" w:customStyle="1" w:styleId="14">
    <w:name w:val="标题 3 Char"/>
    <w:link w:val="8"/>
    <w:qFormat/>
    <w:uiPriority w:val="0"/>
    <w:rPr>
      <w:rFonts w:eastAsia="方正楷体_GBK" w:asciiTheme="minorAscii" w:hAnsiTheme="minorAscii"/>
      <w:sz w:val="32"/>
    </w:rPr>
  </w:style>
  <w:style w:type="paragraph" w:customStyle="1" w:styleId="15">
    <w:name w:val="表格"/>
    <w:basedOn w:val="1"/>
    <w:qFormat/>
    <w:locked/>
    <w:uiPriority w:val="0"/>
    <w:pPr>
      <w:spacing w:before="100" w:after="100" w:line="240" w:lineRule="auto"/>
      <w:ind w:firstLine="422"/>
    </w:pPr>
    <w:rPr>
      <w:bCs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1048</Words>
  <Characters>1139</Characters>
  <Lines>0</Lines>
  <Paragraphs>0</Paragraphs>
  <TotalTime>0</TotalTime>
  <ScaleCrop>false</ScaleCrop>
  <LinksUpToDate>false</LinksUpToDate>
  <CharactersWithSpaces>1203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2026-07-27T03:54:00Z</dcterms:created>
  <dc:creator>交易中心-吴</dc:creator>
  <cp:lastModifiedBy>杨漪</cp:lastModifiedBy>
  <dcterms:modified xsi:type="dcterms:W3CDTF">2026-09-11T03:01:08Z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1EA0CC9EF62B480C83F2EB6DD7E7BE09_11</vt:lpwstr>
  </property>
  <property fmtid="{D5CDD505-2E9C-101B-9397-08002B2CF9AE}" pid="4" name="KSOTemplateDocerSaveRecord">
    <vt:lpwstr>eyJoZGlkIjoiY2ViOGY0ZTk4ZTMzMGY2ZWU5OGM2ZTM1MzEwZjMxYTYiLCJ1c2VySWQiOiIxNjMyMTcyNjY0In0=</vt:lpwstr>
  </property>
</Properties>
</file>