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10F68">
      <w:pPr>
        <w:spacing w:line="600" w:lineRule="exact"/>
        <w:ind w:firstLine="0" w:firstLineChars="0"/>
        <w:jc w:val="center"/>
        <w:rPr>
          <w:rFonts w:eastAsia="方正小标宋_GBK"/>
          <w:sz w:val="44"/>
          <w:szCs w:val="44"/>
        </w:rPr>
      </w:pPr>
      <w:r>
        <w:rPr>
          <w:rFonts w:hint="eastAsia" w:eastAsia="方正小标宋_GBK"/>
          <w:sz w:val="44"/>
          <w:szCs w:val="44"/>
        </w:rPr>
        <w:t>重庆三峡银行股份有限公司</w:t>
      </w:r>
    </w:p>
    <w:p w14:paraId="2DD0FDAB">
      <w:pPr>
        <w:spacing w:line="600" w:lineRule="exact"/>
        <w:ind w:firstLine="0" w:firstLineChars="0"/>
        <w:jc w:val="center"/>
        <w:rPr>
          <w:rFonts w:eastAsia="方正小标宋_GBK"/>
          <w:sz w:val="44"/>
          <w:szCs w:val="44"/>
        </w:rPr>
      </w:pPr>
      <w:r>
        <w:rPr>
          <w:rFonts w:hint="eastAsia" w:eastAsia="方正小标宋_GBK"/>
          <w:sz w:val="44"/>
          <w:szCs w:val="44"/>
        </w:rPr>
        <w:t>2026年</w:t>
      </w:r>
      <w:r>
        <w:rPr>
          <w:rFonts w:hint="eastAsia" w:eastAsia="方正小标宋_GBK"/>
          <w:sz w:val="44"/>
          <w:szCs w:val="44"/>
          <w:lang w:eastAsia="zh-CN"/>
        </w:rPr>
        <w:t>二</w:t>
      </w:r>
      <w:r>
        <w:rPr>
          <w:rFonts w:hint="eastAsia" w:eastAsia="方正小标宋_GBK"/>
          <w:sz w:val="44"/>
          <w:szCs w:val="44"/>
        </w:rPr>
        <w:t>季度第三支柱信息披露报告</w:t>
      </w:r>
    </w:p>
    <w:p w14:paraId="21AFBD0F">
      <w:pPr>
        <w:spacing w:line="600" w:lineRule="exact"/>
        <w:ind w:firstLine="640"/>
      </w:pPr>
    </w:p>
    <w:p w14:paraId="279C8A3D">
      <w:pPr>
        <w:spacing w:line="600" w:lineRule="exact"/>
        <w:ind w:firstLine="640"/>
      </w:pPr>
      <w:r>
        <w:rPr>
          <w:rFonts w:hint="eastAsia"/>
        </w:rPr>
        <w:t>本报告根据《商业银行资本管理办法》（国家金融监督管理总局令2023年第4号）相关规定编制。</w:t>
      </w:r>
    </w:p>
    <w:p w14:paraId="050D71DC">
      <w:pPr>
        <w:spacing w:line="600" w:lineRule="exact"/>
        <w:ind w:firstLine="0" w:firstLineChars="0"/>
        <w:jc w:val="center"/>
        <w:rPr>
          <w:b/>
        </w:rPr>
      </w:pPr>
      <w:r>
        <w:rPr>
          <w:rFonts w:hint="eastAsia"/>
          <w:b/>
        </w:rPr>
        <w:t>表一：KM1: 监管并表关键审慎监管指标</w:t>
      </w:r>
    </w:p>
    <w:p w14:paraId="70987467">
      <w:pPr>
        <w:spacing w:line="600" w:lineRule="exact"/>
        <w:ind w:firstLine="0" w:firstLineChars="0"/>
        <w:jc w:val="right"/>
        <w:rPr>
          <w:b/>
          <w:sz w:val="22"/>
        </w:rPr>
      </w:pPr>
      <w:r>
        <w:rPr>
          <w:rFonts w:hint="eastAsia"/>
          <w:sz w:val="22"/>
        </w:rPr>
        <w:t>单位：万元、%</w:t>
      </w:r>
    </w:p>
    <w:tbl>
      <w:tblPr>
        <w:tblStyle w:val="9"/>
        <w:tblW w:w="103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8"/>
        <w:gridCol w:w="2642"/>
        <w:gridCol w:w="1462"/>
        <w:gridCol w:w="1316"/>
        <w:gridCol w:w="1460"/>
        <w:gridCol w:w="1417"/>
        <w:gridCol w:w="1368"/>
      </w:tblGrid>
      <w:tr w14:paraId="1B32D9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tblHeader/>
          <w:jc w:val="center"/>
        </w:trPr>
        <w:tc>
          <w:tcPr>
            <w:tcW w:w="688" w:type="dxa"/>
            <w:noWrap/>
            <w:vAlign w:val="center"/>
          </w:tcPr>
          <w:p w14:paraId="71E867BE">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序号</w:t>
            </w:r>
          </w:p>
        </w:tc>
        <w:tc>
          <w:tcPr>
            <w:tcW w:w="2642" w:type="dxa"/>
            <w:noWrap/>
            <w:vAlign w:val="center"/>
          </w:tcPr>
          <w:p w14:paraId="77F05E0C">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项   目</w:t>
            </w:r>
          </w:p>
        </w:tc>
        <w:tc>
          <w:tcPr>
            <w:tcW w:w="1462" w:type="dxa"/>
          </w:tcPr>
          <w:p w14:paraId="22901412">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2026年</w:t>
            </w:r>
            <w:r>
              <w:rPr>
                <w:rFonts w:hint="eastAsia" w:ascii="仿宋_GB2312" w:eastAsia="仿宋_GB2312"/>
                <w:color w:val="000000"/>
                <w:sz w:val="22"/>
                <w:lang w:val="en-US" w:eastAsia="zh-CN"/>
              </w:rPr>
              <w:t>6</w:t>
            </w:r>
            <w:r>
              <w:rPr>
                <w:rFonts w:hint="eastAsia" w:ascii="仿宋_GB2312" w:eastAsia="仿宋_GB2312"/>
                <w:color w:val="000000"/>
                <w:sz w:val="22"/>
              </w:rPr>
              <w:t>月3</w:t>
            </w:r>
            <w:r>
              <w:rPr>
                <w:rFonts w:hint="eastAsia" w:ascii="仿宋_GB2312" w:eastAsia="仿宋_GB2312"/>
                <w:color w:val="000000"/>
                <w:sz w:val="22"/>
                <w:lang w:val="en-US" w:eastAsia="zh-CN"/>
              </w:rPr>
              <w:t>0</w:t>
            </w:r>
            <w:r>
              <w:rPr>
                <w:rFonts w:hint="eastAsia" w:ascii="仿宋_GB2312" w:eastAsia="仿宋_GB2312"/>
                <w:color w:val="000000"/>
                <w:sz w:val="22"/>
              </w:rPr>
              <w:t>日</w:t>
            </w:r>
          </w:p>
        </w:tc>
        <w:tc>
          <w:tcPr>
            <w:tcW w:w="1316" w:type="dxa"/>
            <w:vAlign w:val="top"/>
          </w:tcPr>
          <w:p w14:paraId="0D9B7645">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2026年3月31日</w:t>
            </w:r>
          </w:p>
        </w:tc>
        <w:tc>
          <w:tcPr>
            <w:tcW w:w="1460" w:type="dxa"/>
            <w:noWrap/>
            <w:vAlign w:val="top"/>
          </w:tcPr>
          <w:p w14:paraId="7D5767C0">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2025年12月31日</w:t>
            </w:r>
          </w:p>
        </w:tc>
        <w:tc>
          <w:tcPr>
            <w:tcW w:w="1417" w:type="dxa"/>
            <w:noWrap/>
            <w:vAlign w:val="top"/>
          </w:tcPr>
          <w:p w14:paraId="4342E6CD">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2025年9月30日</w:t>
            </w:r>
          </w:p>
        </w:tc>
        <w:tc>
          <w:tcPr>
            <w:tcW w:w="1368" w:type="dxa"/>
            <w:noWrap/>
            <w:vAlign w:val="top"/>
          </w:tcPr>
          <w:p w14:paraId="624A2033">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2025年6月30日</w:t>
            </w:r>
          </w:p>
        </w:tc>
      </w:tr>
      <w:tr w14:paraId="571FC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353" w:type="dxa"/>
            <w:gridSpan w:val="7"/>
            <w:shd w:val="clear" w:color="auto" w:fill="D9D9D9"/>
          </w:tcPr>
          <w:p w14:paraId="12C071E1">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可用资本</w:t>
            </w:r>
          </w:p>
        </w:tc>
      </w:tr>
      <w:tr w14:paraId="3D22F9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2A5BD964">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w:t>
            </w:r>
          </w:p>
        </w:tc>
        <w:tc>
          <w:tcPr>
            <w:tcW w:w="2642" w:type="dxa"/>
            <w:noWrap/>
            <w:vAlign w:val="center"/>
          </w:tcPr>
          <w:p w14:paraId="3C38144B">
            <w:pPr>
              <w:spacing w:line="400" w:lineRule="exact"/>
              <w:ind w:firstLine="0" w:firstLineChars="0"/>
              <w:rPr>
                <w:rFonts w:ascii="仿宋_GB2312" w:eastAsia="仿宋_GB2312"/>
                <w:color w:val="000000"/>
                <w:sz w:val="22"/>
              </w:rPr>
            </w:pPr>
            <w:r>
              <w:rPr>
                <w:rFonts w:hint="eastAsia" w:ascii="仿宋_GB2312" w:eastAsia="仿宋_GB2312"/>
                <w:color w:val="000000"/>
                <w:sz w:val="22"/>
              </w:rPr>
              <w:t>核心一级资本净额</w:t>
            </w:r>
          </w:p>
        </w:tc>
        <w:tc>
          <w:tcPr>
            <w:tcW w:w="1462" w:type="dxa"/>
            <w:vAlign w:val="center"/>
          </w:tcPr>
          <w:p w14:paraId="02982B36">
            <w:pPr>
              <w:keepNext w:val="0"/>
              <w:keepLines w:val="0"/>
              <w:widowControl/>
              <w:suppressLineNumbers w:val="0"/>
              <w:ind w:left="0" w:leftChars="0" w:firstLine="0" w:firstLineChars="0"/>
              <w:jc w:val="right"/>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2,191,638</w:t>
            </w:r>
          </w:p>
        </w:tc>
        <w:tc>
          <w:tcPr>
            <w:tcW w:w="1316" w:type="dxa"/>
            <w:vAlign w:val="top"/>
          </w:tcPr>
          <w:p w14:paraId="5F095D8B">
            <w:pPr>
              <w:spacing w:line="400" w:lineRule="exact"/>
              <w:ind w:firstLine="0" w:firstLineChars="0"/>
              <w:jc w:val="right"/>
              <w:rPr>
                <w:rFonts w:ascii="仿宋_GB2312" w:eastAsia="仿宋_GB2312"/>
                <w:color w:val="000000"/>
                <w:sz w:val="22"/>
              </w:rPr>
            </w:pPr>
            <w:r>
              <w:rPr>
                <w:rFonts w:ascii="仿宋_GB2312" w:eastAsia="仿宋_GB2312"/>
                <w:color w:val="000000"/>
                <w:sz w:val="22"/>
              </w:rPr>
              <w:t>2,122,096</w:t>
            </w:r>
          </w:p>
        </w:tc>
        <w:tc>
          <w:tcPr>
            <w:tcW w:w="1460" w:type="dxa"/>
            <w:noWrap/>
            <w:vAlign w:val="top"/>
          </w:tcPr>
          <w:p w14:paraId="1863259A">
            <w:pPr>
              <w:spacing w:line="400" w:lineRule="exact"/>
              <w:ind w:firstLine="0" w:firstLineChars="0"/>
              <w:jc w:val="right"/>
              <w:rPr>
                <w:rFonts w:ascii="仿宋_GB2312" w:eastAsia="仿宋_GB2312"/>
                <w:color w:val="000000"/>
                <w:sz w:val="22"/>
              </w:rPr>
            </w:pPr>
            <w:r>
              <w:rPr>
                <w:rFonts w:ascii="仿宋_GB2312" w:eastAsia="仿宋_GB2312"/>
                <w:color w:val="000000"/>
                <w:sz w:val="22"/>
              </w:rPr>
              <w:t>2,078,919</w:t>
            </w:r>
          </w:p>
        </w:tc>
        <w:tc>
          <w:tcPr>
            <w:tcW w:w="1417" w:type="dxa"/>
            <w:noWrap/>
            <w:vAlign w:val="top"/>
          </w:tcPr>
          <w:p w14:paraId="773D80E5">
            <w:pPr>
              <w:spacing w:line="400" w:lineRule="exact"/>
              <w:ind w:firstLine="0" w:firstLineChars="0"/>
              <w:jc w:val="right"/>
              <w:rPr>
                <w:rFonts w:ascii="仿宋_GB2312" w:eastAsia="仿宋_GB2312"/>
                <w:color w:val="000000"/>
                <w:sz w:val="22"/>
              </w:rPr>
            </w:pPr>
            <w:r>
              <w:rPr>
                <w:rFonts w:ascii="仿宋_GB2312" w:eastAsia="仿宋_GB2312"/>
                <w:color w:val="000000"/>
                <w:sz w:val="22"/>
              </w:rPr>
              <w:t>2,019,879</w:t>
            </w:r>
          </w:p>
        </w:tc>
        <w:tc>
          <w:tcPr>
            <w:tcW w:w="1368" w:type="dxa"/>
            <w:noWrap/>
            <w:vAlign w:val="top"/>
          </w:tcPr>
          <w:p w14:paraId="79B6A482">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2,091,492 </w:t>
            </w:r>
          </w:p>
        </w:tc>
      </w:tr>
      <w:tr w14:paraId="08E261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7FCCBC97">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w:t>
            </w:r>
          </w:p>
        </w:tc>
        <w:tc>
          <w:tcPr>
            <w:tcW w:w="2642" w:type="dxa"/>
            <w:noWrap/>
            <w:vAlign w:val="center"/>
          </w:tcPr>
          <w:p w14:paraId="19FFA99E">
            <w:pPr>
              <w:spacing w:line="400" w:lineRule="exact"/>
              <w:ind w:firstLine="0" w:firstLineChars="0"/>
              <w:rPr>
                <w:rFonts w:ascii="仿宋_GB2312" w:eastAsia="仿宋_GB2312"/>
                <w:color w:val="000000"/>
                <w:sz w:val="22"/>
              </w:rPr>
            </w:pPr>
            <w:r>
              <w:rPr>
                <w:rFonts w:hint="eastAsia" w:ascii="仿宋_GB2312" w:eastAsia="仿宋_GB2312"/>
                <w:color w:val="000000"/>
                <w:sz w:val="22"/>
              </w:rPr>
              <w:t>一级资本净额</w:t>
            </w:r>
          </w:p>
        </w:tc>
        <w:tc>
          <w:tcPr>
            <w:tcW w:w="1462" w:type="dxa"/>
            <w:vAlign w:val="center"/>
          </w:tcPr>
          <w:p w14:paraId="4CFD1A5E">
            <w:pPr>
              <w:keepNext w:val="0"/>
              <w:keepLines w:val="0"/>
              <w:widowControl/>
              <w:suppressLineNumbers w:val="0"/>
              <w:ind w:left="0" w:leftChars="0" w:firstLine="0" w:firstLineChars="0"/>
              <w:jc w:val="right"/>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2,541,638</w:t>
            </w:r>
          </w:p>
        </w:tc>
        <w:tc>
          <w:tcPr>
            <w:tcW w:w="1316" w:type="dxa"/>
            <w:vAlign w:val="top"/>
          </w:tcPr>
          <w:p w14:paraId="0D036168">
            <w:pPr>
              <w:spacing w:line="400" w:lineRule="exact"/>
              <w:ind w:firstLine="0" w:firstLineChars="0"/>
              <w:jc w:val="right"/>
              <w:rPr>
                <w:rFonts w:ascii="仿宋_GB2312" w:eastAsia="仿宋_GB2312"/>
                <w:color w:val="000000"/>
                <w:sz w:val="22"/>
              </w:rPr>
            </w:pPr>
            <w:r>
              <w:rPr>
                <w:rFonts w:ascii="仿宋_GB2312" w:eastAsia="仿宋_GB2312"/>
                <w:color w:val="000000"/>
                <w:sz w:val="22"/>
              </w:rPr>
              <w:t>2,472,096</w:t>
            </w:r>
          </w:p>
        </w:tc>
        <w:tc>
          <w:tcPr>
            <w:tcW w:w="1460" w:type="dxa"/>
            <w:noWrap/>
            <w:vAlign w:val="top"/>
          </w:tcPr>
          <w:p w14:paraId="1A35A6FE">
            <w:pPr>
              <w:spacing w:line="400" w:lineRule="exact"/>
              <w:ind w:firstLine="0" w:firstLineChars="0"/>
              <w:jc w:val="right"/>
              <w:rPr>
                <w:rFonts w:ascii="仿宋_GB2312" w:eastAsia="仿宋_GB2312"/>
                <w:color w:val="000000"/>
                <w:sz w:val="22"/>
              </w:rPr>
            </w:pPr>
            <w:r>
              <w:rPr>
                <w:rFonts w:ascii="仿宋_GB2312" w:eastAsia="仿宋_GB2312"/>
                <w:color w:val="000000"/>
                <w:sz w:val="22"/>
              </w:rPr>
              <w:t>2,428,919</w:t>
            </w:r>
          </w:p>
        </w:tc>
        <w:tc>
          <w:tcPr>
            <w:tcW w:w="1417" w:type="dxa"/>
            <w:noWrap/>
            <w:vAlign w:val="top"/>
          </w:tcPr>
          <w:p w14:paraId="59274ED9">
            <w:pPr>
              <w:spacing w:line="400" w:lineRule="exact"/>
              <w:ind w:firstLine="0" w:firstLineChars="0"/>
              <w:jc w:val="right"/>
              <w:rPr>
                <w:rFonts w:ascii="仿宋_GB2312" w:eastAsia="仿宋_GB2312"/>
                <w:color w:val="000000"/>
                <w:sz w:val="22"/>
              </w:rPr>
            </w:pPr>
            <w:r>
              <w:rPr>
                <w:rFonts w:ascii="仿宋_GB2312" w:eastAsia="仿宋_GB2312"/>
                <w:color w:val="000000"/>
                <w:sz w:val="22"/>
              </w:rPr>
              <w:t>2,489,879</w:t>
            </w:r>
          </w:p>
        </w:tc>
        <w:tc>
          <w:tcPr>
            <w:tcW w:w="1368" w:type="dxa"/>
            <w:noWrap/>
            <w:vAlign w:val="top"/>
          </w:tcPr>
          <w:p w14:paraId="19E9B9C7">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2,561,492 </w:t>
            </w:r>
          </w:p>
        </w:tc>
      </w:tr>
      <w:tr w14:paraId="15D874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4290D1AE">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w:t>
            </w:r>
          </w:p>
        </w:tc>
        <w:tc>
          <w:tcPr>
            <w:tcW w:w="2642" w:type="dxa"/>
            <w:noWrap/>
            <w:vAlign w:val="center"/>
          </w:tcPr>
          <w:p w14:paraId="40CEAD1F">
            <w:pPr>
              <w:spacing w:line="400" w:lineRule="exact"/>
              <w:ind w:firstLine="0" w:firstLineChars="0"/>
              <w:rPr>
                <w:rFonts w:ascii="仿宋_GB2312" w:eastAsia="仿宋_GB2312"/>
                <w:color w:val="000000"/>
                <w:sz w:val="22"/>
              </w:rPr>
            </w:pPr>
            <w:r>
              <w:rPr>
                <w:rFonts w:hint="eastAsia" w:ascii="仿宋_GB2312" w:eastAsia="仿宋_GB2312"/>
                <w:color w:val="000000"/>
                <w:sz w:val="22"/>
              </w:rPr>
              <w:t>资本净额</w:t>
            </w:r>
          </w:p>
        </w:tc>
        <w:tc>
          <w:tcPr>
            <w:tcW w:w="1462" w:type="dxa"/>
            <w:vAlign w:val="center"/>
          </w:tcPr>
          <w:p w14:paraId="6D8DD4E5">
            <w:pPr>
              <w:keepNext w:val="0"/>
              <w:keepLines w:val="0"/>
              <w:widowControl/>
              <w:suppressLineNumbers w:val="0"/>
              <w:ind w:left="0" w:leftChars="0" w:firstLine="0" w:firstLineChars="0"/>
              <w:jc w:val="right"/>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2,810,029</w:t>
            </w:r>
          </w:p>
        </w:tc>
        <w:tc>
          <w:tcPr>
            <w:tcW w:w="1316" w:type="dxa"/>
            <w:vAlign w:val="top"/>
          </w:tcPr>
          <w:p w14:paraId="226EDC69">
            <w:pPr>
              <w:spacing w:line="400" w:lineRule="exact"/>
              <w:ind w:firstLine="0" w:firstLineChars="0"/>
              <w:jc w:val="right"/>
              <w:rPr>
                <w:rFonts w:ascii="仿宋_GB2312" w:eastAsia="仿宋_GB2312"/>
                <w:color w:val="000000"/>
                <w:sz w:val="22"/>
              </w:rPr>
            </w:pPr>
            <w:r>
              <w:rPr>
                <w:rFonts w:ascii="仿宋_GB2312" w:eastAsia="仿宋_GB2312"/>
                <w:color w:val="000000"/>
                <w:sz w:val="22"/>
              </w:rPr>
              <w:t>2,741,750</w:t>
            </w:r>
          </w:p>
        </w:tc>
        <w:tc>
          <w:tcPr>
            <w:tcW w:w="1460" w:type="dxa"/>
            <w:noWrap/>
            <w:vAlign w:val="top"/>
          </w:tcPr>
          <w:p w14:paraId="48FA6221">
            <w:pPr>
              <w:spacing w:line="400" w:lineRule="exact"/>
              <w:ind w:firstLine="0" w:firstLineChars="0"/>
              <w:jc w:val="right"/>
              <w:rPr>
                <w:rFonts w:ascii="仿宋_GB2312" w:eastAsia="仿宋_GB2312"/>
                <w:color w:val="000000"/>
                <w:sz w:val="22"/>
              </w:rPr>
            </w:pPr>
            <w:r>
              <w:rPr>
                <w:rFonts w:ascii="仿宋_GB2312" w:eastAsia="仿宋_GB2312"/>
                <w:color w:val="000000"/>
                <w:sz w:val="22"/>
              </w:rPr>
              <w:t>2,697,950</w:t>
            </w:r>
          </w:p>
        </w:tc>
        <w:tc>
          <w:tcPr>
            <w:tcW w:w="1417" w:type="dxa"/>
            <w:noWrap/>
            <w:vAlign w:val="top"/>
          </w:tcPr>
          <w:p w14:paraId="127FC791">
            <w:pPr>
              <w:spacing w:line="400" w:lineRule="exact"/>
              <w:ind w:firstLine="0" w:firstLineChars="0"/>
              <w:jc w:val="right"/>
              <w:rPr>
                <w:rFonts w:ascii="仿宋_GB2312" w:eastAsia="仿宋_GB2312"/>
                <w:color w:val="000000"/>
                <w:sz w:val="22"/>
              </w:rPr>
            </w:pPr>
            <w:r>
              <w:rPr>
                <w:rFonts w:ascii="仿宋_GB2312" w:eastAsia="仿宋_GB2312"/>
                <w:color w:val="000000"/>
                <w:sz w:val="22"/>
              </w:rPr>
              <w:t>2,732,869</w:t>
            </w:r>
          </w:p>
        </w:tc>
        <w:tc>
          <w:tcPr>
            <w:tcW w:w="1368" w:type="dxa"/>
            <w:noWrap/>
            <w:vAlign w:val="top"/>
          </w:tcPr>
          <w:p w14:paraId="0B27CC43">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2,831,496 </w:t>
            </w:r>
          </w:p>
        </w:tc>
      </w:tr>
      <w:tr w14:paraId="362F2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353" w:type="dxa"/>
            <w:gridSpan w:val="7"/>
            <w:shd w:val="clear" w:color="auto" w:fill="D9D9D9"/>
          </w:tcPr>
          <w:p w14:paraId="65ED3E4E">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风险加权资产</w:t>
            </w:r>
          </w:p>
        </w:tc>
      </w:tr>
      <w:tr w14:paraId="654439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0160DB71">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w:t>
            </w:r>
          </w:p>
        </w:tc>
        <w:tc>
          <w:tcPr>
            <w:tcW w:w="2642" w:type="dxa"/>
            <w:noWrap/>
            <w:vAlign w:val="center"/>
          </w:tcPr>
          <w:p w14:paraId="2A482066">
            <w:pPr>
              <w:spacing w:line="400" w:lineRule="exact"/>
              <w:ind w:firstLine="0" w:firstLineChars="0"/>
              <w:rPr>
                <w:rFonts w:ascii="仿宋_GB2312" w:eastAsia="仿宋_GB2312"/>
                <w:color w:val="000000"/>
                <w:sz w:val="22"/>
              </w:rPr>
            </w:pPr>
            <w:r>
              <w:rPr>
                <w:rFonts w:hint="eastAsia" w:ascii="仿宋_GB2312" w:eastAsia="仿宋_GB2312"/>
                <w:color w:val="000000"/>
                <w:sz w:val="22"/>
              </w:rPr>
              <w:t>风险加权资产合计</w:t>
            </w:r>
          </w:p>
        </w:tc>
        <w:tc>
          <w:tcPr>
            <w:tcW w:w="1462" w:type="dxa"/>
            <w:vAlign w:val="center"/>
          </w:tcPr>
          <w:p w14:paraId="15EB019C">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26,180,542</w:t>
            </w:r>
          </w:p>
        </w:tc>
        <w:tc>
          <w:tcPr>
            <w:tcW w:w="1316" w:type="dxa"/>
            <w:vAlign w:val="center"/>
          </w:tcPr>
          <w:p w14:paraId="79BC13B7">
            <w:pPr>
              <w:spacing w:line="400" w:lineRule="exact"/>
              <w:ind w:firstLine="0" w:firstLineChars="0"/>
              <w:jc w:val="center"/>
              <w:rPr>
                <w:rFonts w:ascii="仿宋_GB2312" w:eastAsia="仿宋_GB2312"/>
                <w:color w:val="000000"/>
                <w:sz w:val="22"/>
              </w:rPr>
            </w:pPr>
            <w:r>
              <w:rPr>
                <w:rFonts w:ascii="仿宋_GB2312" w:eastAsia="仿宋_GB2312"/>
                <w:color w:val="000000"/>
                <w:sz w:val="22"/>
              </w:rPr>
              <w:t>25,405,490</w:t>
            </w:r>
          </w:p>
        </w:tc>
        <w:tc>
          <w:tcPr>
            <w:tcW w:w="1460" w:type="dxa"/>
            <w:noWrap/>
            <w:vAlign w:val="center"/>
          </w:tcPr>
          <w:p w14:paraId="57B76EE2">
            <w:pPr>
              <w:spacing w:line="400" w:lineRule="exact"/>
              <w:ind w:firstLine="0" w:firstLineChars="0"/>
              <w:jc w:val="center"/>
              <w:rPr>
                <w:rFonts w:ascii="仿宋_GB2312" w:eastAsia="仿宋_GB2312"/>
                <w:color w:val="000000"/>
                <w:sz w:val="22"/>
              </w:rPr>
            </w:pPr>
            <w:r>
              <w:rPr>
                <w:rFonts w:ascii="仿宋_GB2312" w:eastAsia="仿宋_GB2312"/>
                <w:color w:val="000000"/>
                <w:sz w:val="22"/>
              </w:rPr>
              <w:t>24,715,510</w:t>
            </w:r>
          </w:p>
        </w:tc>
        <w:tc>
          <w:tcPr>
            <w:tcW w:w="1417" w:type="dxa"/>
            <w:noWrap/>
            <w:vAlign w:val="top"/>
          </w:tcPr>
          <w:p w14:paraId="37177B04">
            <w:pPr>
              <w:spacing w:line="400" w:lineRule="exact"/>
              <w:ind w:firstLine="0" w:firstLineChars="0"/>
              <w:jc w:val="right"/>
              <w:rPr>
                <w:rFonts w:ascii="仿宋_GB2312" w:eastAsia="仿宋_GB2312"/>
                <w:color w:val="000000"/>
                <w:sz w:val="22"/>
              </w:rPr>
            </w:pPr>
            <w:r>
              <w:rPr>
                <w:rFonts w:ascii="仿宋_GB2312" w:eastAsia="仿宋_GB2312"/>
                <w:color w:val="000000"/>
                <w:sz w:val="22"/>
              </w:rPr>
              <w:t>23,877,713</w:t>
            </w:r>
          </w:p>
        </w:tc>
        <w:tc>
          <w:tcPr>
            <w:tcW w:w="1368" w:type="dxa"/>
            <w:noWrap/>
            <w:vAlign w:val="top"/>
          </w:tcPr>
          <w:p w14:paraId="572ED219">
            <w:pPr>
              <w:spacing w:line="400" w:lineRule="exact"/>
              <w:ind w:firstLine="0" w:firstLineChars="0"/>
              <w:jc w:val="right"/>
              <w:rPr>
                <w:rFonts w:ascii="仿宋_GB2312" w:eastAsia="仿宋_GB2312"/>
                <w:color w:val="000000"/>
                <w:sz w:val="22"/>
              </w:rPr>
            </w:pPr>
            <w:r>
              <w:rPr>
                <w:rFonts w:ascii="仿宋_GB2312" w:eastAsia="仿宋_GB2312"/>
                <w:color w:val="000000"/>
                <w:sz w:val="22"/>
              </w:rPr>
              <w:t>23,141,597</w:t>
            </w:r>
          </w:p>
        </w:tc>
      </w:tr>
      <w:tr w14:paraId="05F95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353" w:type="dxa"/>
            <w:gridSpan w:val="7"/>
            <w:shd w:val="clear" w:color="auto" w:fill="D9D9D9"/>
          </w:tcPr>
          <w:p w14:paraId="32D8BD33">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资本充足率</w:t>
            </w:r>
          </w:p>
        </w:tc>
      </w:tr>
      <w:tr w14:paraId="1C100B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7A51A650">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w:t>
            </w:r>
          </w:p>
        </w:tc>
        <w:tc>
          <w:tcPr>
            <w:tcW w:w="2642" w:type="dxa"/>
            <w:noWrap/>
            <w:vAlign w:val="center"/>
          </w:tcPr>
          <w:p w14:paraId="744CEA30">
            <w:pPr>
              <w:spacing w:line="400" w:lineRule="exact"/>
              <w:ind w:firstLine="0" w:firstLineChars="0"/>
              <w:rPr>
                <w:rFonts w:ascii="仿宋_GB2312" w:eastAsia="仿宋_GB2312"/>
                <w:color w:val="000000"/>
                <w:sz w:val="22"/>
              </w:rPr>
            </w:pPr>
            <w:r>
              <w:rPr>
                <w:rFonts w:hint="eastAsia" w:ascii="仿宋_GB2312" w:eastAsia="仿宋_GB2312"/>
                <w:color w:val="000000"/>
                <w:sz w:val="22"/>
              </w:rPr>
              <w:t>核心一级资本充足率（%）</w:t>
            </w:r>
          </w:p>
        </w:tc>
        <w:tc>
          <w:tcPr>
            <w:tcW w:w="1462" w:type="dxa"/>
            <w:vAlign w:val="center"/>
          </w:tcPr>
          <w:p w14:paraId="71BD0BDB">
            <w:pPr>
              <w:keepNext w:val="0"/>
              <w:keepLines w:val="0"/>
              <w:widowControl/>
              <w:suppressLineNumbers w:val="0"/>
              <w:ind w:firstLine="440" w:firstLineChars="200"/>
              <w:jc w:val="center"/>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 xml:space="preserve"> 8.37 </w:t>
            </w:r>
          </w:p>
        </w:tc>
        <w:tc>
          <w:tcPr>
            <w:tcW w:w="1316" w:type="dxa"/>
            <w:vAlign w:val="center"/>
          </w:tcPr>
          <w:p w14:paraId="31823670">
            <w:pPr>
              <w:spacing w:line="400" w:lineRule="exact"/>
              <w:ind w:firstLine="0" w:firstLineChars="0"/>
              <w:jc w:val="center"/>
              <w:rPr>
                <w:rFonts w:ascii="仿宋_GB2312" w:eastAsia="仿宋_GB2312"/>
                <w:color w:val="000000"/>
                <w:sz w:val="22"/>
              </w:rPr>
            </w:pPr>
            <w:r>
              <w:rPr>
                <w:rFonts w:ascii="仿宋_GB2312" w:eastAsia="仿宋_GB2312"/>
                <w:color w:val="000000"/>
                <w:sz w:val="22"/>
              </w:rPr>
              <w:t>8.35</w:t>
            </w:r>
          </w:p>
        </w:tc>
        <w:tc>
          <w:tcPr>
            <w:tcW w:w="1460" w:type="dxa"/>
            <w:noWrap/>
            <w:vAlign w:val="center"/>
          </w:tcPr>
          <w:p w14:paraId="7C725E54">
            <w:pPr>
              <w:spacing w:line="400" w:lineRule="exact"/>
              <w:ind w:firstLine="0" w:firstLineChars="0"/>
              <w:jc w:val="center"/>
              <w:rPr>
                <w:rFonts w:ascii="仿宋_GB2312" w:eastAsia="仿宋_GB2312"/>
                <w:color w:val="000000"/>
                <w:sz w:val="22"/>
              </w:rPr>
            </w:pPr>
            <w:r>
              <w:rPr>
                <w:rFonts w:ascii="仿宋_GB2312" w:eastAsia="仿宋_GB2312"/>
                <w:color w:val="000000"/>
                <w:sz w:val="22"/>
              </w:rPr>
              <w:t>8.41</w:t>
            </w:r>
          </w:p>
        </w:tc>
        <w:tc>
          <w:tcPr>
            <w:tcW w:w="1417" w:type="dxa"/>
            <w:noWrap/>
            <w:vAlign w:val="center"/>
          </w:tcPr>
          <w:p w14:paraId="5DA76E62">
            <w:pPr>
              <w:spacing w:line="400" w:lineRule="exact"/>
              <w:ind w:firstLine="0" w:firstLineChars="0"/>
              <w:jc w:val="center"/>
              <w:rPr>
                <w:rFonts w:ascii="仿宋_GB2312" w:eastAsia="仿宋_GB2312"/>
                <w:color w:val="000000"/>
                <w:sz w:val="22"/>
              </w:rPr>
            </w:pPr>
            <w:r>
              <w:rPr>
                <w:rFonts w:ascii="仿宋_GB2312" w:eastAsia="仿宋_GB2312"/>
                <w:color w:val="000000"/>
                <w:sz w:val="22"/>
              </w:rPr>
              <w:t>8.46</w:t>
            </w:r>
          </w:p>
        </w:tc>
        <w:tc>
          <w:tcPr>
            <w:tcW w:w="1368" w:type="dxa"/>
            <w:noWrap/>
            <w:vAlign w:val="center"/>
          </w:tcPr>
          <w:p w14:paraId="670DDE47">
            <w:pPr>
              <w:spacing w:line="400" w:lineRule="exact"/>
              <w:ind w:firstLine="0" w:firstLineChars="0"/>
              <w:jc w:val="center"/>
              <w:rPr>
                <w:rFonts w:ascii="仿宋_GB2312" w:eastAsia="仿宋_GB2312"/>
                <w:color w:val="000000"/>
                <w:sz w:val="22"/>
              </w:rPr>
            </w:pPr>
            <w:r>
              <w:rPr>
                <w:rFonts w:ascii="仿宋_GB2312" w:eastAsia="仿宋_GB2312"/>
                <w:color w:val="000000"/>
                <w:sz w:val="22"/>
              </w:rPr>
              <w:t>9.04</w:t>
            </w:r>
          </w:p>
        </w:tc>
      </w:tr>
      <w:tr w14:paraId="5120E4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312DEBE7">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w:t>
            </w:r>
          </w:p>
        </w:tc>
        <w:tc>
          <w:tcPr>
            <w:tcW w:w="2642" w:type="dxa"/>
            <w:noWrap/>
            <w:vAlign w:val="center"/>
          </w:tcPr>
          <w:p w14:paraId="11C997AF">
            <w:pPr>
              <w:spacing w:line="400" w:lineRule="exact"/>
              <w:ind w:firstLine="0" w:firstLineChars="0"/>
              <w:rPr>
                <w:rFonts w:ascii="仿宋_GB2312" w:eastAsia="仿宋_GB2312"/>
                <w:color w:val="000000"/>
                <w:sz w:val="22"/>
              </w:rPr>
            </w:pPr>
            <w:r>
              <w:rPr>
                <w:rFonts w:hint="eastAsia" w:ascii="仿宋_GB2312" w:eastAsia="仿宋_GB2312"/>
                <w:color w:val="000000"/>
                <w:sz w:val="22"/>
              </w:rPr>
              <w:t>一级资本充足率（%）</w:t>
            </w:r>
          </w:p>
        </w:tc>
        <w:tc>
          <w:tcPr>
            <w:tcW w:w="1462" w:type="dxa"/>
            <w:vAlign w:val="center"/>
          </w:tcPr>
          <w:p w14:paraId="446F5CEA">
            <w:pPr>
              <w:keepNext w:val="0"/>
              <w:keepLines w:val="0"/>
              <w:widowControl/>
              <w:suppressLineNumbers w:val="0"/>
              <w:ind w:firstLine="440" w:firstLineChars="200"/>
              <w:jc w:val="center"/>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 xml:space="preserve"> 9.71 </w:t>
            </w:r>
          </w:p>
        </w:tc>
        <w:tc>
          <w:tcPr>
            <w:tcW w:w="1316" w:type="dxa"/>
            <w:vAlign w:val="center"/>
          </w:tcPr>
          <w:p w14:paraId="350ADE6B">
            <w:pPr>
              <w:spacing w:line="400" w:lineRule="exact"/>
              <w:ind w:firstLine="0" w:firstLineChars="0"/>
              <w:jc w:val="center"/>
              <w:rPr>
                <w:rFonts w:ascii="仿宋_GB2312" w:eastAsia="仿宋_GB2312"/>
                <w:color w:val="000000"/>
                <w:sz w:val="22"/>
              </w:rPr>
            </w:pPr>
            <w:r>
              <w:rPr>
                <w:rFonts w:ascii="仿宋_GB2312" w:eastAsia="仿宋_GB2312"/>
                <w:color w:val="000000"/>
                <w:sz w:val="22"/>
              </w:rPr>
              <w:t>9.73</w:t>
            </w:r>
          </w:p>
        </w:tc>
        <w:tc>
          <w:tcPr>
            <w:tcW w:w="1460" w:type="dxa"/>
            <w:noWrap/>
            <w:vAlign w:val="center"/>
          </w:tcPr>
          <w:p w14:paraId="795987D2">
            <w:pPr>
              <w:spacing w:line="400" w:lineRule="exact"/>
              <w:ind w:firstLine="0" w:firstLineChars="0"/>
              <w:jc w:val="center"/>
              <w:rPr>
                <w:rFonts w:ascii="仿宋_GB2312" w:eastAsia="仿宋_GB2312"/>
                <w:color w:val="000000"/>
                <w:sz w:val="22"/>
              </w:rPr>
            </w:pPr>
            <w:r>
              <w:rPr>
                <w:rFonts w:ascii="仿宋_GB2312" w:eastAsia="仿宋_GB2312"/>
                <w:color w:val="000000"/>
                <w:sz w:val="22"/>
              </w:rPr>
              <w:t>9.83</w:t>
            </w:r>
          </w:p>
        </w:tc>
        <w:tc>
          <w:tcPr>
            <w:tcW w:w="1417" w:type="dxa"/>
            <w:noWrap/>
            <w:vAlign w:val="center"/>
          </w:tcPr>
          <w:p w14:paraId="30736F7E">
            <w:pPr>
              <w:spacing w:line="400" w:lineRule="exact"/>
              <w:ind w:firstLine="0" w:firstLineChars="0"/>
              <w:jc w:val="center"/>
              <w:rPr>
                <w:rFonts w:ascii="仿宋_GB2312" w:eastAsia="仿宋_GB2312"/>
                <w:color w:val="000000"/>
                <w:sz w:val="22"/>
              </w:rPr>
            </w:pPr>
            <w:r>
              <w:rPr>
                <w:rFonts w:ascii="仿宋_GB2312" w:eastAsia="仿宋_GB2312"/>
                <w:color w:val="000000"/>
                <w:sz w:val="22"/>
              </w:rPr>
              <w:t>10.43</w:t>
            </w:r>
          </w:p>
        </w:tc>
        <w:tc>
          <w:tcPr>
            <w:tcW w:w="1368" w:type="dxa"/>
            <w:noWrap/>
            <w:vAlign w:val="center"/>
          </w:tcPr>
          <w:p w14:paraId="358E8EAD">
            <w:pPr>
              <w:spacing w:line="400" w:lineRule="exact"/>
              <w:ind w:firstLine="0" w:firstLineChars="0"/>
              <w:jc w:val="center"/>
              <w:rPr>
                <w:rFonts w:ascii="仿宋_GB2312" w:eastAsia="仿宋_GB2312"/>
                <w:color w:val="000000"/>
                <w:sz w:val="22"/>
              </w:rPr>
            </w:pPr>
            <w:r>
              <w:rPr>
                <w:rFonts w:ascii="仿宋_GB2312" w:eastAsia="仿宋_GB2312"/>
                <w:color w:val="000000"/>
                <w:sz w:val="22"/>
              </w:rPr>
              <w:t>11.07</w:t>
            </w:r>
          </w:p>
        </w:tc>
      </w:tr>
      <w:tr w14:paraId="412952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2DE034C5">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7</w:t>
            </w:r>
          </w:p>
        </w:tc>
        <w:tc>
          <w:tcPr>
            <w:tcW w:w="2642" w:type="dxa"/>
            <w:noWrap/>
            <w:vAlign w:val="center"/>
          </w:tcPr>
          <w:p w14:paraId="4532BE22">
            <w:pPr>
              <w:spacing w:line="400" w:lineRule="exact"/>
              <w:ind w:firstLine="0" w:firstLineChars="0"/>
              <w:rPr>
                <w:rFonts w:ascii="仿宋_GB2312" w:eastAsia="仿宋_GB2312"/>
                <w:color w:val="000000"/>
                <w:sz w:val="22"/>
              </w:rPr>
            </w:pPr>
            <w:r>
              <w:rPr>
                <w:rFonts w:hint="eastAsia" w:ascii="仿宋_GB2312" w:eastAsia="仿宋_GB2312"/>
                <w:color w:val="000000"/>
                <w:sz w:val="22"/>
              </w:rPr>
              <w:t>资本充足率（%）</w:t>
            </w:r>
          </w:p>
        </w:tc>
        <w:tc>
          <w:tcPr>
            <w:tcW w:w="1462" w:type="dxa"/>
            <w:vAlign w:val="center"/>
          </w:tcPr>
          <w:p w14:paraId="3BF7B65D">
            <w:pPr>
              <w:keepNext w:val="0"/>
              <w:keepLines w:val="0"/>
              <w:widowControl/>
              <w:suppressLineNumbers w:val="0"/>
              <w:ind w:firstLine="440" w:firstLineChars="200"/>
              <w:jc w:val="center"/>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 xml:space="preserve"> 10.73 </w:t>
            </w:r>
          </w:p>
        </w:tc>
        <w:tc>
          <w:tcPr>
            <w:tcW w:w="1316" w:type="dxa"/>
            <w:vAlign w:val="center"/>
          </w:tcPr>
          <w:p w14:paraId="4D0BE90D">
            <w:pPr>
              <w:spacing w:line="400" w:lineRule="exact"/>
              <w:ind w:firstLine="0" w:firstLineChars="0"/>
              <w:jc w:val="center"/>
              <w:rPr>
                <w:rFonts w:ascii="仿宋_GB2312" w:eastAsia="仿宋_GB2312"/>
                <w:color w:val="000000"/>
                <w:sz w:val="22"/>
              </w:rPr>
            </w:pPr>
            <w:r>
              <w:rPr>
                <w:rFonts w:ascii="仿宋_GB2312" w:eastAsia="仿宋_GB2312"/>
                <w:color w:val="000000"/>
                <w:sz w:val="22"/>
              </w:rPr>
              <w:t>10.79</w:t>
            </w:r>
          </w:p>
        </w:tc>
        <w:tc>
          <w:tcPr>
            <w:tcW w:w="1460" w:type="dxa"/>
            <w:noWrap/>
            <w:vAlign w:val="center"/>
          </w:tcPr>
          <w:p w14:paraId="6C8C1655">
            <w:pPr>
              <w:spacing w:line="400" w:lineRule="exact"/>
              <w:ind w:firstLine="0" w:firstLineChars="0"/>
              <w:jc w:val="center"/>
              <w:rPr>
                <w:rFonts w:ascii="仿宋_GB2312" w:eastAsia="仿宋_GB2312"/>
                <w:color w:val="000000"/>
                <w:sz w:val="22"/>
              </w:rPr>
            </w:pPr>
            <w:r>
              <w:rPr>
                <w:rFonts w:ascii="仿宋_GB2312" w:eastAsia="仿宋_GB2312"/>
                <w:color w:val="000000"/>
                <w:sz w:val="22"/>
              </w:rPr>
              <w:t>10.92</w:t>
            </w:r>
          </w:p>
        </w:tc>
        <w:tc>
          <w:tcPr>
            <w:tcW w:w="1417" w:type="dxa"/>
            <w:noWrap/>
            <w:vAlign w:val="center"/>
          </w:tcPr>
          <w:p w14:paraId="3227404C">
            <w:pPr>
              <w:spacing w:line="400" w:lineRule="exact"/>
              <w:ind w:firstLine="0" w:firstLineChars="0"/>
              <w:jc w:val="center"/>
              <w:rPr>
                <w:rFonts w:ascii="仿宋_GB2312" w:eastAsia="仿宋_GB2312"/>
                <w:color w:val="000000"/>
                <w:sz w:val="22"/>
              </w:rPr>
            </w:pPr>
            <w:r>
              <w:rPr>
                <w:rFonts w:ascii="仿宋_GB2312" w:eastAsia="仿宋_GB2312"/>
                <w:color w:val="000000"/>
                <w:sz w:val="22"/>
              </w:rPr>
              <w:t>11.45</w:t>
            </w:r>
          </w:p>
        </w:tc>
        <w:tc>
          <w:tcPr>
            <w:tcW w:w="1368" w:type="dxa"/>
            <w:noWrap/>
            <w:vAlign w:val="center"/>
          </w:tcPr>
          <w:p w14:paraId="2F6EBB9D">
            <w:pPr>
              <w:spacing w:line="400" w:lineRule="exact"/>
              <w:ind w:firstLine="0" w:firstLineChars="0"/>
              <w:jc w:val="center"/>
              <w:rPr>
                <w:rFonts w:ascii="仿宋_GB2312" w:eastAsia="仿宋_GB2312"/>
                <w:color w:val="000000"/>
                <w:sz w:val="22"/>
              </w:rPr>
            </w:pPr>
            <w:r>
              <w:rPr>
                <w:rFonts w:ascii="仿宋_GB2312" w:eastAsia="仿宋_GB2312"/>
                <w:color w:val="000000"/>
                <w:sz w:val="22"/>
              </w:rPr>
              <w:t>12.24</w:t>
            </w:r>
          </w:p>
        </w:tc>
      </w:tr>
      <w:tr w14:paraId="78AC2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353" w:type="dxa"/>
            <w:gridSpan w:val="7"/>
            <w:shd w:val="clear" w:color="auto" w:fill="D9D9D9"/>
          </w:tcPr>
          <w:p w14:paraId="53F5E594">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其他各级资本要求</w:t>
            </w:r>
          </w:p>
        </w:tc>
      </w:tr>
      <w:tr w14:paraId="75ACB9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46A1DF7D">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8</w:t>
            </w:r>
          </w:p>
        </w:tc>
        <w:tc>
          <w:tcPr>
            <w:tcW w:w="2642" w:type="dxa"/>
            <w:noWrap/>
            <w:vAlign w:val="center"/>
          </w:tcPr>
          <w:p w14:paraId="72AFBD5B">
            <w:pPr>
              <w:spacing w:line="400" w:lineRule="exact"/>
              <w:ind w:firstLine="0" w:firstLineChars="0"/>
              <w:rPr>
                <w:rFonts w:ascii="仿宋_GB2312" w:eastAsia="仿宋_GB2312"/>
                <w:color w:val="000000"/>
                <w:sz w:val="22"/>
              </w:rPr>
            </w:pPr>
            <w:r>
              <w:rPr>
                <w:rFonts w:hint="eastAsia" w:ascii="仿宋_GB2312" w:eastAsia="仿宋_GB2312"/>
                <w:color w:val="000000"/>
                <w:sz w:val="22"/>
              </w:rPr>
              <w:t>储备资本要求（%）</w:t>
            </w:r>
          </w:p>
        </w:tc>
        <w:tc>
          <w:tcPr>
            <w:tcW w:w="1462" w:type="dxa"/>
            <w:vAlign w:val="center"/>
          </w:tcPr>
          <w:p w14:paraId="325ABA07">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2.50</w:t>
            </w:r>
          </w:p>
        </w:tc>
        <w:tc>
          <w:tcPr>
            <w:tcW w:w="1316" w:type="dxa"/>
            <w:vAlign w:val="center"/>
          </w:tcPr>
          <w:p w14:paraId="28C87B62">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2.50</w:t>
            </w:r>
          </w:p>
        </w:tc>
        <w:tc>
          <w:tcPr>
            <w:tcW w:w="1460" w:type="dxa"/>
            <w:noWrap/>
            <w:vAlign w:val="center"/>
          </w:tcPr>
          <w:p w14:paraId="0D8B1AD3">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2.50</w:t>
            </w:r>
          </w:p>
        </w:tc>
        <w:tc>
          <w:tcPr>
            <w:tcW w:w="1417" w:type="dxa"/>
            <w:noWrap/>
            <w:vAlign w:val="center"/>
          </w:tcPr>
          <w:p w14:paraId="692810B8">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2.50</w:t>
            </w:r>
          </w:p>
        </w:tc>
        <w:tc>
          <w:tcPr>
            <w:tcW w:w="1368" w:type="dxa"/>
            <w:noWrap/>
            <w:vAlign w:val="center"/>
          </w:tcPr>
          <w:p w14:paraId="6A9C9DB2">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2.50</w:t>
            </w:r>
          </w:p>
        </w:tc>
      </w:tr>
      <w:tr w14:paraId="021FC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474A638C">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9</w:t>
            </w:r>
          </w:p>
        </w:tc>
        <w:tc>
          <w:tcPr>
            <w:tcW w:w="2642" w:type="dxa"/>
            <w:noWrap/>
            <w:vAlign w:val="center"/>
          </w:tcPr>
          <w:p w14:paraId="5C15433B">
            <w:pPr>
              <w:spacing w:line="400" w:lineRule="exact"/>
              <w:ind w:firstLine="0" w:firstLineChars="0"/>
              <w:rPr>
                <w:rFonts w:ascii="仿宋_GB2312" w:eastAsia="仿宋_GB2312"/>
                <w:color w:val="000000"/>
                <w:sz w:val="22"/>
              </w:rPr>
            </w:pPr>
            <w:r>
              <w:rPr>
                <w:rFonts w:hint="eastAsia" w:ascii="仿宋_GB2312" w:eastAsia="仿宋_GB2312"/>
                <w:color w:val="000000"/>
                <w:sz w:val="22"/>
              </w:rPr>
              <w:t>逆周期资本要求（%）</w:t>
            </w:r>
          </w:p>
        </w:tc>
        <w:tc>
          <w:tcPr>
            <w:tcW w:w="1462" w:type="dxa"/>
            <w:vAlign w:val="center"/>
          </w:tcPr>
          <w:p w14:paraId="5D6C4768">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0</w:t>
            </w:r>
          </w:p>
        </w:tc>
        <w:tc>
          <w:tcPr>
            <w:tcW w:w="1316" w:type="dxa"/>
            <w:vAlign w:val="center"/>
          </w:tcPr>
          <w:p w14:paraId="70C2CBEC">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0</w:t>
            </w:r>
          </w:p>
        </w:tc>
        <w:tc>
          <w:tcPr>
            <w:tcW w:w="1460" w:type="dxa"/>
            <w:noWrap/>
            <w:vAlign w:val="center"/>
          </w:tcPr>
          <w:p w14:paraId="2BAD3457">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0</w:t>
            </w:r>
          </w:p>
        </w:tc>
        <w:tc>
          <w:tcPr>
            <w:tcW w:w="1417" w:type="dxa"/>
            <w:noWrap/>
            <w:vAlign w:val="center"/>
          </w:tcPr>
          <w:p w14:paraId="418DB4AF">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0</w:t>
            </w:r>
          </w:p>
        </w:tc>
        <w:tc>
          <w:tcPr>
            <w:tcW w:w="1368" w:type="dxa"/>
            <w:noWrap/>
            <w:vAlign w:val="center"/>
          </w:tcPr>
          <w:p w14:paraId="2D3F8110">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0</w:t>
            </w:r>
          </w:p>
        </w:tc>
      </w:tr>
      <w:tr w14:paraId="514E8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11EE3FE2">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10</w:t>
            </w:r>
          </w:p>
        </w:tc>
        <w:tc>
          <w:tcPr>
            <w:tcW w:w="2642" w:type="dxa"/>
            <w:noWrap/>
            <w:vAlign w:val="center"/>
          </w:tcPr>
          <w:p w14:paraId="669D0AC5">
            <w:pPr>
              <w:spacing w:line="400" w:lineRule="exact"/>
              <w:ind w:firstLine="0" w:firstLineChars="0"/>
              <w:rPr>
                <w:rFonts w:ascii="仿宋_GB2312" w:eastAsia="仿宋_GB2312"/>
                <w:color w:val="000000"/>
                <w:sz w:val="22"/>
              </w:rPr>
            </w:pPr>
            <w:r>
              <w:rPr>
                <w:rFonts w:hint="eastAsia" w:ascii="仿宋_GB2312" w:eastAsia="仿宋_GB2312"/>
                <w:color w:val="000000"/>
                <w:sz w:val="22"/>
              </w:rPr>
              <w:t>全球系统重要性银行或国内系统重要性银行附加资本要求（%）</w:t>
            </w:r>
          </w:p>
        </w:tc>
        <w:tc>
          <w:tcPr>
            <w:tcW w:w="1462" w:type="dxa"/>
            <w:vAlign w:val="center"/>
          </w:tcPr>
          <w:p w14:paraId="2CFDBB0E">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不适用</w:t>
            </w:r>
          </w:p>
        </w:tc>
        <w:tc>
          <w:tcPr>
            <w:tcW w:w="1316" w:type="dxa"/>
            <w:vAlign w:val="center"/>
          </w:tcPr>
          <w:p w14:paraId="69A94F24">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不适用</w:t>
            </w:r>
          </w:p>
        </w:tc>
        <w:tc>
          <w:tcPr>
            <w:tcW w:w="1460" w:type="dxa"/>
            <w:noWrap/>
            <w:vAlign w:val="center"/>
          </w:tcPr>
          <w:p w14:paraId="5F014684">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不适用</w:t>
            </w:r>
          </w:p>
        </w:tc>
        <w:tc>
          <w:tcPr>
            <w:tcW w:w="1417" w:type="dxa"/>
            <w:noWrap/>
            <w:vAlign w:val="center"/>
          </w:tcPr>
          <w:p w14:paraId="3824520F">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不适用</w:t>
            </w:r>
          </w:p>
        </w:tc>
        <w:tc>
          <w:tcPr>
            <w:tcW w:w="1368" w:type="dxa"/>
            <w:noWrap/>
            <w:vAlign w:val="center"/>
          </w:tcPr>
          <w:p w14:paraId="09A1563B">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不适用</w:t>
            </w:r>
          </w:p>
        </w:tc>
      </w:tr>
      <w:tr w14:paraId="1B65E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3AFC695D">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11</w:t>
            </w:r>
          </w:p>
        </w:tc>
        <w:tc>
          <w:tcPr>
            <w:tcW w:w="2642" w:type="dxa"/>
            <w:noWrap/>
            <w:vAlign w:val="center"/>
          </w:tcPr>
          <w:p w14:paraId="168EE87E">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其他各级资本要求（%）（8+9+10）</w:t>
            </w:r>
          </w:p>
        </w:tc>
        <w:tc>
          <w:tcPr>
            <w:tcW w:w="1462" w:type="dxa"/>
            <w:vAlign w:val="center"/>
          </w:tcPr>
          <w:p w14:paraId="7B345CAC">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2.50</w:t>
            </w:r>
          </w:p>
        </w:tc>
        <w:tc>
          <w:tcPr>
            <w:tcW w:w="1316" w:type="dxa"/>
            <w:vAlign w:val="center"/>
          </w:tcPr>
          <w:p w14:paraId="3D1939D6">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2.50</w:t>
            </w:r>
          </w:p>
        </w:tc>
        <w:tc>
          <w:tcPr>
            <w:tcW w:w="1460" w:type="dxa"/>
            <w:noWrap/>
            <w:vAlign w:val="center"/>
          </w:tcPr>
          <w:p w14:paraId="0DD7D835">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2.50</w:t>
            </w:r>
          </w:p>
        </w:tc>
        <w:tc>
          <w:tcPr>
            <w:tcW w:w="1417" w:type="dxa"/>
            <w:noWrap/>
            <w:vAlign w:val="center"/>
          </w:tcPr>
          <w:p w14:paraId="0FD5BF66">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2.50</w:t>
            </w:r>
          </w:p>
        </w:tc>
        <w:tc>
          <w:tcPr>
            <w:tcW w:w="1368" w:type="dxa"/>
            <w:noWrap/>
            <w:vAlign w:val="center"/>
          </w:tcPr>
          <w:p w14:paraId="06129768">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2.50</w:t>
            </w:r>
          </w:p>
        </w:tc>
      </w:tr>
      <w:tr w14:paraId="16A6B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65BAE0B4">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12</w:t>
            </w:r>
          </w:p>
        </w:tc>
        <w:tc>
          <w:tcPr>
            <w:tcW w:w="2642" w:type="dxa"/>
            <w:noWrap/>
            <w:vAlign w:val="center"/>
          </w:tcPr>
          <w:p w14:paraId="668CCB80">
            <w:pPr>
              <w:spacing w:line="400" w:lineRule="exact"/>
              <w:ind w:firstLine="0" w:firstLineChars="0"/>
              <w:rPr>
                <w:rFonts w:ascii="仿宋_GB2312" w:eastAsia="仿宋_GB2312"/>
                <w:color w:val="000000"/>
                <w:sz w:val="22"/>
              </w:rPr>
            </w:pPr>
            <w:r>
              <w:rPr>
                <w:rFonts w:hint="eastAsia" w:ascii="仿宋_GB2312" w:eastAsia="仿宋_GB2312"/>
                <w:color w:val="000000"/>
                <w:sz w:val="22"/>
              </w:rPr>
              <w:t>满足最低资本要求后的可用核心一级资本净额占风险加权资产的比例（%）</w:t>
            </w:r>
          </w:p>
        </w:tc>
        <w:tc>
          <w:tcPr>
            <w:tcW w:w="1462" w:type="dxa"/>
            <w:vAlign w:val="center"/>
          </w:tcPr>
          <w:p w14:paraId="7D9A89C6">
            <w:pPr>
              <w:spacing w:line="400" w:lineRule="exact"/>
              <w:ind w:firstLine="0" w:firstLineChars="0"/>
              <w:jc w:val="center"/>
              <w:rPr>
                <w:rFonts w:hint="eastAsia" w:ascii="仿宋_GB2312" w:eastAsia="仿宋_GB2312"/>
                <w:color w:val="000000"/>
                <w:sz w:val="22"/>
                <w:lang w:val="en-US" w:eastAsia="zh-CN"/>
              </w:rPr>
            </w:pPr>
            <w:r>
              <w:rPr>
                <w:rFonts w:ascii="仿宋_GB2312" w:eastAsia="仿宋_GB2312"/>
                <w:color w:val="000000"/>
                <w:sz w:val="22"/>
              </w:rPr>
              <w:t>2.</w:t>
            </w:r>
            <w:r>
              <w:rPr>
                <w:rFonts w:hint="eastAsia" w:ascii="仿宋_GB2312" w:eastAsia="仿宋_GB2312"/>
                <w:color w:val="000000"/>
                <w:sz w:val="22"/>
              </w:rPr>
              <w:t>7</w:t>
            </w:r>
            <w:r>
              <w:rPr>
                <w:rFonts w:hint="eastAsia" w:ascii="仿宋_GB2312" w:eastAsia="仿宋_GB2312"/>
                <w:color w:val="000000"/>
                <w:sz w:val="22"/>
                <w:lang w:val="en-US" w:eastAsia="zh-CN"/>
              </w:rPr>
              <w:t>3</w:t>
            </w:r>
          </w:p>
        </w:tc>
        <w:tc>
          <w:tcPr>
            <w:tcW w:w="1316" w:type="dxa"/>
            <w:vAlign w:val="center"/>
          </w:tcPr>
          <w:p w14:paraId="0ECA44FC">
            <w:pPr>
              <w:spacing w:line="400" w:lineRule="exact"/>
              <w:ind w:firstLine="0" w:firstLineChars="0"/>
              <w:jc w:val="center"/>
              <w:rPr>
                <w:rFonts w:ascii="仿宋_GB2312" w:eastAsia="仿宋_GB2312"/>
                <w:color w:val="000000"/>
                <w:sz w:val="22"/>
              </w:rPr>
            </w:pPr>
            <w:r>
              <w:rPr>
                <w:rFonts w:ascii="仿宋_GB2312" w:eastAsia="仿宋_GB2312"/>
                <w:color w:val="000000"/>
                <w:sz w:val="22"/>
              </w:rPr>
              <w:t>2.</w:t>
            </w:r>
            <w:r>
              <w:rPr>
                <w:rFonts w:hint="eastAsia" w:ascii="仿宋_GB2312" w:eastAsia="仿宋_GB2312"/>
                <w:color w:val="000000"/>
                <w:sz w:val="22"/>
              </w:rPr>
              <w:t>79</w:t>
            </w:r>
          </w:p>
        </w:tc>
        <w:tc>
          <w:tcPr>
            <w:tcW w:w="1460" w:type="dxa"/>
            <w:noWrap/>
            <w:vAlign w:val="center"/>
          </w:tcPr>
          <w:p w14:paraId="741D3329">
            <w:pPr>
              <w:spacing w:line="400" w:lineRule="exact"/>
              <w:ind w:firstLine="0" w:firstLineChars="0"/>
              <w:jc w:val="center"/>
              <w:rPr>
                <w:rFonts w:ascii="仿宋_GB2312" w:eastAsia="仿宋_GB2312"/>
                <w:color w:val="000000"/>
                <w:sz w:val="22"/>
              </w:rPr>
            </w:pPr>
            <w:r>
              <w:rPr>
                <w:rFonts w:ascii="仿宋_GB2312" w:eastAsia="仿宋_GB2312"/>
                <w:color w:val="000000"/>
                <w:sz w:val="22"/>
              </w:rPr>
              <w:t>2.92</w:t>
            </w:r>
          </w:p>
        </w:tc>
        <w:tc>
          <w:tcPr>
            <w:tcW w:w="1417" w:type="dxa"/>
            <w:noWrap/>
            <w:vAlign w:val="center"/>
          </w:tcPr>
          <w:p w14:paraId="1F48F5A5">
            <w:pPr>
              <w:spacing w:line="400" w:lineRule="exact"/>
              <w:ind w:firstLine="0" w:firstLineChars="0"/>
              <w:jc w:val="center"/>
              <w:rPr>
                <w:rFonts w:ascii="仿宋_GB2312" w:eastAsia="仿宋_GB2312"/>
                <w:color w:val="000000"/>
                <w:sz w:val="22"/>
              </w:rPr>
            </w:pPr>
            <w:r>
              <w:rPr>
                <w:rFonts w:ascii="仿宋_GB2312" w:eastAsia="仿宋_GB2312"/>
                <w:color w:val="000000"/>
                <w:sz w:val="22"/>
              </w:rPr>
              <w:t>3.46</w:t>
            </w:r>
          </w:p>
        </w:tc>
        <w:tc>
          <w:tcPr>
            <w:tcW w:w="1368" w:type="dxa"/>
            <w:noWrap/>
            <w:vAlign w:val="center"/>
          </w:tcPr>
          <w:p w14:paraId="4FE1F1B5">
            <w:pPr>
              <w:spacing w:line="400" w:lineRule="exact"/>
              <w:ind w:firstLine="0" w:firstLineChars="0"/>
              <w:jc w:val="center"/>
              <w:rPr>
                <w:rFonts w:ascii="仿宋_GB2312" w:eastAsia="仿宋_GB2312"/>
                <w:color w:val="000000"/>
                <w:sz w:val="22"/>
              </w:rPr>
            </w:pPr>
            <w:r>
              <w:rPr>
                <w:rFonts w:ascii="仿宋_GB2312" w:eastAsia="仿宋_GB2312"/>
                <w:color w:val="000000"/>
                <w:sz w:val="22"/>
              </w:rPr>
              <w:t>4.04</w:t>
            </w:r>
          </w:p>
        </w:tc>
      </w:tr>
      <w:tr w14:paraId="03CAE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353" w:type="dxa"/>
            <w:gridSpan w:val="7"/>
            <w:shd w:val="clear" w:color="auto" w:fill="D9D9D9"/>
          </w:tcPr>
          <w:p w14:paraId="6A0395D2">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 xml:space="preserve"> 杠杆率 </w:t>
            </w:r>
          </w:p>
        </w:tc>
      </w:tr>
      <w:tr w14:paraId="23F301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5CB55C1C">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13</w:t>
            </w:r>
          </w:p>
        </w:tc>
        <w:tc>
          <w:tcPr>
            <w:tcW w:w="2642" w:type="dxa"/>
            <w:noWrap/>
            <w:vAlign w:val="center"/>
          </w:tcPr>
          <w:p w14:paraId="14A95943">
            <w:pPr>
              <w:spacing w:line="400" w:lineRule="exact"/>
              <w:ind w:firstLine="0" w:firstLineChars="0"/>
              <w:rPr>
                <w:rFonts w:ascii="仿宋_GB2312" w:eastAsia="仿宋_GB2312"/>
                <w:color w:val="000000"/>
                <w:sz w:val="22"/>
              </w:rPr>
            </w:pPr>
            <w:r>
              <w:rPr>
                <w:rFonts w:hint="eastAsia" w:ascii="仿宋_GB2312" w:eastAsia="仿宋_GB2312"/>
                <w:color w:val="000000"/>
                <w:sz w:val="22"/>
              </w:rPr>
              <w:t>调整后表内外资产余额</w:t>
            </w:r>
          </w:p>
        </w:tc>
        <w:tc>
          <w:tcPr>
            <w:tcW w:w="1462" w:type="dxa"/>
            <w:vAlign w:val="center"/>
          </w:tcPr>
          <w:p w14:paraId="18DB0CCF">
            <w:pPr>
              <w:keepNext w:val="0"/>
              <w:keepLines w:val="0"/>
              <w:widowControl/>
              <w:suppressLineNumbers w:val="0"/>
              <w:ind w:left="0" w:leftChars="0" w:firstLine="0" w:firstLineChars="0"/>
              <w:jc w:val="both"/>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42,325,630</w:t>
            </w:r>
          </w:p>
        </w:tc>
        <w:tc>
          <w:tcPr>
            <w:tcW w:w="1316" w:type="dxa"/>
            <w:vAlign w:val="top"/>
          </w:tcPr>
          <w:p w14:paraId="04BAD0B6">
            <w:pPr>
              <w:spacing w:line="400" w:lineRule="exact"/>
              <w:ind w:firstLine="0" w:firstLineChars="0"/>
              <w:jc w:val="right"/>
              <w:rPr>
                <w:rFonts w:ascii="仿宋_GB2312" w:eastAsia="仿宋_GB2312"/>
                <w:color w:val="000000"/>
                <w:sz w:val="22"/>
              </w:rPr>
            </w:pPr>
            <w:r>
              <w:rPr>
                <w:rFonts w:ascii="仿宋_GB2312" w:eastAsia="仿宋_GB2312"/>
                <w:color w:val="000000"/>
                <w:sz w:val="22"/>
              </w:rPr>
              <w:t>41,672,983</w:t>
            </w:r>
          </w:p>
        </w:tc>
        <w:tc>
          <w:tcPr>
            <w:tcW w:w="1460" w:type="dxa"/>
            <w:noWrap/>
            <w:vAlign w:val="top"/>
          </w:tcPr>
          <w:p w14:paraId="51D5196B">
            <w:pPr>
              <w:spacing w:line="400" w:lineRule="exact"/>
              <w:ind w:firstLine="0" w:firstLineChars="0"/>
              <w:jc w:val="right"/>
              <w:rPr>
                <w:rFonts w:ascii="仿宋_GB2312" w:eastAsia="仿宋_GB2312"/>
                <w:color w:val="000000"/>
                <w:sz w:val="22"/>
              </w:rPr>
            </w:pPr>
            <w:r>
              <w:rPr>
                <w:rFonts w:ascii="仿宋_GB2312" w:eastAsia="仿宋_GB2312"/>
                <w:color w:val="000000"/>
                <w:sz w:val="22"/>
              </w:rPr>
              <w:t>39,647,956</w:t>
            </w:r>
          </w:p>
        </w:tc>
        <w:tc>
          <w:tcPr>
            <w:tcW w:w="1417" w:type="dxa"/>
            <w:noWrap/>
            <w:vAlign w:val="top"/>
          </w:tcPr>
          <w:p w14:paraId="1ABE3871">
            <w:pPr>
              <w:spacing w:line="400" w:lineRule="exact"/>
              <w:ind w:firstLine="0" w:firstLineChars="0"/>
              <w:jc w:val="right"/>
              <w:rPr>
                <w:rFonts w:ascii="仿宋_GB2312" w:eastAsia="仿宋_GB2312"/>
                <w:color w:val="000000"/>
                <w:sz w:val="22"/>
              </w:rPr>
            </w:pPr>
            <w:r>
              <w:rPr>
                <w:rFonts w:ascii="仿宋_GB2312" w:eastAsia="仿宋_GB2312"/>
                <w:color w:val="000000"/>
                <w:sz w:val="22"/>
              </w:rPr>
              <w:t>38,001,334</w:t>
            </w:r>
          </w:p>
        </w:tc>
        <w:tc>
          <w:tcPr>
            <w:tcW w:w="1368" w:type="dxa"/>
            <w:noWrap/>
            <w:vAlign w:val="top"/>
          </w:tcPr>
          <w:p w14:paraId="601169B2">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37,711,502 </w:t>
            </w:r>
          </w:p>
        </w:tc>
      </w:tr>
      <w:tr w14:paraId="491C6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52E4D727">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14</w:t>
            </w:r>
          </w:p>
        </w:tc>
        <w:tc>
          <w:tcPr>
            <w:tcW w:w="2642" w:type="dxa"/>
            <w:noWrap/>
            <w:vAlign w:val="center"/>
          </w:tcPr>
          <w:p w14:paraId="25F86F1E">
            <w:pPr>
              <w:spacing w:line="400" w:lineRule="exact"/>
              <w:ind w:firstLine="0" w:firstLineChars="0"/>
              <w:rPr>
                <w:rFonts w:ascii="仿宋_GB2312" w:eastAsia="仿宋_GB2312"/>
                <w:color w:val="000000"/>
                <w:sz w:val="22"/>
              </w:rPr>
            </w:pPr>
            <w:r>
              <w:rPr>
                <w:rFonts w:hint="eastAsia" w:ascii="仿宋_GB2312" w:eastAsia="仿宋_GB2312"/>
                <w:color w:val="000000"/>
                <w:sz w:val="22"/>
              </w:rPr>
              <w:t>杠杆率（%）</w:t>
            </w:r>
          </w:p>
        </w:tc>
        <w:tc>
          <w:tcPr>
            <w:tcW w:w="1462" w:type="dxa"/>
            <w:vAlign w:val="center"/>
          </w:tcPr>
          <w:p w14:paraId="071198E5">
            <w:pPr>
              <w:keepNext w:val="0"/>
              <w:keepLines w:val="0"/>
              <w:widowControl/>
              <w:suppressLineNumbers w:val="0"/>
              <w:ind w:firstLine="440" w:firstLineChars="200"/>
              <w:jc w:val="right"/>
              <w:textAlignment w:val="center"/>
              <w:rPr>
                <w:rFonts w:hint="default" w:ascii="仿宋_GB2312" w:eastAsia="仿宋_GB2312"/>
                <w:color w:val="000000"/>
                <w:sz w:val="22"/>
                <w:lang w:val="en-US"/>
              </w:rPr>
            </w:pPr>
            <w:r>
              <w:rPr>
                <w:rFonts w:hint="eastAsia" w:ascii="仿宋_GB2312" w:hAnsi="宋体" w:eastAsia="仿宋_GB2312" w:cs="仿宋_GB2312"/>
                <w:i w:val="0"/>
                <w:iCs w:val="0"/>
                <w:color w:val="000000"/>
                <w:kern w:val="0"/>
                <w:sz w:val="22"/>
                <w:szCs w:val="22"/>
                <w:u w:val="none"/>
                <w:lang w:val="en-US" w:eastAsia="zh-CN" w:bidi="ar"/>
              </w:rPr>
              <w:t>6.0</w:t>
            </w:r>
          </w:p>
        </w:tc>
        <w:tc>
          <w:tcPr>
            <w:tcW w:w="1316" w:type="dxa"/>
            <w:vAlign w:val="top"/>
          </w:tcPr>
          <w:p w14:paraId="79C220DF">
            <w:pPr>
              <w:spacing w:line="400" w:lineRule="exact"/>
              <w:ind w:firstLine="0" w:firstLineChars="0"/>
              <w:jc w:val="right"/>
              <w:rPr>
                <w:rFonts w:ascii="仿宋_GB2312" w:eastAsia="仿宋_GB2312"/>
                <w:color w:val="000000"/>
                <w:sz w:val="22"/>
              </w:rPr>
            </w:pPr>
            <w:r>
              <w:rPr>
                <w:rFonts w:ascii="仿宋_GB2312" w:eastAsia="仿宋_GB2312"/>
                <w:color w:val="000000"/>
                <w:sz w:val="22"/>
              </w:rPr>
              <w:t>5.93</w:t>
            </w:r>
          </w:p>
        </w:tc>
        <w:tc>
          <w:tcPr>
            <w:tcW w:w="1460" w:type="dxa"/>
            <w:noWrap/>
            <w:vAlign w:val="top"/>
          </w:tcPr>
          <w:p w14:paraId="1D44450D">
            <w:pPr>
              <w:spacing w:line="400" w:lineRule="exact"/>
              <w:ind w:firstLine="0" w:firstLineChars="0"/>
              <w:jc w:val="right"/>
              <w:rPr>
                <w:rFonts w:ascii="仿宋_GB2312" w:eastAsia="仿宋_GB2312"/>
                <w:color w:val="000000"/>
                <w:sz w:val="22"/>
              </w:rPr>
            </w:pPr>
            <w:r>
              <w:rPr>
                <w:rFonts w:ascii="仿宋_GB2312" w:eastAsia="仿宋_GB2312"/>
                <w:color w:val="000000"/>
                <w:sz w:val="22"/>
              </w:rPr>
              <w:t>6.13</w:t>
            </w:r>
          </w:p>
        </w:tc>
        <w:tc>
          <w:tcPr>
            <w:tcW w:w="1417" w:type="dxa"/>
            <w:noWrap/>
            <w:vAlign w:val="top"/>
          </w:tcPr>
          <w:p w14:paraId="03FDAFCB">
            <w:pPr>
              <w:spacing w:line="400" w:lineRule="exact"/>
              <w:ind w:firstLine="0" w:firstLineChars="0"/>
              <w:jc w:val="right"/>
              <w:rPr>
                <w:rFonts w:ascii="仿宋_GB2312" w:eastAsia="仿宋_GB2312"/>
                <w:color w:val="000000"/>
                <w:sz w:val="22"/>
              </w:rPr>
            </w:pPr>
            <w:r>
              <w:rPr>
                <w:rFonts w:ascii="仿宋_GB2312" w:eastAsia="仿宋_GB2312"/>
                <w:color w:val="000000"/>
                <w:sz w:val="22"/>
              </w:rPr>
              <w:t>6.55</w:t>
            </w:r>
          </w:p>
        </w:tc>
        <w:tc>
          <w:tcPr>
            <w:tcW w:w="1368" w:type="dxa"/>
            <w:noWrap/>
            <w:vAlign w:val="top"/>
          </w:tcPr>
          <w:p w14:paraId="1A6D03A6">
            <w:pPr>
              <w:spacing w:line="400" w:lineRule="exact"/>
              <w:ind w:firstLine="0" w:firstLineChars="0"/>
              <w:jc w:val="right"/>
              <w:rPr>
                <w:rFonts w:ascii="仿宋_GB2312" w:eastAsia="仿宋_GB2312"/>
                <w:color w:val="000000"/>
                <w:sz w:val="22"/>
              </w:rPr>
            </w:pPr>
            <w:r>
              <w:rPr>
                <w:rFonts w:ascii="仿宋_GB2312" w:eastAsia="仿宋_GB2312"/>
                <w:color w:val="000000"/>
                <w:sz w:val="22"/>
              </w:rPr>
              <w:t>6.79</w:t>
            </w:r>
          </w:p>
        </w:tc>
      </w:tr>
      <w:tr w14:paraId="44B86A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76CEA2B6">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14a</w:t>
            </w:r>
          </w:p>
        </w:tc>
        <w:tc>
          <w:tcPr>
            <w:tcW w:w="2642" w:type="dxa"/>
            <w:noWrap/>
            <w:vAlign w:val="center"/>
          </w:tcPr>
          <w:p w14:paraId="310F1114">
            <w:pPr>
              <w:spacing w:line="400" w:lineRule="exact"/>
              <w:ind w:firstLine="0" w:firstLineChars="0"/>
              <w:rPr>
                <w:rFonts w:ascii="仿宋_GB2312" w:eastAsia="仿宋_GB2312"/>
                <w:color w:val="000000"/>
                <w:sz w:val="22"/>
              </w:rPr>
            </w:pPr>
            <w:r>
              <w:rPr>
                <w:rFonts w:hint="eastAsia" w:ascii="仿宋_GB2312" w:eastAsia="仿宋_GB2312"/>
                <w:color w:val="000000"/>
                <w:sz w:val="22"/>
              </w:rPr>
              <w:t>杠杆率a（%）</w:t>
            </w:r>
          </w:p>
        </w:tc>
        <w:tc>
          <w:tcPr>
            <w:tcW w:w="1462" w:type="dxa"/>
            <w:vAlign w:val="center"/>
          </w:tcPr>
          <w:p w14:paraId="4EAE1DD3">
            <w:pPr>
              <w:keepNext w:val="0"/>
              <w:keepLines w:val="0"/>
              <w:widowControl/>
              <w:suppressLineNumbers w:val="0"/>
              <w:ind w:firstLine="440" w:firstLineChars="200"/>
              <w:jc w:val="right"/>
              <w:textAlignment w:val="center"/>
              <w:rPr>
                <w:rFonts w:hint="default" w:ascii="仿宋_GB2312" w:eastAsia="仿宋_GB2312"/>
                <w:color w:val="000000"/>
                <w:sz w:val="22"/>
                <w:lang w:val="en-US"/>
              </w:rPr>
            </w:pPr>
            <w:r>
              <w:rPr>
                <w:rFonts w:hint="eastAsia" w:ascii="仿宋_GB2312" w:hAnsi="宋体" w:eastAsia="仿宋_GB2312" w:cs="仿宋_GB2312"/>
                <w:i w:val="0"/>
                <w:iCs w:val="0"/>
                <w:color w:val="000000"/>
                <w:kern w:val="0"/>
                <w:sz w:val="22"/>
                <w:szCs w:val="22"/>
                <w:u w:val="none"/>
                <w:lang w:val="en-US" w:eastAsia="zh-CN" w:bidi="ar"/>
              </w:rPr>
              <w:t>6.0</w:t>
            </w:r>
          </w:p>
        </w:tc>
        <w:tc>
          <w:tcPr>
            <w:tcW w:w="1316" w:type="dxa"/>
            <w:vAlign w:val="top"/>
          </w:tcPr>
          <w:p w14:paraId="2C811916">
            <w:pPr>
              <w:spacing w:line="400" w:lineRule="exact"/>
              <w:ind w:firstLine="0" w:firstLineChars="0"/>
              <w:jc w:val="right"/>
              <w:rPr>
                <w:rFonts w:ascii="仿宋_GB2312" w:eastAsia="仿宋_GB2312"/>
                <w:color w:val="000000"/>
                <w:sz w:val="22"/>
              </w:rPr>
            </w:pPr>
            <w:r>
              <w:rPr>
                <w:rFonts w:ascii="仿宋_GB2312" w:eastAsia="仿宋_GB2312"/>
                <w:color w:val="000000"/>
                <w:sz w:val="22"/>
              </w:rPr>
              <w:t>5.93</w:t>
            </w:r>
          </w:p>
        </w:tc>
        <w:tc>
          <w:tcPr>
            <w:tcW w:w="1460" w:type="dxa"/>
            <w:noWrap/>
            <w:vAlign w:val="top"/>
          </w:tcPr>
          <w:p w14:paraId="771B2B78">
            <w:pPr>
              <w:spacing w:line="400" w:lineRule="exact"/>
              <w:ind w:firstLine="0" w:firstLineChars="0"/>
              <w:jc w:val="right"/>
              <w:rPr>
                <w:rFonts w:ascii="仿宋_GB2312" w:eastAsia="仿宋_GB2312"/>
                <w:color w:val="000000"/>
                <w:sz w:val="22"/>
              </w:rPr>
            </w:pPr>
            <w:r>
              <w:rPr>
                <w:rFonts w:ascii="仿宋_GB2312" w:eastAsia="仿宋_GB2312"/>
                <w:color w:val="000000"/>
                <w:sz w:val="22"/>
              </w:rPr>
              <w:t>6.13</w:t>
            </w:r>
          </w:p>
        </w:tc>
        <w:tc>
          <w:tcPr>
            <w:tcW w:w="1417" w:type="dxa"/>
            <w:noWrap/>
            <w:vAlign w:val="top"/>
          </w:tcPr>
          <w:p w14:paraId="0430D105">
            <w:pPr>
              <w:spacing w:line="400" w:lineRule="exact"/>
              <w:ind w:firstLine="0" w:firstLineChars="0"/>
              <w:jc w:val="right"/>
              <w:rPr>
                <w:rFonts w:ascii="仿宋_GB2312" w:eastAsia="仿宋_GB2312"/>
                <w:color w:val="000000"/>
                <w:sz w:val="22"/>
              </w:rPr>
            </w:pPr>
            <w:r>
              <w:rPr>
                <w:rFonts w:ascii="仿宋_GB2312" w:eastAsia="仿宋_GB2312"/>
                <w:color w:val="000000"/>
                <w:sz w:val="22"/>
              </w:rPr>
              <w:t>6.55</w:t>
            </w:r>
          </w:p>
        </w:tc>
        <w:tc>
          <w:tcPr>
            <w:tcW w:w="1368" w:type="dxa"/>
            <w:noWrap/>
            <w:vAlign w:val="top"/>
          </w:tcPr>
          <w:p w14:paraId="516FD946">
            <w:pPr>
              <w:spacing w:line="400" w:lineRule="exact"/>
              <w:ind w:firstLine="0" w:firstLineChars="0"/>
              <w:jc w:val="right"/>
              <w:rPr>
                <w:rFonts w:ascii="仿宋_GB2312" w:eastAsia="仿宋_GB2312"/>
                <w:color w:val="000000"/>
                <w:sz w:val="22"/>
              </w:rPr>
            </w:pPr>
            <w:r>
              <w:rPr>
                <w:rFonts w:ascii="仿宋_GB2312" w:eastAsia="仿宋_GB2312"/>
                <w:color w:val="000000"/>
                <w:sz w:val="22"/>
              </w:rPr>
              <w:t>6.79</w:t>
            </w:r>
          </w:p>
        </w:tc>
      </w:tr>
      <w:tr w14:paraId="753B48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353" w:type="dxa"/>
            <w:gridSpan w:val="7"/>
            <w:shd w:val="clear" w:color="auto" w:fill="D9D9D9"/>
          </w:tcPr>
          <w:p w14:paraId="3694E2EF">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流动性覆盖率</w:t>
            </w:r>
          </w:p>
        </w:tc>
      </w:tr>
      <w:tr w14:paraId="4105D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51ED1E6D">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15</w:t>
            </w:r>
          </w:p>
        </w:tc>
        <w:tc>
          <w:tcPr>
            <w:tcW w:w="2642" w:type="dxa"/>
            <w:noWrap/>
            <w:vAlign w:val="center"/>
          </w:tcPr>
          <w:p w14:paraId="1F74007A">
            <w:pPr>
              <w:spacing w:line="400" w:lineRule="exact"/>
              <w:ind w:firstLine="0" w:firstLineChars="0"/>
              <w:rPr>
                <w:rFonts w:ascii="仿宋_GB2312" w:eastAsia="仿宋_GB2312"/>
                <w:color w:val="000000"/>
                <w:sz w:val="22"/>
              </w:rPr>
            </w:pPr>
            <w:r>
              <w:rPr>
                <w:rFonts w:hint="eastAsia" w:ascii="仿宋_GB2312" w:eastAsia="仿宋_GB2312"/>
                <w:color w:val="000000"/>
                <w:sz w:val="22"/>
              </w:rPr>
              <w:t>合格优质流动性资产</w:t>
            </w:r>
          </w:p>
        </w:tc>
        <w:tc>
          <w:tcPr>
            <w:tcW w:w="1462" w:type="dxa"/>
            <w:vAlign w:val="center"/>
          </w:tcPr>
          <w:p w14:paraId="03254E12">
            <w:pPr>
              <w:keepNext w:val="0"/>
              <w:keepLines w:val="0"/>
              <w:widowControl/>
              <w:suppressLineNumbers w:val="0"/>
              <w:ind w:left="0" w:leftChars="0" w:firstLine="0" w:firstLineChars="0"/>
              <w:jc w:val="right"/>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6,414,738</w:t>
            </w:r>
          </w:p>
        </w:tc>
        <w:tc>
          <w:tcPr>
            <w:tcW w:w="1316" w:type="dxa"/>
            <w:vAlign w:val="top"/>
          </w:tcPr>
          <w:p w14:paraId="1FF8D5A6">
            <w:pPr>
              <w:spacing w:line="400" w:lineRule="exact"/>
              <w:ind w:firstLine="0" w:firstLineChars="0"/>
              <w:jc w:val="right"/>
              <w:rPr>
                <w:rFonts w:ascii="仿宋_GB2312" w:eastAsia="仿宋_GB2312"/>
                <w:color w:val="000000"/>
                <w:sz w:val="22"/>
              </w:rPr>
            </w:pPr>
            <w:r>
              <w:rPr>
                <w:rFonts w:ascii="仿宋_GB2312" w:eastAsia="仿宋_GB2312"/>
                <w:color w:val="000000"/>
                <w:sz w:val="22"/>
              </w:rPr>
              <w:t>8,116,702</w:t>
            </w:r>
          </w:p>
        </w:tc>
        <w:tc>
          <w:tcPr>
            <w:tcW w:w="1460" w:type="dxa"/>
            <w:noWrap/>
            <w:vAlign w:val="top"/>
          </w:tcPr>
          <w:p w14:paraId="155B88E6">
            <w:pPr>
              <w:spacing w:line="400" w:lineRule="exact"/>
              <w:ind w:firstLine="0" w:firstLineChars="0"/>
              <w:jc w:val="right"/>
              <w:rPr>
                <w:rFonts w:ascii="仿宋_GB2312" w:eastAsia="仿宋_GB2312"/>
                <w:color w:val="000000"/>
                <w:sz w:val="22"/>
              </w:rPr>
            </w:pPr>
            <w:r>
              <w:rPr>
                <w:rFonts w:ascii="仿宋_GB2312" w:eastAsia="仿宋_GB2312"/>
                <w:color w:val="000000"/>
                <w:sz w:val="22"/>
              </w:rPr>
              <w:t>6,665,583</w:t>
            </w:r>
          </w:p>
        </w:tc>
        <w:tc>
          <w:tcPr>
            <w:tcW w:w="1417" w:type="dxa"/>
            <w:noWrap/>
            <w:vAlign w:val="top"/>
          </w:tcPr>
          <w:p w14:paraId="679B5439">
            <w:pPr>
              <w:spacing w:line="400" w:lineRule="exact"/>
              <w:ind w:firstLine="0" w:firstLineChars="0"/>
              <w:jc w:val="right"/>
              <w:rPr>
                <w:rFonts w:ascii="仿宋_GB2312" w:eastAsia="仿宋_GB2312"/>
                <w:color w:val="000000"/>
                <w:sz w:val="22"/>
              </w:rPr>
            </w:pPr>
            <w:r>
              <w:rPr>
                <w:rFonts w:ascii="仿宋_GB2312" w:eastAsia="仿宋_GB2312"/>
                <w:color w:val="000000"/>
                <w:sz w:val="22"/>
              </w:rPr>
              <w:t>7,153,495</w:t>
            </w:r>
          </w:p>
        </w:tc>
        <w:tc>
          <w:tcPr>
            <w:tcW w:w="1368" w:type="dxa"/>
            <w:noWrap/>
            <w:vAlign w:val="top"/>
          </w:tcPr>
          <w:p w14:paraId="0C31B113">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7,011,250 </w:t>
            </w:r>
          </w:p>
        </w:tc>
      </w:tr>
      <w:tr w14:paraId="5E8120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3FAA6592">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16</w:t>
            </w:r>
          </w:p>
        </w:tc>
        <w:tc>
          <w:tcPr>
            <w:tcW w:w="2642" w:type="dxa"/>
            <w:noWrap/>
            <w:vAlign w:val="center"/>
          </w:tcPr>
          <w:p w14:paraId="1072E707">
            <w:pPr>
              <w:spacing w:line="400" w:lineRule="exact"/>
              <w:ind w:firstLine="0" w:firstLineChars="0"/>
              <w:rPr>
                <w:rFonts w:ascii="仿宋_GB2312" w:eastAsia="仿宋_GB2312"/>
                <w:color w:val="000000"/>
                <w:sz w:val="22"/>
              </w:rPr>
            </w:pPr>
            <w:r>
              <w:rPr>
                <w:rFonts w:hint="eastAsia" w:ascii="仿宋_GB2312" w:eastAsia="仿宋_GB2312"/>
                <w:color w:val="000000"/>
                <w:sz w:val="22"/>
              </w:rPr>
              <w:t>现金净流出量</w:t>
            </w:r>
          </w:p>
        </w:tc>
        <w:tc>
          <w:tcPr>
            <w:tcW w:w="1462" w:type="dxa"/>
            <w:vAlign w:val="center"/>
          </w:tcPr>
          <w:p w14:paraId="70BE825F">
            <w:pPr>
              <w:keepNext w:val="0"/>
              <w:keepLines w:val="0"/>
              <w:widowControl/>
              <w:suppressLineNumbers w:val="0"/>
              <w:ind w:left="0" w:leftChars="0" w:firstLine="0" w:firstLineChars="0"/>
              <w:jc w:val="right"/>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2,285,415</w:t>
            </w:r>
          </w:p>
        </w:tc>
        <w:tc>
          <w:tcPr>
            <w:tcW w:w="1316" w:type="dxa"/>
            <w:vAlign w:val="top"/>
          </w:tcPr>
          <w:p w14:paraId="42C2E859">
            <w:pPr>
              <w:spacing w:line="400" w:lineRule="exact"/>
              <w:ind w:firstLine="0" w:firstLineChars="0"/>
              <w:jc w:val="right"/>
              <w:rPr>
                <w:rFonts w:ascii="仿宋_GB2312" w:eastAsia="仿宋_GB2312"/>
                <w:color w:val="000000"/>
                <w:sz w:val="22"/>
              </w:rPr>
            </w:pPr>
            <w:r>
              <w:rPr>
                <w:rFonts w:ascii="仿宋_GB2312" w:eastAsia="仿宋_GB2312"/>
                <w:color w:val="000000"/>
                <w:sz w:val="22"/>
              </w:rPr>
              <w:t>2,533,582</w:t>
            </w:r>
          </w:p>
        </w:tc>
        <w:tc>
          <w:tcPr>
            <w:tcW w:w="1460" w:type="dxa"/>
            <w:noWrap/>
            <w:vAlign w:val="top"/>
          </w:tcPr>
          <w:p w14:paraId="127C6B9F">
            <w:pPr>
              <w:spacing w:line="400" w:lineRule="exact"/>
              <w:ind w:firstLine="0" w:firstLineChars="0"/>
              <w:jc w:val="right"/>
              <w:rPr>
                <w:rFonts w:ascii="仿宋_GB2312" w:eastAsia="仿宋_GB2312"/>
                <w:color w:val="000000"/>
                <w:sz w:val="22"/>
              </w:rPr>
            </w:pPr>
            <w:r>
              <w:rPr>
                <w:rFonts w:ascii="仿宋_GB2312" w:eastAsia="仿宋_GB2312"/>
                <w:color w:val="000000"/>
                <w:sz w:val="22"/>
              </w:rPr>
              <w:t>1,550,956</w:t>
            </w:r>
          </w:p>
        </w:tc>
        <w:tc>
          <w:tcPr>
            <w:tcW w:w="1417" w:type="dxa"/>
            <w:noWrap/>
            <w:vAlign w:val="top"/>
          </w:tcPr>
          <w:p w14:paraId="3729565C">
            <w:pPr>
              <w:spacing w:line="400" w:lineRule="exact"/>
              <w:ind w:firstLine="0" w:firstLineChars="0"/>
              <w:jc w:val="right"/>
              <w:rPr>
                <w:rFonts w:ascii="仿宋_GB2312" w:eastAsia="仿宋_GB2312"/>
                <w:color w:val="000000"/>
                <w:sz w:val="22"/>
              </w:rPr>
            </w:pPr>
            <w:r>
              <w:rPr>
                <w:rFonts w:ascii="仿宋_GB2312" w:eastAsia="仿宋_GB2312"/>
                <w:color w:val="000000"/>
                <w:sz w:val="22"/>
              </w:rPr>
              <w:t>2,902,158</w:t>
            </w:r>
          </w:p>
        </w:tc>
        <w:tc>
          <w:tcPr>
            <w:tcW w:w="1368" w:type="dxa"/>
            <w:noWrap/>
            <w:vAlign w:val="top"/>
          </w:tcPr>
          <w:p w14:paraId="78310549">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2,445,685 </w:t>
            </w:r>
          </w:p>
        </w:tc>
      </w:tr>
      <w:tr w14:paraId="1E80B6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7E11936B">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17</w:t>
            </w:r>
          </w:p>
        </w:tc>
        <w:tc>
          <w:tcPr>
            <w:tcW w:w="2642" w:type="dxa"/>
            <w:noWrap/>
            <w:vAlign w:val="center"/>
          </w:tcPr>
          <w:p w14:paraId="421F3DD4">
            <w:pPr>
              <w:spacing w:line="400" w:lineRule="exact"/>
              <w:ind w:firstLine="0" w:firstLineChars="0"/>
              <w:rPr>
                <w:rFonts w:ascii="仿宋_GB2312" w:eastAsia="仿宋_GB2312"/>
                <w:color w:val="000000"/>
                <w:sz w:val="22"/>
              </w:rPr>
            </w:pPr>
            <w:r>
              <w:rPr>
                <w:rFonts w:hint="eastAsia" w:ascii="仿宋_GB2312" w:eastAsia="仿宋_GB2312"/>
                <w:color w:val="000000"/>
                <w:sz w:val="22"/>
              </w:rPr>
              <w:t>流动性覆盖率（%）</w:t>
            </w:r>
          </w:p>
        </w:tc>
        <w:tc>
          <w:tcPr>
            <w:tcW w:w="1462" w:type="dxa"/>
            <w:vAlign w:val="center"/>
          </w:tcPr>
          <w:p w14:paraId="7DB86DD5">
            <w:pPr>
              <w:keepNext w:val="0"/>
              <w:keepLines w:val="0"/>
              <w:widowControl/>
              <w:suppressLineNumbers w:val="0"/>
              <w:ind w:firstLine="440" w:firstLineChars="200"/>
              <w:jc w:val="right"/>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 xml:space="preserve"> 280.68 </w:t>
            </w:r>
          </w:p>
        </w:tc>
        <w:tc>
          <w:tcPr>
            <w:tcW w:w="1316" w:type="dxa"/>
            <w:vAlign w:val="top"/>
          </w:tcPr>
          <w:p w14:paraId="428605F8">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 320.36 </w:t>
            </w:r>
          </w:p>
        </w:tc>
        <w:tc>
          <w:tcPr>
            <w:tcW w:w="1460" w:type="dxa"/>
            <w:noWrap/>
            <w:vAlign w:val="top"/>
          </w:tcPr>
          <w:p w14:paraId="4DA48B44">
            <w:pPr>
              <w:spacing w:line="400" w:lineRule="exact"/>
              <w:ind w:firstLine="0" w:firstLineChars="0"/>
              <w:jc w:val="right"/>
              <w:rPr>
                <w:rFonts w:ascii="仿宋_GB2312" w:eastAsia="仿宋_GB2312"/>
                <w:color w:val="000000"/>
                <w:sz w:val="22"/>
              </w:rPr>
            </w:pPr>
            <w:r>
              <w:rPr>
                <w:rFonts w:ascii="仿宋_GB2312" w:eastAsia="仿宋_GB2312"/>
                <w:color w:val="000000"/>
                <w:sz w:val="22"/>
              </w:rPr>
              <w:t>429.77</w:t>
            </w:r>
          </w:p>
        </w:tc>
        <w:tc>
          <w:tcPr>
            <w:tcW w:w="1417" w:type="dxa"/>
            <w:noWrap/>
            <w:vAlign w:val="top"/>
          </w:tcPr>
          <w:p w14:paraId="3913AED5">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 246.49 </w:t>
            </w:r>
          </w:p>
        </w:tc>
        <w:tc>
          <w:tcPr>
            <w:tcW w:w="1368" w:type="dxa"/>
            <w:noWrap/>
            <w:vAlign w:val="top"/>
          </w:tcPr>
          <w:p w14:paraId="0A5EE587">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 286.68 </w:t>
            </w:r>
          </w:p>
        </w:tc>
      </w:tr>
      <w:tr w14:paraId="457AB1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353" w:type="dxa"/>
            <w:gridSpan w:val="7"/>
            <w:shd w:val="clear" w:color="auto" w:fill="D9D9D9"/>
          </w:tcPr>
          <w:p w14:paraId="6E85016F">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净稳定资金比例</w:t>
            </w:r>
          </w:p>
        </w:tc>
      </w:tr>
      <w:tr w14:paraId="24EB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78A2F2A8">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18</w:t>
            </w:r>
          </w:p>
        </w:tc>
        <w:tc>
          <w:tcPr>
            <w:tcW w:w="2642" w:type="dxa"/>
            <w:noWrap/>
            <w:vAlign w:val="center"/>
          </w:tcPr>
          <w:p w14:paraId="7AB202E0">
            <w:pPr>
              <w:spacing w:line="400" w:lineRule="exact"/>
              <w:ind w:firstLine="0" w:firstLineChars="0"/>
              <w:rPr>
                <w:rFonts w:ascii="仿宋_GB2312" w:eastAsia="仿宋_GB2312"/>
                <w:color w:val="000000"/>
                <w:sz w:val="22"/>
              </w:rPr>
            </w:pPr>
            <w:r>
              <w:rPr>
                <w:rFonts w:hint="eastAsia" w:ascii="仿宋_GB2312" w:eastAsia="仿宋_GB2312"/>
                <w:color w:val="000000"/>
                <w:sz w:val="22"/>
              </w:rPr>
              <w:t>可用稳定资金合计</w:t>
            </w:r>
          </w:p>
        </w:tc>
        <w:tc>
          <w:tcPr>
            <w:tcW w:w="1462" w:type="dxa"/>
            <w:vAlign w:val="center"/>
          </w:tcPr>
          <w:p w14:paraId="5DE76D09">
            <w:pPr>
              <w:keepNext w:val="0"/>
              <w:keepLines w:val="0"/>
              <w:widowControl/>
              <w:suppressLineNumbers w:val="0"/>
              <w:ind w:left="0" w:leftChars="0" w:firstLine="0" w:firstLineChars="0"/>
              <w:jc w:val="right"/>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28,485,896</w:t>
            </w:r>
          </w:p>
        </w:tc>
        <w:tc>
          <w:tcPr>
            <w:tcW w:w="1316" w:type="dxa"/>
            <w:vAlign w:val="top"/>
          </w:tcPr>
          <w:p w14:paraId="56496E43">
            <w:pPr>
              <w:spacing w:line="400" w:lineRule="exact"/>
              <w:ind w:firstLine="0" w:firstLineChars="0"/>
              <w:jc w:val="right"/>
              <w:rPr>
                <w:rFonts w:ascii="仿宋_GB2312" w:eastAsia="仿宋_GB2312"/>
                <w:color w:val="000000"/>
                <w:sz w:val="22"/>
              </w:rPr>
            </w:pPr>
            <w:r>
              <w:rPr>
                <w:rFonts w:ascii="仿宋_GB2312" w:eastAsia="仿宋_GB2312"/>
                <w:color w:val="000000"/>
                <w:sz w:val="22"/>
              </w:rPr>
              <w:t>27,905,292</w:t>
            </w:r>
          </w:p>
        </w:tc>
        <w:tc>
          <w:tcPr>
            <w:tcW w:w="1460" w:type="dxa"/>
            <w:noWrap/>
            <w:vAlign w:val="top"/>
          </w:tcPr>
          <w:p w14:paraId="151DB9C3">
            <w:pPr>
              <w:spacing w:line="400" w:lineRule="exact"/>
              <w:ind w:firstLine="0" w:firstLineChars="0"/>
              <w:jc w:val="right"/>
              <w:rPr>
                <w:rFonts w:ascii="仿宋_GB2312" w:eastAsia="仿宋_GB2312"/>
                <w:color w:val="000000"/>
                <w:sz w:val="22"/>
              </w:rPr>
            </w:pPr>
            <w:r>
              <w:rPr>
                <w:rFonts w:ascii="仿宋_GB2312" w:eastAsia="仿宋_GB2312"/>
                <w:color w:val="000000"/>
                <w:sz w:val="22"/>
              </w:rPr>
              <w:t>26,079,222</w:t>
            </w:r>
          </w:p>
        </w:tc>
        <w:tc>
          <w:tcPr>
            <w:tcW w:w="1417" w:type="dxa"/>
            <w:noWrap/>
            <w:vAlign w:val="top"/>
          </w:tcPr>
          <w:p w14:paraId="1D32D1D7">
            <w:pPr>
              <w:spacing w:line="400" w:lineRule="exact"/>
              <w:ind w:firstLine="0" w:firstLineChars="0"/>
              <w:jc w:val="right"/>
              <w:rPr>
                <w:rFonts w:ascii="仿宋_GB2312" w:eastAsia="仿宋_GB2312"/>
                <w:color w:val="000000"/>
                <w:sz w:val="22"/>
              </w:rPr>
            </w:pPr>
            <w:r>
              <w:rPr>
                <w:rFonts w:ascii="仿宋_GB2312" w:eastAsia="仿宋_GB2312"/>
                <w:color w:val="000000"/>
                <w:sz w:val="22"/>
              </w:rPr>
              <w:t>25,433,171</w:t>
            </w:r>
          </w:p>
        </w:tc>
        <w:tc>
          <w:tcPr>
            <w:tcW w:w="1368" w:type="dxa"/>
            <w:noWrap/>
            <w:vAlign w:val="top"/>
          </w:tcPr>
          <w:p w14:paraId="691E1F29">
            <w:pPr>
              <w:spacing w:line="400" w:lineRule="exact"/>
              <w:ind w:firstLine="0" w:firstLineChars="0"/>
              <w:jc w:val="right"/>
              <w:rPr>
                <w:rFonts w:ascii="仿宋_GB2312" w:eastAsia="仿宋_GB2312"/>
                <w:color w:val="000000"/>
                <w:sz w:val="22"/>
              </w:rPr>
            </w:pPr>
            <w:r>
              <w:rPr>
                <w:rFonts w:ascii="仿宋_GB2312" w:eastAsia="仿宋_GB2312"/>
                <w:color w:val="000000"/>
                <w:sz w:val="22"/>
              </w:rPr>
              <w:t>25,263,795</w:t>
            </w:r>
          </w:p>
        </w:tc>
      </w:tr>
      <w:tr w14:paraId="76764A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1669BF0A">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19</w:t>
            </w:r>
          </w:p>
        </w:tc>
        <w:tc>
          <w:tcPr>
            <w:tcW w:w="2642" w:type="dxa"/>
            <w:noWrap/>
            <w:vAlign w:val="center"/>
          </w:tcPr>
          <w:p w14:paraId="43327649">
            <w:pPr>
              <w:spacing w:line="400" w:lineRule="exact"/>
              <w:ind w:firstLine="0" w:firstLineChars="0"/>
              <w:rPr>
                <w:rFonts w:ascii="仿宋_GB2312" w:eastAsia="仿宋_GB2312"/>
                <w:color w:val="000000"/>
                <w:sz w:val="22"/>
              </w:rPr>
            </w:pPr>
            <w:r>
              <w:rPr>
                <w:rFonts w:hint="eastAsia" w:ascii="仿宋_GB2312" w:eastAsia="仿宋_GB2312"/>
                <w:color w:val="000000"/>
                <w:sz w:val="22"/>
              </w:rPr>
              <w:t>所需稳定资金合计</w:t>
            </w:r>
          </w:p>
        </w:tc>
        <w:tc>
          <w:tcPr>
            <w:tcW w:w="1462" w:type="dxa"/>
            <w:vAlign w:val="center"/>
          </w:tcPr>
          <w:p w14:paraId="62E748C5">
            <w:pPr>
              <w:keepNext w:val="0"/>
              <w:keepLines w:val="0"/>
              <w:widowControl/>
              <w:suppressLineNumbers w:val="0"/>
              <w:ind w:left="0" w:leftChars="0" w:firstLine="0" w:firstLineChars="0"/>
              <w:jc w:val="right"/>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24,040,209</w:t>
            </w:r>
          </w:p>
        </w:tc>
        <w:tc>
          <w:tcPr>
            <w:tcW w:w="1316" w:type="dxa"/>
            <w:vAlign w:val="top"/>
          </w:tcPr>
          <w:p w14:paraId="23C3D2CA">
            <w:pPr>
              <w:spacing w:line="400" w:lineRule="exact"/>
              <w:ind w:firstLine="0" w:firstLineChars="0"/>
              <w:jc w:val="right"/>
              <w:rPr>
                <w:rFonts w:ascii="仿宋_GB2312" w:eastAsia="仿宋_GB2312"/>
                <w:color w:val="000000"/>
                <w:sz w:val="22"/>
              </w:rPr>
            </w:pPr>
            <w:r>
              <w:rPr>
                <w:rFonts w:ascii="仿宋_GB2312" w:eastAsia="仿宋_GB2312"/>
                <w:color w:val="000000"/>
                <w:sz w:val="22"/>
              </w:rPr>
              <w:t>23,250,285</w:t>
            </w:r>
          </w:p>
        </w:tc>
        <w:tc>
          <w:tcPr>
            <w:tcW w:w="1460" w:type="dxa"/>
            <w:noWrap/>
            <w:vAlign w:val="top"/>
          </w:tcPr>
          <w:p w14:paraId="727EDFB9">
            <w:pPr>
              <w:spacing w:line="400" w:lineRule="exact"/>
              <w:ind w:firstLine="0" w:firstLineChars="0"/>
              <w:jc w:val="right"/>
              <w:rPr>
                <w:rFonts w:ascii="仿宋_GB2312" w:eastAsia="仿宋_GB2312"/>
                <w:color w:val="000000"/>
                <w:sz w:val="22"/>
              </w:rPr>
            </w:pPr>
            <w:r>
              <w:rPr>
                <w:rFonts w:ascii="仿宋_GB2312" w:eastAsia="仿宋_GB2312"/>
                <w:color w:val="000000"/>
                <w:sz w:val="22"/>
              </w:rPr>
              <w:t>22,863,470</w:t>
            </w:r>
          </w:p>
        </w:tc>
        <w:tc>
          <w:tcPr>
            <w:tcW w:w="1417" w:type="dxa"/>
            <w:noWrap/>
            <w:vAlign w:val="top"/>
          </w:tcPr>
          <w:p w14:paraId="480A0860">
            <w:pPr>
              <w:spacing w:line="400" w:lineRule="exact"/>
              <w:ind w:firstLine="0" w:firstLineChars="0"/>
              <w:jc w:val="right"/>
              <w:rPr>
                <w:rFonts w:ascii="仿宋_GB2312" w:eastAsia="仿宋_GB2312"/>
                <w:color w:val="000000"/>
                <w:sz w:val="22"/>
              </w:rPr>
            </w:pPr>
            <w:r>
              <w:rPr>
                <w:rFonts w:ascii="仿宋_GB2312" w:eastAsia="仿宋_GB2312"/>
                <w:color w:val="000000"/>
                <w:sz w:val="22"/>
              </w:rPr>
              <w:t>22,014,568</w:t>
            </w:r>
          </w:p>
        </w:tc>
        <w:tc>
          <w:tcPr>
            <w:tcW w:w="1368" w:type="dxa"/>
            <w:noWrap/>
            <w:vAlign w:val="top"/>
          </w:tcPr>
          <w:p w14:paraId="65C796B4">
            <w:pPr>
              <w:spacing w:line="400" w:lineRule="exact"/>
              <w:ind w:firstLine="0" w:firstLineChars="0"/>
              <w:jc w:val="right"/>
              <w:rPr>
                <w:rFonts w:ascii="仿宋_GB2312" w:eastAsia="仿宋_GB2312"/>
                <w:color w:val="000000"/>
                <w:sz w:val="22"/>
              </w:rPr>
            </w:pPr>
            <w:r>
              <w:rPr>
                <w:rFonts w:ascii="仿宋_GB2312" w:eastAsia="仿宋_GB2312"/>
                <w:color w:val="000000"/>
                <w:sz w:val="22"/>
              </w:rPr>
              <w:t>21,193,923</w:t>
            </w:r>
          </w:p>
        </w:tc>
      </w:tr>
      <w:tr w14:paraId="0B1F1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6B857353">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20</w:t>
            </w:r>
          </w:p>
        </w:tc>
        <w:tc>
          <w:tcPr>
            <w:tcW w:w="2642" w:type="dxa"/>
            <w:noWrap/>
            <w:vAlign w:val="center"/>
          </w:tcPr>
          <w:p w14:paraId="79E4930D">
            <w:pPr>
              <w:spacing w:line="400" w:lineRule="exact"/>
              <w:ind w:firstLine="0" w:firstLineChars="0"/>
              <w:rPr>
                <w:rFonts w:ascii="仿宋_GB2312" w:eastAsia="仿宋_GB2312"/>
                <w:color w:val="000000"/>
                <w:sz w:val="22"/>
              </w:rPr>
            </w:pPr>
            <w:r>
              <w:rPr>
                <w:rFonts w:hint="eastAsia" w:ascii="仿宋_GB2312" w:eastAsia="仿宋_GB2312"/>
                <w:color w:val="000000"/>
                <w:sz w:val="22"/>
              </w:rPr>
              <w:t>净稳定资金比例（%）</w:t>
            </w:r>
          </w:p>
        </w:tc>
        <w:tc>
          <w:tcPr>
            <w:tcW w:w="1462" w:type="dxa"/>
            <w:vAlign w:val="center"/>
          </w:tcPr>
          <w:p w14:paraId="5413FE34">
            <w:pPr>
              <w:keepNext w:val="0"/>
              <w:keepLines w:val="0"/>
              <w:widowControl/>
              <w:suppressLineNumbers w:val="0"/>
              <w:ind w:firstLine="440" w:firstLineChars="200"/>
              <w:jc w:val="right"/>
              <w:textAlignment w:val="center"/>
              <w:rPr>
                <w:rFonts w:ascii="仿宋_GB2312" w:eastAsia="仿宋_GB2312"/>
                <w:color w:val="000000"/>
                <w:sz w:val="22"/>
              </w:rPr>
            </w:pPr>
            <w:r>
              <w:rPr>
                <w:rFonts w:hint="eastAsia" w:ascii="仿宋_GB2312" w:hAnsi="宋体" w:eastAsia="仿宋_GB2312" w:cs="仿宋_GB2312"/>
                <w:i w:val="0"/>
                <w:iCs w:val="0"/>
                <w:color w:val="000000"/>
                <w:kern w:val="0"/>
                <w:sz w:val="22"/>
                <w:szCs w:val="22"/>
                <w:u w:val="none"/>
                <w:lang w:val="en-US" w:eastAsia="zh-CN" w:bidi="ar"/>
              </w:rPr>
              <w:t xml:space="preserve">118.49 </w:t>
            </w:r>
          </w:p>
        </w:tc>
        <w:tc>
          <w:tcPr>
            <w:tcW w:w="1316" w:type="dxa"/>
            <w:vAlign w:val="top"/>
          </w:tcPr>
          <w:p w14:paraId="01BFD6BA">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120.02 </w:t>
            </w:r>
          </w:p>
        </w:tc>
        <w:tc>
          <w:tcPr>
            <w:tcW w:w="1460" w:type="dxa"/>
            <w:noWrap/>
            <w:vAlign w:val="top"/>
          </w:tcPr>
          <w:p w14:paraId="51227F83">
            <w:pPr>
              <w:spacing w:line="400" w:lineRule="exact"/>
              <w:ind w:firstLine="0" w:firstLineChars="0"/>
              <w:jc w:val="right"/>
              <w:rPr>
                <w:rFonts w:ascii="仿宋_GB2312" w:eastAsia="仿宋_GB2312"/>
                <w:color w:val="000000"/>
                <w:sz w:val="22"/>
              </w:rPr>
            </w:pPr>
            <w:r>
              <w:rPr>
                <w:rFonts w:ascii="仿宋_GB2312" w:eastAsia="仿宋_GB2312"/>
                <w:color w:val="000000"/>
                <w:sz w:val="22"/>
              </w:rPr>
              <w:t>114.07</w:t>
            </w:r>
          </w:p>
        </w:tc>
        <w:tc>
          <w:tcPr>
            <w:tcW w:w="1417" w:type="dxa"/>
            <w:noWrap/>
            <w:vAlign w:val="top"/>
          </w:tcPr>
          <w:p w14:paraId="4E922560">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 115.53 </w:t>
            </w:r>
          </w:p>
        </w:tc>
        <w:tc>
          <w:tcPr>
            <w:tcW w:w="1368" w:type="dxa"/>
            <w:noWrap/>
            <w:vAlign w:val="top"/>
          </w:tcPr>
          <w:p w14:paraId="4D3D9FB8">
            <w:pPr>
              <w:spacing w:line="400" w:lineRule="exact"/>
              <w:ind w:firstLine="0" w:firstLineChars="0"/>
              <w:jc w:val="right"/>
              <w:rPr>
                <w:rFonts w:ascii="仿宋_GB2312" w:eastAsia="仿宋_GB2312"/>
                <w:color w:val="000000"/>
                <w:sz w:val="22"/>
              </w:rPr>
            </w:pPr>
            <w:r>
              <w:rPr>
                <w:rFonts w:ascii="仿宋_GB2312" w:eastAsia="仿宋_GB2312"/>
                <w:color w:val="000000"/>
                <w:sz w:val="22"/>
              </w:rPr>
              <w:t xml:space="preserve"> 119.20 </w:t>
            </w:r>
          </w:p>
        </w:tc>
      </w:tr>
      <w:tr w14:paraId="1E5BEC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353" w:type="dxa"/>
            <w:gridSpan w:val="7"/>
            <w:shd w:val="clear" w:color="auto" w:fill="D9D9D9"/>
          </w:tcPr>
          <w:p w14:paraId="74539956">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流动性比例</w:t>
            </w:r>
          </w:p>
        </w:tc>
      </w:tr>
      <w:tr w14:paraId="06FB7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88" w:type="dxa"/>
            <w:noWrap/>
            <w:vAlign w:val="center"/>
          </w:tcPr>
          <w:p w14:paraId="69BABA3C">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21</w:t>
            </w:r>
          </w:p>
        </w:tc>
        <w:tc>
          <w:tcPr>
            <w:tcW w:w="2642" w:type="dxa"/>
            <w:noWrap/>
            <w:vAlign w:val="center"/>
          </w:tcPr>
          <w:p w14:paraId="12DEEB28">
            <w:pPr>
              <w:spacing w:line="400" w:lineRule="exact"/>
              <w:ind w:firstLine="0" w:firstLineChars="0"/>
              <w:rPr>
                <w:rFonts w:ascii="仿宋_GB2312" w:eastAsia="仿宋_GB2312"/>
                <w:color w:val="000000"/>
                <w:sz w:val="22"/>
              </w:rPr>
            </w:pPr>
            <w:r>
              <w:rPr>
                <w:rFonts w:hint="eastAsia" w:ascii="仿宋_GB2312" w:eastAsia="仿宋_GB2312"/>
                <w:color w:val="000000"/>
                <w:sz w:val="22"/>
              </w:rPr>
              <w:t>流动性比例（%）</w:t>
            </w:r>
          </w:p>
        </w:tc>
        <w:tc>
          <w:tcPr>
            <w:tcW w:w="1462" w:type="dxa"/>
            <w:vAlign w:val="center"/>
          </w:tcPr>
          <w:p w14:paraId="441FFFE9">
            <w:pPr>
              <w:keepNext w:val="0"/>
              <w:keepLines w:val="0"/>
              <w:widowControl/>
              <w:suppressLineNumbers w:val="0"/>
              <w:ind w:firstLine="440" w:firstLineChars="200"/>
              <w:jc w:val="righ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142.81</w:t>
            </w:r>
            <w:bookmarkStart w:id="0" w:name="_GoBack"/>
            <w:bookmarkEnd w:id="0"/>
          </w:p>
        </w:tc>
        <w:tc>
          <w:tcPr>
            <w:tcW w:w="1316" w:type="dxa"/>
            <w:vAlign w:val="center"/>
          </w:tcPr>
          <w:p w14:paraId="5F76610F">
            <w:pPr>
              <w:keepNext w:val="0"/>
              <w:keepLines w:val="0"/>
              <w:widowControl/>
              <w:suppressLineNumbers w:val="0"/>
              <w:ind w:firstLine="440" w:firstLineChars="200"/>
              <w:jc w:val="righ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153.95</w:t>
            </w:r>
          </w:p>
        </w:tc>
        <w:tc>
          <w:tcPr>
            <w:tcW w:w="1460" w:type="dxa"/>
            <w:noWrap/>
            <w:vAlign w:val="center"/>
          </w:tcPr>
          <w:p w14:paraId="0CC0F004">
            <w:pPr>
              <w:keepNext w:val="0"/>
              <w:keepLines w:val="0"/>
              <w:widowControl/>
              <w:suppressLineNumbers w:val="0"/>
              <w:ind w:firstLine="440" w:firstLineChars="200"/>
              <w:jc w:val="righ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156.98</w:t>
            </w:r>
          </w:p>
        </w:tc>
        <w:tc>
          <w:tcPr>
            <w:tcW w:w="1417" w:type="dxa"/>
            <w:noWrap/>
            <w:vAlign w:val="center"/>
          </w:tcPr>
          <w:p w14:paraId="26DB27D0">
            <w:pPr>
              <w:keepNext w:val="0"/>
              <w:keepLines w:val="0"/>
              <w:widowControl/>
              <w:suppressLineNumbers w:val="0"/>
              <w:ind w:firstLine="440" w:firstLineChars="200"/>
              <w:jc w:val="righ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162.77</w:t>
            </w:r>
          </w:p>
        </w:tc>
        <w:tc>
          <w:tcPr>
            <w:tcW w:w="1368" w:type="dxa"/>
            <w:noWrap/>
            <w:vAlign w:val="center"/>
          </w:tcPr>
          <w:p w14:paraId="0D403F8C">
            <w:pPr>
              <w:keepNext w:val="0"/>
              <w:keepLines w:val="0"/>
              <w:widowControl/>
              <w:suppressLineNumbers w:val="0"/>
              <w:ind w:firstLine="440" w:firstLineChars="200"/>
              <w:jc w:val="righ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160.06</w:t>
            </w:r>
          </w:p>
        </w:tc>
      </w:tr>
    </w:tbl>
    <w:p w14:paraId="4ADB6960">
      <w:pPr>
        <w:spacing w:line="600" w:lineRule="exact"/>
        <w:ind w:firstLine="480"/>
        <w:jc w:val="center"/>
        <w:rPr>
          <w:rFonts w:hint="eastAsia"/>
          <w:sz w:val="24"/>
        </w:rPr>
      </w:pPr>
      <w:r>
        <w:rPr>
          <w:rFonts w:hint="eastAsia"/>
          <w:sz w:val="24"/>
        </w:rPr>
        <w:t>备注：本报告表中各相加之和在尾数上有差异的，为四舍五入导致。</w:t>
      </w:r>
    </w:p>
    <w:p w14:paraId="3E360DF7">
      <w:pPr>
        <w:spacing w:line="600" w:lineRule="exact"/>
        <w:ind w:firstLine="0" w:firstLineChars="0"/>
        <w:jc w:val="center"/>
        <w:rPr>
          <w:b/>
        </w:rPr>
      </w:pPr>
      <w:r>
        <w:rPr>
          <w:rFonts w:hint="eastAsia"/>
          <w:b/>
        </w:rPr>
        <w:t>表2：CC1: 资本构成</w:t>
      </w:r>
    </w:p>
    <w:p w14:paraId="4A2C1EEA">
      <w:pPr>
        <w:wordWrap w:val="0"/>
        <w:spacing w:line="600" w:lineRule="exact"/>
        <w:ind w:firstLine="0" w:firstLineChars="0"/>
        <w:jc w:val="right"/>
        <w:rPr>
          <w:b/>
          <w:sz w:val="22"/>
        </w:rPr>
      </w:pPr>
      <w:r>
        <w:rPr>
          <w:rFonts w:hint="eastAsia"/>
          <w:sz w:val="22"/>
        </w:rPr>
        <w:t xml:space="preserve">    单位：万元、%</w:t>
      </w:r>
    </w:p>
    <w:tbl>
      <w:tblPr>
        <w:tblStyle w:val="9"/>
        <w:tblW w:w="92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52"/>
        <w:gridCol w:w="4521"/>
        <w:gridCol w:w="2421"/>
        <w:gridCol w:w="1259"/>
      </w:tblGrid>
      <w:tr w14:paraId="552403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tblHeader/>
          <w:jc w:val="center"/>
        </w:trPr>
        <w:tc>
          <w:tcPr>
            <w:tcW w:w="5573" w:type="dxa"/>
            <w:gridSpan w:val="2"/>
            <w:vMerge w:val="restart"/>
            <w:noWrap/>
            <w:vAlign w:val="center"/>
          </w:tcPr>
          <w:p w14:paraId="2BD31C9F">
            <w:pPr>
              <w:spacing w:line="400" w:lineRule="exact"/>
              <w:ind w:firstLine="0" w:firstLineChars="0"/>
              <w:jc w:val="center"/>
              <w:rPr>
                <w:rFonts w:ascii="仿宋_GB2312" w:eastAsia="仿宋_GB2312"/>
                <w:b/>
                <w:color w:val="000000"/>
                <w:sz w:val="22"/>
              </w:rPr>
            </w:pPr>
            <w:r>
              <w:rPr>
                <w:rFonts w:hint="eastAsia" w:ascii="仿宋_GB2312" w:eastAsia="仿宋_GB2312"/>
                <w:b/>
                <w:color w:val="000000"/>
                <w:sz w:val="22"/>
              </w:rPr>
              <w:t>项  目</w:t>
            </w:r>
          </w:p>
        </w:tc>
        <w:tc>
          <w:tcPr>
            <w:tcW w:w="2421" w:type="dxa"/>
            <w:noWrap/>
            <w:vAlign w:val="center"/>
          </w:tcPr>
          <w:p w14:paraId="3B165ECE">
            <w:pPr>
              <w:spacing w:line="400" w:lineRule="exact"/>
              <w:ind w:firstLine="0" w:firstLineChars="0"/>
              <w:jc w:val="center"/>
              <w:rPr>
                <w:rFonts w:ascii="仿宋_GB2312" w:eastAsia="仿宋_GB2312"/>
                <w:b/>
                <w:color w:val="000000"/>
                <w:sz w:val="22"/>
              </w:rPr>
            </w:pPr>
            <w:r>
              <w:rPr>
                <w:rFonts w:hint="eastAsia" w:ascii="仿宋_GB2312" w:eastAsia="仿宋_GB2312"/>
                <w:b/>
                <w:color w:val="000000"/>
                <w:sz w:val="22"/>
              </w:rPr>
              <w:t>202</w:t>
            </w:r>
            <w:r>
              <w:rPr>
                <w:rFonts w:hint="eastAsia" w:ascii="仿宋_GB2312" w:eastAsia="仿宋_GB2312"/>
                <w:b/>
                <w:color w:val="000000"/>
                <w:sz w:val="22"/>
                <w:lang w:val="en-US" w:eastAsia="zh-CN"/>
              </w:rPr>
              <w:t>6</w:t>
            </w:r>
            <w:r>
              <w:rPr>
                <w:rFonts w:hint="eastAsia" w:ascii="仿宋_GB2312" w:eastAsia="仿宋_GB2312"/>
                <w:b/>
                <w:color w:val="000000"/>
                <w:sz w:val="22"/>
              </w:rPr>
              <w:t>年6月30日</w:t>
            </w:r>
          </w:p>
        </w:tc>
        <w:tc>
          <w:tcPr>
            <w:tcW w:w="1259" w:type="dxa"/>
            <w:noWrap/>
            <w:vAlign w:val="center"/>
          </w:tcPr>
          <w:p w14:paraId="3FCFD34E">
            <w:pPr>
              <w:spacing w:line="400" w:lineRule="exact"/>
              <w:ind w:firstLine="0" w:firstLineChars="0"/>
              <w:jc w:val="center"/>
              <w:rPr>
                <w:rFonts w:ascii="仿宋_GB2312" w:eastAsia="仿宋_GB2312"/>
                <w:b/>
                <w:color w:val="000000"/>
                <w:sz w:val="22"/>
              </w:rPr>
            </w:pPr>
            <w:r>
              <w:rPr>
                <w:rFonts w:hint="eastAsia" w:ascii="仿宋_GB2312" w:eastAsia="仿宋_GB2312"/>
                <w:b/>
                <w:color w:val="000000"/>
                <w:sz w:val="22"/>
              </w:rPr>
              <w:t>b</w:t>
            </w:r>
          </w:p>
        </w:tc>
      </w:tr>
      <w:tr w14:paraId="1B9F38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tblHeader/>
          <w:jc w:val="center"/>
        </w:trPr>
        <w:tc>
          <w:tcPr>
            <w:tcW w:w="5573" w:type="dxa"/>
            <w:gridSpan w:val="2"/>
            <w:vMerge w:val="continue"/>
            <w:noWrap/>
            <w:vAlign w:val="center"/>
          </w:tcPr>
          <w:p w14:paraId="6B180971">
            <w:pPr>
              <w:ind w:firstLine="442"/>
              <w:rPr>
                <w:rFonts w:ascii="仿宋_GB2312" w:eastAsia="仿宋_GB2312"/>
                <w:b/>
                <w:sz w:val="22"/>
              </w:rPr>
            </w:pPr>
          </w:p>
        </w:tc>
        <w:tc>
          <w:tcPr>
            <w:tcW w:w="2421" w:type="dxa"/>
            <w:noWrap/>
            <w:vAlign w:val="center"/>
          </w:tcPr>
          <w:p w14:paraId="0E0F0625">
            <w:pPr>
              <w:spacing w:line="400" w:lineRule="exact"/>
              <w:ind w:firstLine="0" w:firstLineChars="0"/>
              <w:jc w:val="center"/>
              <w:rPr>
                <w:rFonts w:ascii="仿宋_GB2312" w:eastAsia="仿宋_GB2312"/>
                <w:b/>
                <w:color w:val="000000"/>
                <w:sz w:val="22"/>
              </w:rPr>
            </w:pPr>
            <w:r>
              <w:rPr>
                <w:rFonts w:hint="eastAsia" w:ascii="仿宋_GB2312" w:eastAsia="仿宋_GB2312"/>
                <w:b/>
                <w:color w:val="000000"/>
                <w:sz w:val="22"/>
              </w:rPr>
              <w:t>数额</w:t>
            </w:r>
          </w:p>
        </w:tc>
        <w:tc>
          <w:tcPr>
            <w:tcW w:w="1259" w:type="dxa"/>
            <w:noWrap/>
            <w:vAlign w:val="center"/>
          </w:tcPr>
          <w:p w14:paraId="6E9D6EC1">
            <w:pPr>
              <w:spacing w:line="400" w:lineRule="exact"/>
              <w:ind w:firstLine="0" w:firstLineChars="0"/>
              <w:jc w:val="center"/>
              <w:rPr>
                <w:rFonts w:ascii="仿宋_GB2312" w:eastAsia="仿宋_GB2312"/>
                <w:b/>
                <w:color w:val="000000"/>
                <w:sz w:val="22"/>
              </w:rPr>
            </w:pPr>
            <w:r>
              <w:rPr>
                <w:rFonts w:hint="eastAsia" w:ascii="仿宋_GB2312" w:eastAsia="仿宋_GB2312"/>
                <w:b/>
                <w:color w:val="000000"/>
                <w:sz w:val="22"/>
              </w:rPr>
              <w:t>代码</w:t>
            </w:r>
          </w:p>
        </w:tc>
      </w:tr>
      <w:tr w14:paraId="0AF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9253" w:type="dxa"/>
            <w:gridSpan w:val="4"/>
            <w:noWrap/>
            <w:vAlign w:val="center"/>
          </w:tcPr>
          <w:p w14:paraId="7A1DD8EF">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核心一级资本</w:t>
            </w:r>
          </w:p>
        </w:tc>
      </w:tr>
      <w:tr w14:paraId="69E680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0759F554">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w:t>
            </w:r>
          </w:p>
        </w:tc>
        <w:tc>
          <w:tcPr>
            <w:tcW w:w="4521" w:type="dxa"/>
            <w:noWrap/>
            <w:vAlign w:val="center"/>
          </w:tcPr>
          <w:p w14:paraId="4BC8BF16">
            <w:pPr>
              <w:spacing w:line="400" w:lineRule="exact"/>
              <w:ind w:firstLine="0" w:firstLineChars="0"/>
              <w:rPr>
                <w:rFonts w:ascii="仿宋_GB2312" w:eastAsia="仿宋_GB2312"/>
                <w:color w:val="000000"/>
                <w:sz w:val="22"/>
              </w:rPr>
            </w:pPr>
            <w:r>
              <w:rPr>
                <w:rFonts w:hint="eastAsia" w:ascii="仿宋_GB2312" w:eastAsia="仿宋_GB2312"/>
                <w:color w:val="000000"/>
                <w:sz w:val="22"/>
              </w:rPr>
              <w:t>实收资本和资本公积可计入部分</w:t>
            </w:r>
          </w:p>
        </w:tc>
        <w:tc>
          <w:tcPr>
            <w:tcW w:w="2421" w:type="dxa"/>
            <w:noWrap/>
            <w:vAlign w:val="center"/>
          </w:tcPr>
          <w:p w14:paraId="51FBD589">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854,300 </w:t>
            </w:r>
          </w:p>
        </w:tc>
        <w:tc>
          <w:tcPr>
            <w:tcW w:w="1259" w:type="dxa"/>
            <w:noWrap/>
            <w:vAlign w:val="center"/>
          </w:tcPr>
          <w:p w14:paraId="01580224">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e+g</w:t>
            </w:r>
          </w:p>
        </w:tc>
      </w:tr>
      <w:tr w14:paraId="5C1C5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shd w:val="clear" w:color="auto" w:fill="auto"/>
            <w:noWrap/>
            <w:vAlign w:val="center"/>
          </w:tcPr>
          <w:p w14:paraId="71B9F54F">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w:t>
            </w:r>
          </w:p>
        </w:tc>
        <w:tc>
          <w:tcPr>
            <w:tcW w:w="4521" w:type="dxa"/>
            <w:shd w:val="clear" w:color="auto" w:fill="auto"/>
            <w:noWrap/>
            <w:vAlign w:val="center"/>
          </w:tcPr>
          <w:p w14:paraId="44D8B78B">
            <w:pPr>
              <w:spacing w:line="400" w:lineRule="exact"/>
              <w:ind w:firstLine="0" w:firstLineChars="0"/>
              <w:rPr>
                <w:rFonts w:ascii="仿宋_GB2312" w:eastAsia="仿宋_GB2312"/>
                <w:color w:val="000000"/>
                <w:sz w:val="22"/>
              </w:rPr>
            </w:pPr>
            <w:r>
              <w:rPr>
                <w:rFonts w:hint="eastAsia" w:ascii="仿宋_GB2312" w:eastAsia="仿宋_GB2312"/>
                <w:color w:val="000000"/>
                <w:sz w:val="22"/>
              </w:rPr>
              <w:t>留存收益</w:t>
            </w:r>
          </w:p>
        </w:tc>
        <w:tc>
          <w:tcPr>
            <w:tcW w:w="2421" w:type="dxa"/>
            <w:noWrap/>
            <w:vAlign w:val="center"/>
          </w:tcPr>
          <w:p w14:paraId="44A6FF59">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1,401,604 </w:t>
            </w:r>
          </w:p>
        </w:tc>
        <w:tc>
          <w:tcPr>
            <w:tcW w:w="1259" w:type="dxa"/>
            <w:noWrap/>
            <w:vAlign w:val="center"/>
          </w:tcPr>
          <w:p w14:paraId="7CFCB496">
            <w:pPr>
              <w:spacing w:line="400" w:lineRule="exact"/>
              <w:ind w:firstLine="0" w:firstLineChars="0"/>
              <w:jc w:val="center"/>
              <w:rPr>
                <w:rFonts w:ascii="仿宋_GB2312" w:eastAsia="仿宋_GB2312"/>
                <w:color w:val="000000"/>
                <w:sz w:val="22"/>
              </w:rPr>
            </w:pPr>
          </w:p>
        </w:tc>
      </w:tr>
      <w:tr w14:paraId="1C1066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33CC367">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2a</w:t>
            </w:r>
          </w:p>
        </w:tc>
        <w:tc>
          <w:tcPr>
            <w:tcW w:w="4521" w:type="dxa"/>
            <w:noWrap/>
            <w:vAlign w:val="center"/>
          </w:tcPr>
          <w:p w14:paraId="15521852">
            <w:pPr>
              <w:spacing w:line="400" w:lineRule="exact"/>
              <w:ind w:firstLine="0" w:firstLineChars="0"/>
              <w:rPr>
                <w:rFonts w:ascii="仿宋_GB2312" w:eastAsia="仿宋_GB2312"/>
                <w:color w:val="000000"/>
                <w:sz w:val="22"/>
              </w:rPr>
            </w:pPr>
            <w:r>
              <w:rPr>
                <w:rFonts w:hint="eastAsia" w:ascii="仿宋_GB2312" w:eastAsia="仿宋_GB2312"/>
                <w:color w:val="000000"/>
                <w:sz w:val="22"/>
              </w:rPr>
              <w:t>盈余公积</w:t>
            </w:r>
          </w:p>
        </w:tc>
        <w:tc>
          <w:tcPr>
            <w:tcW w:w="2421" w:type="dxa"/>
            <w:noWrap/>
            <w:vAlign w:val="center"/>
          </w:tcPr>
          <w:p w14:paraId="256C2E0C">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192,490 </w:t>
            </w:r>
          </w:p>
        </w:tc>
        <w:tc>
          <w:tcPr>
            <w:tcW w:w="1259" w:type="dxa"/>
            <w:noWrap/>
            <w:vAlign w:val="center"/>
          </w:tcPr>
          <w:p w14:paraId="2DF8401C">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h</w:t>
            </w:r>
          </w:p>
        </w:tc>
      </w:tr>
      <w:tr w14:paraId="2314DC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3F968F3F">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2b</w:t>
            </w:r>
          </w:p>
        </w:tc>
        <w:tc>
          <w:tcPr>
            <w:tcW w:w="4521" w:type="dxa"/>
            <w:noWrap/>
            <w:vAlign w:val="center"/>
          </w:tcPr>
          <w:p w14:paraId="0340DDBC">
            <w:pPr>
              <w:spacing w:line="400" w:lineRule="exact"/>
              <w:ind w:firstLine="0" w:firstLineChars="0"/>
              <w:rPr>
                <w:rFonts w:ascii="仿宋_GB2312" w:eastAsia="仿宋_GB2312"/>
                <w:color w:val="000000"/>
                <w:sz w:val="22"/>
              </w:rPr>
            </w:pPr>
            <w:r>
              <w:rPr>
                <w:rFonts w:hint="eastAsia" w:ascii="仿宋_GB2312" w:eastAsia="仿宋_GB2312"/>
                <w:color w:val="000000"/>
                <w:sz w:val="22"/>
              </w:rPr>
              <w:t>一般风险准备</w:t>
            </w:r>
          </w:p>
        </w:tc>
        <w:tc>
          <w:tcPr>
            <w:tcW w:w="2421" w:type="dxa"/>
            <w:noWrap/>
            <w:vAlign w:val="center"/>
          </w:tcPr>
          <w:p w14:paraId="78CB092A">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539,202 </w:t>
            </w:r>
          </w:p>
        </w:tc>
        <w:tc>
          <w:tcPr>
            <w:tcW w:w="1259" w:type="dxa"/>
            <w:noWrap/>
            <w:vAlign w:val="center"/>
          </w:tcPr>
          <w:p w14:paraId="273AB358">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i</w:t>
            </w:r>
          </w:p>
        </w:tc>
      </w:tr>
      <w:tr w14:paraId="6BE1F0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658C2D3D">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2c</w:t>
            </w:r>
          </w:p>
        </w:tc>
        <w:tc>
          <w:tcPr>
            <w:tcW w:w="4521" w:type="dxa"/>
            <w:noWrap/>
            <w:vAlign w:val="center"/>
          </w:tcPr>
          <w:p w14:paraId="1BECDFC5">
            <w:pPr>
              <w:spacing w:line="400" w:lineRule="exact"/>
              <w:ind w:firstLine="0" w:firstLineChars="0"/>
              <w:rPr>
                <w:rFonts w:ascii="仿宋_GB2312" w:eastAsia="仿宋_GB2312"/>
                <w:color w:val="000000"/>
                <w:sz w:val="22"/>
              </w:rPr>
            </w:pPr>
            <w:r>
              <w:rPr>
                <w:rFonts w:hint="eastAsia" w:ascii="仿宋_GB2312" w:eastAsia="仿宋_GB2312"/>
                <w:color w:val="000000"/>
                <w:sz w:val="22"/>
              </w:rPr>
              <w:t>未分配利润</w:t>
            </w:r>
          </w:p>
        </w:tc>
        <w:tc>
          <w:tcPr>
            <w:tcW w:w="2421" w:type="dxa"/>
            <w:noWrap/>
            <w:vAlign w:val="center"/>
          </w:tcPr>
          <w:p w14:paraId="60FC9C7B">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669,912 </w:t>
            </w:r>
          </w:p>
        </w:tc>
        <w:tc>
          <w:tcPr>
            <w:tcW w:w="1259" w:type="dxa"/>
            <w:noWrap/>
            <w:vAlign w:val="center"/>
          </w:tcPr>
          <w:p w14:paraId="74B4CB52">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j</w:t>
            </w:r>
          </w:p>
        </w:tc>
      </w:tr>
      <w:tr w14:paraId="47659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D4DF61F">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w:t>
            </w:r>
          </w:p>
        </w:tc>
        <w:tc>
          <w:tcPr>
            <w:tcW w:w="4521" w:type="dxa"/>
            <w:noWrap/>
            <w:vAlign w:val="center"/>
          </w:tcPr>
          <w:p w14:paraId="5B8A0E9A">
            <w:pPr>
              <w:spacing w:line="400" w:lineRule="exact"/>
              <w:ind w:firstLine="0" w:firstLineChars="0"/>
              <w:rPr>
                <w:rFonts w:ascii="仿宋_GB2312" w:eastAsia="仿宋_GB2312"/>
                <w:color w:val="000000"/>
                <w:sz w:val="22"/>
              </w:rPr>
            </w:pPr>
            <w:r>
              <w:rPr>
                <w:rFonts w:hint="eastAsia" w:ascii="仿宋_GB2312" w:eastAsia="仿宋_GB2312"/>
                <w:color w:val="000000"/>
                <w:sz w:val="22"/>
              </w:rPr>
              <w:t>累计其他综合收益</w:t>
            </w:r>
          </w:p>
        </w:tc>
        <w:tc>
          <w:tcPr>
            <w:tcW w:w="2421" w:type="dxa"/>
            <w:noWrap/>
            <w:vAlign w:val="center"/>
          </w:tcPr>
          <w:p w14:paraId="311D2CB0">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21,765 </w:t>
            </w:r>
          </w:p>
        </w:tc>
        <w:tc>
          <w:tcPr>
            <w:tcW w:w="1259" w:type="dxa"/>
            <w:noWrap/>
            <w:vAlign w:val="center"/>
          </w:tcPr>
          <w:p w14:paraId="680E5B24">
            <w:pPr>
              <w:spacing w:line="400" w:lineRule="exact"/>
              <w:ind w:firstLine="0" w:firstLineChars="0"/>
              <w:jc w:val="center"/>
              <w:rPr>
                <w:rFonts w:ascii="仿宋_GB2312" w:eastAsia="仿宋_GB2312"/>
                <w:color w:val="000000"/>
                <w:sz w:val="22"/>
              </w:rPr>
            </w:pPr>
          </w:p>
        </w:tc>
      </w:tr>
      <w:tr w14:paraId="0648BA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094611E7">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w:t>
            </w:r>
          </w:p>
        </w:tc>
        <w:tc>
          <w:tcPr>
            <w:tcW w:w="4521" w:type="dxa"/>
            <w:noWrap/>
            <w:vAlign w:val="center"/>
          </w:tcPr>
          <w:p w14:paraId="56059428">
            <w:pPr>
              <w:spacing w:line="400" w:lineRule="exact"/>
              <w:ind w:firstLine="0" w:firstLineChars="0"/>
              <w:rPr>
                <w:rFonts w:ascii="仿宋_GB2312" w:eastAsia="仿宋_GB2312"/>
                <w:color w:val="000000"/>
                <w:sz w:val="22"/>
              </w:rPr>
            </w:pPr>
            <w:r>
              <w:rPr>
                <w:rFonts w:hint="eastAsia" w:ascii="仿宋_GB2312" w:eastAsia="仿宋_GB2312"/>
                <w:color w:val="000000"/>
                <w:sz w:val="22"/>
              </w:rPr>
              <w:t>少数股东资本可计入部分</w:t>
            </w:r>
          </w:p>
        </w:tc>
        <w:tc>
          <w:tcPr>
            <w:tcW w:w="2421" w:type="dxa"/>
            <w:noWrap/>
            <w:vAlign w:val="center"/>
          </w:tcPr>
          <w:p w14:paraId="0EBAC7CF">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0 </w:t>
            </w:r>
          </w:p>
        </w:tc>
        <w:tc>
          <w:tcPr>
            <w:tcW w:w="1259" w:type="dxa"/>
            <w:noWrap/>
            <w:vAlign w:val="center"/>
          </w:tcPr>
          <w:p w14:paraId="47FD5458">
            <w:pPr>
              <w:spacing w:line="400" w:lineRule="exact"/>
              <w:ind w:firstLine="0" w:firstLineChars="0"/>
              <w:jc w:val="center"/>
              <w:rPr>
                <w:rFonts w:ascii="仿宋_GB2312" w:eastAsia="仿宋_GB2312"/>
                <w:color w:val="000000"/>
                <w:sz w:val="22"/>
              </w:rPr>
            </w:pPr>
          </w:p>
        </w:tc>
      </w:tr>
      <w:tr w14:paraId="70F514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6467679">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w:t>
            </w:r>
          </w:p>
        </w:tc>
        <w:tc>
          <w:tcPr>
            <w:tcW w:w="4521" w:type="dxa"/>
            <w:noWrap/>
            <w:vAlign w:val="center"/>
          </w:tcPr>
          <w:p w14:paraId="0BACA1F4">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扣除前的核心一级资本</w:t>
            </w:r>
          </w:p>
        </w:tc>
        <w:tc>
          <w:tcPr>
            <w:tcW w:w="2421" w:type="dxa"/>
            <w:noWrap/>
            <w:vAlign w:val="center"/>
          </w:tcPr>
          <w:p w14:paraId="0A328E0C">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2,277,669 </w:t>
            </w:r>
          </w:p>
        </w:tc>
        <w:tc>
          <w:tcPr>
            <w:tcW w:w="1259" w:type="dxa"/>
            <w:noWrap/>
            <w:vAlign w:val="center"/>
          </w:tcPr>
          <w:p w14:paraId="557E6AD8">
            <w:pPr>
              <w:spacing w:line="400" w:lineRule="exact"/>
              <w:ind w:firstLine="0" w:firstLineChars="0"/>
              <w:jc w:val="center"/>
              <w:rPr>
                <w:rFonts w:ascii="仿宋_GB2312" w:eastAsia="仿宋_GB2312"/>
                <w:color w:val="000000"/>
                <w:sz w:val="22"/>
              </w:rPr>
            </w:pPr>
          </w:p>
        </w:tc>
      </w:tr>
      <w:tr w14:paraId="0AF8ED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9253" w:type="dxa"/>
            <w:gridSpan w:val="4"/>
            <w:noWrap/>
            <w:vAlign w:val="center"/>
          </w:tcPr>
          <w:p w14:paraId="4286EE7B">
            <w:pPr>
              <w:spacing w:line="400" w:lineRule="exact"/>
              <w:ind w:firstLine="0" w:firstLineChars="0"/>
              <w:rPr>
                <w:rFonts w:ascii="仿宋_GB2312" w:eastAsia="仿宋_GB2312"/>
                <w:color w:val="000000"/>
                <w:sz w:val="22"/>
              </w:rPr>
            </w:pPr>
            <w:r>
              <w:rPr>
                <w:rFonts w:hint="eastAsia" w:ascii="仿宋_GB2312" w:eastAsia="仿宋_GB2312"/>
                <w:b/>
                <w:color w:val="000000"/>
                <w:sz w:val="22"/>
              </w:rPr>
              <w:t>核心一级资本：扣除项</w:t>
            </w:r>
            <w:r>
              <w:rPr>
                <w:rFonts w:hint="eastAsia" w:ascii="仿宋_GB2312" w:eastAsia="仿宋_GB2312"/>
                <w:color w:val="000000"/>
                <w:sz w:val="22"/>
              </w:rPr>
              <w:t>　</w:t>
            </w:r>
          </w:p>
        </w:tc>
      </w:tr>
      <w:tr w14:paraId="0D5005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9AEC074">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w:t>
            </w:r>
          </w:p>
        </w:tc>
        <w:tc>
          <w:tcPr>
            <w:tcW w:w="4521" w:type="dxa"/>
            <w:noWrap/>
            <w:vAlign w:val="center"/>
          </w:tcPr>
          <w:p w14:paraId="27CFEB04">
            <w:pPr>
              <w:spacing w:line="400" w:lineRule="exact"/>
              <w:ind w:firstLine="0" w:firstLineChars="0"/>
              <w:rPr>
                <w:rFonts w:ascii="仿宋_GB2312" w:eastAsia="仿宋_GB2312"/>
                <w:color w:val="000000"/>
                <w:sz w:val="22"/>
              </w:rPr>
            </w:pPr>
            <w:r>
              <w:rPr>
                <w:rFonts w:hint="eastAsia" w:ascii="仿宋_GB2312" w:eastAsia="仿宋_GB2312"/>
                <w:color w:val="000000"/>
                <w:sz w:val="22"/>
              </w:rPr>
              <w:t>审慎估值调整</w:t>
            </w:r>
          </w:p>
        </w:tc>
        <w:tc>
          <w:tcPr>
            <w:tcW w:w="2421" w:type="dxa"/>
            <w:noWrap/>
            <w:vAlign w:val="center"/>
          </w:tcPr>
          <w:p w14:paraId="5A38EC6B">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763B53EB">
            <w:pPr>
              <w:spacing w:line="400" w:lineRule="exact"/>
              <w:ind w:firstLine="0" w:firstLineChars="0"/>
              <w:jc w:val="center"/>
              <w:rPr>
                <w:rFonts w:ascii="仿宋_GB2312" w:eastAsia="仿宋_GB2312"/>
                <w:color w:val="000000"/>
                <w:sz w:val="22"/>
              </w:rPr>
            </w:pPr>
          </w:p>
        </w:tc>
      </w:tr>
      <w:tr w14:paraId="59635D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E962330">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7</w:t>
            </w:r>
          </w:p>
        </w:tc>
        <w:tc>
          <w:tcPr>
            <w:tcW w:w="4521" w:type="dxa"/>
            <w:noWrap/>
            <w:vAlign w:val="center"/>
          </w:tcPr>
          <w:p w14:paraId="1A8B6AC0">
            <w:pPr>
              <w:spacing w:line="400" w:lineRule="exact"/>
              <w:ind w:firstLine="0" w:firstLineChars="0"/>
              <w:rPr>
                <w:rFonts w:ascii="仿宋_GB2312" w:eastAsia="仿宋_GB2312"/>
                <w:color w:val="000000"/>
                <w:sz w:val="22"/>
              </w:rPr>
            </w:pPr>
            <w:r>
              <w:rPr>
                <w:rFonts w:hint="eastAsia" w:ascii="仿宋_GB2312" w:eastAsia="仿宋_GB2312"/>
                <w:color w:val="000000"/>
                <w:sz w:val="22"/>
              </w:rPr>
              <w:t>商誉（扣除递延税负债）</w:t>
            </w:r>
          </w:p>
        </w:tc>
        <w:tc>
          <w:tcPr>
            <w:tcW w:w="2421" w:type="dxa"/>
            <w:noWrap/>
            <w:vAlign w:val="center"/>
          </w:tcPr>
          <w:p w14:paraId="0284BE94">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2759EF66">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a-c</w:t>
            </w:r>
          </w:p>
        </w:tc>
      </w:tr>
      <w:tr w14:paraId="6C9D27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3BAB2D4D">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8</w:t>
            </w:r>
          </w:p>
        </w:tc>
        <w:tc>
          <w:tcPr>
            <w:tcW w:w="4521" w:type="dxa"/>
            <w:noWrap/>
            <w:vAlign w:val="center"/>
          </w:tcPr>
          <w:p w14:paraId="74BE00B9">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其他无形资产（土地使用权除外）（扣除递延税负债）</w:t>
            </w:r>
          </w:p>
        </w:tc>
        <w:tc>
          <w:tcPr>
            <w:tcW w:w="2421" w:type="dxa"/>
            <w:noWrap/>
            <w:vAlign w:val="center"/>
          </w:tcPr>
          <w:p w14:paraId="6A9E894C">
            <w:pPr>
              <w:spacing w:line="400" w:lineRule="exact"/>
              <w:ind w:firstLine="0" w:firstLineChars="0"/>
              <w:jc w:val="right"/>
              <w:rPr>
                <w:rFonts w:hint="eastAsia" w:ascii="仿宋_GB2312" w:eastAsia="仿宋_GB2312"/>
                <w:color w:val="000000"/>
                <w:sz w:val="22"/>
                <w:lang w:val="en-US" w:eastAsia="zh-CN"/>
              </w:rPr>
            </w:pPr>
            <w:r>
              <w:rPr>
                <w:rFonts w:hint="eastAsia" w:ascii="仿宋_GB2312" w:eastAsia="仿宋_GB2312"/>
                <w:color w:val="000000"/>
                <w:sz w:val="22"/>
              </w:rPr>
              <w:t>31,14</w:t>
            </w:r>
            <w:r>
              <w:rPr>
                <w:rFonts w:hint="eastAsia" w:ascii="仿宋_GB2312" w:eastAsia="仿宋_GB2312"/>
                <w:color w:val="000000"/>
                <w:sz w:val="22"/>
                <w:lang w:val="en-US" w:eastAsia="zh-CN"/>
              </w:rPr>
              <w:t>9</w:t>
            </w:r>
          </w:p>
          <w:p w14:paraId="336E9346">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w:t>
            </w:r>
          </w:p>
        </w:tc>
        <w:tc>
          <w:tcPr>
            <w:tcW w:w="1259" w:type="dxa"/>
            <w:noWrap/>
            <w:vAlign w:val="center"/>
          </w:tcPr>
          <w:p w14:paraId="5751791F">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b-d</w:t>
            </w:r>
          </w:p>
        </w:tc>
      </w:tr>
      <w:tr w14:paraId="19801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5965B2B5">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9</w:t>
            </w:r>
          </w:p>
        </w:tc>
        <w:tc>
          <w:tcPr>
            <w:tcW w:w="4521" w:type="dxa"/>
            <w:noWrap/>
            <w:vAlign w:val="center"/>
          </w:tcPr>
          <w:p w14:paraId="1488ACE1">
            <w:pPr>
              <w:spacing w:line="400" w:lineRule="exact"/>
              <w:ind w:firstLine="0" w:firstLineChars="0"/>
              <w:rPr>
                <w:rFonts w:ascii="仿宋_GB2312" w:eastAsia="仿宋_GB2312"/>
                <w:color w:val="000000"/>
                <w:sz w:val="22"/>
              </w:rPr>
            </w:pPr>
            <w:r>
              <w:rPr>
                <w:rFonts w:hint="eastAsia" w:ascii="仿宋_GB2312" w:eastAsia="仿宋_GB2312"/>
                <w:color w:val="000000"/>
                <w:sz w:val="22"/>
              </w:rPr>
              <w:t>依赖未来盈利的由经营亏损引起的净递延税资产</w:t>
            </w:r>
          </w:p>
        </w:tc>
        <w:tc>
          <w:tcPr>
            <w:tcW w:w="2421" w:type="dxa"/>
            <w:noWrap/>
            <w:vAlign w:val="center"/>
          </w:tcPr>
          <w:p w14:paraId="675166F8">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446C61B5">
            <w:pPr>
              <w:spacing w:line="400" w:lineRule="exact"/>
              <w:ind w:firstLine="0" w:firstLineChars="0"/>
              <w:rPr>
                <w:rFonts w:ascii="仿宋_GB2312" w:eastAsia="仿宋_GB2312"/>
                <w:color w:val="000000"/>
                <w:sz w:val="22"/>
              </w:rPr>
            </w:pPr>
          </w:p>
        </w:tc>
      </w:tr>
      <w:tr w14:paraId="0B7077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0F8DA338">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10</w:t>
            </w:r>
          </w:p>
        </w:tc>
        <w:tc>
          <w:tcPr>
            <w:tcW w:w="4521" w:type="dxa"/>
            <w:noWrap/>
            <w:vAlign w:val="center"/>
          </w:tcPr>
          <w:p w14:paraId="4576FDDC">
            <w:pPr>
              <w:spacing w:line="400" w:lineRule="exact"/>
              <w:ind w:firstLine="0" w:firstLineChars="0"/>
              <w:rPr>
                <w:rFonts w:ascii="仿宋_GB2312" w:eastAsia="仿宋_GB2312"/>
                <w:color w:val="000000"/>
                <w:sz w:val="22"/>
              </w:rPr>
            </w:pPr>
            <w:r>
              <w:rPr>
                <w:rFonts w:hint="eastAsia" w:ascii="仿宋_GB2312" w:eastAsia="仿宋_GB2312"/>
                <w:color w:val="000000"/>
                <w:sz w:val="22"/>
              </w:rPr>
              <w:t>对未按公允价值计量的项目进行套期形成的现金流储备</w:t>
            </w:r>
          </w:p>
        </w:tc>
        <w:tc>
          <w:tcPr>
            <w:tcW w:w="2421" w:type="dxa"/>
            <w:noWrap/>
            <w:vAlign w:val="center"/>
          </w:tcPr>
          <w:p w14:paraId="49D8D17E">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35C6B1AF">
            <w:pPr>
              <w:spacing w:line="400" w:lineRule="exact"/>
              <w:ind w:firstLine="0" w:firstLineChars="0"/>
              <w:rPr>
                <w:rFonts w:ascii="仿宋_GB2312" w:eastAsia="仿宋_GB2312"/>
                <w:color w:val="000000"/>
                <w:sz w:val="22"/>
              </w:rPr>
            </w:pPr>
          </w:p>
        </w:tc>
      </w:tr>
      <w:tr w14:paraId="190683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1182AB41">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11</w:t>
            </w:r>
          </w:p>
        </w:tc>
        <w:tc>
          <w:tcPr>
            <w:tcW w:w="4521" w:type="dxa"/>
            <w:noWrap/>
            <w:vAlign w:val="center"/>
          </w:tcPr>
          <w:p w14:paraId="4EB9FC13">
            <w:pPr>
              <w:spacing w:line="400" w:lineRule="exact"/>
              <w:ind w:firstLine="0" w:firstLineChars="0"/>
              <w:rPr>
                <w:rFonts w:ascii="仿宋_GB2312" w:eastAsia="仿宋_GB2312"/>
                <w:color w:val="000000"/>
                <w:sz w:val="22"/>
              </w:rPr>
            </w:pPr>
            <w:r>
              <w:rPr>
                <w:rFonts w:hint="eastAsia" w:ascii="仿宋_GB2312" w:eastAsia="仿宋_GB2312"/>
                <w:color w:val="000000"/>
                <w:sz w:val="22"/>
              </w:rPr>
              <w:t>损失准备缺口</w:t>
            </w:r>
          </w:p>
        </w:tc>
        <w:tc>
          <w:tcPr>
            <w:tcW w:w="2421" w:type="dxa"/>
            <w:noWrap/>
            <w:vAlign w:val="center"/>
          </w:tcPr>
          <w:p w14:paraId="08239D66">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2F5DA87E">
            <w:pPr>
              <w:spacing w:line="400" w:lineRule="exact"/>
              <w:ind w:firstLine="0" w:firstLineChars="0"/>
              <w:rPr>
                <w:rFonts w:ascii="仿宋_GB2312" w:eastAsia="仿宋_GB2312"/>
                <w:color w:val="000000"/>
                <w:sz w:val="22"/>
              </w:rPr>
            </w:pPr>
          </w:p>
        </w:tc>
      </w:tr>
      <w:tr w14:paraId="604A7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99C566E">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12</w:t>
            </w:r>
          </w:p>
        </w:tc>
        <w:tc>
          <w:tcPr>
            <w:tcW w:w="4521" w:type="dxa"/>
            <w:noWrap/>
            <w:vAlign w:val="center"/>
          </w:tcPr>
          <w:p w14:paraId="0EDCF332">
            <w:pPr>
              <w:spacing w:line="400" w:lineRule="exact"/>
              <w:ind w:firstLine="0" w:firstLineChars="0"/>
              <w:rPr>
                <w:rFonts w:ascii="仿宋_GB2312" w:eastAsia="仿宋_GB2312"/>
                <w:color w:val="000000"/>
                <w:sz w:val="22"/>
              </w:rPr>
            </w:pPr>
            <w:r>
              <w:rPr>
                <w:rFonts w:hint="eastAsia" w:ascii="仿宋_GB2312" w:eastAsia="仿宋_GB2312"/>
                <w:color w:val="000000"/>
                <w:sz w:val="22"/>
              </w:rPr>
              <w:t>资产证券化销售利得</w:t>
            </w:r>
          </w:p>
        </w:tc>
        <w:tc>
          <w:tcPr>
            <w:tcW w:w="2421" w:type="dxa"/>
            <w:noWrap/>
            <w:vAlign w:val="center"/>
          </w:tcPr>
          <w:p w14:paraId="62561AB5">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4EC260E4">
            <w:pPr>
              <w:spacing w:line="400" w:lineRule="exact"/>
              <w:ind w:firstLine="0" w:firstLineChars="0"/>
              <w:rPr>
                <w:rFonts w:ascii="仿宋_GB2312" w:eastAsia="仿宋_GB2312"/>
                <w:color w:val="000000"/>
                <w:sz w:val="22"/>
              </w:rPr>
            </w:pPr>
          </w:p>
        </w:tc>
      </w:tr>
      <w:tr w14:paraId="31B0E2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30FE52A1">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13</w:t>
            </w:r>
          </w:p>
        </w:tc>
        <w:tc>
          <w:tcPr>
            <w:tcW w:w="4521" w:type="dxa"/>
            <w:noWrap/>
            <w:vAlign w:val="center"/>
          </w:tcPr>
          <w:p w14:paraId="60DA0765">
            <w:pPr>
              <w:spacing w:line="400" w:lineRule="exact"/>
              <w:ind w:firstLine="0" w:firstLineChars="0"/>
              <w:rPr>
                <w:rFonts w:ascii="仿宋_GB2312" w:eastAsia="仿宋_GB2312"/>
                <w:color w:val="000000"/>
                <w:sz w:val="22"/>
              </w:rPr>
            </w:pPr>
            <w:r>
              <w:rPr>
                <w:rFonts w:hint="eastAsia" w:ascii="仿宋_GB2312" w:eastAsia="仿宋_GB2312"/>
                <w:color w:val="000000"/>
                <w:sz w:val="22"/>
              </w:rPr>
              <w:t>自身信用风险变化导致其负债公允价值变化带来的未实现损益</w:t>
            </w:r>
          </w:p>
        </w:tc>
        <w:tc>
          <w:tcPr>
            <w:tcW w:w="2421" w:type="dxa"/>
            <w:noWrap/>
            <w:vAlign w:val="center"/>
          </w:tcPr>
          <w:p w14:paraId="695C7D5E">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621CFCA1">
            <w:pPr>
              <w:spacing w:line="400" w:lineRule="exact"/>
              <w:ind w:firstLine="0" w:firstLineChars="0"/>
              <w:rPr>
                <w:rFonts w:ascii="仿宋_GB2312" w:eastAsia="仿宋_GB2312"/>
                <w:color w:val="000000"/>
                <w:sz w:val="22"/>
              </w:rPr>
            </w:pPr>
          </w:p>
        </w:tc>
      </w:tr>
      <w:tr w14:paraId="58E85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35888976">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14</w:t>
            </w:r>
          </w:p>
        </w:tc>
        <w:tc>
          <w:tcPr>
            <w:tcW w:w="4521" w:type="dxa"/>
            <w:noWrap/>
            <w:vAlign w:val="center"/>
          </w:tcPr>
          <w:p w14:paraId="41A49342">
            <w:pPr>
              <w:spacing w:line="400" w:lineRule="exact"/>
              <w:ind w:firstLine="0" w:firstLineChars="0"/>
              <w:rPr>
                <w:rFonts w:ascii="仿宋_GB2312" w:eastAsia="仿宋_GB2312"/>
                <w:color w:val="000000"/>
                <w:sz w:val="22"/>
              </w:rPr>
            </w:pPr>
            <w:r>
              <w:rPr>
                <w:rFonts w:hint="eastAsia" w:ascii="仿宋_GB2312" w:eastAsia="仿宋_GB2312"/>
                <w:color w:val="000000"/>
                <w:sz w:val="22"/>
              </w:rPr>
              <w:t>确定受益类的养老金资产净额（扣除递延税负债）</w:t>
            </w:r>
          </w:p>
        </w:tc>
        <w:tc>
          <w:tcPr>
            <w:tcW w:w="2421" w:type="dxa"/>
            <w:noWrap/>
            <w:vAlign w:val="center"/>
          </w:tcPr>
          <w:p w14:paraId="2082CAF0">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10E9506C">
            <w:pPr>
              <w:spacing w:line="400" w:lineRule="exact"/>
              <w:ind w:firstLine="0" w:firstLineChars="0"/>
              <w:rPr>
                <w:rFonts w:ascii="仿宋_GB2312" w:eastAsia="仿宋_GB2312"/>
                <w:color w:val="000000"/>
                <w:sz w:val="22"/>
              </w:rPr>
            </w:pPr>
          </w:p>
        </w:tc>
      </w:tr>
      <w:tr w14:paraId="601141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6BDFEEF9">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15</w:t>
            </w:r>
          </w:p>
        </w:tc>
        <w:tc>
          <w:tcPr>
            <w:tcW w:w="4521" w:type="dxa"/>
            <w:noWrap/>
            <w:vAlign w:val="center"/>
          </w:tcPr>
          <w:p w14:paraId="28432614">
            <w:pPr>
              <w:spacing w:line="400" w:lineRule="exact"/>
              <w:ind w:firstLine="0" w:firstLineChars="0"/>
              <w:rPr>
                <w:rFonts w:ascii="仿宋_GB2312" w:eastAsia="仿宋_GB2312"/>
                <w:color w:val="000000"/>
                <w:sz w:val="22"/>
              </w:rPr>
            </w:pPr>
            <w:r>
              <w:rPr>
                <w:rFonts w:hint="eastAsia" w:ascii="仿宋_GB2312" w:eastAsia="仿宋_GB2312"/>
                <w:color w:val="000000"/>
                <w:sz w:val="22"/>
              </w:rPr>
              <w:t>直接或间接持有本银行的股票</w:t>
            </w:r>
          </w:p>
        </w:tc>
        <w:tc>
          <w:tcPr>
            <w:tcW w:w="2421" w:type="dxa"/>
            <w:noWrap/>
            <w:vAlign w:val="center"/>
          </w:tcPr>
          <w:p w14:paraId="33C8A464">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624DB6E0">
            <w:pPr>
              <w:spacing w:line="400" w:lineRule="exact"/>
              <w:ind w:firstLine="0" w:firstLineChars="0"/>
              <w:rPr>
                <w:rFonts w:ascii="仿宋_GB2312" w:eastAsia="仿宋_GB2312"/>
                <w:color w:val="000000"/>
                <w:sz w:val="22"/>
              </w:rPr>
            </w:pPr>
          </w:p>
        </w:tc>
      </w:tr>
      <w:tr w14:paraId="2D94C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97C8A78">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16</w:t>
            </w:r>
          </w:p>
        </w:tc>
        <w:tc>
          <w:tcPr>
            <w:tcW w:w="4521" w:type="dxa"/>
            <w:noWrap/>
            <w:vAlign w:val="center"/>
          </w:tcPr>
          <w:p w14:paraId="5EB92014">
            <w:pPr>
              <w:spacing w:line="400" w:lineRule="exact"/>
              <w:ind w:firstLine="0" w:firstLineChars="0"/>
              <w:rPr>
                <w:rFonts w:ascii="仿宋_GB2312" w:eastAsia="仿宋_GB2312"/>
                <w:color w:val="000000"/>
                <w:sz w:val="22"/>
              </w:rPr>
            </w:pPr>
            <w:r>
              <w:rPr>
                <w:rFonts w:hint="eastAsia" w:ascii="仿宋_GB2312" w:eastAsia="仿宋_GB2312"/>
                <w:color w:val="000000"/>
                <w:sz w:val="22"/>
              </w:rPr>
              <w:t>银行间或银行与其他金融机构间通过协议相互持有的核心一级资本</w:t>
            </w:r>
          </w:p>
        </w:tc>
        <w:tc>
          <w:tcPr>
            <w:tcW w:w="2421" w:type="dxa"/>
            <w:noWrap/>
            <w:vAlign w:val="center"/>
          </w:tcPr>
          <w:p w14:paraId="5C02465C">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77FB8284">
            <w:pPr>
              <w:spacing w:line="400" w:lineRule="exact"/>
              <w:ind w:firstLine="0" w:firstLineChars="0"/>
              <w:rPr>
                <w:rFonts w:ascii="仿宋_GB2312" w:eastAsia="仿宋_GB2312"/>
                <w:color w:val="000000"/>
                <w:sz w:val="22"/>
              </w:rPr>
            </w:pPr>
          </w:p>
        </w:tc>
      </w:tr>
      <w:tr w14:paraId="712E7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6B31C4AB">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17</w:t>
            </w:r>
          </w:p>
        </w:tc>
        <w:tc>
          <w:tcPr>
            <w:tcW w:w="4521" w:type="dxa"/>
            <w:noWrap/>
            <w:vAlign w:val="center"/>
          </w:tcPr>
          <w:p w14:paraId="54D53A9A">
            <w:pPr>
              <w:spacing w:line="400" w:lineRule="exact"/>
              <w:ind w:firstLine="0" w:firstLineChars="0"/>
              <w:rPr>
                <w:rFonts w:ascii="仿宋_GB2312" w:eastAsia="仿宋_GB2312"/>
                <w:color w:val="000000"/>
                <w:sz w:val="22"/>
              </w:rPr>
            </w:pPr>
            <w:r>
              <w:rPr>
                <w:rFonts w:hint="eastAsia" w:ascii="仿宋_GB2312" w:eastAsia="仿宋_GB2312"/>
                <w:color w:val="000000"/>
                <w:sz w:val="22"/>
              </w:rPr>
              <w:t>对未并表金融机构小额少数资本投资中的核心一级资本中应扣除金额</w:t>
            </w:r>
          </w:p>
        </w:tc>
        <w:tc>
          <w:tcPr>
            <w:tcW w:w="2421" w:type="dxa"/>
            <w:noWrap/>
            <w:vAlign w:val="center"/>
          </w:tcPr>
          <w:p w14:paraId="45CF6331">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41016256">
            <w:pPr>
              <w:spacing w:line="400" w:lineRule="exact"/>
              <w:ind w:firstLine="0" w:firstLineChars="0"/>
              <w:rPr>
                <w:rFonts w:ascii="仿宋_GB2312" w:eastAsia="仿宋_GB2312"/>
                <w:color w:val="000000"/>
                <w:sz w:val="22"/>
              </w:rPr>
            </w:pPr>
          </w:p>
        </w:tc>
      </w:tr>
      <w:tr w14:paraId="49E5B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1D4E49ED">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18</w:t>
            </w:r>
          </w:p>
        </w:tc>
        <w:tc>
          <w:tcPr>
            <w:tcW w:w="4521" w:type="dxa"/>
            <w:noWrap/>
            <w:vAlign w:val="center"/>
          </w:tcPr>
          <w:p w14:paraId="77C321D0">
            <w:pPr>
              <w:spacing w:line="400" w:lineRule="exact"/>
              <w:ind w:firstLine="0" w:firstLineChars="0"/>
              <w:rPr>
                <w:rFonts w:ascii="仿宋_GB2312" w:eastAsia="仿宋_GB2312"/>
                <w:color w:val="000000"/>
                <w:sz w:val="22"/>
              </w:rPr>
            </w:pPr>
            <w:r>
              <w:rPr>
                <w:rFonts w:hint="eastAsia" w:ascii="仿宋_GB2312" w:eastAsia="仿宋_GB2312"/>
                <w:color w:val="000000"/>
                <w:sz w:val="22"/>
              </w:rPr>
              <w:t>对未并表金融机构大额少数资本投资中的核心一级资本中应扣除金额</w:t>
            </w:r>
          </w:p>
        </w:tc>
        <w:tc>
          <w:tcPr>
            <w:tcW w:w="2421" w:type="dxa"/>
            <w:noWrap/>
            <w:vAlign w:val="center"/>
          </w:tcPr>
          <w:p w14:paraId="370458CC">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178D97F7">
            <w:pPr>
              <w:spacing w:line="400" w:lineRule="exact"/>
              <w:ind w:firstLine="0" w:firstLineChars="0"/>
              <w:rPr>
                <w:rFonts w:ascii="仿宋_GB2312" w:eastAsia="仿宋_GB2312"/>
                <w:color w:val="000000"/>
                <w:sz w:val="22"/>
              </w:rPr>
            </w:pPr>
          </w:p>
        </w:tc>
      </w:tr>
      <w:tr w14:paraId="069CD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5EA127EB">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19</w:t>
            </w:r>
          </w:p>
        </w:tc>
        <w:tc>
          <w:tcPr>
            <w:tcW w:w="4521" w:type="dxa"/>
            <w:noWrap/>
            <w:vAlign w:val="center"/>
          </w:tcPr>
          <w:p w14:paraId="2A1144D5">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其他依赖于银行未来盈利的净递延税资产中应扣除金额</w:t>
            </w:r>
          </w:p>
        </w:tc>
        <w:tc>
          <w:tcPr>
            <w:tcW w:w="2421" w:type="dxa"/>
            <w:noWrap/>
            <w:vAlign w:val="center"/>
          </w:tcPr>
          <w:p w14:paraId="606FCCDC">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54,883</w:t>
            </w:r>
          </w:p>
        </w:tc>
        <w:tc>
          <w:tcPr>
            <w:tcW w:w="1259" w:type="dxa"/>
            <w:noWrap/>
            <w:vAlign w:val="center"/>
          </w:tcPr>
          <w:p w14:paraId="506A6C16">
            <w:pPr>
              <w:spacing w:line="400" w:lineRule="exact"/>
              <w:ind w:firstLine="0" w:firstLineChars="0"/>
              <w:rPr>
                <w:rFonts w:ascii="仿宋_GB2312" w:eastAsia="仿宋_GB2312"/>
                <w:color w:val="000000"/>
                <w:sz w:val="22"/>
              </w:rPr>
            </w:pPr>
          </w:p>
        </w:tc>
      </w:tr>
      <w:tr w14:paraId="372C31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5C5ED55">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20</w:t>
            </w:r>
          </w:p>
        </w:tc>
        <w:tc>
          <w:tcPr>
            <w:tcW w:w="4521" w:type="dxa"/>
            <w:noWrap/>
            <w:vAlign w:val="center"/>
          </w:tcPr>
          <w:p w14:paraId="0F5ECB57">
            <w:pPr>
              <w:spacing w:line="400" w:lineRule="exact"/>
              <w:ind w:firstLine="0" w:firstLineChars="0"/>
              <w:rPr>
                <w:rFonts w:ascii="仿宋_GB2312" w:eastAsia="仿宋_GB2312"/>
                <w:color w:val="000000"/>
                <w:sz w:val="22"/>
              </w:rPr>
            </w:pPr>
            <w:r>
              <w:rPr>
                <w:rFonts w:hint="eastAsia" w:ascii="仿宋_GB2312" w:eastAsia="仿宋_GB2312"/>
                <w:color w:val="000000"/>
                <w:sz w:val="22"/>
              </w:rPr>
              <w:t>对未并表金融机构大额少数资本投资中的核心一级资本和其他依赖于银行未来盈利的净递延税资产的未扣除部分超过核心一级资本15%的应扣除金额</w:t>
            </w:r>
          </w:p>
        </w:tc>
        <w:tc>
          <w:tcPr>
            <w:tcW w:w="2421" w:type="dxa"/>
            <w:noWrap/>
            <w:vAlign w:val="center"/>
          </w:tcPr>
          <w:p w14:paraId="214DC7CB">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5C4377B5">
            <w:pPr>
              <w:spacing w:line="400" w:lineRule="exact"/>
              <w:ind w:firstLine="0" w:firstLineChars="0"/>
              <w:rPr>
                <w:rFonts w:ascii="仿宋_GB2312" w:eastAsia="仿宋_GB2312"/>
                <w:color w:val="000000"/>
                <w:sz w:val="22"/>
              </w:rPr>
            </w:pPr>
          </w:p>
        </w:tc>
      </w:tr>
      <w:tr w14:paraId="3BD15A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555E547">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21</w:t>
            </w:r>
          </w:p>
        </w:tc>
        <w:tc>
          <w:tcPr>
            <w:tcW w:w="4521" w:type="dxa"/>
            <w:noWrap/>
            <w:vAlign w:val="center"/>
          </w:tcPr>
          <w:p w14:paraId="79B6B0DE">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其中：应在对金融机构大额少数资本投资中扣除的金额</w:t>
            </w:r>
          </w:p>
        </w:tc>
        <w:tc>
          <w:tcPr>
            <w:tcW w:w="2421" w:type="dxa"/>
            <w:noWrap/>
            <w:vAlign w:val="center"/>
          </w:tcPr>
          <w:p w14:paraId="20700B15">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78A68A0A">
            <w:pPr>
              <w:spacing w:line="400" w:lineRule="exact"/>
              <w:ind w:firstLine="0" w:firstLineChars="0"/>
              <w:rPr>
                <w:rFonts w:ascii="仿宋_GB2312" w:eastAsia="仿宋_GB2312"/>
                <w:color w:val="000000"/>
                <w:sz w:val="22"/>
              </w:rPr>
            </w:pPr>
          </w:p>
        </w:tc>
      </w:tr>
      <w:tr w14:paraId="56A43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2ABE7782">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22</w:t>
            </w:r>
          </w:p>
        </w:tc>
        <w:tc>
          <w:tcPr>
            <w:tcW w:w="4521" w:type="dxa"/>
            <w:noWrap/>
            <w:vAlign w:val="center"/>
          </w:tcPr>
          <w:p w14:paraId="62A69DC0">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其中：应在其他依赖于银行未来盈利的净递延税资产中扣除的金额</w:t>
            </w:r>
          </w:p>
        </w:tc>
        <w:tc>
          <w:tcPr>
            <w:tcW w:w="2421" w:type="dxa"/>
            <w:noWrap/>
            <w:vAlign w:val="center"/>
          </w:tcPr>
          <w:p w14:paraId="63FA14FC">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2263F3E8">
            <w:pPr>
              <w:spacing w:line="400" w:lineRule="exact"/>
              <w:ind w:firstLine="0" w:firstLineChars="0"/>
              <w:rPr>
                <w:rFonts w:ascii="仿宋_GB2312" w:eastAsia="仿宋_GB2312"/>
                <w:color w:val="000000"/>
                <w:sz w:val="22"/>
              </w:rPr>
            </w:pPr>
          </w:p>
        </w:tc>
      </w:tr>
      <w:tr w14:paraId="070351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0739D390">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23</w:t>
            </w:r>
          </w:p>
        </w:tc>
        <w:tc>
          <w:tcPr>
            <w:tcW w:w="4521" w:type="dxa"/>
            <w:noWrap/>
            <w:vAlign w:val="center"/>
          </w:tcPr>
          <w:p w14:paraId="6B9E30CA">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其他应在核心一级资本中扣除的项目合计</w:t>
            </w:r>
          </w:p>
        </w:tc>
        <w:tc>
          <w:tcPr>
            <w:tcW w:w="2421" w:type="dxa"/>
            <w:noWrap/>
            <w:vAlign w:val="center"/>
          </w:tcPr>
          <w:p w14:paraId="44BB8B34">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3266CF03">
            <w:pPr>
              <w:spacing w:line="400" w:lineRule="exact"/>
              <w:ind w:firstLine="0" w:firstLineChars="0"/>
              <w:rPr>
                <w:rFonts w:ascii="仿宋_GB2312" w:eastAsia="仿宋_GB2312"/>
                <w:color w:val="000000"/>
                <w:sz w:val="22"/>
              </w:rPr>
            </w:pPr>
          </w:p>
        </w:tc>
      </w:tr>
      <w:tr w14:paraId="7BA9E7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1AB2569A">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24</w:t>
            </w:r>
          </w:p>
        </w:tc>
        <w:tc>
          <w:tcPr>
            <w:tcW w:w="4521" w:type="dxa"/>
            <w:noWrap/>
            <w:vAlign w:val="center"/>
          </w:tcPr>
          <w:p w14:paraId="78CB8AAD">
            <w:pPr>
              <w:spacing w:line="400" w:lineRule="exact"/>
              <w:ind w:firstLine="0" w:firstLineChars="0"/>
              <w:rPr>
                <w:rFonts w:ascii="仿宋_GB2312" w:eastAsia="仿宋_GB2312"/>
                <w:color w:val="000000"/>
                <w:sz w:val="22"/>
              </w:rPr>
            </w:pPr>
            <w:r>
              <w:rPr>
                <w:rFonts w:hint="eastAsia" w:ascii="仿宋_GB2312" w:eastAsia="仿宋_GB2312"/>
                <w:color w:val="000000"/>
                <w:sz w:val="22"/>
              </w:rPr>
              <w:t>应从其他一级资本和二级资本中扣除的未扣缺口</w:t>
            </w:r>
          </w:p>
        </w:tc>
        <w:tc>
          <w:tcPr>
            <w:tcW w:w="2421" w:type="dxa"/>
            <w:noWrap/>
            <w:vAlign w:val="center"/>
          </w:tcPr>
          <w:p w14:paraId="3C4543D2">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00465DCA">
            <w:pPr>
              <w:spacing w:line="400" w:lineRule="exact"/>
              <w:ind w:firstLine="0" w:firstLineChars="0"/>
              <w:rPr>
                <w:rFonts w:ascii="仿宋_GB2312" w:eastAsia="仿宋_GB2312"/>
                <w:color w:val="000000"/>
                <w:sz w:val="22"/>
              </w:rPr>
            </w:pPr>
          </w:p>
        </w:tc>
      </w:tr>
      <w:tr w14:paraId="53B4C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263C48AB">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25</w:t>
            </w:r>
          </w:p>
        </w:tc>
        <w:tc>
          <w:tcPr>
            <w:tcW w:w="4521" w:type="dxa"/>
            <w:noWrap/>
            <w:vAlign w:val="center"/>
          </w:tcPr>
          <w:p w14:paraId="63B49722">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核心一级资本扣除项总和</w:t>
            </w:r>
          </w:p>
        </w:tc>
        <w:tc>
          <w:tcPr>
            <w:tcW w:w="2421" w:type="dxa"/>
            <w:noWrap/>
            <w:vAlign w:val="center"/>
          </w:tcPr>
          <w:p w14:paraId="0A296B18">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86,031 </w:t>
            </w:r>
          </w:p>
        </w:tc>
        <w:tc>
          <w:tcPr>
            <w:tcW w:w="1259" w:type="dxa"/>
            <w:noWrap/>
            <w:vAlign w:val="center"/>
          </w:tcPr>
          <w:p w14:paraId="2D2B56EC">
            <w:pPr>
              <w:spacing w:line="400" w:lineRule="exact"/>
              <w:ind w:firstLine="0" w:firstLineChars="0"/>
              <w:jc w:val="right"/>
              <w:rPr>
                <w:rFonts w:hint="eastAsia" w:ascii="仿宋_GB2312" w:eastAsia="仿宋_GB2312" w:cs="Arial"/>
                <w:color w:val="000000"/>
                <w:sz w:val="22"/>
              </w:rPr>
            </w:pPr>
          </w:p>
        </w:tc>
      </w:tr>
      <w:tr w14:paraId="107EF9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293DC45">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26</w:t>
            </w:r>
          </w:p>
        </w:tc>
        <w:tc>
          <w:tcPr>
            <w:tcW w:w="4521" w:type="dxa"/>
            <w:noWrap/>
            <w:vAlign w:val="center"/>
          </w:tcPr>
          <w:p w14:paraId="2DFCBE18">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核心一级资本净额</w:t>
            </w:r>
          </w:p>
        </w:tc>
        <w:tc>
          <w:tcPr>
            <w:tcW w:w="2421" w:type="dxa"/>
            <w:noWrap/>
            <w:vAlign w:val="center"/>
          </w:tcPr>
          <w:p w14:paraId="563B1715">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2,191,638 </w:t>
            </w:r>
          </w:p>
        </w:tc>
        <w:tc>
          <w:tcPr>
            <w:tcW w:w="1259" w:type="dxa"/>
            <w:noWrap/>
            <w:vAlign w:val="center"/>
          </w:tcPr>
          <w:p w14:paraId="56AA507B">
            <w:pPr>
              <w:spacing w:line="400" w:lineRule="exact"/>
              <w:ind w:firstLine="0" w:firstLineChars="0"/>
              <w:jc w:val="right"/>
              <w:rPr>
                <w:rFonts w:hint="eastAsia" w:ascii="仿宋_GB2312" w:eastAsia="仿宋_GB2312" w:cs="Arial"/>
                <w:color w:val="000000"/>
                <w:sz w:val="22"/>
              </w:rPr>
            </w:pPr>
          </w:p>
        </w:tc>
      </w:tr>
      <w:tr w14:paraId="62779A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9253" w:type="dxa"/>
            <w:gridSpan w:val="4"/>
            <w:noWrap/>
            <w:vAlign w:val="center"/>
          </w:tcPr>
          <w:p w14:paraId="6628AE5E">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其他一级资本</w:t>
            </w:r>
          </w:p>
        </w:tc>
      </w:tr>
      <w:tr w14:paraId="5C2E6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32E0EA60">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27</w:t>
            </w:r>
          </w:p>
        </w:tc>
        <w:tc>
          <w:tcPr>
            <w:tcW w:w="4521" w:type="dxa"/>
            <w:noWrap/>
            <w:vAlign w:val="center"/>
          </w:tcPr>
          <w:p w14:paraId="3B57FA3C">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其他一级资本工具及其溢价</w:t>
            </w:r>
          </w:p>
        </w:tc>
        <w:tc>
          <w:tcPr>
            <w:tcW w:w="2421" w:type="dxa"/>
            <w:noWrap/>
            <w:vAlign w:val="center"/>
          </w:tcPr>
          <w:p w14:paraId="13104265">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w:t>
            </w:r>
            <w:r>
              <w:rPr>
                <w:rFonts w:hint="eastAsia" w:ascii="仿宋_GB2312" w:eastAsia="仿宋_GB2312"/>
                <w:color w:val="000000"/>
                <w:sz w:val="22"/>
                <w:lang w:val="en-US" w:eastAsia="zh-CN"/>
              </w:rPr>
              <w:t>35</w:t>
            </w:r>
            <w:r>
              <w:rPr>
                <w:rFonts w:hint="eastAsia" w:ascii="仿宋_GB2312" w:eastAsia="仿宋_GB2312"/>
                <w:color w:val="000000"/>
                <w:sz w:val="22"/>
              </w:rPr>
              <w:t xml:space="preserve">0,000 </w:t>
            </w:r>
          </w:p>
        </w:tc>
        <w:tc>
          <w:tcPr>
            <w:tcW w:w="1259" w:type="dxa"/>
            <w:noWrap/>
            <w:vAlign w:val="center"/>
          </w:tcPr>
          <w:p w14:paraId="42E7F50A">
            <w:pPr>
              <w:spacing w:line="400" w:lineRule="exact"/>
              <w:ind w:firstLine="0" w:firstLineChars="0"/>
              <w:rPr>
                <w:rFonts w:ascii="仿宋_GB2312" w:eastAsia="仿宋_GB2312"/>
                <w:color w:val="000000"/>
                <w:sz w:val="22"/>
              </w:rPr>
            </w:pPr>
          </w:p>
        </w:tc>
      </w:tr>
      <w:tr w14:paraId="1ED71E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shd w:val="clear" w:color="auto" w:fill="auto"/>
            <w:noWrap/>
            <w:vAlign w:val="center"/>
          </w:tcPr>
          <w:p w14:paraId="2A656510">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28</w:t>
            </w:r>
          </w:p>
        </w:tc>
        <w:tc>
          <w:tcPr>
            <w:tcW w:w="4521" w:type="dxa"/>
            <w:shd w:val="clear" w:color="auto" w:fill="auto"/>
            <w:noWrap/>
            <w:vAlign w:val="center"/>
          </w:tcPr>
          <w:p w14:paraId="30496B29">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其中：权益部分</w:t>
            </w:r>
          </w:p>
        </w:tc>
        <w:tc>
          <w:tcPr>
            <w:tcW w:w="2421" w:type="dxa"/>
            <w:noWrap/>
            <w:vAlign w:val="center"/>
          </w:tcPr>
          <w:p w14:paraId="14CDA404">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w:t>
            </w:r>
            <w:r>
              <w:rPr>
                <w:rFonts w:hint="eastAsia" w:ascii="仿宋_GB2312" w:eastAsia="仿宋_GB2312"/>
                <w:color w:val="000000"/>
                <w:sz w:val="22"/>
                <w:lang w:val="en-US" w:eastAsia="zh-CN"/>
              </w:rPr>
              <w:t>35</w:t>
            </w:r>
            <w:r>
              <w:rPr>
                <w:rFonts w:hint="eastAsia" w:ascii="仿宋_GB2312" w:eastAsia="仿宋_GB2312"/>
                <w:color w:val="000000"/>
                <w:sz w:val="22"/>
              </w:rPr>
              <w:t xml:space="preserve">0,000 </w:t>
            </w:r>
          </w:p>
        </w:tc>
        <w:tc>
          <w:tcPr>
            <w:tcW w:w="1259" w:type="dxa"/>
            <w:noWrap/>
            <w:vAlign w:val="center"/>
          </w:tcPr>
          <w:p w14:paraId="41D2A8C1">
            <w:pPr>
              <w:spacing w:line="400" w:lineRule="exact"/>
              <w:ind w:firstLine="0" w:firstLineChars="0"/>
              <w:rPr>
                <w:rFonts w:ascii="仿宋_GB2312" w:eastAsia="仿宋_GB2312"/>
                <w:color w:val="000000"/>
                <w:sz w:val="22"/>
              </w:rPr>
            </w:pPr>
          </w:p>
        </w:tc>
      </w:tr>
      <w:tr w14:paraId="29D985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2B663853">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29</w:t>
            </w:r>
          </w:p>
        </w:tc>
        <w:tc>
          <w:tcPr>
            <w:tcW w:w="4521" w:type="dxa"/>
            <w:noWrap/>
            <w:vAlign w:val="center"/>
          </w:tcPr>
          <w:p w14:paraId="4D217B2B">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其中：负债部分</w:t>
            </w:r>
          </w:p>
        </w:tc>
        <w:tc>
          <w:tcPr>
            <w:tcW w:w="2421" w:type="dxa"/>
            <w:noWrap/>
            <w:vAlign w:val="center"/>
          </w:tcPr>
          <w:p w14:paraId="08FDC5ED">
            <w:pPr>
              <w:spacing w:line="400" w:lineRule="exact"/>
              <w:ind w:firstLine="0" w:firstLineChars="0"/>
              <w:jc w:val="right"/>
              <w:rPr>
                <w:rFonts w:ascii="仿宋_GB2312" w:eastAsia="仿宋_GB2312"/>
                <w:color w:val="000000"/>
                <w:sz w:val="22"/>
              </w:rPr>
            </w:pPr>
          </w:p>
        </w:tc>
        <w:tc>
          <w:tcPr>
            <w:tcW w:w="1259" w:type="dxa"/>
            <w:noWrap/>
            <w:vAlign w:val="center"/>
          </w:tcPr>
          <w:p w14:paraId="4257B834">
            <w:pPr>
              <w:spacing w:line="400" w:lineRule="exact"/>
              <w:ind w:firstLine="0" w:firstLineChars="0"/>
              <w:rPr>
                <w:rFonts w:ascii="仿宋_GB2312" w:eastAsia="仿宋_GB2312"/>
                <w:color w:val="000000"/>
                <w:sz w:val="22"/>
              </w:rPr>
            </w:pPr>
          </w:p>
        </w:tc>
      </w:tr>
      <w:tr w14:paraId="379D2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658F60EC">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30</w:t>
            </w:r>
          </w:p>
        </w:tc>
        <w:tc>
          <w:tcPr>
            <w:tcW w:w="4521" w:type="dxa"/>
            <w:noWrap/>
            <w:vAlign w:val="center"/>
          </w:tcPr>
          <w:p w14:paraId="04BA560F">
            <w:pPr>
              <w:spacing w:line="400" w:lineRule="exact"/>
              <w:ind w:firstLine="0" w:firstLineChars="0"/>
              <w:rPr>
                <w:rFonts w:ascii="仿宋_GB2312" w:eastAsia="仿宋_GB2312"/>
                <w:color w:val="000000"/>
                <w:sz w:val="22"/>
              </w:rPr>
            </w:pPr>
            <w:r>
              <w:rPr>
                <w:rFonts w:hint="eastAsia" w:ascii="仿宋_GB2312" w:eastAsia="仿宋_GB2312"/>
                <w:color w:val="000000"/>
                <w:sz w:val="22"/>
              </w:rPr>
              <w:t>少数股东资本可计入部分</w:t>
            </w:r>
          </w:p>
        </w:tc>
        <w:tc>
          <w:tcPr>
            <w:tcW w:w="2421" w:type="dxa"/>
            <w:noWrap/>
            <w:vAlign w:val="center"/>
          </w:tcPr>
          <w:p w14:paraId="6769A9AD">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26F6681D">
            <w:pPr>
              <w:spacing w:line="400" w:lineRule="exact"/>
              <w:ind w:firstLine="0" w:firstLineChars="0"/>
              <w:rPr>
                <w:rFonts w:ascii="仿宋_GB2312" w:eastAsia="仿宋_GB2312"/>
                <w:color w:val="000000"/>
                <w:sz w:val="22"/>
              </w:rPr>
            </w:pPr>
          </w:p>
        </w:tc>
      </w:tr>
      <w:tr w14:paraId="6ECA5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3E2CC02A">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31</w:t>
            </w:r>
          </w:p>
        </w:tc>
        <w:tc>
          <w:tcPr>
            <w:tcW w:w="4521" w:type="dxa"/>
            <w:noWrap/>
            <w:vAlign w:val="center"/>
          </w:tcPr>
          <w:p w14:paraId="046F2E69">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扣除前的其他一级资本</w:t>
            </w:r>
          </w:p>
        </w:tc>
        <w:tc>
          <w:tcPr>
            <w:tcW w:w="2421" w:type="dxa"/>
            <w:noWrap/>
            <w:vAlign w:val="center"/>
          </w:tcPr>
          <w:p w14:paraId="23093FD7">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w:t>
            </w:r>
            <w:r>
              <w:rPr>
                <w:rFonts w:hint="eastAsia" w:ascii="仿宋_GB2312" w:eastAsia="仿宋_GB2312"/>
                <w:color w:val="000000"/>
                <w:sz w:val="22"/>
                <w:lang w:val="en-US" w:eastAsia="zh-CN"/>
              </w:rPr>
              <w:t>35</w:t>
            </w:r>
            <w:r>
              <w:rPr>
                <w:rFonts w:hint="eastAsia" w:ascii="仿宋_GB2312" w:eastAsia="仿宋_GB2312"/>
                <w:color w:val="000000"/>
                <w:sz w:val="22"/>
              </w:rPr>
              <w:t xml:space="preserve">0,000 </w:t>
            </w:r>
          </w:p>
        </w:tc>
        <w:tc>
          <w:tcPr>
            <w:tcW w:w="1259" w:type="dxa"/>
            <w:noWrap/>
            <w:vAlign w:val="center"/>
          </w:tcPr>
          <w:p w14:paraId="522F714C">
            <w:pPr>
              <w:spacing w:line="400" w:lineRule="exact"/>
              <w:ind w:firstLine="0" w:firstLineChars="0"/>
              <w:rPr>
                <w:rFonts w:ascii="仿宋_GB2312" w:eastAsia="仿宋_GB2312"/>
                <w:color w:val="000000"/>
                <w:sz w:val="22"/>
              </w:rPr>
            </w:pPr>
          </w:p>
        </w:tc>
      </w:tr>
      <w:tr w14:paraId="6F9909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9253" w:type="dxa"/>
            <w:gridSpan w:val="4"/>
            <w:noWrap/>
            <w:vAlign w:val="center"/>
          </w:tcPr>
          <w:p w14:paraId="4BC46EA1">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其他一级资本:扣除项</w:t>
            </w:r>
          </w:p>
        </w:tc>
      </w:tr>
      <w:tr w14:paraId="44C41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5519FDB9">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32</w:t>
            </w:r>
          </w:p>
        </w:tc>
        <w:tc>
          <w:tcPr>
            <w:tcW w:w="4521" w:type="dxa"/>
            <w:noWrap/>
            <w:vAlign w:val="center"/>
          </w:tcPr>
          <w:p w14:paraId="38D08F70">
            <w:pPr>
              <w:spacing w:line="400" w:lineRule="exact"/>
              <w:ind w:firstLine="0" w:firstLineChars="0"/>
              <w:rPr>
                <w:rFonts w:ascii="仿宋_GB2312" w:eastAsia="仿宋_GB2312"/>
                <w:color w:val="000000"/>
                <w:sz w:val="22"/>
              </w:rPr>
            </w:pPr>
            <w:r>
              <w:rPr>
                <w:rFonts w:hint="eastAsia" w:ascii="仿宋_GB2312" w:eastAsia="仿宋_GB2312"/>
                <w:color w:val="000000"/>
                <w:sz w:val="22"/>
              </w:rPr>
              <w:t>直接或间接持有的本银行其他一级资本</w:t>
            </w:r>
          </w:p>
        </w:tc>
        <w:tc>
          <w:tcPr>
            <w:tcW w:w="2421" w:type="dxa"/>
            <w:noWrap/>
            <w:vAlign w:val="center"/>
          </w:tcPr>
          <w:p w14:paraId="4607B954">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7A134241">
            <w:pPr>
              <w:spacing w:line="400" w:lineRule="exact"/>
              <w:ind w:firstLine="0" w:firstLineChars="0"/>
              <w:rPr>
                <w:rFonts w:ascii="仿宋_GB2312" w:eastAsia="仿宋_GB2312"/>
                <w:color w:val="000000"/>
                <w:sz w:val="22"/>
              </w:rPr>
            </w:pPr>
          </w:p>
        </w:tc>
      </w:tr>
      <w:tr w14:paraId="5AB85E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55D0FF4">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33</w:t>
            </w:r>
          </w:p>
        </w:tc>
        <w:tc>
          <w:tcPr>
            <w:tcW w:w="4521" w:type="dxa"/>
            <w:noWrap/>
            <w:vAlign w:val="center"/>
          </w:tcPr>
          <w:p w14:paraId="17AF600F">
            <w:pPr>
              <w:spacing w:line="400" w:lineRule="exact"/>
              <w:ind w:firstLine="0" w:firstLineChars="0"/>
              <w:rPr>
                <w:rFonts w:ascii="仿宋_GB2312" w:eastAsia="仿宋_GB2312"/>
                <w:color w:val="000000"/>
                <w:sz w:val="22"/>
              </w:rPr>
            </w:pPr>
            <w:r>
              <w:rPr>
                <w:rFonts w:hint="eastAsia" w:ascii="仿宋_GB2312" w:eastAsia="仿宋_GB2312"/>
                <w:color w:val="000000"/>
                <w:sz w:val="22"/>
              </w:rPr>
              <w:t>银行间或银行与其他金融机构间通过协议相互持有的其他一级资本</w:t>
            </w:r>
          </w:p>
        </w:tc>
        <w:tc>
          <w:tcPr>
            <w:tcW w:w="2421" w:type="dxa"/>
            <w:noWrap/>
            <w:vAlign w:val="center"/>
          </w:tcPr>
          <w:p w14:paraId="5304D2CC">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22E80F5B">
            <w:pPr>
              <w:spacing w:line="400" w:lineRule="exact"/>
              <w:ind w:firstLine="0" w:firstLineChars="0"/>
              <w:rPr>
                <w:rFonts w:ascii="仿宋_GB2312" w:eastAsia="仿宋_GB2312"/>
                <w:color w:val="000000"/>
                <w:sz w:val="22"/>
              </w:rPr>
            </w:pPr>
          </w:p>
        </w:tc>
      </w:tr>
      <w:tr w14:paraId="59806D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1FF663BF">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34</w:t>
            </w:r>
          </w:p>
        </w:tc>
        <w:tc>
          <w:tcPr>
            <w:tcW w:w="4521" w:type="dxa"/>
            <w:noWrap/>
            <w:vAlign w:val="center"/>
          </w:tcPr>
          <w:p w14:paraId="11481009">
            <w:pPr>
              <w:spacing w:line="400" w:lineRule="exact"/>
              <w:ind w:firstLine="0" w:firstLineChars="0"/>
              <w:rPr>
                <w:rFonts w:ascii="仿宋_GB2312" w:eastAsia="仿宋_GB2312"/>
                <w:color w:val="000000"/>
                <w:sz w:val="22"/>
              </w:rPr>
            </w:pPr>
            <w:r>
              <w:rPr>
                <w:rFonts w:hint="eastAsia" w:ascii="仿宋_GB2312" w:eastAsia="仿宋_GB2312"/>
                <w:color w:val="000000"/>
                <w:sz w:val="22"/>
              </w:rPr>
              <w:t>对未并表金融机构小额少数资本投资中的其他一级资本中应扣除金额</w:t>
            </w:r>
          </w:p>
        </w:tc>
        <w:tc>
          <w:tcPr>
            <w:tcW w:w="2421" w:type="dxa"/>
            <w:noWrap/>
            <w:vAlign w:val="center"/>
          </w:tcPr>
          <w:p w14:paraId="7EC006F3">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1A3293AD">
            <w:pPr>
              <w:spacing w:line="400" w:lineRule="exact"/>
              <w:ind w:firstLine="0" w:firstLineChars="0"/>
              <w:rPr>
                <w:rFonts w:ascii="仿宋_GB2312" w:eastAsia="仿宋_GB2312"/>
                <w:color w:val="000000"/>
                <w:sz w:val="22"/>
              </w:rPr>
            </w:pPr>
          </w:p>
        </w:tc>
      </w:tr>
      <w:tr w14:paraId="04A32C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F1A3D42">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35</w:t>
            </w:r>
          </w:p>
        </w:tc>
        <w:tc>
          <w:tcPr>
            <w:tcW w:w="4521" w:type="dxa"/>
            <w:noWrap/>
            <w:vAlign w:val="center"/>
          </w:tcPr>
          <w:p w14:paraId="4CE7897F">
            <w:pPr>
              <w:spacing w:line="400" w:lineRule="exact"/>
              <w:ind w:firstLine="0" w:firstLineChars="0"/>
              <w:rPr>
                <w:rFonts w:ascii="仿宋_GB2312" w:eastAsia="仿宋_GB2312"/>
                <w:color w:val="000000"/>
                <w:sz w:val="22"/>
              </w:rPr>
            </w:pPr>
            <w:r>
              <w:rPr>
                <w:rFonts w:hint="eastAsia" w:ascii="仿宋_GB2312" w:eastAsia="仿宋_GB2312"/>
                <w:color w:val="000000"/>
                <w:sz w:val="22"/>
              </w:rPr>
              <w:t>对未并表金融机构大额少数资本投资中的其他一级资本中应扣除金额</w:t>
            </w:r>
          </w:p>
        </w:tc>
        <w:tc>
          <w:tcPr>
            <w:tcW w:w="2421" w:type="dxa"/>
            <w:noWrap/>
            <w:vAlign w:val="center"/>
          </w:tcPr>
          <w:p w14:paraId="2B20119D">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784EB9D1">
            <w:pPr>
              <w:spacing w:line="400" w:lineRule="exact"/>
              <w:ind w:firstLine="0" w:firstLineChars="0"/>
              <w:rPr>
                <w:rFonts w:ascii="仿宋_GB2312" w:eastAsia="仿宋_GB2312"/>
                <w:color w:val="000000"/>
                <w:sz w:val="22"/>
              </w:rPr>
            </w:pPr>
          </w:p>
        </w:tc>
      </w:tr>
      <w:tr w14:paraId="71161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23333F1">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36</w:t>
            </w:r>
          </w:p>
        </w:tc>
        <w:tc>
          <w:tcPr>
            <w:tcW w:w="4521" w:type="dxa"/>
            <w:noWrap/>
            <w:vAlign w:val="center"/>
          </w:tcPr>
          <w:p w14:paraId="1195EEE2">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其他应在其他一级资本中扣除的项目合计</w:t>
            </w:r>
          </w:p>
        </w:tc>
        <w:tc>
          <w:tcPr>
            <w:tcW w:w="2421" w:type="dxa"/>
            <w:noWrap/>
            <w:vAlign w:val="center"/>
          </w:tcPr>
          <w:p w14:paraId="6BA81966">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39DA91FD">
            <w:pPr>
              <w:spacing w:line="400" w:lineRule="exact"/>
              <w:ind w:firstLine="0" w:firstLineChars="0"/>
              <w:rPr>
                <w:rFonts w:ascii="仿宋_GB2312" w:eastAsia="仿宋_GB2312"/>
                <w:color w:val="000000"/>
                <w:sz w:val="22"/>
              </w:rPr>
            </w:pPr>
          </w:p>
        </w:tc>
      </w:tr>
      <w:tr w14:paraId="234DF8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2103132C">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37</w:t>
            </w:r>
          </w:p>
        </w:tc>
        <w:tc>
          <w:tcPr>
            <w:tcW w:w="4521" w:type="dxa"/>
            <w:noWrap/>
            <w:vAlign w:val="center"/>
          </w:tcPr>
          <w:p w14:paraId="32805B58">
            <w:pPr>
              <w:spacing w:line="400" w:lineRule="exact"/>
              <w:ind w:firstLine="0" w:firstLineChars="0"/>
              <w:rPr>
                <w:rFonts w:ascii="仿宋_GB2312" w:eastAsia="仿宋_GB2312"/>
                <w:color w:val="000000"/>
                <w:sz w:val="22"/>
              </w:rPr>
            </w:pPr>
            <w:r>
              <w:rPr>
                <w:rFonts w:hint="eastAsia" w:ascii="仿宋_GB2312" w:eastAsia="仿宋_GB2312"/>
                <w:color w:val="000000"/>
                <w:sz w:val="22"/>
              </w:rPr>
              <w:t>应从二级资本中扣除的未扣缺口</w:t>
            </w:r>
          </w:p>
        </w:tc>
        <w:tc>
          <w:tcPr>
            <w:tcW w:w="2421" w:type="dxa"/>
            <w:noWrap/>
            <w:vAlign w:val="center"/>
          </w:tcPr>
          <w:p w14:paraId="2633D9C6">
            <w:pPr>
              <w:spacing w:line="400" w:lineRule="exact"/>
              <w:ind w:firstLine="0" w:firstLineChars="0"/>
              <w:jc w:val="right"/>
              <w:rPr>
                <w:rFonts w:ascii="仿宋_GB2312" w:eastAsia="仿宋_GB2312"/>
                <w:color w:val="000000"/>
                <w:sz w:val="22"/>
              </w:rPr>
            </w:pPr>
          </w:p>
        </w:tc>
        <w:tc>
          <w:tcPr>
            <w:tcW w:w="1259" w:type="dxa"/>
            <w:noWrap/>
            <w:vAlign w:val="center"/>
          </w:tcPr>
          <w:p w14:paraId="250C567C">
            <w:pPr>
              <w:spacing w:line="400" w:lineRule="exact"/>
              <w:ind w:firstLine="0" w:firstLineChars="0"/>
              <w:rPr>
                <w:rFonts w:ascii="仿宋_GB2312" w:eastAsia="仿宋_GB2312"/>
                <w:color w:val="000000"/>
                <w:sz w:val="22"/>
              </w:rPr>
            </w:pPr>
          </w:p>
        </w:tc>
      </w:tr>
      <w:tr w14:paraId="51460D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FC96D74">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38</w:t>
            </w:r>
          </w:p>
        </w:tc>
        <w:tc>
          <w:tcPr>
            <w:tcW w:w="4521" w:type="dxa"/>
            <w:noWrap/>
            <w:vAlign w:val="center"/>
          </w:tcPr>
          <w:p w14:paraId="2777D1ED">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其他一级资本扣除项总和</w:t>
            </w:r>
          </w:p>
        </w:tc>
        <w:tc>
          <w:tcPr>
            <w:tcW w:w="2421" w:type="dxa"/>
            <w:noWrap/>
            <w:vAlign w:val="center"/>
          </w:tcPr>
          <w:p w14:paraId="32DCF7C7">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69DD7E03">
            <w:pPr>
              <w:spacing w:line="400" w:lineRule="exact"/>
              <w:ind w:firstLine="0" w:firstLineChars="0"/>
              <w:rPr>
                <w:rFonts w:ascii="仿宋_GB2312" w:eastAsia="仿宋_GB2312"/>
                <w:color w:val="000000"/>
                <w:sz w:val="22"/>
              </w:rPr>
            </w:pPr>
          </w:p>
        </w:tc>
      </w:tr>
      <w:tr w14:paraId="712E0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3DBAD47">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39</w:t>
            </w:r>
          </w:p>
        </w:tc>
        <w:tc>
          <w:tcPr>
            <w:tcW w:w="4521" w:type="dxa"/>
            <w:noWrap/>
            <w:vAlign w:val="center"/>
          </w:tcPr>
          <w:p w14:paraId="283B7270">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其他一级资本净额</w:t>
            </w:r>
          </w:p>
        </w:tc>
        <w:tc>
          <w:tcPr>
            <w:tcW w:w="2421" w:type="dxa"/>
            <w:noWrap/>
            <w:vAlign w:val="center"/>
          </w:tcPr>
          <w:p w14:paraId="63670D1C">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lang w:val="en-US" w:eastAsia="zh-CN"/>
              </w:rPr>
              <w:t>35</w:t>
            </w:r>
            <w:r>
              <w:rPr>
                <w:rFonts w:hint="eastAsia" w:ascii="仿宋_GB2312" w:eastAsia="仿宋_GB2312"/>
                <w:color w:val="000000"/>
                <w:sz w:val="22"/>
              </w:rPr>
              <w:t xml:space="preserve">0,000    </w:t>
            </w:r>
          </w:p>
        </w:tc>
        <w:tc>
          <w:tcPr>
            <w:tcW w:w="1259" w:type="dxa"/>
            <w:noWrap/>
            <w:vAlign w:val="center"/>
          </w:tcPr>
          <w:p w14:paraId="2209F288">
            <w:pPr>
              <w:spacing w:line="400" w:lineRule="exact"/>
              <w:ind w:firstLine="0" w:firstLineChars="0"/>
              <w:rPr>
                <w:rFonts w:ascii="仿宋_GB2312" w:eastAsia="仿宋_GB2312"/>
                <w:color w:val="000000"/>
                <w:sz w:val="22"/>
              </w:rPr>
            </w:pPr>
          </w:p>
        </w:tc>
      </w:tr>
      <w:tr w14:paraId="50ACD4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0D3AEBD9">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40</w:t>
            </w:r>
          </w:p>
        </w:tc>
        <w:tc>
          <w:tcPr>
            <w:tcW w:w="4521" w:type="dxa"/>
            <w:noWrap/>
            <w:vAlign w:val="center"/>
          </w:tcPr>
          <w:p w14:paraId="4350A329">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一级资本净额</w:t>
            </w:r>
          </w:p>
        </w:tc>
        <w:tc>
          <w:tcPr>
            <w:tcW w:w="2421" w:type="dxa"/>
            <w:noWrap/>
            <w:vAlign w:val="center"/>
          </w:tcPr>
          <w:p w14:paraId="3662E536">
            <w:pPr>
              <w:spacing w:line="400" w:lineRule="exact"/>
              <w:ind w:firstLine="0" w:firstLineChars="0"/>
              <w:jc w:val="right"/>
              <w:rPr>
                <w:rFonts w:ascii="仿宋_GB2312" w:eastAsia="仿宋_GB2312"/>
                <w:color w:val="000000"/>
                <w:sz w:val="22"/>
              </w:rPr>
            </w:pPr>
            <w:r>
              <w:rPr>
                <w:rFonts w:hint="eastAsia" w:ascii="仿宋_GB2312" w:eastAsia="仿宋_GB2312" w:cs="Arial"/>
                <w:color w:val="000000"/>
                <w:sz w:val="22"/>
              </w:rPr>
              <w:t xml:space="preserve">2,541,638 </w:t>
            </w:r>
            <w:r>
              <w:rPr>
                <w:rFonts w:hint="eastAsia" w:ascii="仿宋_GB2312" w:eastAsia="仿宋_GB2312"/>
                <w:color w:val="000000"/>
                <w:sz w:val="22"/>
              </w:rPr>
              <w:t xml:space="preserve"> </w:t>
            </w:r>
          </w:p>
        </w:tc>
        <w:tc>
          <w:tcPr>
            <w:tcW w:w="1259" w:type="dxa"/>
            <w:noWrap/>
            <w:vAlign w:val="center"/>
          </w:tcPr>
          <w:p w14:paraId="2A9E1447">
            <w:pPr>
              <w:spacing w:line="400" w:lineRule="exact"/>
              <w:ind w:firstLine="0" w:firstLineChars="0"/>
              <w:rPr>
                <w:rFonts w:ascii="仿宋_GB2312" w:eastAsia="仿宋_GB2312"/>
                <w:color w:val="000000"/>
                <w:sz w:val="22"/>
              </w:rPr>
            </w:pPr>
          </w:p>
        </w:tc>
      </w:tr>
      <w:tr w14:paraId="2E215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9253" w:type="dxa"/>
            <w:gridSpan w:val="4"/>
            <w:noWrap/>
            <w:vAlign w:val="center"/>
          </w:tcPr>
          <w:p w14:paraId="0CF7F00D">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二级资本</w:t>
            </w:r>
          </w:p>
        </w:tc>
      </w:tr>
      <w:tr w14:paraId="10B757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5AC5206C">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41</w:t>
            </w:r>
          </w:p>
        </w:tc>
        <w:tc>
          <w:tcPr>
            <w:tcW w:w="4521" w:type="dxa"/>
            <w:noWrap/>
            <w:vAlign w:val="center"/>
          </w:tcPr>
          <w:p w14:paraId="3590B326">
            <w:pPr>
              <w:spacing w:line="400" w:lineRule="exact"/>
              <w:ind w:firstLine="0" w:firstLineChars="0"/>
              <w:rPr>
                <w:rFonts w:ascii="仿宋_GB2312" w:eastAsia="仿宋_GB2312"/>
                <w:color w:val="000000"/>
                <w:sz w:val="22"/>
              </w:rPr>
            </w:pPr>
            <w:r>
              <w:rPr>
                <w:rFonts w:hint="eastAsia" w:ascii="仿宋_GB2312" w:eastAsia="仿宋_GB2312"/>
                <w:color w:val="000000"/>
                <w:sz w:val="22"/>
              </w:rPr>
              <w:t>二级资本工具及其溢价</w:t>
            </w:r>
          </w:p>
        </w:tc>
        <w:tc>
          <w:tcPr>
            <w:tcW w:w="2421" w:type="dxa"/>
            <w:noWrap/>
            <w:vAlign w:val="center"/>
          </w:tcPr>
          <w:p w14:paraId="6F59AD36">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549FA4F1">
            <w:pPr>
              <w:spacing w:line="400" w:lineRule="exact"/>
              <w:ind w:firstLine="0" w:firstLineChars="0"/>
              <w:rPr>
                <w:rFonts w:ascii="仿宋_GB2312" w:eastAsia="仿宋_GB2312"/>
                <w:color w:val="000000"/>
                <w:sz w:val="22"/>
              </w:rPr>
            </w:pPr>
          </w:p>
        </w:tc>
      </w:tr>
      <w:tr w14:paraId="74C71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20D8C60B">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42</w:t>
            </w:r>
          </w:p>
        </w:tc>
        <w:tc>
          <w:tcPr>
            <w:tcW w:w="4521" w:type="dxa"/>
            <w:noWrap/>
            <w:vAlign w:val="center"/>
          </w:tcPr>
          <w:p w14:paraId="652B89DB">
            <w:pPr>
              <w:spacing w:line="400" w:lineRule="exact"/>
              <w:ind w:firstLine="0" w:firstLineChars="0"/>
              <w:rPr>
                <w:rFonts w:ascii="仿宋_GB2312" w:eastAsia="仿宋_GB2312"/>
                <w:color w:val="000000"/>
                <w:sz w:val="22"/>
              </w:rPr>
            </w:pPr>
            <w:r>
              <w:rPr>
                <w:rFonts w:hint="eastAsia" w:ascii="仿宋_GB2312" w:eastAsia="仿宋_GB2312"/>
                <w:color w:val="000000"/>
                <w:sz w:val="22"/>
              </w:rPr>
              <w:t>少数股东资本可计入部分</w:t>
            </w:r>
          </w:p>
        </w:tc>
        <w:tc>
          <w:tcPr>
            <w:tcW w:w="2421" w:type="dxa"/>
            <w:noWrap/>
            <w:vAlign w:val="center"/>
          </w:tcPr>
          <w:p w14:paraId="402E58F6">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2AF383A0">
            <w:pPr>
              <w:spacing w:line="400" w:lineRule="exact"/>
              <w:ind w:firstLine="0" w:firstLineChars="0"/>
              <w:rPr>
                <w:rFonts w:ascii="仿宋_GB2312" w:eastAsia="仿宋_GB2312"/>
                <w:color w:val="000000"/>
                <w:sz w:val="22"/>
              </w:rPr>
            </w:pPr>
          </w:p>
        </w:tc>
      </w:tr>
      <w:tr w14:paraId="30E54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3513D122">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43</w:t>
            </w:r>
          </w:p>
        </w:tc>
        <w:tc>
          <w:tcPr>
            <w:tcW w:w="4521" w:type="dxa"/>
            <w:noWrap/>
            <w:vAlign w:val="center"/>
          </w:tcPr>
          <w:p w14:paraId="276BEC9B">
            <w:pPr>
              <w:spacing w:line="400" w:lineRule="exact"/>
              <w:ind w:firstLine="0" w:firstLineChars="0"/>
              <w:rPr>
                <w:rFonts w:ascii="仿宋_GB2312" w:eastAsia="仿宋_GB2312"/>
                <w:color w:val="000000"/>
                <w:sz w:val="22"/>
              </w:rPr>
            </w:pPr>
            <w:r>
              <w:rPr>
                <w:rFonts w:hint="eastAsia" w:ascii="仿宋_GB2312" w:eastAsia="仿宋_GB2312"/>
                <w:color w:val="000000"/>
                <w:sz w:val="22"/>
              </w:rPr>
              <w:t>超额损失准备可计入部分</w:t>
            </w:r>
          </w:p>
        </w:tc>
        <w:tc>
          <w:tcPr>
            <w:tcW w:w="2421" w:type="dxa"/>
            <w:noWrap/>
            <w:vAlign w:val="center"/>
          </w:tcPr>
          <w:p w14:paraId="75F23D88">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268,391 </w:t>
            </w:r>
          </w:p>
        </w:tc>
        <w:tc>
          <w:tcPr>
            <w:tcW w:w="1259" w:type="dxa"/>
            <w:noWrap/>
            <w:vAlign w:val="center"/>
          </w:tcPr>
          <w:p w14:paraId="27997B77">
            <w:pPr>
              <w:spacing w:line="400" w:lineRule="exact"/>
              <w:ind w:firstLine="0" w:firstLineChars="0"/>
              <w:rPr>
                <w:rFonts w:ascii="仿宋_GB2312" w:eastAsia="仿宋_GB2312"/>
                <w:color w:val="000000"/>
                <w:sz w:val="22"/>
              </w:rPr>
            </w:pPr>
          </w:p>
        </w:tc>
      </w:tr>
      <w:tr w14:paraId="25AA6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3D246FF">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44</w:t>
            </w:r>
          </w:p>
        </w:tc>
        <w:tc>
          <w:tcPr>
            <w:tcW w:w="4521" w:type="dxa"/>
            <w:noWrap/>
            <w:vAlign w:val="center"/>
          </w:tcPr>
          <w:p w14:paraId="76F8E043">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扣除前的二级资本</w:t>
            </w:r>
          </w:p>
        </w:tc>
        <w:tc>
          <w:tcPr>
            <w:tcW w:w="2421" w:type="dxa"/>
            <w:noWrap/>
            <w:vAlign w:val="center"/>
          </w:tcPr>
          <w:p w14:paraId="1331DEE1">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268,391 </w:t>
            </w:r>
          </w:p>
        </w:tc>
        <w:tc>
          <w:tcPr>
            <w:tcW w:w="1259" w:type="dxa"/>
            <w:noWrap/>
            <w:vAlign w:val="center"/>
          </w:tcPr>
          <w:p w14:paraId="5D85CD8F">
            <w:pPr>
              <w:spacing w:line="400" w:lineRule="exact"/>
              <w:ind w:firstLine="0" w:firstLineChars="0"/>
              <w:rPr>
                <w:rFonts w:ascii="仿宋_GB2312" w:eastAsia="仿宋_GB2312"/>
                <w:color w:val="000000"/>
                <w:sz w:val="22"/>
              </w:rPr>
            </w:pPr>
          </w:p>
        </w:tc>
      </w:tr>
      <w:tr w14:paraId="71CF3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9253" w:type="dxa"/>
            <w:gridSpan w:val="4"/>
            <w:noWrap/>
            <w:vAlign w:val="center"/>
          </w:tcPr>
          <w:p w14:paraId="3B70FF3F">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二级资本：扣除项</w:t>
            </w:r>
          </w:p>
        </w:tc>
      </w:tr>
      <w:tr w14:paraId="7C488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2935155">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45</w:t>
            </w:r>
          </w:p>
        </w:tc>
        <w:tc>
          <w:tcPr>
            <w:tcW w:w="4521" w:type="dxa"/>
            <w:noWrap/>
            <w:vAlign w:val="center"/>
          </w:tcPr>
          <w:p w14:paraId="3DA9250A">
            <w:pPr>
              <w:spacing w:line="400" w:lineRule="exact"/>
              <w:ind w:firstLine="0" w:firstLineChars="0"/>
              <w:rPr>
                <w:rFonts w:ascii="仿宋_GB2312" w:eastAsia="仿宋_GB2312"/>
                <w:color w:val="000000"/>
                <w:sz w:val="22"/>
              </w:rPr>
            </w:pPr>
            <w:r>
              <w:rPr>
                <w:rFonts w:hint="eastAsia" w:ascii="仿宋_GB2312" w:eastAsia="仿宋_GB2312"/>
                <w:color w:val="000000"/>
                <w:sz w:val="22"/>
              </w:rPr>
              <w:t>直接或间接持有的本银行的二级资本</w:t>
            </w:r>
          </w:p>
        </w:tc>
        <w:tc>
          <w:tcPr>
            <w:tcW w:w="2421" w:type="dxa"/>
            <w:noWrap/>
            <w:vAlign w:val="center"/>
          </w:tcPr>
          <w:p w14:paraId="3484E22C">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6E8F0E74">
            <w:pPr>
              <w:spacing w:line="400" w:lineRule="exact"/>
              <w:ind w:firstLine="0" w:firstLineChars="0"/>
              <w:rPr>
                <w:rFonts w:ascii="仿宋_GB2312" w:eastAsia="仿宋_GB2312"/>
                <w:color w:val="000000"/>
                <w:sz w:val="22"/>
              </w:rPr>
            </w:pPr>
          </w:p>
        </w:tc>
      </w:tr>
      <w:tr w14:paraId="310CD7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50A33A20">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46</w:t>
            </w:r>
          </w:p>
        </w:tc>
        <w:tc>
          <w:tcPr>
            <w:tcW w:w="4521" w:type="dxa"/>
            <w:noWrap/>
            <w:vAlign w:val="center"/>
          </w:tcPr>
          <w:p w14:paraId="434EE17C">
            <w:pPr>
              <w:spacing w:line="400" w:lineRule="exact"/>
              <w:ind w:firstLine="0" w:firstLineChars="0"/>
              <w:rPr>
                <w:rFonts w:ascii="仿宋_GB2312" w:eastAsia="仿宋_GB2312"/>
                <w:color w:val="000000"/>
                <w:sz w:val="22"/>
              </w:rPr>
            </w:pPr>
            <w:r>
              <w:rPr>
                <w:rFonts w:hint="eastAsia" w:ascii="仿宋_GB2312" w:eastAsia="仿宋_GB2312"/>
                <w:color w:val="000000"/>
                <w:sz w:val="22"/>
              </w:rPr>
              <w:t>银行间或银行与其他金融机构间通过协议相互持有的其他一级资本</w:t>
            </w:r>
          </w:p>
        </w:tc>
        <w:tc>
          <w:tcPr>
            <w:tcW w:w="2421" w:type="dxa"/>
            <w:noWrap/>
            <w:vAlign w:val="center"/>
          </w:tcPr>
          <w:p w14:paraId="765F94F0">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07E8DBDA">
            <w:pPr>
              <w:spacing w:line="400" w:lineRule="exact"/>
              <w:ind w:firstLine="0" w:firstLineChars="0"/>
              <w:rPr>
                <w:rFonts w:ascii="仿宋_GB2312" w:eastAsia="仿宋_GB2312"/>
                <w:color w:val="000000"/>
                <w:sz w:val="22"/>
              </w:rPr>
            </w:pPr>
          </w:p>
        </w:tc>
      </w:tr>
      <w:tr w14:paraId="3992DE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6FCA846F">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47</w:t>
            </w:r>
          </w:p>
        </w:tc>
        <w:tc>
          <w:tcPr>
            <w:tcW w:w="4521" w:type="dxa"/>
            <w:noWrap/>
            <w:vAlign w:val="center"/>
          </w:tcPr>
          <w:p w14:paraId="095660F3">
            <w:pPr>
              <w:spacing w:line="400" w:lineRule="exact"/>
              <w:ind w:firstLine="0" w:firstLineChars="0"/>
              <w:rPr>
                <w:rFonts w:ascii="仿宋_GB2312" w:eastAsia="仿宋_GB2312"/>
                <w:color w:val="000000"/>
                <w:sz w:val="22"/>
              </w:rPr>
            </w:pPr>
            <w:r>
              <w:rPr>
                <w:rFonts w:hint="eastAsia" w:ascii="仿宋_GB2312" w:eastAsia="仿宋_GB2312"/>
                <w:color w:val="000000"/>
                <w:sz w:val="22"/>
              </w:rPr>
              <w:t>对未并表金融机构小额少数资本投资中的二级资本中应扣除金额</w:t>
            </w:r>
          </w:p>
        </w:tc>
        <w:tc>
          <w:tcPr>
            <w:tcW w:w="2421" w:type="dxa"/>
            <w:noWrap/>
            <w:vAlign w:val="center"/>
          </w:tcPr>
          <w:p w14:paraId="7865E884">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317906B2">
            <w:pPr>
              <w:spacing w:line="400" w:lineRule="exact"/>
              <w:ind w:firstLine="0" w:firstLineChars="0"/>
              <w:rPr>
                <w:rFonts w:ascii="仿宋_GB2312" w:eastAsia="仿宋_GB2312"/>
                <w:color w:val="000000"/>
                <w:sz w:val="22"/>
              </w:rPr>
            </w:pPr>
          </w:p>
        </w:tc>
      </w:tr>
      <w:tr w14:paraId="2FD55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E9CFD43">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48</w:t>
            </w:r>
          </w:p>
        </w:tc>
        <w:tc>
          <w:tcPr>
            <w:tcW w:w="4521" w:type="dxa"/>
            <w:noWrap/>
            <w:vAlign w:val="center"/>
          </w:tcPr>
          <w:p w14:paraId="2EE4A458">
            <w:pPr>
              <w:spacing w:line="400" w:lineRule="exact"/>
              <w:ind w:firstLine="0" w:firstLineChars="0"/>
              <w:rPr>
                <w:rFonts w:ascii="仿宋_GB2312" w:eastAsia="仿宋_GB2312"/>
                <w:color w:val="000000"/>
                <w:sz w:val="22"/>
              </w:rPr>
            </w:pPr>
            <w:r>
              <w:rPr>
                <w:rFonts w:hint="eastAsia" w:ascii="仿宋_GB2312" w:eastAsia="仿宋_GB2312"/>
                <w:color w:val="000000"/>
                <w:sz w:val="22"/>
              </w:rPr>
              <w:t>对未并表金融机构大额少数资本投资中的二级资本</w:t>
            </w:r>
          </w:p>
        </w:tc>
        <w:tc>
          <w:tcPr>
            <w:tcW w:w="2421" w:type="dxa"/>
            <w:noWrap/>
            <w:vAlign w:val="center"/>
          </w:tcPr>
          <w:p w14:paraId="2273905A">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21119555">
            <w:pPr>
              <w:spacing w:line="400" w:lineRule="exact"/>
              <w:ind w:firstLine="0" w:firstLineChars="0"/>
              <w:rPr>
                <w:rFonts w:ascii="仿宋_GB2312" w:eastAsia="仿宋_GB2312"/>
                <w:color w:val="000000"/>
                <w:sz w:val="22"/>
              </w:rPr>
            </w:pPr>
          </w:p>
        </w:tc>
      </w:tr>
      <w:tr w14:paraId="4D9DE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214B6DFB">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49</w:t>
            </w:r>
          </w:p>
        </w:tc>
        <w:tc>
          <w:tcPr>
            <w:tcW w:w="4521" w:type="dxa"/>
            <w:noWrap/>
            <w:vAlign w:val="center"/>
          </w:tcPr>
          <w:p w14:paraId="66DFF1C2">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其他应在二级资本中扣除的项目合计</w:t>
            </w:r>
          </w:p>
        </w:tc>
        <w:tc>
          <w:tcPr>
            <w:tcW w:w="2421" w:type="dxa"/>
            <w:noWrap/>
            <w:vAlign w:val="center"/>
          </w:tcPr>
          <w:p w14:paraId="3632F84C">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29465D7F">
            <w:pPr>
              <w:spacing w:line="400" w:lineRule="exact"/>
              <w:ind w:firstLine="0" w:firstLineChars="0"/>
              <w:rPr>
                <w:rFonts w:ascii="仿宋_GB2312" w:eastAsia="仿宋_GB2312"/>
                <w:color w:val="000000"/>
                <w:sz w:val="22"/>
              </w:rPr>
            </w:pPr>
          </w:p>
        </w:tc>
      </w:tr>
      <w:tr w14:paraId="5CFA10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4743D91">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50</w:t>
            </w:r>
          </w:p>
        </w:tc>
        <w:tc>
          <w:tcPr>
            <w:tcW w:w="4521" w:type="dxa"/>
            <w:noWrap/>
            <w:vAlign w:val="center"/>
          </w:tcPr>
          <w:p w14:paraId="3681E722">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二级资本扣除项总和</w:t>
            </w:r>
          </w:p>
        </w:tc>
        <w:tc>
          <w:tcPr>
            <w:tcW w:w="2421" w:type="dxa"/>
            <w:noWrap/>
            <w:vAlign w:val="center"/>
          </w:tcPr>
          <w:p w14:paraId="0C8D000A">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3E4CEE28">
            <w:pPr>
              <w:spacing w:line="400" w:lineRule="exact"/>
              <w:ind w:firstLine="0" w:firstLineChars="0"/>
              <w:rPr>
                <w:rFonts w:ascii="仿宋_GB2312" w:eastAsia="仿宋_GB2312"/>
                <w:color w:val="000000"/>
                <w:sz w:val="22"/>
              </w:rPr>
            </w:pPr>
          </w:p>
        </w:tc>
      </w:tr>
      <w:tr w14:paraId="2A7993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17111A0A">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51</w:t>
            </w:r>
          </w:p>
        </w:tc>
        <w:tc>
          <w:tcPr>
            <w:tcW w:w="4521" w:type="dxa"/>
            <w:noWrap/>
            <w:vAlign w:val="center"/>
          </w:tcPr>
          <w:p w14:paraId="0DF3B529">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二级资本净额</w:t>
            </w:r>
          </w:p>
        </w:tc>
        <w:tc>
          <w:tcPr>
            <w:tcW w:w="2421" w:type="dxa"/>
            <w:noWrap/>
            <w:vAlign w:val="center"/>
          </w:tcPr>
          <w:p w14:paraId="3CEA31CE">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268,391 </w:t>
            </w:r>
          </w:p>
        </w:tc>
        <w:tc>
          <w:tcPr>
            <w:tcW w:w="1259" w:type="dxa"/>
            <w:noWrap/>
            <w:vAlign w:val="center"/>
          </w:tcPr>
          <w:p w14:paraId="2DB27B84">
            <w:pPr>
              <w:spacing w:line="400" w:lineRule="exact"/>
              <w:ind w:firstLine="0" w:firstLineChars="0"/>
              <w:rPr>
                <w:rFonts w:ascii="仿宋_GB2312" w:eastAsia="仿宋_GB2312"/>
                <w:color w:val="000000"/>
                <w:sz w:val="22"/>
              </w:rPr>
            </w:pPr>
          </w:p>
        </w:tc>
      </w:tr>
      <w:tr w14:paraId="48FD1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584CC8FE">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52</w:t>
            </w:r>
          </w:p>
        </w:tc>
        <w:tc>
          <w:tcPr>
            <w:tcW w:w="4521" w:type="dxa"/>
            <w:noWrap/>
            <w:vAlign w:val="center"/>
          </w:tcPr>
          <w:p w14:paraId="73913071">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总资本净额</w:t>
            </w:r>
          </w:p>
        </w:tc>
        <w:tc>
          <w:tcPr>
            <w:tcW w:w="2421" w:type="dxa"/>
            <w:noWrap/>
            <w:vAlign w:val="center"/>
          </w:tcPr>
          <w:p w14:paraId="2562E531">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2,810,029 </w:t>
            </w:r>
          </w:p>
        </w:tc>
        <w:tc>
          <w:tcPr>
            <w:tcW w:w="1259" w:type="dxa"/>
            <w:noWrap/>
            <w:vAlign w:val="center"/>
          </w:tcPr>
          <w:p w14:paraId="5AFDC6F0">
            <w:pPr>
              <w:spacing w:line="400" w:lineRule="exact"/>
              <w:ind w:firstLine="0" w:firstLineChars="0"/>
              <w:rPr>
                <w:rFonts w:ascii="仿宋_GB2312" w:eastAsia="仿宋_GB2312"/>
                <w:color w:val="000000"/>
                <w:sz w:val="22"/>
              </w:rPr>
            </w:pPr>
          </w:p>
        </w:tc>
      </w:tr>
      <w:tr w14:paraId="2066D3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58E247D1">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53</w:t>
            </w:r>
          </w:p>
        </w:tc>
        <w:tc>
          <w:tcPr>
            <w:tcW w:w="4521" w:type="dxa"/>
            <w:noWrap/>
            <w:vAlign w:val="center"/>
          </w:tcPr>
          <w:p w14:paraId="56649615">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风险加权资产</w:t>
            </w:r>
          </w:p>
        </w:tc>
        <w:tc>
          <w:tcPr>
            <w:tcW w:w="2421" w:type="dxa"/>
            <w:noWrap/>
            <w:vAlign w:val="center"/>
          </w:tcPr>
          <w:p w14:paraId="6C415311">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26,180,542 </w:t>
            </w:r>
          </w:p>
        </w:tc>
        <w:tc>
          <w:tcPr>
            <w:tcW w:w="1259" w:type="dxa"/>
            <w:noWrap/>
            <w:vAlign w:val="center"/>
          </w:tcPr>
          <w:p w14:paraId="42CE1B7A">
            <w:pPr>
              <w:spacing w:line="400" w:lineRule="exact"/>
              <w:ind w:firstLine="0" w:firstLineChars="0"/>
              <w:rPr>
                <w:rFonts w:ascii="仿宋_GB2312" w:eastAsia="仿宋_GB2312"/>
                <w:color w:val="000000"/>
                <w:sz w:val="22"/>
              </w:rPr>
            </w:pPr>
          </w:p>
        </w:tc>
      </w:tr>
      <w:tr w14:paraId="3E3B49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9253" w:type="dxa"/>
            <w:gridSpan w:val="4"/>
            <w:noWrap/>
            <w:vAlign w:val="center"/>
          </w:tcPr>
          <w:p w14:paraId="3AF3212A">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资本充足率和其他各级资本要求</w:t>
            </w:r>
          </w:p>
        </w:tc>
      </w:tr>
      <w:tr w14:paraId="1C781B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11AD28AF">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54</w:t>
            </w:r>
          </w:p>
        </w:tc>
        <w:tc>
          <w:tcPr>
            <w:tcW w:w="4521" w:type="dxa"/>
            <w:noWrap/>
            <w:vAlign w:val="center"/>
          </w:tcPr>
          <w:p w14:paraId="7D1F41F2">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核心一级资本充足率（%）</w:t>
            </w:r>
          </w:p>
        </w:tc>
        <w:tc>
          <w:tcPr>
            <w:tcW w:w="2421" w:type="dxa"/>
            <w:noWrap/>
            <w:vAlign w:val="center"/>
          </w:tcPr>
          <w:p w14:paraId="48FF69C3">
            <w:pPr>
              <w:spacing w:line="400" w:lineRule="exact"/>
              <w:ind w:firstLine="0" w:firstLineChars="0"/>
              <w:jc w:val="right"/>
              <w:rPr>
                <w:rFonts w:hint="eastAsia" w:ascii="仿宋_GB2312" w:eastAsia="仿宋_GB2312" w:cs="Arial"/>
                <w:color w:val="000000"/>
                <w:sz w:val="22"/>
                <w:lang w:val="en-US" w:eastAsia="zh-CN"/>
              </w:rPr>
            </w:pPr>
            <w:r>
              <w:rPr>
                <w:rFonts w:hint="eastAsia" w:ascii="仿宋_GB2312" w:eastAsia="仿宋_GB2312" w:cs="Arial"/>
                <w:color w:val="000000"/>
                <w:sz w:val="22"/>
                <w:lang w:val="en-US" w:eastAsia="zh-CN"/>
              </w:rPr>
              <w:t xml:space="preserve"> 8.37 </w:t>
            </w:r>
          </w:p>
        </w:tc>
        <w:tc>
          <w:tcPr>
            <w:tcW w:w="1259" w:type="dxa"/>
            <w:noWrap/>
            <w:vAlign w:val="center"/>
          </w:tcPr>
          <w:p w14:paraId="17935412">
            <w:pPr>
              <w:spacing w:line="400" w:lineRule="exact"/>
              <w:ind w:firstLine="0" w:firstLineChars="0"/>
              <w:rPr>
                <w:rFonts w:ascii="仿宋_GB2312" w:eastAsia="仿宋_GB2312"/>
                <w:color w:val="000000"/>
                <w:sz w:val="22"/>
              </w:rPr>
            </w:pPr>
          </w:p>
        </w:tc>
      </w:tr>
      <w:tr w14:paraId="07671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700D0FE">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55</w:t>
            </w:r>
          </w:p>
        </w:tc>
        <w:tc>
          <w:tcPr>
            <w:tcW w:w="4521" w:type="dxa"/>
            <w:noWrap/>
            <w:vAlign w:val="center"/>
          </w:tcPr>
          <w:p w14:paraId="03613020">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一级资本充足率（%）</w:t>
            </w:r>
          </w:p>
        </w:tc>
        <w:tc>
          <w:tcPr>
            <w:tcW w:w="2421" w:type="dxa"/>
            <w:noWrap/>
            <w:vAlign w:val="center"/>
          </w:tcPr>
          <w:p w14:paraId="7E17CAA0">
            <w:pPr>
              <w:spacing w:line="400" w:lineRule="exact"/>
              <w:ind w:firstLine="0" w:firstLineChars="0"/>
              <w:jc w:val="right"/>
              <w:rPr>
                <w:rFonts w:hint="eastAsia" w:ascii="仿宋_GB2312" w:eastAsia="仿宋_GB2312" w:cs="Arial"/>
                <w:color w:val="000000"/>
                <w:sz w:val="22"/>
                <w:lang w:val="en-US" w:eastAsia="zh-CN"/>
              </w:rPr>
            </w:pPr>
            <w:r>
              <w:rPr>
                <w:rFonts w:hint="eastAsia" w:ascii="仿宋_GB2312" w:eastAsia="仿宋_GB2312" w:cs="Arial"/>
                <w:color w:val="000000"/>
                <w:sz w:val="22"/>
                <w:lang w:val="en-US" w:eastAsia="zh-CN"/>
              </w:rPr>
              <w:t xml:space="preserve"> 9.71 </w:t>
            </w:r>
          </w:p>
        </w:tc>
        <w:tc>
          <w:tcPr>
            <w:tcW w:w="1259" w:type="dxa"/>
            <w:noWrap/>
            <w:vAlign w:val="center"/>
          </w:tcPr>
          <w:p w14:paraId="65910081">
            <w:pPr>
              <w:spacing w:line="400" w:lineRule="exact"/>
              <w:ind w:firstLine="0" w:firstLineChars="0"/>
              <w:rPr>
                <w:rFonts w:ascii="仿宋_GB2312" w:eastAsia="仿宋_GB2312"/>
                <w:color w:val="000000"/>
                <w:sz w:val="22"/>
              </w:rPr>
            </w:pPr>
          </w:p>
        </w:tc>
      </w:tr>
      <w:tr w14:paraId="0374B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36CDA980">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56</w:t>
            </w:r>
          </w:p>
        </w:tc>
        <w:tc>
          <w:tcPr>
            <w:tcW w:w="4521" w:type="dxa"/>
            <w:noWrap/>
            <w:vAlign w:val="center"/>
          </w:tcPr>
          <w:p w14:paraId="17CCF50D">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资本充足率（%）</w:t>
            </w:r>
          </w:p>
        </w:tc>
        <w:tc>
          <w:tcPr>
            <w:tcW w:w="2421" w:type="dxa"/>
            <w:noWrap/>
            <w:vAlign w:val="center"/>
          </w:tcPr>
          <w:p w14:paraId="78E31352">
            <w:pPr>
              <w:spacing w:line="400" w:lineRule="exact"/>
              <w:ind w:firstLine="0" w:firstLineChars="0"/>
              <w:jc w:val="right"/>
              <w:rPr>
                <w:rFonts w:hint="eastAsia" w:ascii="仿宋_GB2312" w:eastAsia="仿宋_GB2312" w:cs="Arial"/>
                <w:color w:val="000000"/>
                <w:sz w:val="22"/>
                <w:lang w:val="en-US" w:eastAsia="zh-CN"/>
              </w:rPr>
            </w:pPr>
            <w:r>
              <w:rPr>
                <w:rFonts w:hint="eastAsia" w:ascii="仿宋_GB2312" w:eastAsia="仿宋_GB2312" w:cs="Arial"/>
                <w:color w:val="000000"/>
                <w:sz w:val="22"/>
                <w:lang w:val="en-US" w:eastAsia="zh-CN"/>
              </w:rPr>
              <w:t xml:space="preserve"> 10.73 </w:t>
            </w:r>
          </w:p>
        </w:tc>
        <w:tc>
          <w:tcPr>
            <w:tcW w:w="1259" w:type="dxa"/>
            <w:noWrap/>
            <w:vAlign w:val="center"/>
          </w:tcPr>
          <w:p w14:paraId="039893C0">
            <w:pPr>
              <w:spacing w:line="400" w:lineRule="exact"/>
              <w:ind w:firstLine="0" w:firstLineChars="0"/>
              <w:rPr>
                <w:rFonts w:ascii="仿宋_GB2312" w:eastAsia="仿宋_GB2312"/>
                <w:color w:val="000000"/>
                <w:sz w:val="22"/>
              </w:rPr>
            </w:pPr>
          </w:p>
        </w:tc>
      </w:tr>
      <w:tr w14:paraId="2735E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09CB4228">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57</w:t>
            </w:r>
          </w:p>
        </w:tc>
        <w:tc>
          <w:tcPr>
            <w:tcW w:w="4521" w:type="dxa"/>
            <w:noWrap/>
            <w:vAlign w:val="center"/>
          </w:tcPr>
          <w:p w14:paraId="35E97580">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其他各级资本要求（%）</w:t>
            </w:r>
          </w:p>
        </w:tc>
        <w:tc>
          <w:tcPr>
            <w:tcW w:w="2421" w:type="dxa"/>
            <w:noWrap/>
            <w:vAlign w:val="center"/>
          </w:tcPr>
          <w:p w14:paraId="013A8F60">
            <w:pPr>
              <w:spacing w:line="400" w:lineRule="exact"/>
              <w:ind w:firstLine="0" w:firstLineChars="0"/>
              <w:jc w:val="right"/>
              <w:rPr>
                <w:rFonts w:hint="eastAsia" w:ascii="仿宋_GB2312" w:eastAsia="仿宋_GB2312" w:cs="Arial"/>
                <w:color w:val="000000"/>
                <w:sz w:val="22"/>
                <w:lang w:val="en-US" w:eastAsia="zh-CN"/>
              </w:rPr>
            </w:pPr>
            <w:r>
              <w:rPr>
                <w:rFonts w:hint="eastAsia" w:ascii="仿宋_GB2312" w:eastAsia="仿宋_GB2312" w:cs="Arial"/>
                <w:color w:val="000000"/>
                <w:sz w:val="22"/>
                <w:lang w:val="en-US" w:eastAsia="zh-CN"/>
              </w:rPr>
              <w:t>2.5</w:t>
            </w:r>
          </w:p>
        </w:tc>
        <w:tc>
          <w:tcPr>
            <w:tcW w:w="1259" w:type="dxa"/>
            <w:noWrap/>
            <w:vAlign w:val="center"/>
          </w:tcPr>
          <w:p w14:paraId="7CAA61E5">
            <w:pPr>
              <w:spacing w:line="400" w:lineRule="exact"/>
              <w:ind w:firstLine="0" w:firstLineChars="0"/>
              <w:rPr>
                <w:rFonts w:ascii="仿宋_GB2312" w:eastAsia="仿宋_GB2312"/>
                <w:color w:val="000000"/>
                <w:sz w:val="22"/>
              </w:rPr>
            </w:pPr>
          </w:p>
        </w:tc>
      </w:tr>
      <w:tr w14:paraId="72D56F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96D86F9">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58</w:t>
            </w:r>
          </w:p>
        </w:tc>
        <w:tc>
          <w:tcPr>
            <w:tcW w:w="4521" w:type="dxa"/>
            <w:noWrap/>
            <w:vAlign w:val="center"/>
          </w:tcPr>
          <w:p w14:paraId="053FEF63">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其中：储备资本要求</w:t>
            </w:r>
          </w:p>
        </w:tc>
        <w:tc>
          <w:tcPr>
            <w:tcW w:w="2421" w:type="dxa"/>
            <w:noWrap/>
            <w:vAlign w:val="center"/>
          </w:tcPr>
          <w:p w14:paraId="77F0EF29">
            <w:pPr>
              <w:spacing w:line="400" w:lineRule="exact"/>
              <w:ind w:firstLine="0" w:firstLineChars="0"/>
              <w:jc w:val="right"/>
              <w:rPr>
                <w:rFonts w:hint="eastAsia" w:ascii="仿宋_GB2312" w:eastAsia="仿宋_GB2312" w:cs="Arial"/>
                <w:color w:val="000000"/>
                <w:sz w:val="22"/>
                <w:lang w:val="en-US" w:eastAsia="zh-CN"/>
              </w:rPr>
            </w:pPr>
            <w:r>
              <w:rPr>
                <w:rFonts w:hint="eastAsia" w:ascii="仿宋_GB2312" w:eastAsia="仿宋_GB2312" w:cs="Arial"/>
                <w:color w:val="000000"/>
                <w:sz w:val="22"/>
                <w:lang w:val="en-US" w:eastAsia="zh-CN"/>
              </w:rPr>
              <w:t>2.5</w:t>
            </w:r>
          </w:p>
        </w:tc>
        <w:tc>
          <w:tcPr>
            <w:tcW w:w="1259" w:type="dxa"/>
            <w:noWrap/>
            <w:vAlign w:val="center"/>
          </w:tcPr>
          <w:p w14:paraId="7F9E1F92">
            <w:pPr>
              <w:spacing w:line="400" w:lineRule="exact"/>
              <w:ind w:firstLine="0" w:firstLineChars="0"/>
              <w:rPr>
                <w:rFonts w:ascii="仿宋_GB2312" w:eastAsia="仿宋_GB2312"/>
                <w:color w:val="000000"/>
                <w:sz w:val="22"/>
              </w:rPr>
            </w:pPr>
          </w:p>
        </w:tc>
      </w:tr>
      <w:tr w14:paraId="351F3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63A02FB9">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59</w:t>
            </w:r>
          </w:p>
        </w:tc>
        <w:tc>
          <w:tcPr>
            <w:tcW w:w="4521" w:type="dxa"/>
            <w:noWrap/>
            <w:vAlign w:val="center"/>
          </w:tcPr>
          <w:p w14:paraId="063DE8A1">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其中：逆周期资本要求</w:t>
            </w:r>
          </w:p>
        </w:tc>
        <w:tc>
          <w:tcPr>
            <w:tcW w:w="2421" w:type="dxa"/>
            <w:noWrap/>
            <w:vAlign w:val="center"/>
          </w:tcPr>
          <w:p w14:paraId="450CB365">
            <w:pPr>
              <w:spacing w:line="400" w:lineRule="exact"/>
              <w:ind w:firstLine="0" w:firstLineChars="0"/>
              <w:jc w:val="right"/>
              <w:rPr>
                <w:rFonts w:hint="eastAsia" w:ascii="仿宋_GB2312" w:eastAsia="仿宋_GB2312" w:cs="Arial"/>
                <w:color w:val="000000"/>
                <w:sz w:val="22"/>
                <w:lang w:val="en-US" w:eastAsia="zh-CN"/>
              </w:rPr>
            </w:pPr>
            <w:r>
              <w:rPr>
                <w:rFonts w:hint="eastAsia" w:ascii="仿宋_GB2312" w:eastAsia="仿宋_GB2312" w:cs="Arial"/>
                <w:color w:val="000000"/>
                <w:sz w:val="22"/>
                <w:lang w:val="en-US" w:eastAsia="zh-CN"/>
              </w:rPr>
              <w:t>0</w:t>
            </w:r>
          </w:p>
        </w:tc>
        <w:tc>
          <w:tcPr>
            <w:tcW w:w="1259" w:type="dxa"/>
            <w:noWrap/>
            <w:vAlign w:val="center"/>
          </w:tcPr>
          <w:p w14:paraId="4A17C2AD">
            <w:pPr>
              <w:spacing w:line="400" w:lineRule="exact"/>
              <w:ind w:firstLine="0" w:firstLineChars="0"/>
              <w:rPr>
                <w:rFonts w:ascii="仿宋_GB2312" w:eastAsia="仿宋_GB2312"/>
                <w:color w:val="000000"/>
                <w:sz w:val="22"/>
              </w:rPr>
            </w:pPr>
          </w:p>
        </w:tc>
      </w:tr>
      <w:tr w14:paraId="602B0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74262E8D">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60</w:t>
            </w:r>
          </w:p>
        </w:tc>
        <w:tc>
          <w:tcPr>
            <w:tcW w:w="4521" w:type="dxa"/>
            <w:noWrap/>
            <w:vAlign w:val="center"/>
          </w:tcPr>
          <w:p w14:paraId="37E1D330">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其中：全球系统重要性银行或国内系统重要性银行附加资本要求</w:t>
            </w:r>
          </w:p>
        </w:tc>
        <w:tc>
          <w:tcPr>
            <w:tcW w:w="2421" w:type="dxa"/>
            <w:shd w:val="clear" w:color="auto" w:fill="BEBEBE"/>
            <w:noWrap/>
            <w:vAlign w:val="center"/>
          </w:tcPr>
          <w:p w14:paraId="0100BABE">
            <w:pPr>
              <w:spacing w:line="400" w:lineRule="exact"/>
              <w:ind w:firstLine="0" w:firstLineChars="0"/>
              <w:jc w:val="right"/>
              <w:rPr>
                <w:rFonts w:ascii="仿宋_GB2312" w:eastAsia="仿宋_GB2312"/>
                <w:color w:val="000000"/>
                <w:sz w:val="22"/>
              </w:rPr>
            </w:pPr>
          </w:p>
        </w:tc>
        <w:tc>
          <w:tcPr>
            <w:tcW w:w="1259" w:type="dxa"/>
            <w:noWrap/>
            <w:vAlign w:val="center"/>
          </w:tcPr>
          <w:p w14:paraId="2D5831EF">
            <w:pPr>
              <w:spacing w:line="400" w:lineRule="exact"/>
              <w:ind w:firstLine="0" w:firstLineChars="0"/>
              <w:rPr>
                <w:rFonts w:ascii="仿宋_GB2312" w:eastAsia="仿宋_GB2312"/>
                <w:color w:val="000000"/>
                <w:sz w:val="22"/>
              </w:rPr>
            </w:pPr>
          </w:p>
        </w:tc>
      </w:tr>
      <w:tr w14:paraId="03166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6043938">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61</w:t>
            </w:r>
          </w:p>
        </w:tc>
        <w:tc>
          <w:tcPr>
            <w:tcW w:w="4521" w:type="dxa"/>
            <w:noWrap/>
            <w:vAlign w:val="center"/>
          </w:tcPr>
          <w:p w14:paraId="5B9818EF">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满足最低资本要求后的可用核心一级资本净额占风险加权资产的比例（%）</w:t>
            </w:r>
          </w:p>
        </w:tc>
        <w:tc>
          <w:tcPr>
            <w:tcW w:w="2421" w:type="dxa"/>
            <w:noWrap/>
            <w:vAlign w:val="center"/>
          </w:tcPr>
          <w:p w14:paraId="3AB44530">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w:t>
            </w:r>
            <w:r>
              <w:rPr>
                <w:rFonts w:hint="eastAsia" w:ascii="仿宋_GB2312" w:eastAsia="仿宋_GB2312"/>
                <w:color w:val="000000"/>
                <w:sz w:val="22"/>
                <w:lang w:val="en-US" w:eastAsia="zh-CN"/>
              </w:rPr>
              <w:t>2</w:t>
            </w:r>
            <w:r>
              <w:rPr>
                <w:rFonts w:hint="eastAsia" w:ascii="仿宋_GB2312" w:eastAsia="仿宋_GB2312"/>
                <w:color w:val="000000"/>
                <w:sz w:val="22"/>
              </w:rPr>
              <w:t>.</w:t>
            </w:r>
            <w:r>
              <w:rPr>
                <w:rFonts w:hint="eastAsia" w:ascii="仿宋_GB2312" w:eastAsia="仿宋_GB2312"/>
                <w:color w:val="000000"/>
                <w:sz w:val="22"/>
                <w:lang w:val="en-US" w:eastAsia="zh-CN"/>
              </w:rPr>
              <w:t>73</w:t>
            </w:r>
            <w:r>
              <w:rPr>
                <w:rFonts w:hint="eastAsia" w:ascii="仿宋_GB2312" w:eastAsia="仿宋_GB2312"/>
                <w:color w:val="000000"/>
                <w:sz w:val="22"/>
              </w:rPr>
              <w:t xml:space="preserve"> </w:t>
            </w:r>
          </w:p>
        </w:tc>
        <w:tc>
          <w:tcPr>
            <w:tcW w:w="1259" w:type="dxa"/>
            <w:noWrap/>
            <w:vAlign w:val="center"/>
          </w:tcPr>
          <w:p w14:paraId="6E41587F">
            <w:pPr>
              <w:spacing w:line="400" w:lineRule="exact"/>
              <w:ind w:firstLine="0" w:firstLineChars="0"/>
              <w:rPr>
                <w:rFonts w:ascii="仿宋_GB2312" w:eastAsia="仿宋_GB2312"/>
                <w:color w:val="000000"/>
                <w:sz w:val="22"/>
              </w:rPr>
            </w:pPr>
          </w:p>
        </w:tc>
      </w:tr>
      <w:tr w14:paraId="781937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9253" w:type="dxa"/>
            <w:gridSpan w:val="4"/>
            <w:noWrap/>
            <w:vAlign w:val="center"/>
          </w:tcPr>
          <w:p w14:paraId="611FC0C8">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我国最低监管资本要求</w:t>
            </w:r>
          </w:p>
        </w:tc>
      </w:tr>
      <w:tr w14:paraId="3EA61E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3661F5C6">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62</w:t>
            </w:r>
          </w:p>
        </w:tc>
        <w:tc>
          <w:tcPr>
            <w:tcW w:w="4521" w:type="dxa"/>
            <w:noWrap/>
            <w:vAlign w:val="center"/>
          </w:tcPr>
          <w:p w14:paraId="750E0FCA">
            <w:pPr>
              <w:spacing w:line="400" w:lineRule="exact"/>
              <w:ind w:firstLine="0" w:firstLineChars="0"/>
              <w:rPr>
                <w:rFonts w:ascii="仿宋_GB2312" w:eastAsia="仿宋_GB2312"/>
                <w:color w:val="000000"/>
                <w:sz w:val="22"/>
              </w:rPr>
            </w:pPr>
            <w:r>
              <w:rPr>
                <w:rFonts w:hint="eastAsia" w:ascii="仿宋_GB2312" w:eastAsia="仿宋_GB2312"/>
                <w:color w:val="000000"/>
                <w:sz w:val="22"/>
              </w:rPr>
              <w:t>核心一级资本充足率（%）</w:t>
            </w:r>
          </w:p>
        </w:tc>
        <w:tc>
          <w:tcPr>
            <w:tcW w:w="2421" w:type="dxa"/>
            <w:noWrap/>
            <w:vAlign w:val="center"/>
          </w:tcPr>
          <w:p w14:paraId="60719BAA">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5 </w:t>
            </w:r>
          </w:p>
        </w:tc>
        <w:tc>
          <w:tcPr>
            <w:tcW w:w="1259" w:type="dxa"/>
            <w:noWrap/>
            <w:vAlign w:val="center"/>
          </w:tcPr>
          <w:p w14:paraId="0454CFF8">
            <w:pPr>
              <w:spacing w:line="400" w:lineRule="exact"/>
              <w:ind w:firstLine="0" w:firstLineChars="0"/>
              <w:rPr>
                <w:rFonts w:ascii="仿宋_GB2312" w:eastAsia="仿宋_GB2312"/>
                <w:color w:val="000000"/>
                <w:sz w:val="22"/>
              </w:rPr>
            </w:pPr>
          </w:p>
        </w:tc>
      </w:tr>
      <w:tr w14:paraId="308B9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8F77491">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63</w:t>
            </w:r>
          </w:p>
        </w:tc>
        <w:tc>
          <w:tcPr>
            <w:tcW w:w="4521" w:type="dxa"/>
            <w:noWrap/>
            <w:vAlign w:val="center"/>
          </w:tcPr>
          <w:p w14:paraId="02C48E0A">
            <w:pPr>
              <w:spacing w:line="400" w:lineRule="exact"/>
              <w:ind w:firstLine="0" w:firstLineChars="0"/>
              <w:rPr>
                <w:rFonts w:ascii="仿宋_GB2312" w:eastAsia="仿宋_GB2312"/>
                <w:color w:val="000000"/>
                <w:sz w:val="22"/>
              </w:rPr>
            </w:pPr>
            <w:r>
              <w:rPr>
                <w:rFonts w:hint="eastAsia" w:ascii="仿宋_GB2312" w:eastAsia="仿宋_GB2312"/>
                <w:color w:val="000000"/>
                <w:sz w:val="22"/>
              </w:rPr>
              <w:t>一级资本充足率（%）</w:t>
            </w:r>
          </w:p>
        </w:tc>
        <w:tc>
          <w:tcPr>
            <w:tcW w:w="2421" w:type="dxa"/>
            <w:noWrap/>
            <w:vAlign w:val="center"/>
          </w:tcPr>
          <w:p w14:paraId="6802C43B">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6 </w:t>
            </w:r>
          </w:p>
        </w:tc>
        <w:tc>
          <w:tcPr>
            <w:tcW w:w="1259" w:type="dxa"/>
            <w:noWrap/>
            <w:vAlign w:val="center"/>
          </w:tcPr>
          <w:p w14:paraId="66DE1C60">
            <w:pPr>
              <w:spacing w:line="400" w:lineRule="exact"/>
              <w:ind w:firstLine="0" w:firstLineChars="0"/>
              <w:rPr>
                <w:rFonts w:ascii="仿宋_GB2312" w:eastAsia="仿宋_GB2312"/>
                <w:color w:val="000000"/>
                <w:sz w:val="22"/>
              </w:rPr>
            </w:pPr>
          </w:p>
        </w:tc>
      </w:tr>
      <w:tr w14:paraId="286E2C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3AA620AD">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64</w:t>
            </w:r>
          </w:p>
        </w:tc>
        <w:tc>
          <w:tcPr>
            <w:tcW w:w="4521" w:type="dxa"/>
            <w:noWrap/>
            <w:vAlign w:val="center"/>
          </w:tcPr>
          <w:p w14:paraId="46984BD2">
            <w:pPr>
              <w:spacing w:line="400" w:lineRule="exact"/>
              <w:ind w:firstLine="0" w:firstLineChars="0"/>
              <w:rPr>
                <w:rFonts w:ascii="仿宋_GB2312" w:eastAsia="仿宋_GB2312"/>
                <w:color w:val="000000"/>
                <w:sz w:val="22"/>
              </w:rPr>
            </w:pPr>
            <w:r>
              <w:rPr>
                <w:rFonts w:hint="eastAsia" w:ascii="仿宋_GB2312" w:eastAsia="仿宋_GB2312"/>
                <w:color w:val="000000"/>
                <w:sz w:val="22"/>
              </w:rPr>
              <w:t>资本充足率（%）</w:t>
            </w:r>
          </w:p>
        </w:tc>
        <w:tc>
          <w:tcPr>
            <w:tcW w:w="2421" w:type="dxa"/>
            <w:noWrap/>
            <w:vAlign w:val="center"/>
          </w:tcPr>
          <w:p w14:paraId="73B58B59">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8 </w:t>
            </w:r>
          </w:p>
        </w:tc>
        <w:tc>
          <w:tcPr>
            <w:tcW w:w="1259" w:type="dxa"/>
            <w:noWrap/>
            <w:vAlign w:val="center"/>
          </w:tcPr>
          <w:p w14:paraId="2B978175">
            <w:pPr>
              <w:spacing w:line="400" w:lineRule="exact"/>
              <w:ind w:firstLine="0" w:firstLineChars="0"/>
              <w:rPr>
                <w:rFonts w:ascii="仿宋_GB2312" w:eastAsia="仿宋_GB2312"/>
                <w:color w:val="000000"/>
                <w:sz w:val="22"/>
              </w:rPr>
            </w:pPr>
          </w:p>
        </w:tc>
      </w:tr>
      <w:tr w14:paraId="424935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9253" w:type="dxa"/>
            <w:gridSpan w:val="4"/>
            <w:noWrap/>
            <w:vAlign w:val="center"/>
          </w:tcPr>
          <w:p w14:paraId="1CDFE56D">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门槛扣除项中未扣除部分</w:t>
            </w:r>
          </w:p>
        </w:tc>
      </w:tr>
      <w:tr w14:paraId="1E8FD4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0AB9115F">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65</w:t>
            </w:r>
          </w:p>
        </w:tc>
        <w:tc>
          <w:tcPr>
            <w:tcW w:w="4521" w:type="dxa"/>
            <w:noWrap/>
            <w:vAlign w:val="center"/>
          </w:tcPr>
          <w:p w14:paraId="76231C22">
            <w:pPr>
              <w:spacing w:line="400" w:lineRule="exact"/>
              <w:ind w:firstLine="0" w:firstLineChars="0"/>
              <w:rPr>
                <w:rFonts w:ascii="仿宋_GB2312" w:eastAsia="仿宋_GB2312"/>
                <w:color w:val="000000"/>
                <w:sz w:val="22"/>
              </w:rPr>
            </w:pPr>
            <w:r>
              <w:rPr>
                <w:rFonts w:hint="eastAsia" w:ascii="仿宋_GB2312" w:eastAsia="仿宋_GB2312"/>
                <w:color w:val="000000"/>
                <w:sz w:val="22"/>
              </w:rPr>
              <w:t>对未并表金融机构的小额少数资本投资中未扣除部分</w:t>
            </w:r>
          </w:p>
        </w:tc>
        <w:tc>
          <w:tcPr>
            <w:tcW w:w="2421" w:type="dxa"/>
            <w:noWrap/>
            <w:vAlign w:val="center"/>
          </w:tcPr>
          <w:p w14:paraId="549D29D5">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w:t>
            </w:r>
            <w:r>
              <w:rPr>
                <w:rFonts w:hint="eastAsia" w:ascii="仿宋_GB2312" w:eastAsia="仿宋_GB2312"/>
                <w:color w:val="000000"/>
                <w:sz w:val="22"/>
                <w:lang w:val="en-US" w:eastAsia="zh-CN"/>
              </w:rPr>
              <w:t>-</w:t>
            </w:r>
            <w:r>
              <w:rPr>
                <w:rFonts w:ascii="仿宋_GB2312" w:eastAsia="仿宋_GB2312"/>
                <w:color w:val="000000"/>
                <w:sz w:val="22"/>
              </w:rPr>
              <w:t xml:space="preserve"> </w:t>
            </w:r>
            <w:r>
              <w:rPr>
                <w:rFonts w:hint="eastAsia" w:ascii="仿宋_GB2312" w:eastAsia="仿宋_GB2312"/>
                <w:color w:val="000000"/>
                <w:sz w:val="22"/>
              </w:rPr>
              <w:t xml:space="preserve">  </w:t>
            </w:r>
          </w:p>
        </w:tc>
        <w:tc>
          <w:tcPr>
            <w:tcW w:w="1259" w:type="dxa"/>
            <w:noWrap/>
            <w:vAlign w:val="center"/>
          </w:tcPr>
          <w:p w14:paraId="5DFA4AE9">
            <w:pPr>
              <w:spacing w:line="400" w:lineRule="exact"/>
              <w:ind w:firstLine="0" w:firstLineChars="0"/>
              <w:rPr>
                <w:rFonts w:ascii="仿宋_GB2312" w:eastAsia="仿宋_GB2312"/>
                <w:color w:val="000000"/>
                <w:sz w:val="22"/>
              </w:rPr>
            </w:pPr>
          </w:p>
        </w:tc>
      </w:tr>
      <w:tr w14:paraId="7EACDC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02994887">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66</w:t>
            </w:r>
          </w:p>
        </w:tc>
        <w:tc>
          <w:tcPr>
            <w:tcW w:w="4521" w:type="dxa"/>
            <w:noWrap/>
            <w:vAlign w:val="center"/>
          </w:tcPr>
          <w:p w14:paraId="3091E400">
            <w:pPr>
              <w:spacing w:line="400" w:lineRule="exact"/>
              <w:ind w:firstLine="0" w:firstLineChars="0"/>
              <w:rPr>
                <w:rFonts w:ascii="仿宋_GB2312" w:eastAsia="仿宋_GB2312"/>
                <w:color w:val="000000"/>
                <w:sz w:val="22"/>
              </w:rPr>
            </w:pPr>
            <w:r>
              <w:rPr>
                <w:rFonts w:hint="eastAsia" w:ascii="仿宋_GB2312" w:eastAsia="仿宋_GB2312"/>
                <w:color w:val="000000"/>
                <w:sz w:val="22"/>
              </w:rPr>
              <w:t>对未并表金融机构的大额少数资本投资中未扣除部分</w:t>
            </w:r>
          </w:p>
        </w:tc>
        <w:tc>
          <w:tcPr>
            <w:tcW w:w="2421" w:type="dxa"/>
            <w:noWrap/>
            <w:vAlign w:val="center"/>
          </w:tcPr>
          <w:p w14:paraId="70E4DCA3">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 xml:space="preserve">          -   </w:t>
            </w:r>
          </w:p>
        </w:tc>
        <w:tc>
          <w:tcPr>
            <w:tcW w:w="1259" w:type="dxa"/>
            <w:noWrap/>
            <w:vAlign w:val="center"/>
          </w:tcPr>
          <w:p w14:paraId="08403FF2">
            <w:pPr>
              <w:spacing w:line="400" w:lineRule="exact"/>
              <w:ind w:firstLine="0" w:firstLineChars="0"/>
              <w:rPr>
                <w:rFonts w:ascii="仿宋_GB2312" w:eastAsia="仿宋_GB2312"/>
                <w:color w:val="000000"/>
                <w:sz w:val="22"/>
              </w:rPr>
            </w:pPr>
          </w:p>
        </w:tc>
      </w:tr>
      <w:tr w14:paraId="1732A7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442268F6">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67</w:t>
            </w:r>
          </w:p>
        </w:tc>
        <w:tc>
          <w:tcPr>
            <w:tcW w:w="4521" w:type="dxa"/>
            <w:noWrap/>
            <w:vAlign w:val="center"/>
          </w:tcPr>
          <w:p w14:paraId="6911573F">
            <w:pPr>
              <w:spacing w:line="400" w:lineRule="exact"/>
              <w:ind w:firstLine="0" w:firstLineChars="0"/>
              <w:rPr>
                <w:rFonts w:ascii="仿宋_GB2312" w:eastAsia="仿宋_GB2312"/>
                <w:color w:val="000000"/>
                <w:sz w:val="22"/>
              </w:rPr>
            </w:pPr>
            <w:r>
              <w:rPr>
                <w:rFonts w:hint="eastAsia" w:ascii="仿宋_GB2312" w:eastAsia="仿宋_GB2312"/>
                <w:color w:val="000000"/>
                <w:sz w:val="22"/>
              </w:rPr>
              <w:t>其他依赖于银行未来盈利的净递延税资产（扣除递延税负债）</w:t>
            </w:r>
          </w:p>
        </w:tc>
        <w:tc>
          <w:tcPr>
            <w:tcW w:w="2421" w:type="dxa"/>
            <w:noWrap/>
            <w:vAlign w:val="center"/>
          </w:tcPr>
          <w:p w14:paraId="246DE040">
            <w:pPr>
              <w:spacing w:line="400" w:lineRule="exact"/>
              <w:ind w:firstLine="0" w:firstLineChars="0"/>
              <w:jc w:val="right"/>
              <w:rPr>
                <w:rFonts w:ascii="仿宋_GB2312" w:eastAsia="仿宋_GB2312"/>
                <w:color w:val="000000"/>
                <w:sz w:val="22"/>
              </w:rPr>
            </w:pPr>
            <w:r>
              <w:rPr>
                <w:rFonts w:hint="eastAsia" w:ascii="仿宋_GB2312" w:eastAsia="仿宋_GB2312"/>
                <w:color w:val="000000"/>
                <w:sz w:val="22"/>
              </w:rPr>
              <w:t>224,652</w:t>
            </w:r>
            <w:r>
              <w:rPr>
                <w:rFonts w:ascii="仿宋_GB2312" w:eastAsia="仿宋_GB2312"/>
                <w:color w:val="000000"/>
                <w:sz w:val="22"/>
              </w:rPr>
              <w:t xml:space="preserve"> </w:t>
            </w:r>
            <w:r>
              <w:rPr>
                <w:rFonts w:hint="eastAsia" w:ascii="仿宋_GB2312" w:eastAsia="仿宋_GB2312"/>
                <w:color w:val="000000"/>
                <w:sz w:val="22"/>
              </w:rPr>
              <w:t xml:space="preserve">  </w:t>
            </w:r>
          </w:p>
        </w:tc>
        <w:tc>
          <w:tcPr>
            <w:tcW w:w="1259" w:type="dxa"/>
            <w:noWrap/>
            <w:vAlign w:val="center"/>
          </w:tcPr>
          <w:p w14:paraId="09BEEEB6">
            <w:pPr>
              <w:spacing w:line="400" w:lineRule="exact"/>
              <w:ind w:firstLine="0" w:firstLineChars="0"/>
              <w:rPr>
                <w:rFonts w:ascii="仿宋_GB2312" w:eastAsia="仿宋_GB2312"/>
                <w:color w:val="000000"/>
                <w:sz w:val="22"/>
              </w:rPr>
            </w:pPr>
          </w:p>
        </w:tc>
      </w:tr>
      <w:tr w14:paraId="7FB155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9253" w:type="dxa"/>
            <w:gridSpan w:val="4"/>
            <w:noWrap/>
            <w:vAlign w:val="center"/>
          </w:tcPr>
          <w:p w14:paraId="2C629E4F">
            <w:pPr>
              <w:spacing w:line="400" w:lineRule="exact"/>
              <w:ind w:firstLine="0" w:firstLineChars="0"/>
              <w:rPr>
                <w:rFonts w:ascii="仿宋_GB2312" w:eastAsia="仿宋_GB2312"/>
                <w:b/>
                <w:color w:val="000000"/>
                <w:sz w:val="22"/>
              </w:rPr>
            </w:pPr>
            <w:r>
              <w:rPr>
                <w:rFonts w:hint="eastAsia" w:ascii="仿宋_GB2312" w:eastAsia="仿宋_GB2312"/>
                <w:b/>
                <w:color w:val="000000"/>
                <w:sz w:val="22"/>
              </w:rPr>
              <w:t>可计入二级资本的超额损失准备的限额</w:t>
            </w:r>
          </w:p>
        </w:tc>
      </w:tr>
      <w:tr w14:paraId="66200E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6ABC8453">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68</w:t>
            </w:r>
          </w:p>
        </w:tc>
        <w:tc>
          <w:tcPr>
            <w:tcW w:w="4521" w:type="dxa"/>
            <w:noWrap/>
            <w:vAlign w:val="center"/>
          </w:tcPr>
          <w:p w14:paraId="2375B876">
            <w:pPr>
              <w:spacing w:line="400" w:lineRule="exact"/>
              <w:ind w:firstLine="0" w:firstLineChars="0"/>
              <w:rPr>
                <w:rFonts w:ascii="仿宋_GB2312" w:eastAsia="仿宋_GB2312"/>
                <w:color w:val="000000"/>
                <w:sz w:val="22"/>
              </w:rPr>
            </w:pPr>
            <w:r>
              <w:rPr>
                <w:rFonts w:hint="eastAsia" w:ascii="仿宋_GB2312" w:eastAsia="仿宋_GB2312"/>
                <w:color w:val="000000"/>
                <w:sz w:val="22"/>
              </w:rPr>
              <w:t>权重法下，实际计提的超额损失准备金额</w:t>
            </w:r>
          </w:p>
        </w:tc>
        <w:tc>
          <w:tcPr>
            <w:tcW w:w="2421" w:type="dxa"/>
            <w:noWrap/>
            <w:vAlign w:val="center"/>
          </w:tcPr>
          <w:p w14:paraId="4718D481">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268,391 </w:t>
            </w:r>
          </w:p>
        </w:tc>
        <w:tc>
          <w:tcPr>
            <w:tcW w:w="1259" w:type="dxa"/>
            <w:noWrap/>
            <w:vAlign w:val="center"/>
          </w:tcPr>
          <w:p w14:paraId="5A97E61B">
            <w:pPr>
              <w:spacing w:line="400" w:lineRule="exact"/>
              <w:ind w:firstLine="0" w:firstLineChars="0"/>
              <w:rPr>
                <w:rFonts w:ascii="仿宋_GB2312" w:eastAsia="仿宋_GB2312"/>
                <w:color w:val="000000"/>
                <w:sz w:val="22"/>
              </w:rPr>
            </w:pPr>
          </w:p>
        </w:tc>
      </w:tr>
      <w:tr w14:paraId="78857E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1052" w:type="dxa"/>
            <w:noWrap/>
            <w:vAlign w:val="center"/>
          </w:tcPr>
          <w:p w14:paraId="26A7F1B8">
            <w:pPr>
              <w:spacing w:line="400" w:lineRule="exact"/>
              <w:ind w:firstLine="0" w:firstLineChars="0"/>
              <w:jc w:val="center"/>
              <w:rPr>
                <w:rFonts w:ascii="仿宋_GB2312" w:eastAsia="仿宋_GB2312"/>
                <w:color w:val="000000"/>
                <w:sz w:val="22"/>
              </w:rPr>
            </w:pPr>
            <w:r>
              <w:rPr>
                <w:rFonts w:hint="eastAsia" w:ascii="仿宋_GB2312" w:eastAsia="仿宋_GB2312"/>
                <w:color w:val="000000"/>
                <w:sz w:val="22"/>
              </w:rPr>
              <w:t>69</w:t>
            </w:r>
          </w:p>
        </w:tc>
        <w:tc>
          <w:tcPr>
            <w:tcW w:w="4521" w:type="dxa"/>
            <w:noWrap/>
            <w:vAlign w:val="center"/>
          </w:tcPr>
          <w:p w14:paraId="360CDC43">
            <w:pPr>
              <w:spacing w:line="400" w:lineRule="exact"/>
              <w:ind w:firstLine="0" w:firstLineChars="0"/>
              <w:rPr>
                <w:rFonts w:ascii="仿宋_GB2312" w:eastAsia="仿宋_GB2312"/>
                <w:color w:val="000000"/>
                <w:sz w:val="22"/>
              </w:rPr>
            </w:pPr>
            <w:r>
              <w:rPr>
                <w:rFonts w:hint="eastAsia" w:ascii="仿宋_GB2312" w:eastAsia="仿宋_GB2312"/>
                <w:color w:val="000000"/>
                <w:sz w:val="22"/>
              </w:rPr>
              <w:t>权重法下，可计入二级资本超额损失准备的数额</w:t>
            </w:r>
          </w:p>
        </w:tc>
        <w:tc>
          <w:tcPr>
            <w:tcW w:w="2421" w:type="dxa"/>
            <w:noWrap/>
            <w:vAlign w:val="center"/>
          </w:tcPr>
          <w:p w14:paraId="0489D983">
            <w:pPr>
              <w:spacing w:line="400" w:lineRule="exact"/>
              <w:ind w:firstLine="0" w:firstLineChars="0"/>
              <w:jc w:val="right"/>
              <w:rPr>
                <w:rFonts w:hint="eastAsia" w:ascii="仿宋_GB2312" w:eastAsia="仿宋_GB2312" w:cs="Arial"/>
                <w:color w:val="000000"/>
                <w:sz w:val="22"/>
              </w:rPr>
            </w:pPr>
            <w:r>
              <w:rPr>
                <w:rFonts w:hint="eastAsia" w:ascii="仿宋_GB2312" w:eastAsia="仿宋_GB2312" w:cs="Arial"/>
                <w:color w:val="000000"/>
                <w:sz w:val="22"/>
                <w:lang w:val="en-US" w:eastAsia="zh-CN"/>
              </w:rPr>
              <w:t xml:space="preserve">268,391 </w:t>
            </w:r>
          </w:p>
        </w:tc>
        <w:tc>
          <w:tcPr>
            <w:tcW w:w="1259" w:type="dxa"/>
            <w:noWrap/>
            <w:vAlign w:val="center"/>
          </w:tcPr>
          <w:p w14:paraId="56AC27A7">
            <w:pPr>
              <w:spacing w:line="400" w:lineRule="exact"/>
              <w:ind w:firstLine="0" w:firstLineChars="0"/>
              <w:rPr>
                <w:rFonts w:ascii="仿宋_GB2312" w:eastAsia="仿宋_GB2312"/>
                <w:color w:val="000000"/>
                <w:sz w:val="22"/>
              </w:rPr>
            </w:pPr>
          </w:p>
        </w:tc>
      </w:tr>
    </w:tbl>
    <w:p w14:paraId="09AFC705">
      <w:pPr>
        <w:spacing w:line="400" w:lineRule="exact"/>
        <w:ind w:firstLine="480"/>
        <w:jc w:val="center"/>
        <w:rPr>
          <w:sz w:val="24"/>
        </w:rPr>
      </w:pPr>
      <w:r>
        <w:rPr>
          <w:rFonts w:hint="eastAsia"/>
          <w:sz w:val="24"/>
        </w:rPr>
        <w:t>备注：本报告表中各相加之和在尾数上有差异的，为四舍五入导致。</w:t>
      </w:r>
    </w:p>
    <w:p w14:paraId="7C29852D">
      <w:pPr>
        <w:spacing w:line="600" w:lineRule="exact"/>
        <w:ind w:firstLine="480"/>
        <w:jc w:val="center"/>
        <w:rPr>
          <w:rFonts w:hint="eastAsia"/>
          <w:sz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814" w:right="1701" w:bottom="1814" w:left="1701" w:header="851" w:footer="992" w:gutter="0"/>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2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604B6">
    <w:pPr>
      <w:pStyle w:val="6"/>
      <w:ind w:firstLine="360"/>
      <w:jc w:val="center"/>
    </w:pPr>
    <w:r>
      <w:rPr>
        <w:rFonts w:hint="eastAsia"/>
      </w:rPr>
      <w:t xml:space="preserve">- </w:t>
    </w:r>
    <w:r>
      <w:fldChar w:fldCharType="begin"/>
    </w:r>
    <w:r>
      <w:instrText xml:space="preserve"> PAGE   \* MERGEFORMAT </w:instrText>
    </w:r>
    <w:r>
      <w:fldChar w:fldCharType="separate"/>
    </w:r>
    <w:r>
      <w:rPr>
        <w:lang w:val="zh-CN"/>
      </w:rPr>
      <w:t>2</w:t>
    </w:r>
    <w:r>
      <w:rPr>
        <w:lang w:val="zh-CN"/>
      </w:rPr>
      <w:fldChar w:fldCharType="end"/>
    </w:r>
    <w:r>
      <w:rPr>
        <w:rFonts w:hint="eastAsia"/>
      </w:rPr>
      <w:t xml:space="preserve"> -</w:t>
    </w:r>
  </w:p>
  <w:p w14:paraId="6E2B76F0">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463BE">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12FD2">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8E4A5">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3E289">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C4BCE">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doNotWrapTextWithPunct/>
    <w:doNotUseEastAsianBreakRules/>
    <w:growAutofit/>
    <w:useFELayout/>
    <w:useAltKinsokuLineBreakRules/>
    <w:splitPgBreakAndParaMark/>
    <w:compatSetting w:name="compatibilityMode" w:uri="http://schemas.microsoft.com/office/word" w:val="12"/>
  </w:compat>
  <w:rsids>
    <w:rsidRoot w:val="004B3996"/>
    <w:rsid w:val="000728AC"/>
    <w:rsid w:val="00085F82"/>
    <w:rsid w:val="00107FE1"/>
    <w:rsid w:val="00162A67"/>
    <w:rsid w:val="001C21C3"/>
    <w:rsid w:val="001D4A42"/>
    <w:rsid w:val="002854A3"/>
    <w:rsid w:val="002E6D42"/>
    <w:rsid w:val="003500FA"/>
    <w:rsid w:val="003A1E41"/>
    <w:rsid w:val="003D3DBA"/>
    <w:rsid w:val="00447256"/>
    <w:rsid w:val="00460E32"/>
    <w:rsid w:val="004B3996"/>
    <w:rsid w:val="004C05A5"/>
    <w:rsid w:val="004D3897"/>
    <w:rsid w:val="004E07BF"/>
    <w:rsid w:val="005074E5"/>
    <w:rsid w:val="00546EAE"/>
    <w:rsid w:val="00673E9E"/>
    <w:rsid w:val="00710D53"/>
    <w:rsid w:val="0084294A"/>
    <w:rsid w:val="008A7E11"/>
    <w:rsid w:val="008F311E"/>
    <w:rsid w:val="00940D57"/>
    <w:rsid w:val="00A81F01"/>
    <w:rsid w:val="00A865A0"/>
    <w:rsid w:val="00B46F92"/>
    <w:rsid w:val="00B50B4A"/>
    <w:rsid w:val="00BA6362"/>
    <w:rsid w:val="00C2126D"/>
    <w:rsid w:val="00CE5EBE"/>
    <w:rsid w:val="00D77B1E"/>
    <w:rsid w:val="00DA1C1F"/>
    <w:rsid w:val="00DA1CB7"/>
    <w:rsid w:val="00E268A7"/>
    <w:rsid w:val="00EA5B81"/>
    <w:rsid w:val="00EB6A0D"/>
    <w:rsid w:val="00F012AF"/>
    <w:rsid w:val="00F12650"/>
    <w:rsid w:val="00F230DA"/>
    <w:rsid w:val="00F55AA3"/>
    <w:rsid w:val="00F738BC"/>
    <w:rsid w:val="00FC428B"/>
    <w:rsid w:val="0DB1D492"/>
    <w:rsid w:val="1DD3F215"/>
    <w:rsid w:val="2BEB40E0"/>
    <w:rsid w:val="3BFF478F"/>
    <w:rsid w:val="3C7F64E5"/>
    <w:rsid w:val="3ED7580F"/>
    <w:rsid w:val="3F70A0AB"/>
    <w:rsid w:val="56FF77B9"/>
    <w:rsid w:val="5CFB3D22"/>
    <w:rsid w:val="5EFE565E"/>
    <w:rsid w:val="7575C74B"/>
    <w:rsid w:val="7FBE9E44"/>
    <w:rsid w:val="7FEB7695"/>
    <w:rsid w:val="7FF590DA"/>
    <w:rsid w:val="8EF25C8C"/>
    <w:rsid w:val="9ADEA119"/>
    <w:rsid w:val="9D65DA6C"/>
    <w:rsid w:val="9FFF4464"/>
    <w:rsid w:val="ABD7EB84"/>
    <w:rsid w:val="AEFD0F2F"/>
    <w:rsid w:val="B3DF5B56"/>
    <w:rsid w:val="BCFFF817"/>
    <w:rsid w:val="BD9F4516"/>
    <w:rsid w:val="BFBE9430"/>
    <w:rsid w:val="CC5F8CAE"/>
    <w:rsid w:val="E77E7169"/>
    <w:rsid w:val="EBF5DEB9"/>
    <w:rsid w:val="EF7DA97B"/>
    <w:rsid w:val="F9BF3928"/>
    <w:rsid w:val="FBFD0E37"/>
    <w:rsid w:val="FCFB563D"/>
    <w:rsid w:val="FE7A7443"/>
    <w:rsid w:val="FEFA676E"/>
    <w:rsid w:val="FFE37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方正仿宋_GBK" w:cs="Arial"/>
      <w:kern w:val="2"/>
      <w:sz w:val="32"/>
      <w:szCs w:val="22"/>
      <w:lang w:val="en-US" w:eastAsia="zh-CN" w:bidi="ar-SA"/>
    </w:rPr>
  </w:style>
  <w:style w:type="paragraph" w:styleId="2">
    <w:name w:val="heading 1"/>
    <w:next w:val="1"/>
    <w:qFormat/>
    <w:uiPriority w:val="0"/>
    <w:pPr>
      <w:keepNext/>
      <w:keepLines/>
      <w:widowControl w:val="0"/>
      <w:spacing w:before="340" w:after="330" w:line="600" w:lineRule="exact"/>
      <w:ind w:firstLine="200" w:firstLineChars="200"/>
      <w:jc w:val="center"/>
      <w:outlineLvl w:val="0"/>
    </w:pPr>
    <w:rPr>
      <w:rFonts w:ascii="仿宋" w:hAnsi="仿宋" w:eastAsia="方正小标宋_GBK" w:cs="Arial"/>
      <w:b/>
      <w:kern w:val="44"/>
      <w:sz w:val="36"/>
      <w:szCs w:val="21"/>
      <w:lang w:val="en-US" w:eastAsia="zh-CN" w:bidi="ar-SA"/>
    </w:rPr>
  </w:style>
  <w:style w:type="paragraph" w:styleId="3">
    <w:name w:val="heading 2"/>
    <w:basedOn w:val="1"/>
    <w:next w:val="1"/>
    <w:qFormat/>
    <w:uiPriority w:val="0"/>
    <w:pPr>
      <w:keepNext/>
      <w:keepLines/>
      <w:spacing w:before="260" w:after="260" w:line="600" w:lineRule="exact"/>
      <w:outlineLvl w:val="1"/>
    </w:pPr>
    <w:rPr>
      <w:rFonts w:ascii="Arial" w:hAnsi="Arial" w:eastAsia="方正黑体_GBK" w:cs="Times New Roman"/>
      <w:szCs w:val="21"/>
    </w:rPr>
  </w:style>
  <w:style w:type="paragraph" w:styleId="4">
    <w:name w:val="heading 3"/>
    <w:basedOn w:val="1"/>
    <w:next w:val="1"/>
    <w:qFormat/>
    <w:uiPriority w:val="0"/>
    <w:pPr>
      <w:keepNext/>
      <w:keepLines/>
      <w:spacing w:before="260" w:after="260" w:line="600" w:lineRule="exact"/>
      <w:outlineLvl w:val="2"/>
    </w:pPr>
    <w:rPr>
      <w:rFonts w:ascii="Calibri" w:hAnsi="Calibri" w:eastAsia="方正楷体_GBK" w:cs="Times New Roman"/>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qFormat/>
    <w:uiPriority w:val="0"/>
    <w:rPr>
      <w:rFonts w:eastAsia="方正小标宋_GBK"/>
      <w:sz w:val="44"/>
    </w:rPr>
  </w:style>
  <w:style w:type="paragraph" w:customStyle="1" w:styleId="11">
    <w:name w:val="无间隔1"/>
    <w:qFormat/>
    <w:uiPriority w:val="0"/>
    <w:pPr>
      <w:widowControl w:val="0"/>
      <w:ind w:firstLine="200" w:firstLineChars="200"/>
      <w:jc w:val="both"/>
    </w:pPr>
    <w:rPr>
      <w:rFonts w:ascii="Times New Roman" w:hAnsi="Times New Roman" w:eastAsia="方正仿宋_GBK" w:cs="Arial"/>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214</Words>
  <Characters>1221</Characters>
  <Lines>10</Lines>
  <Paragraphs>2</Paragraphs>
  <TotalTime>1</TotalTime>
  <ScaleCrop>false</ScaleCrop>
  <LinksUpToDate>false</LinksUpToDate>
  <CharactersWithSpaces>1433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2024-05-29T22:38:00Z</dcterms:created>
  <dc:creator>hp</dc:creator>
  <cp:lastModifiedBy>CCQTGB</cp:lastModifiedBy>
  <dcterms:modified xsi:type="dcterms:W3CDTF">2026-07-27T22:30:31Z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A2B68673543032D4DC56676AF2CF1651_42</vt:lpwstr>
  </property>
</Properties>
</file>