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128" w:type="dx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638"/>
        <w:gridCol w:w="609"/>
        <w:gridCol w:w="2192"/>
        <w:gridCol w:w="1223"/>
        <w:gridCol w:w="1659"/>
        <w:gridCol w:w="1367"/>
      </w:tblGrid>
      <w:tr>
        <w:trPr>
          <w:trHeight w:val="1849"/>
        </w:trPr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eastAsia="方正小标宋_GBK" w:cs="宋体" w:hAnsi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Ansi="Times New Roman" w:hint="eastAsia"/>
                <w:color w:val="000000"/>
                <w:kern w:val="0"/>
                <w:sz w:val="44"/>
                <w:szCs w:val="44"/>
              </w:rPr>
              <w:t>重庆三峡银行2026</w:t>
            </w:r>
            <w:r>
              <w:rPr>
                <w:rFonts w:ascii="Times New Roman" w:eastAsia="方正小标宋_GBK" w:cs="Times New Roman" w:hAnsi="Times New Roman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ascii="方正小标宋_GBK" w:eastAsia="方正小标宋_GBK" w:cs="宋体" w:hAnsi="Times New Roman" w:hint="eastAsia"/>
                <w:color w:val="000000"/>
                <w:kern w:val="0"/>
                <w:sz w:val="44"/>
                <w:szCs w:val="44"/>
              </w:rPr>
              <w:t>理财产品外部审计</w:t>
            </w:r>
          </w:p>
          <w:p>
            <w:pPr>
              <w:widowControl/>
              <w:jc w:val="center"/>
              <w:rPr>
                <w:rFonts w:ascii="方正小标宋_GBK" w:eastAsia="方正小标宋_GBK" w:cs="宋体" w:hAnsi="Times New Roman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项目成交结果公示</w:t>
            </w:r>
          </w:p>
        </w:tc>
      </w:tr>
      <w:tr>
        <w:trPr>
          <w:trHeight w:val="724"/>
        </w:trPr>
        <w:tc>
          <w:tcPr>
            <w:tcW w:w="8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>
        <w:trPr>
          <w:trHeight w:val="1339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32"/>
                <w:szCs w:val="32"/>
              </w:rPr>
              <w:t>重庆三峡银行2026年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32"/>
                <w:szCs w:val="32"/>
              </w:rPr>
              <w:t>理财产品外部审计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分散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>
        <w:trPr>
          <w:trHeight w:val="149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left="0"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Arial"/>
                <w:bCs/>
                <w:color w:val="000000"/>
                <w:kern w:val="0"/>
                <w:sz w:val="32"/>
                <w:szCs w:val="32"/>
              </w:rPr>
              <w:t>北京德皓国际会计师事务所（特殊普通合伙）</w:t>
            </w:r>
          </w:p>
        </w:tc>
      </w:tr>
      <w:tr>
        <w:trPr>
          <w:trHeight w:val="1232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 w:hAnsi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Arial"/>
                <w:bCs/>
                <w:color w:val="000000"/>
                <w:kern w:val="0"/>
                <w:sz w:val="32"/>
                <w:szCs w:val="32"/>
              </w:rPr>
              <w:t>北京德皓国际会计师事务所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Ansi="Arial"/>
                <w:bCs/>
                <w:color w:val="000000"/>
                <w:kern w:val="0"/>
                <w:sz w:val="32"/>
                <w:szCs w:val="32"/>
              </w:rPr>
              <w:t>（特殊普通合伙）</w:t>
            </w:r>
          </w:p>
        </w:tc>
      </w:tr>
      <w:tr>
        <w:trPr>
          <w:trHeight w:val="616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124950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>
        <w:trPr>
          <w:trHeight w:val="3859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beforeAutospacing="0" w:afterAutospacing="0" w:line="60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对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重庆三峡银行2025年末存续的需审计的公募理财产品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进行审计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包括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单只理财产品的年度审计，主要审计单只理财产品财务报告，审计过程包含风险控制、系统操作、对手询证、估值评价、资产收益确认评估</w:t>
            </w: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、财务数据审计等环节，发表审计意见，出具审计报告。</w:t>
            </w:r>
          </w:p>
        </w:tc>
      </w:tr>
      <w:tr>
        <w:trPr>
          <w:trHeight w:val="824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>
        <w:trPr>
          <w:trHeight w:val="684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>
        <w:trPr>
          <w:trHeight w:val="695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Balloon Text"/>
    <w:qFormat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EEC59AE3-2518-4538-A511-707CE333C45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71</TotalTime>
  <Application>Yozo_Office9.2.7056.142ZH.CQ09</Application>
  <Pages>1</Pages>
  <Words>0</Words>
  <Characters>270</Characters>
  <Lines>0</Lines>
  <Paragraphs>2</Paragraphs>
  <CharactersWithSpaces>360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Win10</dc:creator>
  <cp:lastModifiedBy>CCQTGB</cp:lastModifiedBy>
  <cp:revision>17</cp:revision>
  <cp:lastPrinted>2026-07-01T01:30:52Z</cp:lastPrinted>
  <dcterms:created xsi:type="dcterms:W3CDTF">2026-05-06T08:29:00Z</dcterms:created>
  <dcterms:modified xsi:type="dcterms:W3CDTF">2026-07-01T01:35:21Z</dcterms:modified>
</cp:coreProperties>
</file>