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spacing w:beforeAutospacing="0" w:afterAutospacing="0" w:line="600" w:lineRule="exact"/>
        <w:jc w:val="center"/>
        <w:rPr>
          <w:rFonts w:ascii="Times New Roman" w:eastAsia="方正小标宋简体" w:cs="方正小标宋简体" w:hAnsi="Times New Roman"/>
          <w:sz w:val="44"/>
          <w:szCs w:val="44"/>
        </w:rPr>
      </w:pPr>
    </w:p>
    <w:p>
      <w:pPr>
        <w:spacing w:beforeAutospacing="0" w:afterAutospacing="0" w:line="600" w:lineRule="exact"/>
        <w:jc w:val="center"/>
        <w:rPr>
          <w:rFonts w:ascii="Times New Roman" w:eastAsia="方正小标宋简体" w:cs="方正小标宋简体" w:hAnsi="Times New Roman" w:hint="eastAsia"/>
          <w:sz w:val="44"/>
          <w:szCs w:val="44"/>
        </w:rPr>
      </w:pPr>
      <w:r>
        <w:rPr>
          <w:rFonts w:ascii="Times New Roman" w:eastAsia="方正小标宋简体" w:cs="方正小标宋简体" w:hAnsi="Times New Roman" w:hint="eastAsia"/>
          <w:sz w:val="44"/>
          <w:szCs w:val="44"/>
        </w:rPr>
        <w:t>喜报</w:t>
      </w:r>
      <w:r>
        <w:rPr>
          <w:rFonts w:ascii="Times New Roman" w:eastAsia="方正小标宋简体" w:cs="方正小标宋简体" w:hAnsi="Times New Roman" w:hint="eastAsia"/>
          <w:sz w:val="44"/>
          <w:szCs w:val="44"/>
          <w:lang w:eastAsia="zh-CN"/>
        </w:rPr>
        <w:t>：</w:t>
      </w:r>
      <w:r>
        <w:rPr>
          <w:rFonts w:ascii="Times New Roman" w:eastAsia="方正小标宋简体" w:cs="方正小标宋简体" w:hAnsi="Times New Roman" w:hint="eastAsia"/>
          <w:sz w:val="44"/>
          <w:szCs w:val="44"/>
        </w:rPr>
        <w:t>重庆</w:t>
      </w:r>
      <w:r>
        <w:rPr>
          <w:rFonts w:ascii="Times New Roman" w:eastAsia="方正小标宋简体" w:cs="方正小标宋简体" w:hAnsi="Times New Roman" w:hint="eastAsia"/>
          <w:sz w:val="44"/>
          <w:szCs w:val="44"/>
          <w:lang w:val="en-US" w:eastAsia="zh-CN"/>
        </w:rPr>
        <w:t>三峡银行万州分行五桥支行</w:t>
      </w:r>
      <w:r>
        <w:rPr>
          <w:rFonts w:ascii="Times New Roman" w:eastAsia="方正小标宋简体" w:cs="方正小标宋简体" w:hAnsi="Times New Roman" w:hint="eastAsia"/>
          <w:sz w:val="44"/>
          <w:szCs w:val="44"/>
        </w:rPr>
        <w:t>党支部荣获“重庆市先进基层党组织”称号</w:t>
      </w:r>
    </w:p>
    <w:p>
      <w:pPr>
        <w:spacing w:beforeAutospacing="0" w:afterAutospacing="0" w:line="600" w:lineRule="exact"/>
        <w:rPr>
          <w:rFonts w:ascii="Times New Roman" w:eastAsia="方正仿宋_GB2312" w:cs="方正仿宋_GB2312" w:hAnsi="Times New Roman" w:hint="eastAsia"/>
          <w:sz w:val="32"/>
          <w:szCs w:val="32"/>
        </w:rPr>
      </w:pPr>
    </w:p>
    <w:p>
      <w:pPr>
        <w:spacing w:line="600" w:lineRule="exact"/>
        <w:ind w:firstLine="641"/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6月29日，中共重庆市委印发《关于表彰重庆市优秀共产党员、重庆市优秀党务工作者和重庆市先进基层党组织的决定》。重庆三峡银行万州分行五桥支行</w:t>
      </w:r>
      <w:r>
        <w:rPr>
          <w:rFonts w:ascii="Times New Roman" w:eastAsia="方正仿宋_GBK" w:cs="方正仿宋_GB2312" w:hAnsi="Times New Roman" w:hint="eastAsia"/>
          <w:sz w:val="32"/>
          <w:szCs w:val="32"/>
        </w:rPr>
        <w:t>党支部荣获“重庆市先进基层党组织”称号</w:t>
      </w:r>
      <w:r>
        <w:rPr>
          <w:rFonts w:ascii="Times New Roman" w:eastAsia="方正仿宋_GBK" w:cs="方正仿宋_GB2312" w:hAnsi="Times New Roman" w:hint="eastAsia"/>
          <w:sz w:val="32"/>
          <w:szCs w:val="32"/>
          <w:lang w:eastAsia="zh-CN"/>
        </w:rPr>
        <w:t>，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是唯一入选该荣誉的本地银行机构。</w:t>
      </w:r>
    </w:p>
    <w:p>
      <w:pPr>
        <w:spacing w:line="600" w:lineRule="exact"/>
        <w:ind w:firstLine="641"/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</w:pP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万州分行五桥支行党支部始终将党的政治建设摆在首位，坚持党建引领业务发展，将组织优势全面转化为服务地方实体经济、驱动高质量发展的核心竞争力。先后获评市属国有企业首批“红岩先锋</w:t>
      </w:r>
      <w:r>
        <w:rPr>
          <w:rFonts w:ascii="Times New Roman" w:eastAsia="方正仿宋_GB2312" w:cs="方正仿宋_GB2312" w:hAnsi="Times New Roman" w:hint="eastAsia"/>
          <w:sz w:val="32"/>
          <w:szCs w:val="32"/>
          <w:lang w:val="en-US" w:eastAsia="zh-CN"/>
        </w:rPr>
        <w:t>・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四强四好”党支部、重庆市“工人先锋号”“模范职工小家”等荣誉称号。</w:t>
      </w:r>
    </w:p>
    <w:p>
      <w:pPr>
        <w:ind w:firstLine="640"/>
        <w:rPr>
          <w:rFonts w:ascii="Times New Roman" w:eastAsia="方正仿宋_GB2312" w:cs="方正仿宋_GB2312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2312" w:cs="方正仿宋_GB2312" w:hAnsi="Times New Roman" w:hint="eastAsia"/>
          <w:sz w:val="32"/>
          <w:szCs w:val="32"/>
          <w:lang w:val="en-US" w:eastAsia="zh-CN"/>
        </w:rPr>
        <w:drawing>
          <wp:inline distT="0" distB="0" distL="85725" distR="85725">
            <wp:extent cx="4727574" cy="3121377"/>
            <wp:effectExtent l="0" t="0" r="1" b="0"/>
            <wp:docPr id="2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图片 2"/>
                    <pic:cNvPicPr/>
                  </pic:nvPicPr>
                  <pic:blipFill>
                    <a:blip r:embed="rId2"/>
                    <a:srcRect t="2961" b="18172" l="6802" r="35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7574" cy="312137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方正黑体_GBK" w:eastAsia="方正黑体_GBK" w:cs="方正黑体_GBK" w:hAnsi="方正黑体_GBK"/>
          <w:sz w:val="32"/>
          <w:szCs w:val="32"/>
          <w:lang w:val="en-US" w:eastAsia="zh-CN"/>
        </w:rPr>
      </w:pPr>
    </w:p>
    <w:p>
      <w:pPr>
        <w:spacing w:beforeAutospacing="0" w:afterAutospacing="0" w:line="600" w:lineRule="exact"/>
        <w:ind w:firstLineChars="200" w:firstLine="640"/>
        <w:rPr>
          <w:rFonts w:ascii="方正黑体_GBK" w:eastAsia="方正黑体_GBK" w:cs="方正黑体_GBK" w:hAnsi="方正黑体_GBK" w:hint="eastAsia"/>
          <w:sz w:val="32"/>
          <w:szCs w:val="32"/>
        </w:rPr>
      </w:pPr>
      <w:r>
        <w:rPr>
          <w:rFonts w:ascii="方正黑体_GBK" w:eastAsia="方正黑体_GBK" w:cs="方正黑体_GBK" w:hAnsi="方正黑体_GBK" w:hint="eastAsia"/>
          <w:sz w:val="32"/>
          <w:szCs w:val="32"/>
        </w:rPr>
        <w:t>凝心铸魂强根基，把稳政治建设“方向盘”</w:t>
      </w:r>
    </w:p>
    <w:p>
      <w:pPr>
        <w:spacing w:beforeAutospacing="0" w:afterAutospacing="0" w:line="600" w:lineRule="exact"/>
        <w:ind w:firstLineChars="200" w:firstLine="640"/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</w:pP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严格执行“第一议题”学习机制，紧扣金融主责主业深化学用融合，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引导党员干部把学习成效转化为服务实体经济、防控区域金融风险的务实举措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。</w:t>
      </w:r>
      <w:r>
        <w:rPr>
          <w:rFonts w:ascii="Times New Roman" w:eastAsia="方正仿宋_GBK" w:cs="宋体" w:hAnsi="Times New Roman" w:hint="eastAsia"/>
          <w:color w:val="000000"/>
          <w:kern w:val="0"/>
          <w:sz w:val="32"/>
          <w:szCs w:val="32"/>
          <w:lang w:val="en-US" w:eastAsia="zh-CN"/>
        </w:rPr>
        <w:t>常态化深化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“以案四说”警示教育，引导全体党员干部知敬畏、存戒惧、守底线，实现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全体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党员零违纪、业务零重大风险事件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。持续夯实基层党组织标准化规范化建设，围绕党组织建设、党员管理等核心工作建立多维管理台账，实行逐项梳理、清单推进，切实推动基层党建各项工作落细落准。</w:t>
      </w:r>
    </w:p>
    <w:p>
      <w:pPr>
        <w:spacing w:beforeAutospacing="0" w:afterAutospacing="0" w:line="600" w:lineRule="exact"/>
        <w:ind w:firstLineChars="200" w:firstLine="640"/>
        <w:rPr>
          <w:rFonts w:ascii="方正黑体_GBK" w:eastAsia="方正黑体_GBK" w:cs="方正黑体_GBK" w:hAnsi="方正黑体_GBK" w:hint="eastAsia"/>
          <w:sz w:val="32"/>
          <w:szCs w:val="32"/>
          <w:lang w:val="en-US" w:eastAsia="zh-CN"/>
        </w:rPr>
      </w:pPr>
      <w:r>
        <w:rPr>
          <w:rFonts w:ascii="方正黑体_GBK" w:eastAsia="方正黑体_GBK" w:cs="方正黑体_GBK" w:hAnsi="方正黑体_GBK" w:hint="eastAsia"/>
          <w:sz w:val="32"/>
          <w:szCs w:val="32"/>
          <w:lang w:val="en-US" w:eastAsia="zh-CN"/>
        </w:rPr>
        <w:t>固本强基筑堡垒，激活党建引领“源动力”</w:t>
      </w:r>
    </w:p>
    <w:p>
      <w:pPr>
        <w:spacing w:beforeAutospacing="0" w:afterAutospacing="0" w:line="600" w:lineRule="exact"/>
        <w:ind w:firstLineChars="200" w:firstLine="640"/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</w:pP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严守党管人才、双向培养机制，近三年发展党员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2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名、培育入党积极分子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2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名，实现党员塑造成业务骨干、骨干吸纳为党员。抓实队伍能力提升，常态化组织技能比武、岗位实训、劳动竞赛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等活动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，涌现总行柜面、普惠条线标兵共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5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名，人才赋能成效显著。聚焦队伍凝心聚力，深耕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“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模范职工小家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”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建设，常态化开展文体赛事、新人暖心关怀、技能比拼、交流沙龙等群团活动，持续增强队伍归属感与集体向心力。</w:t>
      </w:r>
    </w:p>
    <w:p>
      <w:pPr>
        <w:spacing w:beforeAutospacing="0" w:afterAutospacing="0" w:line="600" w:lineRule="exact"/>
        <w:ind w:firstLineChars="200" w:firstLine="640"/>
        <w:rPr>
          <w:rFonts w:ascii="方正黑体_GBK" w:eastAsia="方正黑体_GBK" w:cs="方正黑体_GBK" w:hAnsi="方正黑体_GBK" w:hint="eastAsia"/>
          <w:sz w:val="32"/>
          <w:szCs w:val="32"/>
        </w:rPr>
      </w:pPr>
      <w:r>
        <w:rPr>
          <w:rFonts w:ascii="方正黑体_GBK" w:eastAsia="方正黑体_GBK" w:cs="方正黑体_GBK" w:hAnsi="方正黑体_GBK" w:hint="eastAsia"/>
          <w:sz w:val="32"/>
          <w:szCs w:val="32"/>
        </w:rPr>
        <w:t>党业融合促发展，打造区域金融“新标杆”</w:t>
      </w:r>
    </w:p>
    <w:p>
      <w:pPr>
        <w:keepNext w:val="0"/>
        <w:keepLines w:val="0"/>
        <w:widowControl/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00" w:lineRule="exact"/>
        <w:ind w:firstLineChars="200" w:firstLine="640"/>
        <w:rPr>
          <w:rFonts w:ascii="Times New Roman" w:eastAsia="方正仿宋_GBK" w:cs="方正仿宋_GB2312" w:hAnsi="Times New Roman" w:hint="eastAsia"/>
          <w:sz w:val="32"/>
          <w:szCs w:val="32"/>
        </w:rPr>
      </w:pP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锚定服务国家战略、做实金融“五篇大文章”目标，持续加大普惠小微、涉农领域信贷投放力度，2025年普惠及涉农贷款年度任务完成率分别达151.03%、189.74%，精准破解市场主体融资难、融资贵痛点堵点。紧扣地方特色产业发展重大任务精准发力，</w:t>
      </w:r>
      <w:r>
        <w:rPr>
          <w:rFonts w:ascii="Times New Roman" w:eastAsia="方正仿宋_GBK" w:cs="方正仿宋_GB2312" w:hAnsi="Times New Roman" w:hint="eastAsia"/>
          <w:b w:val="0"/>
          <w:bCs w:val="0"/>
          <w:kern w:val="2"/>
          <w:sz w:val="32"/>
          <w:szCs w:val="32"/>
          <w:lang w:val="en-US" w:eastAsia="zh-CN" w:bidi="ar-SA"/>
        </w:rPr>
        <w:t>作为首批金融机构加入万州区柠檬“</w:t>
      </w:r>
      <w:r>
        <w:rPr>
          <w:rFonts w:ascii="Times New Roman" w:eastAsia="方正仿宋_GBK" w:cs="方正仿宋_GB2312" w:hAnsi="Times New Roman"/>
          <w:b w:val="0"/>
          <w:bCs w:val="0"/>
          <w:kern w:val="2"/>
          <w:sz w:val="32"/>
          <w:szCs w:val="32"/>
          <w:lang w:val="en-US" w:eastAsia="zh-CN" w:bidi="ar-SA"/>
        </w:rPr>
        <w:t>产业链</w:t>
      </w:r>
      <w:bookmarkStart w:id="0" w:name="_GoBack"/>
      <w:bookmarkEnd w:id="0"/>
      <w:r>
        <w:rPr>
          <w:rFonts w:ascii="Times New Roman" w:eastAsia="方正仿宋_GBK" w:cs="方正仿宋_GB2312" w:hAnsi="Times New Roman" w:hint="eastAsia"/>
          <w:b w:val="0"/>
          <w:bCs w:val="0"/>
          <w:kern w:val="2"/>
          <w:sz w:val="32"/>
          <w:szCs w:val="32"/>
          <w:lang w:val="en-US" w:eastAsia="zh-CN" w:bidi="ar-SA"/>
        </w:rPr>
        <w:t>”，创新推出“柠檬贷”及农业生产设施设备抵押贷款等，累计为200余家市场主体投放贷款6亿余元，形成可复制推广的“党建+产业链金融”模式。</w:t>
      </w:r>
    </w:p>
    <w:p>
      <w:pPr>
        <w:spacing w:beforeAutospacing="0" w:afterAutospacing="0" w:line="600" w:lineRule="exact"/>
        <w:ind w:firstLineChars="200" w:firstLine="640"/>
        <w:rPr>
          <w:rFonts w:ascii="方正黑体_GBK" w:eastAsia="方正黑体_GBK" w:cs="方正黑体_GBK" w:hAnsi="方正黑体_GBK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黑体_GBK" w:hAnsi="Times New Roman" w:hint="eastAsia"/>
          <w:sz w:val="32"/>
          <w:szCs w:val="32"/>
          <w:lang w:val="en-US" w:eastAsia="zh-CN"/>
        </w:rPr>
        <w:drawing>
          <wp:anchor distT="0" distB="0" distL="85725" distR="85725" simplePos="0" relativeHeight="15" behindDoc="0" locked="0" layoutInCell="1" hidden="0" allowOverlap="1">
            <wp:simplePos x="0" y="0"/>
            <wp:positionH relativeFrom="column">
              <wp:posOffset>92868</wp:posOffset>
            </wp:positionH>
            <wp:positionV relativeFrom="paragraph">
              <wp:posOffset>78580</wp:posOffset>
            </wp:positionV>
            <wp:extent cx="5107781" cy="3369469"/>
            <wp:effectExtent l="0" t="0" r="0" b="1"/>
            <wp:wrapSquare wrapText="bothSides"/>
            <wp:docPr id="3" name="图片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图片 4"/>
                    <pic:cNvPicPr/>
                  </pic:nvPicPr>
                  <pic:blipFill>
                    <a:blip r:embed="rId3"/>
                    <a:srcRect t="8969" b="5851" l="1640" r="15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7781" cy="336946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方正黑体_GBK" w:eastAsia="方正黑体_GBK" w:cs="方正黑体_GBK" w:hAnsi="方正黑体_GBK"/>
          <w:sz w:val="32"/>
          <w:szCs w:val="32"/>
          <w:lang w:val="en-US" w:eastAsia="zh-CN"/>
        </w:rPr>
        <w:t>深耕民生优服务</w:t>
      </w:r>
      <w:r>
        <w:rPr>
          <w:rFonts w:ascii="方正黑体_GBK" w:eastAsia="方正黑体_GBK" w:cs="方正黑体_GBK" w:hAnsi="方正黑体_GBK" w:hint="eastAsia"/>
          <w:sz w:val="32"/>
          <w:szCs w:val="32"/>
          <w:lang w:val="en-US" w:eastAsia="zh-CN"/>
        </w:rPr>
        <w:t>，擦亮金融为民“金名片”</w:t>
      </w:r>
    </w:p>
    <w:p>
      <w:pPr>
        <w:spacing w:beforeAutospacing="0" w:afterAutospacing="0" w:line="600" w:lineRule="exact"/>
        <w:ind w:firstLineChars="200" w:firstLine="640"/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</w:pP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聚焦便民服务提质增效，打造覆盖社区、校园、拥军等8类群体爱心驿站，落地“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暖阳服务守则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”等特色服务规范、配齐三代社保卡自助服务设备，全方位打通金融服务末梢。聚力全域党建网格共建，推进“红金渝”金融党建“三网融合”行动，联动辖区21个社区搭建民营小微企业和个体工商户金融服务港湾，多维度开展政银企走访对接。深耕基层治理志愿服务，深度参与社区</w:t>
      </w:r>
      <w:r>
        <w:rPr>
          <w:rFonts w:ascii="Times New Roman" w:eastAsia="方正仿宋_GBK" w:cs="方正仿宋_GB2312" w:hAnsi="Times New Roman"/>
          <w:sz w:val="32"/>
          <w:szCs w:val="32"/>
          <w:lang w:val="en-US" w:eastAsia="zh-CN"/>
        </w:rPr>
        <w:t>创文、创卫</w:t>
      </w:r>
      <w:r>
        <w:rPr>
          <w:rFonts w:ascii="Times New Roman" w:eastAsia="方正仿宋_GBK" w:cs="方正仿宋_GB2312" w:hAnsi="Times New Roman" w:hint="eastAsia"/>
          <w:sz w:val="32"/>
          <w:szCs w:val="32"/>
          <w:lang w:val="en-US" w:eastAsia="zh-CN"/>
        </w:rPr>
        <w:t>等各类重点工作，常态化开展反诈宣讲、物资捐赠、帮扶慰问等活动，用心践行金融社会责任。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方正小标宋简体">
    <w:panose1 w:val="02000000000000000000"/>
    <w:charset w:val="86"/>
    <w:family w:val="auto"/>
    <w:pitch w:val="variable"/>
    <w:sig w:usb0="00000001" w:usb1="0800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黑体_GBK">
    <w:panose1 w:val="02010600010101010101"/>
    <w:charset w:val="86"/>
    <w:family w:val="script"/>
    <w:pitch w:val="variable"/>
    <w:sig w:usb0="00000001" w:usb1="080E0000" w:usb2="00000000" w:usb3="00000000" w:csb0="00040000" w:csb1="00000000"/>
  </w:font>
  <w:font w:name="宋体">
    <w:altName w:val="汉仪书宋二KW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cida Sans">
    <w:altName w:val="Arial"/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Calibri">
    <w:altName w:val="Helvetica Neue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Arial">
    <w:panose1 w:val="020B0604020202090204"/>
    <w:charset w:val="01"/>
    <w:family w:val="swiss"/>
    <w:pitch w:val="variable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96"/>
  <w:bordersDoNotSurroundHeader w:val="0"/>
  <w:bordersDoNotSurroundFooter w:val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spacing w:before="0" w:beforeAutospacing="1" w:after="0" w:afterAutospacing="1"/>
      <w:jc w:val="left"/>
      <w:outlineLvl w:val="0"/>
    </w:pPr>
    <w:rPr>
      <w:rFonts w:ascii="宋体" w:eastAsia="宋体" w:cs="宋体" w:hAnsi="宋体"/>
      <w:b/>
      <w:bCs/>
      <w:kern w:val="44"/>
      <w:sz w:val="48"/>
      <w:szCs w:val="48"/>
      <w:lang w:val="en-US" w:eastAsia="zh-CN"/>
    </w:rPr>
  </w:style>
  <w:style w:type="character" w:customStyle="1" w:styleId="1Char">
    <w:name w:val="heading 1 Char"/>
    <w:basedOn w:val="10"/>
    <w:link w:val="1"/>
    <w:rPr>
      <w:rFonts w:ascii="宋体" w:eastAsia="宋体" w:cs="宋体" w:hAnsi="宋体"/>
      <w:b/>
      <w:bCs/>
      <w:kern w:val="44"/>
      <w:sz w:val="48"/>
      <w:szCs w:val="48"/>
      <w:lang w:val="en-US" w:eastAsia="zh-CN" w:bidi="ar-SA"/>
    </w:rPr>
  </w:style>
  <w:style w:type="paragraph" w:styleId="2">
    <w:name w:val="heading 2"/>
    <w:qFormat/>
    <w:basedOn w:val="0"/>
    <w:next w:val="0"/>
    <w:link w:val="2Char"/>
    <w:pPr>
      <w:keepNext/>
      <w:keepLines/>
      <w:widowControl w:val="0"/>
      <w:spacing w:before="260" w:after="260" w:line="415" w:lineRule="auto"/>
      <w:outlineLvl w:val="1"/>
    </w:pPr>
    <w:rPr>
      <w:rFonts w:ascii="Times New Roman" w:eastAsia="黑体" w:hAnsi="Times New Roman"/>
      <w:b/>
      <w:bCs/>
      <w:sz w:val="32"/>
      <w:szCs w:val="32"/>
    </w:rPr>
  </w:style>
  <w:style w:type="character" w:customStyle="1" w:styleId="2Char">
    <w:name w:val="heading 2 Char"/>
    <w:basedOn w:val="10"/>
    <w:link w:val="2"/>
    <w:rPr>
      <w:rFonts w:ascii="Times New Roman" w:eastAsia="黑体" w:cs="Arial" w:hAnsi="Times New Roman"/>
      <w:b/>
      <w:bCs/>
      <w:kern w:val="2"/>
      <w:sz w:val="32"/>
      <w:szCs w:val="32"/>
      <w:lang w:val="en-US" w:eastAsia="zh-CN" w:bidi="ar-SA"/>
    </w:rPr>
  </w:style>
  <w:style w:type="paragraph" w:styleId="3">
    <w:name w:val="heading 3"/>
    <w:qFormat/>
    <w:basedOn w:val="0"/>
    <w:next w:val="0"/>
    <w:link w:val="3Char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Normal (Web)"/>
    <w:qFormat/>
    <w:basedOn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16">
    <w:name w:val="Strong"/>
    <w:qFormat/>
    <w:basedOn w:val="10"/>
    <w:rPr>
      <w:b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1.jpg"/><Relationship Id="rId3" Type="http://schemas.openxmlformats.org/officeDocument/2006/relationships/image" Target="media/3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customXml" Target="../customXml/item1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2700" cmpd="sng" cap="flat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sx="100000" sy="100000" algn="ctr" rotWithShape="0" blurRad="101600" dist="50800" dir="540000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26650 1 1 1 1 1"/>
    <sectPr/>
  </customProps>
</customData>
</file>

<file path=customXml/itemProps1.xml><?xml version="1.0" encoding="utf-8"?>
<ds:datastoreItem xmlns:ds="http://schemas.openxmlformats.org/officeDocument/2006/customXml" ds:itemID="{A253AAA5-37C8-4637-A9CD-17EE69A6CCA9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14</TotalTime>
  <Application>WPS_Yozo_Office9.0.6803.142ZH.CQ09</Application>
  <Pages>3</Pages>
  <Words>0</Words>
  <Characters>864</Characters>
  <Lines>0</Lines>
  <Paragraphs>15</Paragraphs>
  <CharactersWithSpaces>1153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洪喜琪</dc:creator>
  <cp:lastModifiedBy>CCQTGB</cp:lastModifiedBy>
  <cp:revision>7</cp:revision>
  <dcterms:created xsi:type="dcterms:W3CDTF">2026-07-01T11:34:00Z</dcterms:created>
  <dcterms:modified xsi:type="dcterms:W3CDTF">2026-07-02T11:36:55Z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2052-12.1.25895.25895</vt:lpwstr>
  </property>
  <property fmtid="{D5CDD505-2E9C-101B-9397-08002B2CF9AE}" pid="3" name="ICV">
    <vt:lpwstr>03C1070FC874515EC58A446A9696DC7F_41</vt:lpwstr>
  </property>
</Properties>
</file>