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03B77">
      <w:pPr>
        <w:pStyle w:val="3"/>
        <w:bidi w:val="0"/>
        <w:rPr>
          <w:rFonts w:hint="eastAsia"/>
          <w:color w:val="auto"/>
          <w:highlight w:val="none"/>
          <w:lang w:val="en-US" w:eastAsia="zh-CN"/>
        </w:rPr>
      </w:pPr>
      <w:bookmarkStart w:id="0" w:name="_Toc28583"/>
      <w:bookmarkStart w:id="1" w:name="_Toc32099"/>
      <w:bookmarkStart w:id="2" w:name="_Toc10551"/>
      <w:r>
        <w:rPr>
          <w:rFonts w:hint="eastAsia"/>
          <w:color w:val="auto"/>
          <w:highlight w:val="none"/>
          <w:lang w:eastAsia="zh-CN"/>
        </w:rPr>
        <w:t>重庆三峡银行2026-2029年常年法律顾问服务项目（第二次）询比公告</w:t>
      </w:r>
      <w:bookmarkEnd w:id="0"/>
      <w:bookmarkEnd w:id="1"/>
      <w:bookmarkEnd w:id="2"/>
    </w:p>
    <w:p w14:paraId="784F2053">
      <w:pPr>
        <w:bidi w:val="0"/>
        <w:ind w:firstLine="1044"/>
        <w:rPr>
          <w:rFonts w:ascii="Times New Roman" w:hAnsi="Times New Roman"/>
          <w:color w:val="auto"/>
          <w:szCs w:val="20"/>
          <w:highlight w:val="none"/>
        </w:rPr>
      </w:pPr>
      <w:bookmarkStart w:id="3" w:name="_Toc55379218"/>
      <w:bookmarkStart w:id="4" w:name="_Toc89675127"/>
      <w:r>
        <w:rPr>
          <w:rFonts w:hint="eastAsia" w:ascii="Times New Roman" w:hAnsi="Times New Roman"/>
          <w:color w:val="auto"/>
          <w:szCs w:val="20"/>
          <w:highlight w:val="none"/>
          <w:u w:val="single"/>
        </w:rPr>
        <w:t>为提升本行治理体系和治理能力，深入推进法治体系、法治能力、法治文化一体化建设，提高法律风险防范的能力和水平，促进依法合规经营，切实维护权益。</w:t>
      </w:r>
      <w:r>
        <w:rPr>
          <w:rFonts w:hint="eastAsia" w:ascii="Times New Roman" w:hAnsi="Times New Roman"/>
          <w:color w:val="auto"/>
          <w:szCs w:val="20"/>
          <w:highlight w:val="none"/>
        </w:rPr>
        <w:t>现对</w:t>
      </w:r>
      <w:r>
        <w:rPr>
          <w:rFonts w:hint="eastAsia" w:ascii="Times New Roman" w:hAnsi="Times New Roman"/>
          <w:color w:val="auto"/>
          <w:szCs w:val="20"/>
          <w:highlight w:val="none"/>
          <w:u w:val="single"/>
        </w:rPr>
        <w:t>重庆三峡银行</w:t>
      </w:r>
      <w:r>
        <w:rPr>
          <w:rFonts w:ascii="Times New Roman" w:hAnsi="Times New Roman"/>
          <w:color w:val="auto"/>
          <w:szCs w:val="20"/>
          <w:highlight w:val="none"/>
          <w:u w:val="single"/>
        </w:rPr>
        <w:t>2026-2029年常年法律顾问</w:t>
      </w:r>
      <w:r>
        <w:rPr>
          <w:rFonts w:hint="eastAsia" w:ascii="Times New Roman" w:hAnsi="Times New Roman"/>
          <w:color w:val="auto"/>
          <w:szCs w:val="20"/>
          <w:highlight w:val="none"/>
          <w:u w:val="single"/>
        </w:rPr>
        <w:t>服务项目（第二次）</w:t>
      </w:r>
      <w:r>
        <w:rPr>
          <w:rFonts w:hint="eastAsia" w:ascii="Times New Roman" w:hAnsi="Times New Roman"/>
          <w:color w:val="auto"/>
          <w:szCs w:val="20"/>
          <w:highlight w:val="none"/>
        </w:rPr>
        <w:t>进行公开</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w:t>
      </w:r>
      <w:r>
        <w:rPr>
          <w:rFonts w:ascii="Times New Roman" w:hAnsi="Times New Roman"/>
          <w:color w:val="auto"/>
          <w:szCs w:val="20"/>
          <w:highlight w:val="none"/>
        </w:rPr>
        <w:t>特邀请有</w:t>
      </w:r>
      <w:bookmarkStart w:id="5" w:name="_Hlk59455120"/>
      <w:r>
        <w:rPr>
          <w:rFonts w:ascii="Times New Roman" w:hAnsi="Times New Roman"/>
          <w:color w:val="auto"/>
          <w:szCs w:val="20"/>
          <w:highlight w:val="none"/>
        </w:rPr>
        <w:t>意向</w:t>
      </w:r>
      <w:bookmarkEnd w:id="5"/>
      <w:r>
        <w:rPr>
          <w:rFonts w:ascii="Times New Roman" w:hAnsi="Times New Roman"/>
          <w:color w:val="auto"/>
          <w:szCs w:val="20"/>
          <w:highlight w:val="none"/>
        </w:rPr>
        <w:t>的潜在</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lang w:val="en-US" w:eastAsia="zh-CN"/>
        </w:rPr>
        <w:t>参与响应</w:t>
      </w:r>
      <w:r>
        <w:rPr>
          <w:rFonts w:ascii="Times New Roman" w:hAnsi="Times New Roman"/>
          <w:color w:val="auto"/>
          <w:szCs w:val="20"/>
          <w:highlight w:val="none"/>
        </w:rPr>
        <w:t>。</w:t>
      </w:r>
    </w:p>
    <w:p w14:paraId="6F89C1CF">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1. 询比项目内容</w:t>
      </w:r>
      <w:bookmarkEnd w:id="3"/>
      <w:bookmarkEnd w:id="4"/>
    </w:p>
    <w:p w14:paraId="22563B76">
      <w:pPr>
        <w:bidi w:val="0"/>
        <w:ind w:firstLine="1044"/>
        <w:rPr>
          <w:rFonts w:hint="eastAsia" w:ascii="Times New Roman" w:hAnsi="Times New Roman"/>
          <w:color w:val="auto"/>
          <w:szCs w:val="20"/>
          <w:highlight w:val="none"/>
          <w:lang w:val="en-US" w:eastAsia="zh-CN"/>
        </w:rPr>
      </w:pPr>
      <w:bookmarkStart w:id="6" w:name="_Toc288224935"/>
      <w:bookmarkStart w:id="7" w:name="_Toc297817088"/>
      <w:bookmarkStart w:id="8" w:name="_Toc89675128"/>
      <w:bookmarkStart w:id="9" w:name="_Toc55379219"/>
      <w:bookmarkStart w:id="10" w:name="_Toc469574664"/>
      <w:r>
        <w:rPr>
          <w:rFonts w:hint="eastAsia" w:ascii="Times New Roman" w:hAnsi="Times New Roman"/>
          <w:color w:val="auto"/>
          <w:szCs w:val="20"/>
          <w:highlight w:val="none"/>
          <w:lang w:val="en-US" w:eastAsia="zh-CN"/>
        </w:rPr>
        <w:t>1.1 项目名称：</w:t>
      </w:r>
      <w:r>
        <w:rPr>
          <w:rFonts w:ascii="Times New Roman" w:hAnsi="Times New Roman"/>
          <w:color w:val="auto"/>
          <w:szCs w:val="20"/>
          <w:highlight w:val="none"/>
          <w:lang w:val="en-US" w:eastAsia="zh-CN"/>
        </w:rPr>
        <w:t>重庆三峡银行2026-2029年常年法律顾问</w:t>
      </w:r>
      <w:r>
        <w:rPr>
          <w:rFonts w:hint="eastAsia" w:ascii="Times New Roman" w:hAnsi="Times New Roman"/>
          <w:color w:val="auto"/>
          <w:szCs w:val="20"/>
          <w:highlight w:val="none"/>
        </w:rPr>
        <w:t>服务</w:t>
      </w:r>
      <w:r>
        <w:rPr>
          <w:rFonts w:ascii="Times New Roman" w:hAnsi="Times New Roman"/>
          <w:color w:val="auto"/>
          <w:szCs w:val="20"/>
          <w:highlight w:val="none"/>
          <w:lang w:val="en-US" w:eastAsia="zh-CN"/>
        </w:rPr>
        <w:t>项目</w:t>
      </w:r>
      <w:r>
        <w:rPr>
          <w:rFonts w:hint="eastAsia" w:ascii="Times New Roman" w:hAnsi="Times New Roman"/>
          <w:color w:val="auto"/>
          <w:szCs w:val="20"/>
          <w:highlight w:val="none"/>
          <w:lang w:val="en-US" w:eastAsia="zh-CN"/>
        </w:rPr>
        <w:t>（第二次）</w:t>
      </w:r>
    </w:p>
    <w:p w14:paraId="5B1D3C7C">
      <w:pPr>
        <w:bidi w:val="0"/>
        <w:ind w:firstLine="1044"/>
        <w:rPr>
          <w:rFonts w:hint="eastAsia" w:ascii="Times New Roman" w:hAnsi="Times New Roman"/>
          <w:color w:val="auto"/>
          <w:szCs w:val="20"/>
          <w:highlight w:val="none"/>
          <w:lang w:eastAsia="zh-CN"/>
        </w:rPr>
      </w:pPr>
      <w:r>
        <w:rPr>
          <w:rFonts w:hint="eastAsia" w:ascii="Times New Roman" w:hAnsi="Times New Roman"/>
          <w:color w:val="auto"/>
          <w:szCs w:val="20"/>
          <w:highlight w:val="none"/>
          <w:lang w:val="en-US" w:eastAsia="zh-CN"/>
        </w:rPr>
        <w:t>1.2 采购人：</w:t>
      </w:r>
      <w:r>
        <w:rPr>
          <w:rFonts w:ascii="Times New Roman" w:hAnsi="Times New Roman"/>
          <w:color w:val="auto"/>
          <w:szCs w:val="20"/>
          <w:highlight w:val="none"/>
        </w:rPr>
        <w:t>重庆三峡银行股份有限公司</w:t>
      </w:r>
    </w:p>
    <w:p w14:paraId="2248DFE5">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1.3 询比范围：</w:t>
      </w:r>
      <w:r>
        <w:rPr>
          <w:rFonts w:ascii="Times New Roman" w:hAnsi="Times New Roman"/>
          <w:color w:val="auto"/>
          <w:szCs w:val="20"/>
          <w:highlight w:val="none"/>
          <w:lang w:val="en-US" w:eastAsia="zh-CN"/>
        </w:rPr>
        <w:t>对本行依法经营及内部管理提供法律服务；及时审查本行标准法律文本、非标法律文本；提供全行法律咨询，对本行出具法律意见，签发律师函，开展法</w:t>
      </w:r>
      <w:r>
        <w:rPr>
          <w:rFonts w:hint="eastAsia" w:ascii="Times New Roman" w:hAnsi="Times New Roman"/>
          <w:color w:val="auto"/>
          <w:szCs w:val="20"/>
          <w:highlight w:val="none"/>
          <w:lang w:val="en-US" w:eastAsia="zh-CN"/>
        </w:rPr>
        <w:t>治</w:t>
      </w:r>
      <w:r>
        <w:rPr>
          <w:rFonts w:ascii="Times New Roman" w:hAnsi="Times New Roman"/>
          <w:color w:val="auto"/>
          <w:szCs w:val="20"/>
          <w:highlight w:val="none"/>
          <w:lang w:val="en-US" w:eastAsia="zh-CN"/>
        </w:rPr>
        <w:t>宣传等，依法维护银行权益。</w:t>
      </w:r>
    </w:p>
    <w:p w14:paraId="77C62371">
      <w:pPr>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1.4 最高限价</w:t>
      </w:r>
    </w:p>
    <w:p w14:paraId="66FB3698">
      <w:pPr>
        <w:ind w:firstLine="1044"/>
        <w:rPr>
          <w:rFonts w:hint="eastAsia" w:ascii="Times New Roman" w:hAnsi="Times New Roman"/>
          <w:color w:val="auto"/>
          <w:szCs w:val="20"/>
          <w:highlight w:val="none"/>
          <w:lang w:eastAsia="zh-CN"/>
        </w:rPr>
      </w:pPr>
      <w:r>
        <w:rPr>
          <w:rFonts w:hint="eastAsia" w:ascii="Times New Roman" w:hAnsi="Times New Roman"/>
          <w:color w:val="auto"/>
          <w:szCs w:val="20"/>
          <w:highlight w:val="none"/>
          <w:lang w:val="en-US" w:eastAsia="zh-CN"/>
        </w:rPr>
        <w:t>最高限价：</w:t>
      </w:r>
      <w:r>
        <w:rPr>
          <w:rFonts w:ascii="Times New Roman" w:hAnsi="Times New Roman"/>
          <w:color w:val="auto"/>
          <w:szCs w:val="20"/>
          <w:highlight w:val="none"/>
          <w:lang w:val="en-US" w:eastAsia="zh-CN"/>
        </w:rPr>
        <w:t>65万元/年</w:t>
      </w:r>
      <w:r>
        <w:rPr>
          <w:rFonts w:hint="eastAsia" w:ascii="Times New Roman" w:hAnsi="Times New Roman"/>
          <w:color w:val="auto"/>
          <w:szCs w:val="20"/>
          <w:highlight w:val="none"/>
          <w:lang w:eastAsia="zh-CN"/>
        </w:rPr>
        <w:t>（</w:t>
      </w:r>
      <w:r>
        <w:rPr>
          <w:rFonts w:hint="eastAsia" w:ascii="Times New Roman" w:hAnsi="Times New Roman"/>
          <w:color w:val="auto"/>
          <w:szCs w:val="20"/>
          <w:highlight w:val="none"/>
          <w:lang w:val="en-US" w:eastAsia="zh-CN"/>
        </w:rPr>
        <w:t>含税</w:t>
      </w:r>
      <w:r>
        <w:rPr>
          <w:rFonts w:hint="eastAsia" w:ascii="Times New Roman" w:hAnsi="Times New Roman"/>
          <w:color w:val="auto"/>
          <w:szCs w:val="20"/>
          <w:highlight w:val="none"/>
          <w:lang w:eastAsia="zh-CN"/>
        </w:rPr>
        <w:t>）</w:t>
      </w:r>
      <w:r>
        <w:rPr>
          <w:rFonts w:ascii="Times New Roman" w:hAnsi="Times New Roman"/>
          <w:color w:val="auto"/>
          <w:szCs w:val="20"/>
          <w:highlight w:val="none"/>
          <w:lang w:eastAsia="zh-CN"/>
        </w:rPr>
        <w:t>、三年共计195万元</w:t>
      </w:r>
      <w:r>
        <w:rPr>
          <w:rFonts w:hint="eastAsia" w:ascii="Times New Roman" w:hAnsi="Times New Roman"/>
          <w:color w:val="auto"/>
          <w:szCs w:val="20"/>
          <w:highlight w:val="none"/>
          <w:lang w:eastAsia="zh-CN"/>
        </w:rPr>
        <w:t>（</w:t>
      </w:r>
      <w:r>
        <w:rPr>
          <w:rFonts w:hint="eastAsia" w:ascii="Times New Roman" w:hAnsi="Times New Roman"/>
          <w:color w:val="auto"/>
          <w:szCs w:val="20"/>
          <w:highlight w:val="none"/>
          <w:lang w:val="en-US" w:eastAsia="zh-CN"/>
        </w:rPr>
        <w:t>含税</w:t>
      </w:r>
      <w:r>
        <w:rPr>
          <w:rFonts w:hint="eastAsia" w:ascii="Times New Roman" w:hAnsi="Times New Roman"/>
          <w:color w:val="auto"/>
          <w:szCs w:val="20"/>
          <w:highlight w:val="none"/>
          <w:lang w:eastAsia="zh-CN"/>
        </w:rPr>
        <w:t>）</w:t>
      </w:r>
      <w:r>
        <w:rPr>
          <w:rFonts w:ascii="Times New Roman" w:hAnsi="Times New Roman"/>
          <w:color w:val="auto"/>
          <w:szCs w:val="20"/>
          <w:highlight w:val="none"/>
          <w:lang w:eastAsia="zh-CN"/>
        </w:rPr>
        <w:t>。</w:t>
      </w:r>
    </w:p>
    <w:p w14:paraId="75204A5A">
      <w:pPr>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1.5 成交供应商数量：</w:t>
      </w:r>
      <w:r>
        <w:rPr>
          <w:rFonts w:ascii="Times New Roman" w:hAnsi="Times New Roman"/>
          <w:color w:val="auto"/>
          <w:szCs w:val="20"/>
          <w:highlight w:val="none"/>
          <w:lang w:val="en-US" w:eastAsia="zh-CN"/>
        </w:rPr>
        <w:t>1家</w:t>
      </w:r>
    </w:p>
    <w:p w14:paraId="3F5BA945">
      <w:pPr>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1.6 其他：</w:t>
      </w:r>
      <w:r>
        <w:rPr>
          <w:rFonts w:ascii="Times New Roman" w:hAnsi="Times New Roman"/>
          <w:color w:val="auto"/>
          <w:szCs w:val="20"/>
          <w:highlight w:val="none"/>
          <w:lang w:val="en-US" w:eastAsia="zh-CN"/>
        </w:rPr>
        <w:t>服务期限3年，合同一年一签。</w:t>
      </w:r>
    </w:p>
    <w:p w14:paraId="22051C7A">
      <w:pPr>
        <w:autoSpaceDE/>
        <w:autoSpaceDN/>
        <w:ind w:firstLine="420" w:firstLineChars="200"/>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1.7 因本项目响应人为律师事务所，涉及“法定代表人”的相关内容，由律所负责人按文件要求与规定执行。</w:t>
      </w:r>
    </w:p>
    <w:p w14:paraId="4D57A1ED">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2. 响应人资格要求</w:t>
      </w:r>
      <w:bookmarkEnd w:id="6"/>
      <w:bookmarkEnd w:id="7"/>
      <w:bookmarkEnd w:id="8"/>
      <w:bookmarkEnd w:id="9"/>
      <w:bookmarkEnd w:id="10"/>
    </w:p>
    <w:p w14:paraId="0751B981">
      <w:pPr>
        <w:bidi w:val="0"/>
        <w:ind w:firstLine="1044"/>
        <w:rPr>
          <w:rFonts w:hint="eastAsia" w:ascii="Times New Roman" w:hAnsi="Times New Roman"/>
          <w:color w:val="auto"/>
          <w:szCs w:val="20"/>
          <w:highlight w:val="none"/>
          <w:lang w:val="en-US" w:eastAsia="zh-CN"/>
        </w:rPr>
      </w:pPr>
      <w:bookmarkStart w:id="11" w:name="_Hlk55488870"/>
      <w:r>
        <w:rPr>
          <w:rFonts w:hint="eastAsia" w:ascii="Times New Roman" w:hAnsi="Times New Roman"/>
          <w:color w:val="auto"/>
          <w:szCs w:val="20"/>
          <w:highlight w:val="none"/>
          <w:lang w:val="en-US" w:eastAsia="zh-CN"/>
        </w:rPr>
        <w:t>2.1 具有独立承担民事责任的能力。</w:t>
      </w:r>
    </w:p>
    <w:p w14:paraId="1740074C">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【提供：1、律师事务所执业许可证复印件；2、响应人负责人身份证明；3、负责人授权委托书（如有，适用于有委托代理人的情况时采用）。】</w:t>
      </w:r>
    </w:p>
    <w:p w14:paraId="00AD2FEE">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8F4CE23">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2.3 本项目不允许任何形式的转包【提供书面声明】。</w:t>
      </w:r>
    </w:p>
    <w:p w14:paraId="0185C778">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 xml:space="preserve">2.4 </w:t>
      </w:r>
      <w:r>
        <w:rPr>
          <w:rFonts w:ascii="Times New Roman" w:hAnsi="Times New Roman"/>
          <w:color w:val="auto"/>
          <w:szCs w:val="20"/>
          <w:highlight w:val="none"/>
          <w:lang w:val="en-US" w:eastAsia="zh-CN"/>
        </w:rPr>
        <w:t>律所</w:t>
      </w:r>
      <w:r>
        <w:rPr>
          <w:rFonts w:hint="eastAsia" w:ascii="Times New Roman" w:hAnsi="Times New Roman"/>
          <w:color w:val="auto"/>
          <w:szCs w:val="20"/>
          <w:highlight w:val="none"/>
          <w:lang w:val="en-US" w:eastAsia="zh-CN"/>
        </w:rPr>
        <w:t>及</w:t>
      </w:r>
      <w:r>
        <w:rPr>
          <w:rFonts w:ascii="Times New Roman" w:hAnsi="Times New Roman"/>
          <w:color w:val="auto"/>
          <w:szCs w:val="20"/>
          <w:highlight w:val="none"/>
          <w:lang w:val="en-US" w:eastAsia="zh-CN"/>
        </w:rPr>
        <w:t>负责人</w:t>
      </w:r>
      <w:r>
        <w:rPr>
          <w:rFonts w:hint="eastAsia" w:ascii="Times New Roman" w:hAnsi="Times New Roman"/>
          <w:color w:val="auto"/>
          <w:szCs w:val="20"/>
          <w:highlight w:val="none"/>
          <w:lang w:val="en-US" w:eastAsia="zh-CN"/>
        </w:rPr>
        <w:t>没有被人民法院列为失信被执行人名单</w:t>
      </w:r>
      <w:r>
        <w:rPr>
          <w:rFonts w:hint="eastAsia" w:ascii="Times New Roman" w:hAnsi="Times New Roman"/>
          <w:color w:val="auto"/>
          <w:szCs w:val="20"/>
          <w:highlight w:val="none"/>
        </w:rPr>
        <w:t>（中国执行信息公开网网址：https://zxgk.court.gov.cn/）</w:t>
      </w:r>
      <w:r>
        <w:rPr>
          <w:rFonts w:hint="eastAsia" w:ascii="Times New Roman" w:hAnsi="Times New Roman"/>
          <w:color w:val="auto"/>
          <w:szCs w:val="20"/>
          <w:highlight w:val="none"/>
          <w:lang w:val="en-US" w:eastAsia="zh-CN"/>
        </w:rPr>
        <w:t>【提供：1、</w:t>
      </w:r>
      <w:r>
        <w:rPr>
          <w:rFonts w:ascii="Times New Roman" w:hAnsi="Times New Roman"/>
          <w:color w:val="auto"/>
          <w:szCs w:val="20"/>
          <w:highlight w:val="none"/>
          <w:lang w:val="en-US" w:eastAsia="zh-CN"/>
        </w:rPr>
        <w:t>律所</w:t>
      </w:r>
      <w:r>
        <w:rPr>
          <w:rFonts w:hint="eastAsia" w:ascii="Times New Roman" w:hAnsi="Times New Roman"/>
          <w:color w:val="auto"/>
          <w:szCs w:val="20"/>
          <w:highlight w:val="none"/>
          <w:lang w:val="en-US" w:eastAsia="zh-CN"/>
        </w:rPr>
        <w:t>在</w:t>
      </w:r>
      <w:r>
        <w:rPr>
          <w:rFonts w:ascii="Times New Roman" w:hAnsi="Times New Roman"/>
          <w:color w:val="auto"/>
          <w:szCs w:val="20"/>
          <w:highlight w:val="none"/>
        </w:rPr>
        <w:t>中国执行信息公开网</w:t>
      </w:r>
      <w:r>
        <w:rPr>
          <w:rFonts w:hint="eastAsia" w:ascii="Times New Roman" w:hAnsi="Times New Roman"/>
          <w:color w:val="auto"/>
          <w:szCs w:val="20"/>
          <w:highlight w:val="none"/>
          <w:lang w:val="en-US" w:eastAsia="zh-CN"/>
        </w:rPr>
        <w:t>的查询</w:t>
      </w:r>
      <w:r>
        <w:rPr>
          <w:rFonts w:ascii="Times New Roman" w:hAnsi="Times New Roman"/>
          <w:color w:val="auto"/>
          <w:szCs w:val="20"/>
          <w:highlight w:val="none"/>
        </w:rPr>
        <w:t>截图</w:t>
      </w:r>
      <w:r>
        <w:rPr>
          <w:rFonts w:hint="eastAsia" w:ascii="Times New Roman" w:hAnsi="Times New Roman"/>
          <w:color w:val="auto"/>
          <w:szCs w:val="20"/>
          <w:highlight w:val="none"/>
          <w:lang w:val="en-US" w:eastAsia="zh-CN"/>
        </w:rPr>
        <w:t>并加盖单位鲜章；2、</w:t>
      </w:r>
      <w:r>
        <w:rPr>
          <w:rFonts w:ascii="Times New Roman" w:hAnsi="Times New Roman"/>
          <w:color w:val="auto"/>
          <w:szCs w:val="20"/>
          <w:highlight w:val="none"/>
          <w:lang w:val="en-US" w:eastAsia="zh-CN"/>
        </w:rPr>
        <w:t>负责</w:t>
      </w:r>
      <w:r>
        <w:rPr>
          <w:rFonts w:hint="eastAsia" w:ascii="Times New Roman" w:hAnsi="Times New Roman"/>
          <w:color w:val="auto"/>
          <w:szCs w:val="20"/>
          <w:highlight w:val="none"/>
          <w:lang w:val="en-US" w:eastAsia="zh-CN"/>
        </w:rPr>
        <w:t>人在</w:t>
      </w:r>
      <w:r>
        <w:rPr>
          <w:rFonts w:ascii="Times New Roman" w:hAnsi="Times New Roman"/>
          <w:color w:val="auto"/>
          <w:szCs w:val="20"/>
          <w:highlight w:val="none"/>
        </w:rPr>
        <w:t>中国执行信息公开网</w:t>
      </w:r>
      <w:r>
        <w:rPr>
          <w:rFonts w:hint="eastAsia" w:ascii="Times New Roman" w:hAnsi="Times New Roman"/>
          <w:color w:val="auto"/>
          <w:szCs w:val="20"/>
          <w:highlight w:val="none"/>
          <w:lang w:val="en-US" w:eastAsia="zh-CN"/>
        </w:rPr>
        <w:t>的查询</w:t>
      </w:r>
      <w:r>
        <w:rPr>
          <w:rFonts w:ascii="Times New Roman" w:hAnsi="Times New Roman"/>
          <w:color w:val="auto"/>
          <w:szCs w:val="20"/>
          <w:highlight w:val="none"/>
        </w:rPr>
        <w:t>截图</w:t>
      </w:r>
      <w:r>
        <w:rPr>
          <w:rFonts w:hint="eastAsia" w:ascii="Times New Roman" w:hAnsi="Times New Roman"/>
          <w:color w:val="auto"/>
          <w:szCs w:val="20"/>
          <w:highlight w:val="none"/>
          <w:lang w:val="en-US" w:eastAsia="zh-CN"/>
        </w:rPr>
        <w:t>并加盖单位鲜章】。</w:t>
      </w:r>
    </w:p>
    <w:p w14:paraId="24185901">
      <w:pPr>
        <w:bidi w:val="0"/>
        <w:ind w:firstLine="1044"/>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2.5 本次询比不接受联合体响应。</w:t>
      </w:r>
    </w:p>
    <w:p w14:paraId="0045F7A8">
      <w:pPr>
        <w:bidi w:val="0"/>
        <w:ind w:firstLine="1044"/>
        <w:rPr>
          <w:rFonts w:hint="eastAsia" w:ascii="Times New Roman" w:hAnsi="Times New Roman" w:eastAsia="宋体"/>
          <w:color w:val="auto"/>
          <w:szCs w:val="20"/>
          <w:highlight w:val="none"/>
          <w:lang w:eastAsia="zh-CN"/>
        </w:rPr>
      </w:pPr>
      <w:r>
        <w:rPr>
          <w:rFonts w:hint="eastAsia" w:ascii="Times New Roman" w:hAnsi="Times New Roman"/>
          <w:color w:val="auto"/>
          <w:szCs w:val="20"/>
          <w:highlight w:val="none"/>
          <w:lang w:val="en-US" w:eastAsia="zh-CN"/>
        </w:rPr>
        <w:t xml:space="preserve">2.6 </w:t>
      </w:r>
      <w:r>
        <w:rPr>
          <w:rFonts w:hint="eastAsia" w:ascii="Times New Roman" w:hAnsi="Times New Roman"/>
          <w:color w:val="auto"/>
          <w:szCs w:val="20"/>
          <w:highlight w:val="none"/>
        </w:rPr>
        <w:t>本次</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不接受曾因</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的违约行为与</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发生过纠纷的</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w:t>
      </w:r>
      <w:r>
        <w:rPr>
          <w:rFonts w:ascii="Times New Roman" w:hAnsi="Times New Roman"/>
          <w:color w:val="auto"/>
          <w:szCs w:val="20"/>
          <w:highlight w:val="none"/>
        </w:rPr>
        <w:t>不接受</w:t>
      </w:r>
      <w:r>
        <w:rPr>
          <w:rFonts w:hint="eastAsia" w:ascii="Times New Roman" w:hAnsi="Times New Roman"/>
          <w:color w:val="auto"/>
          <w:szCs w:val="20"/>
          <w:highlight w:val="none"/>
        </w:rPr>
        <w:t>与</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合作过程中不遵守</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及合同约定的</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w:t>
      </w:r>
      <w:r>
        <w:rPr>
          <w:rFonts w:ascii="Times New Roman" w:hAnsi="Times New Roman"/>
          <w:color w:val="auto"/>
          <w:szCs w:val="20"/>
          <w:highlight w:val="none"/>
        </w:rPr>
        <w:t>不接受</w:t>
      </w:r>
      <w:r>
        <w:rPr>
          <w:rFonts w:hint="eastAsia" w:ascii="Times New Roman" w:hAnsi="Times New Roman"/>
          <w:color w:val="auto"/>
          <w:szCs w:val="20"/>
          <w:highlight w:val="none"/>
        </w:rPr>
        <w:t>曾在</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项目</w:t>
      </w:r>
      <w:r>
        <w:rPr>
          <w:rFonts w:ascii="Times New Roman" w:hAnsi="Times New Roman"/>
          <w:color w:val="auto"/>
          <w:szCs w:val="20"/>
          <w:highlight w:val="none"/>
        </w:rPr>
        <w:t>中存在</w:t>
      </w:r>
      <w:r>
        <w:rPr>
          <w:rFonts w:hint="eastAsia" w:ascii="Times New Roman" w:hAnsi="Times New Roman"/>
          <w:color w:val="auto"/>
          <w:szCs w:val="20"/>
          <w:highlight w:val="none"/>
        </w:rPr>
        <w:t>弄虚作假行为的</w:t>
      </w:r>
      <w:r>
        <w:rPr>
          <w:rFonts w:hint="eastAsia" w:ascii="Times New Roman" w:hAnsi="Times New Roman"/>
          <w:color w:val="auto"/>
          <w:szCs w:val="20"/>
          <w:highlight w:val="none"/>
          <w:lang w:eastAsia="zh-CN"/>
        </w:rPr>
        <w:t>响应人</w:t>
      </w:r>
      <w:r>
        <w:rPr>
          <w:rFonts w:ascii="Times New Roman" w:hAnsi="Times New Roman"/>
          <w:color w:val="auto"/>
          <w:szCs w:val="20"/>
          <w:highlight w:val="none"/>
        </w:rPr>
        <w:t>。若</w:t>
      </w:r>
      <w:r>
        <w:rPr>
          <w:rFonts w:hint="eastAsia" w:ascii="Times New Roman" w:hAnsi="Times New Roman"/>
          <w:color w:val="auto"/>
          <w:szCs w:val="20"/>
          <w:highlight w:val="none"/>
          <w:lang w:eastAsia="zh-CN"/>
        </w:rPr>
        <w:t>响应人</w:t>
      </w:r>
      <w:r>
        <w:rPr>
          <w:rFonts w:ascii="Times New Roman" w:hAnsi="Times New Roman"/>
          <w:color w:val="auto"/>
          <w:szCs w:val="20"/>
          <w:highlight w:val="none"/>
        </w:rPr>
        <w:t>存在上述情况，</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将</w:t>
      </w:r>
      <w:r>
        <w:rPr>
          <w:rFonts w:ascii="Times New Roman" w:hAnsi="Times New Roman"/>
          <w:color w:val="auto"/>
          <w:szCs w:val="20"/>
          <w:highlight w:val="none"/>
        </w:rPr>
        <w:t>有权</w:t>
      </w:r>
      <w:r>
        <w:rPr>
          <w:rFonts w:hint="eastAsia" w:ascii="Times New Roman" w:hAnsi="Times New Roman"/>
          <w:color w:val="auto"/>
          <w:szCs w:val="20"/>
          <w:highlight w:val="none"/>
        </w:rPr>
        <w:t>随时</w:t>
      </w:r>
      <w:r>
        <w:rPr>
          <w:rFonts w:ascii="Times New Roman" w:hAnsi="Times New Roman"/>
          <w:color w:val="auto"/>
          <w:szCs w:val="20"/>
          <w:highlight w:val="none"/>
        </w:rPr>
        <w:t>取消其</w:t>
      </w:r>
      <w:r>
        <w:rPr>
          <w:rFonts w:hint="eastAsia" w:ascii="Times New Roman" w:hAnsi="Times New Roman"/>
          <w:color w:val="auto"/>
          <w:szCs w:val="20"/>
          <w:highlight w:val="none"/>
          <w:lang w:val="en-US" w:eastAsia="zh-CN"/>
        </w:rPr>
        <w:t>响应</w:t>
      </w:r>
      <w:r>
        <w:rPr>
          <w:rFonts w:ascii="Times New Roman" w:hAnsi="Times New Roman"/>
          <w:color w:val="auto"/>
          <w:szCs w:val="20"/>
          <w:highlight w:val="none"/>
        </w:rPr>
        <w:t>资格或</w:t>
      </w:r>
      <w:r>
        <w:rPr>
          <w:rFonts w:hint="eastAsia" w:ascii="Times New Roman" w:hAnsi="Times New Roman"/>
          <w:color w:val="auto"/>
          <w:szCs w:val="20"/>
          <w:highlight w:val="none"/>
          <w:lang w:eastAsia="zh-CN"/>
        </w:rPr>
        <w:t>成交</w:t>
      </w:r>
      <w:r>
        <w:rPr>
          <w:rFonts w:ascii="Times New Roman" w:hAnsi="Times New Roman"/>
          <w:color w:val="auto"/>
          <w:szCs w:val="20"/>
          <w:highlight w:val="none"/>
        </w:rPr>
        <w:t>资格（</w:t>
      </w:r>
      <w:r>
        <w:rPr>
          <w:rFonts w:hint="eastAsia" w:ascii="Times New Roman" w:hAnsi="Times New Roman"/>
          <w:color w:val="auto"/>
          <w:szCs w:val="20"/>
          <w:highlight w:val="none"/>
        </w:rPr>
        <w:t>若</w:t>
      </w:r>
      <w:r>
        <w:rPr>
          <w:rFonts w:ascii="Times New Roman" w:hAnsi="Times New Roman"/>
          <w:color w:val="auto"/>
          <w:szCs w:val="20"/>
          <w:highlight w:val="none"/>
        </w:rPr>
        <w:t>签署合同后发现的则有权解除合同）</w:t>
      </w:r>
      <w:r>
        <w:rPr>
          <w:rFonts w:hint="eastAsia" w:ascii="Times New Roman" w:hAnsi="Times New Roman"/>
          <w:color w:val="auto"/>
          <w:szCs w:val="20"/>
          <w:highlight w:val="none"/>
        </w:rPr>
        <w:t>，没收</w:t>
      </w:r>
      <w:r>
        <w:rPr>
          <w:rFonts w:ascii="Times New Roman" w:hAnsi="Times New Roman"/>
          <w:color w:val="auto"/>
          <w:szCs w:val="20"/>
          <w:highlight w:val="none"/>
        </w:rPr>
        <w:t>其</w:t>
      </w:r>
      <w:r>
        <w:rPr>
          <w:rFonts w:hint="eastAsia" w:ascii="Times New Roman" w:hAnsi="Times New Roman"/>
          <w:color w:val="auto"/>
          <w:szCs w:val="20"/>
          <w:highlight w:val="none"/>
          <w:lang w:eastAsia="zh-CN"/>
        </w:rPr>
        <w:t>响应保证金</w:t>
      </w:r>
      <w:r>
        <w:rPr>
          <w:rFonts w:ascii="Times New Roman" w:hAnsi="Times New Roman"/>
          <w:color w:val="auto"/>
          <w:szCs w:val="20"/>
          <w:highlight w:val="none"/>
        </w:rPr>
        <w:t>，并追究其相应的法律责任</w:t>
      </w:r>
      <w:r>
        <w:rPr>
          <w:rFonts w:hint="eastAsia" w:ascii="Times New Roman" w:hAnsi="Times New Roman"/>
          <w:color w:val="auto"/>
          <w:szCs w:val="20"/>
          <w:highlight w:val="none"/>
          <w:lang w:eastAsia="zh-CN"/>
        </w:rPr>
        <w:t>。</w:t>
      </w:r>
    </w:p>
    <w:p w14:paraId="78EBC9A1">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 xml:space="preserve">2.7 </w:t>
      </w:r>
      <w:r>
        <w:rPr>
          <w:rFonts w:ascii="Times New Roman" w:hAnsi="Times New Roman"/>
          <w:color w:val="auto"/>
          <w:szCs w:val="20"/>
          <w:highlight w:val="none"/>
          <w:lang w:val="en-US" w:eastAsia="zh-CN"/>
        </w:rPr>
        <w:t>基本资格条件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7881"/>
      </w:tblGrid>
      <w:tr w14:paraId="2D98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08BA8FE0">
            <w:pPr>
              <w:widowControl w:val="0"/>
              <w:pBdr>
                <w:top w:val="none" w:color="auto" w:sz="0" w:space="0"/>
                <w:left w:val="none" w:color="auto" w:sz="0" w:space="0"/>
                <w:bottom w:val="none" w:color="auto" w:sz="0" w:space="0"/>
                <w:right w:val="none" w:color="auto" w:sz="0" w:space="0"/>
              </w:pBdr>
              <w:autoSpaceDE w:val="0"/>
              <w:autoSpaceDN w:val="0"/>
              <w:spacing w:after="120" w:line="360" w:lineRule="auto"/>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序号</w:t>
            </w:r>
          </w:p>
        </w:tc>
        <w:tc>
          <w:tcPr>
            <w:tcW w:w="7881" w:type="dxa"/>
          </w:tcPr>
          <w:p w14:paraId="46122258">
            <w:pPr>
              <w:widowControl w:val="0"/>
              <w:pBdr>
                <w:top w:val="none" w:color="auto" w:sz="0" w:space="0"/>
                <w:left w:val="none" w:color="auto" w:sz="0" w:space="0"/>
                <w:bottom w:val="none" w:color="auto" w:sz="0" w:space="0"/>
                <w:right w:val="none" w:color="auto" w:sz="0" w:space="0"/>
              </w:pBdr>
              <w:autoSpaceDE w:val="0"/>
              <w:autoSpaceDN w:val="0"/>
              <w:spacing w:after="120" w:line="360" w:lineRule="auto"/>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基本资格条件要求</w:t>
            </w:r>
          </w:p>
        </w:tc>
      </w:tr>
      <w:tr w14:paraId="07EA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41" w:type="dxa"/>
            <w:vAlign w:val="center"/>
          </w:tcPr>
          <w:p w14:paraId="2DA6CB8D">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1</w:t>
            </w:r>
          </w:p>
        </w:tc>
        <w:tc>
          <w:tcPr>
            <w:tcW w:w="7881" w:type="dxa"/>
            <w:vAlign w:val="center"/>
          </w:tcPr>
          <w:p w14:paraId="7206FED9">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hint="eastAsia" w:ascii="Times New Roman" w:hAnsi="Times New Roman" w:eastAsia="宋体" w:cs="Cambria Math"/>
                <w:color w:val="auto"/>
                <w:kern w:val="2"/>
                <w:sz w:val="21"/>
                <w:szCs w:val="20"/>
                <w:highlight w:val="none"/>
                <w:lang w:val="en-US" w:eastAsia="zh-CN" w:bidi="ar-SA"/>
              </w:rPr>
              <w:t>律师事务所注册地在重庆。属于重庆本地律师事务所总所，或重庆本地律师事务所在本市设立的分所的，须</w:t>
            </w:r>
            <w:r>
              <w:rPr>
                <w:rFonts w:ascii="Times New Roman" w:hAnsi="Times New Roman" w:eastAsia="宋体" w:cs="Cambria Math"/>
                <w:color w:val="auto"/>
                <w:kern w:val="2"/>
                <w:sz w:val="21"/>
                <w:szCs w:val="20"/>
                <w:highlight w:val="none"/>
                <w:lang w:val="en-US" w:eastAsia="zh-CN" w:bidi="ar-SA"/>
              </w:rPr>
              <w:t>经批准成立并正常运行5年（含）以上</w:t>
            </w:r>
            <w:r>
              <w:rPr>
                <w:rFonts w:hint="eastAsia" w:ascii="Times New Roman" w:hAnsi="Times New Roman" w:eastAsia="宋体" w:cs="Cambria Math"/>
                <w:color w:val="auto"/>
                <w:kern w:val="2"/>
                <w:sz w:val="21"/>
                <w:szCs w:val="20"/>
                <w:highlight w:val="none"/>
                <w:lang w:val="en-US" w:eastAsia="zh-CN" w:bidi="ar-SA"/>
              </w:rPr>
              <w:t>；属于</w:t>
            </w:r>
            <w:r>
              <w:rPr>
                <w:rFonts w:ascii="Times New Roman" w:hAnsi="Times New Roman" w:eastAsia="宋体" w:cs="Cambria Math"/>
                <w:color w:val="auto"/>
                <w:kern w:val="2"/>
                <w:sz w:val="21"/>
                <w:szCs w:val="20"/>
                <w:highlight w:val="none"/>
                <w:lang w:val="en-US" w:eastAsia="zh-CN" w:bidi="ar-SA"/>
              </w:rPr>
              <w:t>全国综合性大所重庆分所的，</w:t>
            </w:r>
            <w:r>
              <w:rPr>
                <w:rFonts w:hint="eastAsia" w:ascii="Times New Roman" w:hAnsi="Times New Roman" w:eastAsia="宋体" w:cs="Cambria Math"/>
                <w:color w:val="auto"/>
                <w:kern w:val="2"/>
                <w:sz w:val="21"/>
                <w:szCs w:val="20"/>
                <w:highlight w:val="none"/>
                <w:lang w:val="en-US" w:eastAsia="zh-CN" w:bidi="ar-SA"/>
              </w:rPr>
              <w:t>须</w:t>
            </w:r>
            <w:r>
              <w:rPr>
                <w:rFonts w:ascii="Times New Roman" w:hAnsi="Times New Roman" w:eastAsia="宋体" w:cs="Cambria Math"/>
                <w:color w:val="auto"/>
                <w:kern w:val="2"/>
                <w:sz w:val="21"/>
                <w:szCs w:val="20"/>
                <w:highlight w:val="none"/>
                <w:lang w:val="en-US" w:eastAsia="zh-CN" w:bidi="ar-SA"/>
              </w:rPr>
              <w:t>成立并正常运行3年（含）以上（全国综合性大所应在全国10个及以上直辖市、省会城市设立分所）。</w:t>
            </w:r>
          </w:p>
          <w:p w14:paraId="609A63C0">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提供</w:t>
            </w:r>
            <w:r>
              <w:rPr>
                <w:rFonts w:hint="eastAsia" w:ascii="宋体" w:hAnsi="Times New Roman" w:eastAsia="宋体" w:cs="Lucida Sans"/>
                <w:color w:val="auto"/>
                <w:kern w:val="2"/>
                <w:sz w:val="21"/>
                <w:szCs w:val="21"/>
                <w:highlight w:val="none"/>
                <w:lang w:val="en-US" w:eastAsia="zh-CN" w:bidi="ar-SA"/>
              </w:rPr>
              <w:t>1.</w:t>
            </w:r>
            <w:r>
              <w:rPr>
                <w:rFonts w:ascii="宋体" w:hAnsi="Times New Roman" w:eastAsia="宋体" w:cs="Lucida Sans"/>
                <w:color w:val="auto"/>
                <w:kern w:val="2"/>
                <w:sz w:val="21"/>
                <w:szCs w:val="21"/>
                <w:highlight w:val="none"/>
                <w:lang w:val="en-US" w:eastAsia="zh-CN" w:bidi="ar-SA"/>
              </w:rPr>
              <w:t>律所执业许可证</w:t>
            </w:r>
            <w:r>
              <w:rPr>
                <w:rFonts w:hint="eastAsia" w:ascii="宋体" w:hAnsi="Times New Roman" w:eastAsia="宋体" w:cs="Lucida Sans"/>
                <w:color w:val="auto"/>
                <w:kern w:val="2"/>
                <w:sz w:val="21"/>
                <w:szCs w:val="21"/>
                <w:highlight w:val="none"/>
                <w:lang w:val="en-US" w:eastAsia="zh-CN" w:bidi="ar-SA"/>
              </w:rPr>
              <w:t>复印件2.</w:t>
            </w:r>
            <w:r>
              <w:rPr>
                <w:rFonts w:ascii="宋体" w:hAnsi="Times New Roman" w:eastAsia="宋体" w:cs="Lucida Sans"/>
                <w:color w:val="auto"/>
                <w:kern w:val="2"/>
                <w:sz w:val="21"/>
                <w:szCs w:val="21"/>
                <w:highlight w:val="none"/>
                <w:lang w:val="en-US" w:eastAsia="zh-CN" w:bidi="ar-SA"/>
              </w:rPr>
              <w:t>属于全国综合性大所重庆分所的</w:t>
            </w: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还需提供</w:t>
            </w:r>
            <w:r>
              <w:rPr>
                <w:rFonts w:hint="eastAsia" w:ascii="宋体" w:hAnsi="Times New Roman" w:eastAsia="宋体" w:cs="Lucida Sans"/>
                <w:color w:val="auto"/>
                <w:kern w:val="2"/>
                <w:sz w:val="21"/>
                <w:szCs w:val="21"/>
                <w:highlight w:val="none"/>
                <w:lang w:val="en-US" w:eastAsia="zh-CN" w:bidi="ar-SA"/>
              </w:rPr>
              <w:t>至少10个符合条件</w:t>
            </w:r>
            <w:r>
              <w:rPr>
                <w:rFonts w:ascii="宋体" w:hAnsi="Times New Roman" w:eastAsia="宋体" w:cs="Lucida Sans"/>
                <w:color w:val="auto"/>
                <w:kern w:val="2"/>
                <w:sz w:val="21"/>
                <w:szCs w:val="21"/>
                <w:highlight w:val="none"/>
                <w:lang w:val="en-US" w:eastAsia="zh-CN" w:bidi="ar-SA"/>
              </w:rPr>
              <w:t>的</w:t>
            </w:r>
            <w:r>
              <w:rPr>
                <w:rFonts w:hint="eastAsia" w:ascii="宋体" w:hAnsi="Times New Roman" w:eastAsia="宋体" w:cs="Lucida Sans"/>
                <w:color w:val="auto"/>
                <w:kern w:val="2"/>
                <w:sz w:val="21"/>
                <w:szCs w:val="21"/>
                <w:highlight w:val="none"/>
                <w:lang w:val="en-US" w:eastAsia="zh-CN" w:bidi="ar-SA"/>
              </w:rPr>
              <w:t>分所执业许可证复印件清单】</w:t>
            </w:r>
          </w:p>
        </w:tc>
      </w:tr>
      <w:tr w14:paraId="5E27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641" w:type="dxa"/>
            <w:vAlign w:val="center"/>
          </w:tcPr>
          <w:p w14:paraId="420BBBD3">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2</w:t>
            </w:r>
          </w:p>
        </w:tc>
        <w:tc>
          <w:tcPr>
            <w:tcW w:w="7881" w:type="dxa"/>
            <w:vAlign w:val="center"/>
          </w:tcPr>
          <w:p w14:paraId="6D2EB740">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专业专职律师不少于100人（含）。</w:t>
            </w:r>
          </w:p>
          <w:p w14:paraId="14B10F7B">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宋体" w:hAnsi="Times New Roman" w:eastAsia="宋体" w:cs="Lucida Sans"/>
                <w:color w:val="auto"/>
                <w:kern w:val="2"/>
                <w:sz w:val="21"/>
                <w:szCs w:val="21"/>
                <w:highlight w:val="none"/>
                <w:lang w:val="en-US" w:eastAsia="zh-CN" w:bidi="ar-SA"/>
              </w:rPr>
              <w:t>【提供1.查询结果截图</w:t>
            </w:r>
            <w:r>
              <w:rPr>
                <w:rFonts w:hint="eastAsia" w:ascii="宋体" w:hAnsi="Times New Roman" w:eastAsia="宋体" w:cs="Lucida Sans"/>
                <w:color w:val="auto"/>
                <w:kern w:val="2"/>
                <w:sz w:val="21"/>
                <w:szCs w:val="21"/>
                <w:highlight w:val="none"/>
                <w:lang w:val="en-US" w:eastAsia="zh-CN" w:bidi="ar-SA"/>
              </w:rPr>
              <w:t>（任选其一提供即可，数据需与在市司法局备案数据保持一致</w:t>
            </w:r>
            <w:r>
              <w:rPr>
                <w:rFonts w:hint="eastAsia" w:ascii="宋体" w:cs="Lucida Sans"/>
                <w:color w:val="auto"/>
                <w:kern w:val="2"/>
                <w:sz w:val="21"/>
                <w:szCs w:val="21"/>
                <w:highlight w:val="none"/>
                <w:lang w:val="en-US" w:eastAsia="zh-CN" w:bidi="ar-SA"/>
              </w:rPr>
              <w:t>，</w:t>
            </w:r>
            <w:r>
              <w:rPr>
                <w:rFonts w:hint="eastAsia" w:ascii="宋体" w:hAnsi="Times New Roman" w:eastAsia="宋体" w:cs="Lucida Sans"/>
                <w:color w:val="auto"/>
                <w:kern w:val="2"/>
                <w:sz w:val="21"/>
                <w:szCs w:val="21"/>
                <w:highlight w:val="none"/>
                <w:lang w:val="en-US" w:eastAsia="zh-CN" w:bidi="ar-SA"/>
              </w:rPr>
              <w:t>不要求提供</w:t>
            </w:r>
            <w:r>
              <w:rPr>
                <w:rFonts w:hint="eastAsia" w:ascii="宋体" w:cs="Lucida Sans"/>
                <w:color w:val="auto"/>
                <w:kern w:val="2"/>
                <w:sz w:val="21"/>
                <w:szCs w:val="21"/>
                <w:highlight w:val="none"/>
                <w:lang w:val="en-US" w:eastAsia="zh-CN" w:bidi="ar-SA"/>
              </w:rPr>
              <w:t>司</w:t>
            </w:r>
            <w:r>
              <w:rPr>
                <w:rFonts w:hint="eastAsia" w:ascii="宋体" w:hAnsi="Times New Roman" w:eastAsia="宋体" w:cs="Lucida Sans"/>
                <w:color w:val="auto"/>
                <w:kern w:val="2"/>
                <w:sz w:val="21"/>
                <w:szCs w:val="21"/>
                <w:highlight w:val="none"/>
                <w:lang w:val="en-US" w:eastAsia="zh-CN" w:bidi="ar-SA"/>
              </w:rPr>
              <w:t>法局出具的证明材料，</w:t>
            </w:r>
            <w:r>
              <w:rPr>
                <w:rFonts w:hint="eastAsia" w:ascii="宋体" w:cs="Lucida Sans"/>
                <w:color w:val="auto"/>
                <w:kern w:val="2"/>
                <w:sz w:val="21"/>
                <w:szCs w:val="21"/>
                <w:highlight w:val="none"/>
                <w:lang w:val="en-US" w:eastAsia="zh-CN" w:bidi="ar-SA"/>
              </w:rPr>
              <w:t>仅</w:t>
            </w:r>
            <w:r>
              <w:rPr>
                <w:rFonts w:hint="eastAsia" w:ascii="宋体" w:hAnsi="Times New Roman" w:eastAsia="宋体" w:cs="Lucida Sans"/>
                <w:color w:val="auto"/>
                <w:kern w:val="2"/>
                <w:sz w:val="21"/>
                <w:szCs w:val="21"/>
                <w:highlight w:val="none"/>
                <w:lang w:val="en-US" w:eastAsia="zh-CN" w:bidi="ar-SA"/>
              </w:rPr>
              <w:t>做事后核查依据）：</w:t>
            </w:r>
            <w:r>
              <w:rPr>
                <w:rFonts w:ascii="宋体" w:hAnsi="Times New Roman" w:eastAsia="宋体" w:cs="Lucida Sans"/>
                <w:color w:val="auto"/>
                <w:kern w:val="2"/>
                <w:sz w:val="21"/>
                <w:szCs w:val="21"/>
                <w:highlight w:val="none"/>
                <w:lang w:val="en-US" w:eastAsia="zh-CN" w:bidi="ar-SA"/>
              </w:rPr>
              <w:t>司法局备案、全国律师执业诚信信息公示平台</w:t>
            </w:r>
            <w:r>
              <w:rPr>
                <w:rFonts w:ascii="宋体" w:hAnsi="Times New Roman" w:eastAsia="宋体" w:cs="Lucida Sans"/>
                <w:color w:val="auto"/>
                <w:kern w:val="2"/>
                <w:sz w:val="21"/>
                <w:szCs w:val="21"/>
                <w:highlight w:val="none"/>
                <w:lang w:val="en-US" w:eastAsia="zh-CN" w:bidi="ar-SA"/>
              </w:rPr>
              <w:fldChar w:fldCharType="begin"/>
            </w:r>
            <w:r>
              <w:rPr>
                <w:rFonts w:ascii="Times New Roman" w:hAnsi="Times New Roman" w:eastAsia="宋体" w:cs="Cambria Math"/>
                <w:color w:val="auto"/>
                <w:kern w:val="2"/>
                <w:sz w:val="21"/>
                <w:szCs w:val="20"/>
                <w:highlight w:val="none"/>
                <w:lang w:val="en-US" w:eastAsia="zh-CN" w:bidi="ar-SA"/>
              </w:rPr>
              <w:instrText xml:space="preserve">HYPERLINK "https://credit.acla.org.cn"</w:instrText>
            </w:r>
            <w:r>
              <w:rPr>
                <w:rFonts w:ascii="宋体" w:hAnsi="Times New Roman" w:eastAsia="宋体" w:cs="Lucida Sans"/>
                <w:color w:val="auto"/>
                <w:kern w:val="2"/>
                <w:sz w:val="21"/>
                <w:szCs w:val="21"/>
                <w:highlight w:val="none"/>
                <w:lang w:val="en-US" w:eastAsia="zh-CN" w:bidi="ar-SA"/>
              </w:rPr>
              <w:fldChar w:fldCharType="separate"/>
            </w:r>
            <w:r>
              <w:rPr>
                <w:rFonts w:ascii="宋体" w:hAnsi="Times New Roman" w:eastAsia="宋体" w:cs="Lucida Sans"/>
                <w:color w:val="auto"/>
                <w:kern w:val="2"/>
                <w:sz w:val="21"/>
                <w:szCs w:val="21"/>
                <w:highlight w:val="none"/>
                <w:lang w:val="en-US" w:eastAsia="zh-CN" w:bidi="ar-SA"/>
              </w:rPr>
              <w:t>https://credit.acla.org.cn</w:t>
            </w:r>
            <w:r>
              <w:rPr>
                <w:rFonts w:ascii="宋体" w:hAnsi="Times New Roman" w:eastAsia="宋体" w:cs="Lucida Sans"/>
                <w:color w:val="auto"/>
                <w:kern w:val="2"/>
                <w:sz w:val="21"/>
                <w:szCs w:val="21"/>
                <w:highlight w:val="none"/>
                <w:lang w:val="en-US" w:eastAsia="zh-CN" w:bidi="ar-SA"/>
              </w:rPr>
              <w:fldChar w:fldCharType="end"/>
            </w:r>
            <w:r>
              <w:rPr>
                <w:rFonts w:hint="eastAsia" w:ascii="宋体" w:hAnsi="Times New Roman" w:eastAsia="宋体" w:cs="Lucida Sans"/>
                <w:color w:val="auto"/>
                <w:kern w:val="2"/>
                <w:sz w:val="21"/>
                <w:szCs w:val="21"/>
                <w:highlight w:val="none"/>
                <w:lang w:val="en-US" w:eastAsia="zh-CN" w:bidi="ar-SA"/>
              </w:rPr>
              <w:t>、中国法律服务网https://www.12348.gov.cn的律师人数查询结果截图</w:t>
            </w:r>
            <w:r>
              <w:rPr>
                <w:rFonts w:ascii="宋体" w:hAnsi="Times New Roman" w:eastAsia="宋体" w:cs="Lucida Sans"/>
                <w:color w:val="auto"/>
                <w:kern w:val="2"/>
                <w:sz w:val="21"/>
                <w:szCs w:val="21"/>
                <w:highlight w:val="none"/>
                <w:lang w:val="en-US" w:eastAsia="zh-CN" w:bidi="ar-SA"/>
              </w:rPr>
              <w:t>；2.</w:t>
            </w:r>
            <w:r>
              <w:rPr>
                <w:rFonts w:hint="eastAsia" w:ascii="宋体" w:hAnsi="Times New Roman" w:eastAsia="宋体" w:cs="Lucida Sans"/>
                <w:color w:val="auto"/>
                <w:kern w:val="2"/>
                <w:sz w:val="21"/>
                <w:szCs w:val="21"/>
                <w:highlight w:val="none"/>
                <w:lang w:val="en-US" w:eastAsia="zh-CN" w:bidi="ar-SA"/>
              </w:rPr>
              <w:t>对应不少于100名专职律师的近3个月（2026年1月-2026年3月）连续社保缴纳证明，参保单位须与律师事务所名称一致</w:t>
            </w:r>
            <w:r>
              <w:rPr>
                <w:rFonts w:hint="eastAsia" w:ascii="宋体" w:cs="Lucida Sans"/>
                <w:color w:val="auto"/>
                <w:kern w:val="2"/>
                <w:sz w:val="21"/>
                <w:szCs w:val="21"/>
                <w:highlight w:val="none"/>
                <w:lang w:val="en-US" w:eastAsia="zh-CN" w:bidi="ar-SA"/>
              </w:rPr>
              <w:t>，社保证明涉及身份证号的可打码。</w:t>
            </w:r>
            <w:r>
              <w:rPr>
                <w:rFonts w:ascii="宋体" w:hAnsi="Times New Roman" w:eastAsia="宋体" w:cs="Lucida Sans"/>
                <w:color w:val="auto"/>
                <w:kern w:val="2"/>
                <w:sz w:val="21"/>
                <w:szCs w:val="21"/>
                <w:highlight w:val="none"/>
                <w:lang w:val="en-US" w:eastAsia="zh-CN" w:bidi="ar-SA"/>
              </w:rPr>
              <w:t>】</w:t>
            </w:r>
          </w:p>
        </w:tc>
      </w:tr>
      <w:tr w14:paraId="58C7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B623484">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3</w:t>
            </w:r>
          </w:p>
        </w:tc>
        <w:tc>
          <w:tcPr>
            <w:tcW w:w="7881" w:type="dxa"/>
            <w:vAlign w:val="center"/>
          </w:tcPr>
          <w:p w14:paraId="600E5476">
            <w:pPr>
              <w:widowControl w:val="0"/>
              <w:pBdr>
                <w:top w:val="none" w:color="auto" w:sz="0" w:space="0"/>
                <w:left w:val="none" w:color="auto" w:sz="0" w:space="0"/>
                <w:bottom w:val="none" w:color="auto" w:sz="0" w:space="0"/>
                <w:right w:val="none" w:color="auto" w:sz="0" w:space="0"/>
              </w:pBdr>
              <w:autoSpaceDE w:val="0"/>
              <w:autoSpaceDN w:val="0"/>
              <w:spacing w:after="120" w:line="28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1.本项目团队应由团队负责人及坐班律师组成，其中，团队负责人需为执业10年及以上的专职律师且具有8年以上</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ascii="Times New Roman" w:hAnsi="Times New Roman" w:eastAsia="宋体" w:cs="Cambria Math"/>
                <w:color w:val="auto"/>
                <w:kern w:val="2"/>
                <w:sz w:val="21"/>
                <w:szCs w:val="20"/>
                <w:highlight w:val="none"/>
                <w:lang w:val="en-US" w:eastAsia="zh-CN" w:bidi="ar-SA"/>
              </w:rPr>
              <w:t>工作经历或服务经历（若为多人，</w:t>
            </w:r>
            <w:r>
              <w:rPr>
                <w:rFonts w:ascii="Times New Roman" w:hAnsi="Times New Roman" w:eastAsia="宋体" w:cs="Cambria Math"/>
                <w:b w:val="0"/>
                <w:bCs w:val="0"/>
                <w:color w:val="auto"/>
                <w:kern w:val="2"/>
                <w:sz w:val="21"/>
                <w:szCs w:val="20"/>
                <w:highlight w:val="none"/>
                <w:lang w:val="en-US" w:eastAsia="zh-CN" w:bidi="ar-SA"/>
              </w:rPr>
              <w:t>每人</w:t>
            </w:r>
            <w:r>
              <w:rPr>
                <w:rFonts w:ascii="Times New Roman" w:hAnsi="Times New Roman" w:eastAsia="宋体" w:cs="Cambria Math"/>
                <w:color w:val="auto"/>
                <w:kern w:val="2"/>
                <w:sz w:val="21"/>
                <w:szCs w:val="20"/>
                <w:highlight w:val="none"/>
                <w:lang w:val="en-US" w:eastAsia="zh-CN" w:bidi="ar-SA"/>
              </w:rPr>
              <w:t>均需达到前述条件）；坐班律师由7人</w:t>
            </w:r>
            <w:r>
              <w:rPr>
                <w:rFonts w:hint="eastAsia" w:ascii="Times New Roman" w:hAnsi="Times New Roman" w:eastAsia="宋体" w:cs="Cambria Math"/>
                <w:color w:val="auto"/>
                <w:kern w:val="2"/>
                <w:sz w:val="21"/>
                <w:szCs w:val="20"/>
                <w:highlight w:val="none"/>
                <w:lang w:val="en-US" w:eastAsia="zh-CN" w:bidi="ar-SA"/>
              </w:rPr>
              <w:t>（含）</w:t>
            </w:r>
            <w:r>
              <w:rPr>
                <w:rFonts w:ascii="Times New Roman" w:hAnsi="Times New Roman" w:eastAsia="宋体" w:cs="Cambria Math"/>
                <w:color w:val="auto"/>
                <w:kern w:val="2"/>
                <w:sz w:val="21"/>
                <w:szCs w:val="20"/>
                <w:highlight w:val="none"/>
                <w:lang w:val="en-US" w:eastAsia="zh-CN" w:bidi="ar-SA"/>
              </w:rPr>
              <w:t>以上组成，</w:t>
            </w:r>
            <w:r>
              <w:rPr>
                <w:rFonts w:ascii="Times New Roman" w:hAnsi="Times New Roman" w:eastAsia="宋体" w:cs="Cambria Math"/>
                <w:b w:val="0"/>
                <w:bCs w:val="0"/>
                <w:color w:val="auto"/>
                <w:kern w:val="2"/>
                <w:sz w:val="21"/>
                <w:szCs w:val="20"/>
                <w:highlight w:val="none"/>
                <w:lang w:val="en-US" w:eastAsia="zh-CN" w:bidi="ar-SA"/>
              </w:rPr>
              <w:t>均</w:t>
            </w:r>
            <w:r>
              <w:rPr>
                <w:rFonts w:ascii="Times New Roman" w:hAnsi="Times New Roman" w:eastAsia="宋体" w:cs="Cambria Math"/>
                <w:color w:val="auto"/>
                <w:kern w:val="2"/>
                <w:sz w:val="21"/>
                <w:szCs w:val="20"/>
                <w:highlight w:val="none"/>
                <w:lang w:val="en-US" w:eastAsia="zh-CN" w:bidi="ar-SA"/>
              </w:rPr>
              <w:t>需为执业</w:t>
            </w:r>
            <w:r>
              <w:rPr>
                <w:rFonts w:hint="eastAsia" w:ascii="Times New Roman" w:hAnsi="Times New Roman" w:eastAsia="宋体" w:cs="Cambria Math"/>
                <w:color w:val="auto"/>
                <w:kern w:val="2"/>
                <w:sz w:val="21"/>
                <w:szCs w:val="20"/>
                <w:highlight w:val="none"/>
                <w:lang w:val="en-US" w:eastAsia="zh-CN" w:bidi="ar-SA"/>
              </w:rPr>
              <w:t>3</w:t>
            </w:r>
            <w:r>
              <w:rPr>
                <w:rFonts w:ascii="Times New Roman" w:hAnsi="Times New Roman" w:eastAsia="宋体" w:cs="Cambria Math"/>
                <w:color w:val="auto"/>
                <w:kern w:val="2"/>
                <w:sz w:val="21"/>
                <w:szCs w:val="20"/>
                <w:highlight w:val="none"/>
                <w:lang w:val="en-US" w:eastAsia="zh-CN" w:bidi="ar-SA"/>
              </w:rPr>
              <w:t>年及以上的专职律师且具有</w:t>
            </w:r>
            <w:r>
              <w:rPr>
                <w:rFonts w:hint="eastAsia" w:ascii="Times New Roman" w:hAnsi="Times New Roman" w:eastAsia="宋体" w:cs="Cambria Math"/>
                <w:color w:val="auto"/>
                <w:kern w:val="2"/>
                <w:sz w:val="21"/>
                <w:szCs w:val="20"/>
                <w:highlight w:val="none"/>
                <w:lang w:val="en-US" w:eastAsia="zh-CN" w:bidi="ar-SA"/>
              </w:rPr>
              <w:t>2</w:t>
            </w:r>
            <w:r>
              <w:rPr>
                <w:rFonts w:ascii="Times New Roman" w:hAnsi="Times New Roman" w:eastAsia="宋体" w:cs="Cambria Math"/>
                <w:color w:val="auto"/>
                <w:kern w:val="2"/>
                <w:sz w:val="21"/>
                <w:szCs w:val="20"/>
                <w:highlight w:val="none"/>
                <w:lang w:val="en-US" w:eastAsia="zh-CN" w:bidi="ar-SA"/>
              </w:rPr>
              <w:t>年以上的</w:t>
            </w:r>
            <w:r>
              <w:rPr>
                <w:rFonts w:hint="eastAsia" w:ascii="Times New Roman" w:hAnsi="Times New Roman" w:eastAsia="宋体" w:cs="Cambria Math"/>
                <w:color w:val="auto"/>
                <w:kern w:val="2"/>
                <w:sz w:val="21"/>
                <w:szCs w:val="20"/>
                <w:highlight w:val="none"/>
                <w:lang w:val="en-US" w:eastAsia="zh-CN" w:bidi="ar-SA"/>
              </w:rPr>
              <w:t>涉及</w:t>
            </w:r>
            <w:r>
              <w:rPr>
                <w:rFonts w:ascii="Times New Roman" w:hAnsi="Times New Roman" w:eastAsia="宋体" w:cs="Cambria Math"/>
                <w:color w:val="auto"/>
                <w:kern w:val="2"/>
                <w:sz w:val="21"/>
                <w:szCs w:val="20"/>
                <w:highlight w:val="none"/>
                <w:lang w:val="en-US" w:eastAsia="zh-CN" w:bidi="ar-SA"/>
              </w:rPr>
              <w:t>金融业</w:t>
            </w:r>
            <w:r>
              <w:rPr>
                <w:rFonts w:hint="eastAsia" w:ascii="Times New Roman" w:hAnsi="Times New Roman" w:eastAsia="宋体" w:cs="Cambria Math"/>
                <w:color w:val="auto"/>
                <w:kern w:val="2"/>
                <w:sz w:val="21"/>
                <w:szCs w:val="20"/>
                <w:highlight w:val="none"/>
                <w:lang w:val="en-US" w:eastAsia="zh-CN" w:bidi="ar-SA"/>
              </w:rPr>
              <w:t>领域</w:t>
            </w:r>
            <w:r>
              <w:rPr>
                <w:rFonts w:ascii="Times New Roman" w:hAnsi="Times New Roman" w:eastAsia="宋体" w:cs="Cambria Math"/>
                <w:color w:val="auto"/>
                <w:kern w:val="2"/>
                <w:sz w:val="21"/>
                <w:szCs w:val="20"/>
                <w:highlight w:val="none"/>
                <w:lang w:val="en-US" w:eastAsia="zh-CN" w:bidi="ar-SA"/>
              </w:rPr>
              <w:t>工作经历或服务经历；</w:t>
            </w:r>
          </w:p>
          <w:p w14:paraId="692998C8">
            <w:pPr>
              <w:spacing w:beforeAutospacing="0" w:afterAutospacing="0" w:line="280" w:lineRule="exact"/>
              <w:ind w:firstLine="0" w:firstLineChars="0"/>
              <w:rPr>
                <w:rFonts w:hint="eastAsia" w:ascii="Times New Roman" w:hAnsi="Times New Roman"/>
                <w:color w:val="auto"/>
                <w:szCs w:val="20"/>
                <w:highlight w:val="none"/>
              </w:rPr>
            </w:pPr>
            <w:r>
              <w:rPr>
                <w:rFonts w:ascii="Times New Roman" w:hAnsi="Times New Roman"/>
                <w:color w:val="auto"/>
                <w:szCs w:val="20"/>
                <w:highlight w:val="none"/>
              </w:rPr>
              <w:t>2.项目服务团队应包含：金融、互联网金融、公司治理、劳动争议、知识产权、破产、房地产与建筑工程、涉外等专业领域的律师。</w:t>
            </w:r>
            <w:r>
              <w:rPr>
                <w:rFonts w:hint="eastAsia" w:ascii="Times New Roman" w:hAnsi="Times New Roman"/>
                <w:color w:val="auto"/>
                <w:szCs w:val="20"/>
                <w:highlight w:val="none"/>
                <w:lang w:val="en-US" w:eastAsia="zh-CN"/>
              </w:rPr>
              <w:t>响应</w:t>
            </w:r>
            <w:r>
              <w:rPr>
                <w:rFonts w:hint="eastAsia" w:ascii="Times New Roman" w:hAnsi="Times New Roman"/>
                <w:color w:val="auto"/>
                <w:szCs w:val="20"/>
                <w:highlight w:val="none"/>
              </w:rPr>
              <w:t>人应在团队简介中明确各成员对应专业领域及相关经验。</w:t>
            </w:r>
          </w:p>
          <w:p w14:paraId="24258B2C">
            <w:pPr>
              <w:spacing w:beforeAutospacing="0" w:afterAutospacing="0" w:line="280" w:lineRule="exact"/>
              <w:ind w:firstLine="0" w:firstLineChars="0"/>
              <w:rPr>
                <w:rFonts w:ascii="Times New Roman" w:hAnsi="Times New Roman"/>
                <w:color w:val="auto"/>
                <w:szCs w:val="20"/>
                <w:highlight w:val="none"/>
              </w:rPr>
            </w:pPr>
            <w:r>
              <w:rPr>
                <w:rFonts w:hint="eastAsia" w:ascii="Times New Roman" w:hAnsi="Times New Roman"/>
                <w:color w:val="auto"/>
                <w:szCs w:val="20"/>
                <w:highlight w:val="none"/>
              </w:rPr>
              <w:t>注：执业年限计算截止至本项目响应文件递交截止日。</w:t>
            </w:r>
          </w:p>
          <w:p w14:paraId="42C1B2D2">
            <w:pPr>
              <w:widowControl w:val="0"/>
              <w:pBdr>
                <w:top w:val="none" w:color="auto" w:sz="0" w:space="0"/>
                <w:left w:val="none" w:color="auto" w:sz="0" w:space="0"/>
                <w:bottom w:val="none" w:color="auto" w:sz="0" w:space="0"/>
                <w:right w:val="none" w:color="auto" w:sz="0" w:space="0"/>
              </w:pBdr>
              <w:autoSpaceDE w:val="0"/>
              <w:autoSpaceDN w:val="0"/>
              <w:spacing w:after="120" w:line="28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【提供</w:t>
            </w:r>
            <w:r>
              <w:rPr>
                <w:rFonts w:hint="eastAsia" w:ascii="Times New Roman" w:hAnsi="Times New Roman" w:eastAsia="宋体" w:cs="Cambria Math"/>
                <w:color w:val="auto"/>
                <w:kern w:val="2"/>
                <w:sz w:val="21"/>
                <w:szCs w:val="20"/>
                <w:highlight w:val="none"/>
                <w:lang w:val="en-US" w:eastAsia="zh-CN" w:bidi="ar-SA"/>
              </w:rPr>
              <w:t>1.</w:t>
            </w:r>
            <w:r>
              <w:rPr>
                <w:rFonts w:ascii="Times New Roman" w:hAnsi="Times New Roman" w:eastAsia="宋体" w:cs="Cambria Math"/>
                <w:color w:val="auto"/>
                <w:kern w:val="2"/>
                <w:sz w:val="21"/>
                <w:szCs w:val="20"/>
                <w:highlight w:val="none"/>
                <w:lang w:val="en-US" w:eastAsia="zh-CN" w:bidi="ar-SA"/>
              </w:rPr>
              <w:t>团队简介</w:t>
            </w:r>
            <w:r>
              <w:rPr>
                <w:rFonts w:hint="eastAsia" w:ascii="Times New Roman" w:hAnsi="Times New Roman" w:eastAsia="宋体" w:cs="Cambria Math"/>
                <w:color w:val="auto"/>
                <w:kern w:val="2"/>
                <w:sz w:val="21"/>
                <w:szCs w:val="20"/>
                <w:highlight w:val="none"/>
                <w:lang w:val="en-US" w:eastAsia="zh-CN" w:bidi="ar-SA"/>
              </w:rPr>
              <w:t>（格式自拟），并附各成员工作经历、履职证明、律师执业许可证等佐证材料；2.</w:t>
            </w:r>
            <w:r>
              <w:rPr>
                <w:rFonts w:ascii="Times New Roman" w:hAnsi="Times New Roman" w:eastAsia="宋体" w:cs="Cambria Math"/>
                <w:color w:val="auto"/>
                <w:kern w:val="2"/>
                <w:sz w:val="21"/>
                <w:szCs w:val="20"/>
                <w:highlight w:val="none"/>
                <w:lang w:val="en-US" w:eastAsia="zh-CN" w:bidi="ar-SA"/>
              </w:rPr>
              <w:t>相关专业领域服务经验或成功案例（</w:t>
            </w:r>
            <w:r>
              <w:rPr>
                <w:rFonts w:hint="eastAsia" w:ascii="Times New Roman" w:hAnsi="Times New Roman" w:eastAsia="宋体" w:cs="Cambria Math"/>
                <w:color w:val="auto"/>
                <w:kern w:val="2"/>
                <w:sz w:val="21"/>
                <w:szCs w:val="20"/>
                <w:highlight w:val="none"/>
                <w:lang w:val="en-US" w:eastAsia="zh-CN" w:bidi="ar-SA"/>
              </w:rPr>
              <w:t>证明材料可包括：委托代理合同、服务确认文件、法律顾问聘书、获奖证明、裁判文书等，</w:t>
            </w:r>
            <w:r>
              <w:rPr>
                <w:rFonts w:ascii="宋体" w:hAnsi="Times New Roman" w:eastAsia="宋体" w:cs="Lucida Sans"/>
                <w:color w:val="auto"/>
                <w:kern w:val="2"/>
                <w:sz w:val="21"/>
                <w:szCs w:val="21"/>
                <w:highlight w:val="none"/>
                <w:lang w:val="en-US" w:eastAsia="zh-CN" w:bidi="ar-SA"/>
              </w:rPr>
              <w:t>涉及隐私信息可打码</w:t>
            </w:r>
            <w:r>
              <w:rPr>
                <w:rFonts w:hint="eastAsia" w:ascii="宋体" w:hAnsi="Times New Roman" w:eastAsia="宋体" w:cs="Lucida Sans"/>
                <w:color w:val="auto"/>
                <w:kern w:val="2"/>
                <w:sz w:val="21"/>
                <w:szCs w:val="21"/>
                <w:highlight w:val="none"/>
                <w:lang w:val="en-US" w:eastAsia="zh-CN" w:bidi="ar-SA"/>
              </w:rPr>
              <w:t>。</w:t>
            </w:r>
            <w:r>
              <w:rPr>
                <w:rFonts w:ascii="宋体" w:hAnsi="Times New Roman" w:eastAsia="宋体" w:cs="Lucida Sans"/>
                <w:color w:val="auto"/>
                <w:kern w:val="2"/>
                <w:sz w:val="21"/>
                <w:szCs w:val="21"/>
                <w:highlight w:val="none"/>
                <w:lang w:val="en-US" w:eastAsia="zh-CN" w:bidi="ar-SA"/>
              </w:rPr>
              <w:t>）</w:t>
            </w:r>
            <w:r>
              <w:rPr>
                <w:rFonts w:ascii="Times New Roman" w:hAnsi="Times New Roman" w:eastAsia="宋体" w:cs="Cambria Math"/>
                <w:color w:val="auto"/>
                <w:kern w:val="2"/>
                <w:sz w:val="21"/>
                <w:szCs w:val="20"/>
                <w:highlight w:val="none"/>
                <w:lang w:val="en-US" w:eastAsia="zh-CN" w:bidi="ar-SA"/>
              </w:rPr>
              <w:t>】</w:t>
            </w:r>
          </w:p>
        </w:tc>
      </w:tr>
      <w:tr w14:paraId="1221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41" w:type="dxa"/>
            <w:vAlign w:val="center"/>
          </w:tcPr>
          <w:p w14:paraId="6C49F1C4">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4</w:t>
            </w:r>
          </w:p>
        </w:tc>
        <w:tc>
          <w:tcPr>
            <w:tcW w:w="7881" w:type="dxa"/>
            <w:vAlign w:val="center"/>
          </w:tcPr>
          <w:p w14:paraId="2ADBC1D6">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2025年</w:t>
            </w:r>
            <w:r>
              <w:rPr>
                <w:rFonts w:hint="eastAsia" w:ascii="Times New Roman" w:hAnsi="Times New Roman" w:eastAsia="宋体" w:cs="Cambria Math"/>
                <w:color w:val="auto"/>
                <w:kern w:val="2"/>
                <w:sz w:val="21"/>
                <w:szCs w:val="20"/>
                <w:highlight w:val="none"/>
                <w:lang w:val="en-US" w:eastAsia="zh-CN" w:bidi="ar-SA"/>
              </w:rPr>
              <w:t>度</w:t>
            </w:r>
            <w:r>
              <w:rPr>
                <w:rFonts w:ascii="Times New Roman" w:hAnsi="Times New Roman" w:eastAsia="宋体" w:cs="Cambria Math"/>
                <w:color w:val="auto"/>
                <w:kern w:val="2"/>
                <w:sz w:val="21"/>
                <w:szCs w:val="20"/>
                <w:highlight w:val="none"/>
                <w:lang w:val="en-US" w:eastAsia="zh-CN" w:bidi="ar-SA"/>
              </w:rPr>
              <w:t>律所</w:t>
            </w:r>
            <w:r>
              <w:rPr>
                <w:rFonts w:hint="eastAsia" w:ascii="Times New Roman" w:hAnsi="Times New Roman" w:eastAsia="宋体" w:cs="Cambria Math"/>
                <w:color w:val="auto"/>
                <w:kern w:val="2"/>
                <w:sz w:val="21"/>
                <w:szCs w:val="20"/>
                <w:highlight w:val="none"/>
                <w:lang w:val="en-US" w:eastAsia="zh-CN" w:bidi="ar-SA"/>
              </w:rPr>
              <w:t>创收</w:t>
            </w:r>
            <w:r>
              <w:rPr>
                <w:rFonts w:ascii="Times New Roman" w:hAnsi="Times New Roman" w:eastAsia="宋体" w:cs="Cambria Math"/>
                <w:color w:val="auto"/>
                <w:kern w:val="2"/>
                <w:sz w:val="21"/>
                <w:szCs w:val="20"/>
                <w:highlight w:val="none"/>
                <w:lang w:val="en-US" w:eastAsia="zh-CN" w:bidi="ar-SA"/>
              </w:rPr>
              <w:t>不低于5000万元。【提供</w:t>
            </w:r>
            <w:r>
              <w:rPr>
                <w:rFonts w:hint="eastAsia" w:ascii="宋体" w:hAnsi="Times New Roman" w:eastAsia="宋体" w:cs="Lucida Sans"/>
                <w:color w:val="auto"/>
                <w:kern w:val="2"/>
                <w:sz w:val="21"/>
                <w:szCs w:val="21"/>
                <w:highlight w:val="none"/>
                <w:lang w:val="en-US" w:eastAsia="zh-CN" w:bidi="ar-SA"/>
              </w:rPr>
              <w:t>2025年度财务审计报告等能证明创收的资料</w:t>
            </w:r>
            <w:r>
              <w:rPr>
                <w:rFonts w:hint="eastAsia" w:ascii="宋体" w:cs="Lucida Sans"/>
                <w:color w:val="auto"/>
                <w:kern w:val="2"/>
                <w:sz w:val="21"/>
                <w:szCs w:val="21"/>
                <w:highlight w:val="none"/>
                <w:lang w:val="en-US" w:eastAsia="zh-CN" w:bidi="ar-SA"/>
              </w:rPr>
              <w:t>，</w:t>
            </w:r>
            <w:r>
              <w:rPr>
                <w:rFonts w:hint="eastAsia" w:ascii="宋体" w:hAnsi="Times New Roman" w:eastAsia="宋体" w:cs="Lucida Sans"/>
                <w:color w:val="auto"/>
                <w:kern w:val="2"/>
                <w:sz w:val="21"/>
                <w:szCs w:val="21"/>
                <w:highlight w:val="none"/>
                <w:lang w:val="en-US" w:eastAsia="zh-CN" w:bidi="ar-SA"/>
              </w:rPr>
              <w:t>无法提供财务</w:t>
            </w:r>
            <w:r>
              <w:rPr>
                <w:rFonts w:hint="eastAsia" w:ascii="宋体" w:cs="Lucida Sans"/>
                <w:color w:val="auto"/>
                <w:kern w:val="2"/>
                <w:sz w:val="21"/>
                <w:szCs w:val="21"/>
                <w:highlight w:val="none"/>
                <w:lang w:val="en-US" w:eastAsia="zh-CN" w:bidi="ar-SA"/>
              </w:rPr>
              <w:t>审</w:t>
            </w:r>
            <w:r>
              <w:rPr>
                <w:rFonts w:hint="eastAsia" w:ascii="宋体" w:hAnsi="Times New Roman" w:eastAsia="宋体" w:cs="Lucida Sans"/>
                <w:color w:val="auto"/>
                <w:kern w:val="2"/>
                <w:sz w:val="21"/>
                <w:szCs w:val="21"/>
                <w:highlight w:val="none"/>
                <w:lang w:val="en-US" w:eastAsia="zh-CN" w:bidi="ar-SA"/>
              </w:rPr>
              <w:t>计报告的，可提供</w:t>
            </w:r>
            <w:r>
              <w:rPr>
                <w:rFonts w:hint="eastAsia" w:ascii="宋体" w:cs="Lucida Sans"/>
                <w:color w:val="auto"/>
                <w:kern w:val="2"/>
                <w:sz w:val="21"/>
                <w:szCs w:val="21"/>
                <w:highlight w:val="none"/>
                <w:lang w:val="en-US" w:eastAsia="zh-CN" w:bidi="ar-SA"/>
              </w:rPr>
              <w:t>其</w:t>
            </w:r>
            <w:r>
              <w:rPr>
                <w:rFonts w:hint="eastAsia" w:ascii="宋体" w:hAnsi="Times New Roman" w:eastAsia="宋体" w:cs="Lucida Sans"/>
                <w:color w:val="auto"/>
                <w:kern w:val="2"/>
                <w:sz w:val="21"/>
                <w:szCs w:val="21"/>
                <w:highlight w:val="none"/>
                <w:lang w:val="en-US" w:eastAsia="zh-CN" w:bidi="ar-SA"/>
              </w:rPr>
              <w:t>他相关佐证材料（数据需与在市司法局备案数据保持一致</w:t>
            </w:r>
            <w:r>
              <w:rPr>
                <w:rFonts w:hint="eastAsia" w:ascii="宋体" w:cs="Lucida Sans"/>
                <w:color w:val="auto"/>
                <w:kern w:val="2"/>
                <w:sz w:val="21"/>
                <w:szCs w:val="21"/>
                <w:highlight w:val="none"/>
                <w:lang w:val="en-US" w:eastAsia="zh-CN" w:bidi="ar-SA"/>
              </w:rPr>
              <w:t>，</w:t>
            </w:r>
            <w:r>
              <w:rPr>
                <w:rFonts w:hint="eastAsia" w:ascii="宋体" w:hAnsi="Times New Roman" w:eastAsia="宋体" w:cs="Lucida Sans"/>
                <w:color w:val="auto"/>
                <w:kern w:val="2"/>
                <w:sz w:val="21"/>
                <w:szCs w:val="21"/>
                <w:highlight w:val="none"/>
                <w:lang w:val="en-US" w:eastAsia="zh-CN" w:bidi="ar-SA"/>
              </w:rPr>
              <w:t>不要求提供</w:t>
            </w:r>
            <w:r>
              <w:rPr>
                <w:rFonts w:hint="eastAsia" w:ascii="宋体" w:cs="Lucida Sans"/>
                <w:color w:val="auto"/>
                <w:kern w:val="2"/>
                <w:sz w:val="21"/>
                <w:szCs w:val="21"/>
                <w:highlight w:val="none"/>
                <w:lang w:val="en-US" w:eastAsia="zh-CN" w:bidi="ar-SA"/>
              </w:rPr>
              <w:t>司</w:t>
            </w:r>
            <w:r>
              <w:rPr>
                <w:rFonts w:hint="eastAsia" w:ascii="宋体" w:hAnsi="Times New Roman" w:eastAsia="宋体" w:cs="Lucida Sans"/>
                <w:color w:val="auto"/>
                <w:kern w:val="2"/>
                <w:sz w:val="21"/>
                <w:szCs w:val="21"/>
                <w:highlight w:val="none"/>
                <w:lang w:val="en-US" w:eastAsia="zh-CN" w:bidi="ar-SA"/>
              </w:rPr>
              <w:t>法局出具的证明材料，</w:t>
            </w:r>
            <w:r>
              <w:rPr>
                <w:rFonts w:hint="eastAsia" w:ascii="宋体" w:cs="Lucida Sans"/>
                <w:color w:val="auto"/>
                <w:kern w:val="2"/>
                <w:sz w:val="21"/>
                <w:szCs w:val="21"/>
                <w:highlight w:val="none"/>
                <w:lang w:val="en-US" w:eastAsia="zh-CN" w:bidi="ar-SA"/>
              </w:rPr>
              <w:t>仅</w:t>
            </w:r>
            <w:r>
              <w:rPr>
                <w:rFonts w:hint="eastAsia" w:ascii="宋体" w:hAnsi="Times New Roman" w:eastAsia="宋体" w:cs="Lucida Sans"/>
                <w:color w:val="auto"/>
                <w:kern w:val="2"/>
                <w:sz w:val="21"/>
                <w:szCs w:val="21"/>
                <w:highlight w:val="none"/>
                <w:lang w:val="en-US" w:eastAsia="zh-CN" w:bidi="ar-SA"/>
              </w:rPr>
              <w:t>做事后核查依据）</w:t>
            </w:r>
            <w:r>
              <w:rPr>
                <w:rFonts w:ascii="Times New Roman" w:hAnsi="Times New Roman" w:eastAsia="宋体" w:cs="Cambria Math"/>
                <w:color w:val="auto"/>
                <w:kern w:val="2"/>
                <w:sz w:val="21"/>
                <w:szCs w:val="20"/>
                <w:highlight w:val="none"/>
                <w:lang w:val="en-US" w:eastAsia="zh-CN" w:bidi="ar-SA"/>
              </w:rPr>
              <w:t>】</w:t>
            </w:r>
          </w:p>
        </w:tc>
      </w:tr>
      <w:tr w14:paraId="2D41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1" w:type="dxa"/>
            <w:vAlign w:val="center"/>
          </w:tcPr>
          <w:p w14:paraId="6EFBB50F">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center"/>
              <w:rPr>
                <w:rFonts w:ascii="Times New Roman" w:hAnsi="Times New Roman" w:eastAsia="宋体" w:cs="Cambria Math"/>
                <w:color w:val="auto"/>
                <w:kern w:val="2"/>
                <w:sz w:val="21"/>
                <w:szCs w:val="20"/>
                <w:highlight w:val="none"/>
                <w:lang w:val="en-US" w:eastAsia="zh-CN" w:bidi="ar-SA"/>
              </w:rPr>
            </w:pPr>
            <w:r>
              <w:rPr>
                <w:rFonts w:ascii="Times New Roman" w:hAnsi="Times New Roman" w:eastAsia="宋体" w:cs="Cambria Math"/>
                <w:color w:val="auto"/>
                <w:kern w:val="2"/>
                <w:sz w:val="21"/>
                <w:szCs w:val="20"/>
                <w:highlight w:val="none"/>
                <w:lang w:val="en-US" w:eastAsia="zh-CN" w:bidi="ar-SA"/>
              </w:rPr>
              <w:t>5</w:t>
            </w:r>
          </w:p>
        </w:tc>
        <w:tc>
          <w:tcPr>
            <w:tcW w:w="7881" w:type="dxa"/>
            <w:vAlign w:val="center"/>
          </w:tcPr>
          <w:p w14:paraId="254AC879">
            <w:pPr>
              <w:widowControl w:val="0"/>
              <w:pBdr>
                <w:top w:val="none" w:color="auto" w:sz="0" w:space="0"/>
                <w:left w:val="none" w:color="auto" w:sz="0" w:space="0"/>
                <w:bottom w:val="none" w:color="auto" w:sz="0" w:space="0"/>
                <w:right w:val="none" w:color="auto" w:sz="0" w:space="0"/>
              </w:pBdr>
              <w:autoSpaceDE w:val="0"/>
              <w:autoSpaceDN w:val="0"/>
              <w:spacing w:beforeAutospacing="0" w:after="120" w:afterAutospacing="0" w:line="240" w:lineRule="exact"/>
              <w:ind w:firstLine="0" w:firstLineChars="0"/>
              <w:jc w:val="both"/>
              <w:rPr>
                <w:rFonts w:ascii="Times New Roman" w:hAnsi="Times New Roman" w:eastAsia="宋体" w:cs="Cambria Math"/>
                <w:color w:val="auto"/>
                <w:kern w:val="2"/>
                <w:sz w:val="21"/>
                <w:szCs w:val="20"/>
                <w:highlight w:val="none"/>
                <w:lang w:val="en-US" w:eastAsia="zh-CN" w:bidi="ar-SA"/>
              </w:rPr>
            </w:pPr>
            <w:r>
              <w:rPr>
                <w:rFonts w:ascii="宋体" w:hAnsi="Times New Roman" w:eastAsia="宋体" w:cs="Lucida Sans"/>
                <w:color w:val="auto"/>
                <w:kern w:val="2"/>
                <w:sz w:val="21"/>
                <w:szCs w:val="21"/>
                <w:highlight w:val="none"/>
                <w:lang w:val="en-US" w:eastAsia="zh-CN" w:bidi="ar-SA"/>
              </w:rPr>
              <w:t>截至响应</w:t>
            </w:r>
            <w:r>
              <w:rPr>
                <w:rFonts w:hint="eastAsia" w:ascii="宋体" w:hAnsi="Times New Roman" w:eastAsia="宋体" w:cs="Lucida Sans"/>
                <w:color w:val="auto"/>
                <w:kern w:val="2"/>
                <w:sz w:val="21"/>
                <w:szCs w:val="21"/>
                <w:highlight w:val="none"/>
                <w:lang w:val="en-US" w:eastAsia="zh-CN" w:bidi="ar-SA"/>
              </w:rPr>
              <w:t>截止</w:t>
            </w:r>
            <w:r>
              <w:rPr>
                <w:rFonts w:ascii="宋体" w:hAnsi="Times New Roman" w:eastAsia="宋体" w:cs="Lucida Sans"/>
                <w:color w:val="auto"/>
                <w:kern w:val="2"/>
                <w:sz w:val="21"/>
                <w:szCs w:val="21"/>
                <w:highlight w:val="none"/>
                <w:lang w:val="en-US" w:eastAsia="zh-CN" w:bidi="ar-SA"/>
              </w:rPr>
              <w:t>日，正在为其他方提供的法律服务事项与本行无利益冲突【提供</w:t>
            </w:r>
            <w:r>
              <w:rPr>
                <w:rFonts w:hint="eastAsia" w:ascii="宋体" w:hAnsi="Times New Roman" w:eastAsia="宋体" w:cs="Lucida Sans"/>
                <w:color w:val="auto"/>
                <w:kern w:val="2"/>
                <w:sz w:val="21"/>
                <w:szCs w:val="21"/>
                <w:highlight w:val="none"/>
                <w:lang w:val="en-US" w:eastAsia="zh-CN" w:bidi="ar-SA"/>
              </w:rPr>
              <w:t>利益冲突承诺函</w:t>
            </w:r>
            <w:r>
              <w:rPr>
                <w:rFonts w:ascii="宋体" w:hAnsi="Times New Roman" w:eastAsia="宋体" w:cs="Lucida Sans"/>
                <w:color w:val="auto"/>
                <w:kern w:val="2"/>
                <w:sz w:val="21"/>
                <w:szCs w:val="21"/>
                <w:highlight w:val="none"/>
                <w:lang w:val="en-US" w:eastAsia="zh-CN" w:bidi="ar-SA"/>
              </w:rPr>
              <w:t>】</w:t>
            </w:r>
          </w:p>
        </w:tc>
      </w:tr>
    </w:tbl>
    <w:p w14:paraId="463D2ED9">
      <w:pPr>
        <w:widowControl w:val="0"/>
        <w:autoSpaceDE w:val="0"/>
        <w:autoSpaceDN w:val="0"/>
        <w:spacing w:after="120" w:line="360" w:lineRule="auto"/>
        <w:ind w:left="0" w:firstLine="422" w:firstLineChars="200"/>
        <w:jc w:val="both"/>
        <w:rPr>
          <w:rFonts w:ascii="Times New Roman" w:hAnsi="Times New Roman" w:eastAsia="宋体" w:cs="Cambria Math"/>
          <w:b/>
          <w:bCs/>
          <w:color w:val="auto"/>
          <w:kern w:val="2"/>
          <w:sz w:val="21"/>
          <w:szCs w:val="20"/>
          <w:highlight w:val="none"/>
          <w:lang w:val="en-US" w:eastAsia="zh-CN" w:bidi="ar-SA"/>
        </w:rPr>
      </w:pPr>
      <w:r>
        <w:rPr>
          <w:rFonts w:ascii="Times New Roman" w:hAnsi="Times New Roman" w:eastAsia="宋体" w:cs="Cambria Math"/>
          <w:b/>
          <w:bCs/>
          <w:color w:val="auto"/>
          <w:kern w:val="2"/>
          <w:sz w:val="21"/>
          <w:szCs w:val="21"/>
          <w:highlight w:val="none"/>
          <w:lang w:val="en-US" w:eastAsia="zh-CN" w:bidi="ar-SA"/>
        </w:rPr>
        <w:t>重点提示：</w:t>
      </w:r>
      <w:r>
        <w:rPr>
          <w:rFonts w:hint="eastAsia" w:ascii="宋体" w:hAnsi="Times New Roman" w:eastAsia="宋体" w:cs="Cambria Math"/>
          <w:b/>
          <w:bCs/>
          <w:snapToGrid w:val="0"/>
          <w:color w:val="auto"/>
          <w:kern w:val="0"/>
          <w:sz w:val="21"/>
          <w:szCs w:val="21"/>
          <w:highlight w:val="none"/>
          <w:lang w:val="en-US" w:eastAsia="zh-CN" w:bidi="ar-SA"/>
        </w:rPr>
        <w:t>各响应人评审指标均须以响应人本所自身数据为准，不得包含其他总所、分所及关联机构数据。</w:t>
      </w:r>
    </w:p>
    <w:p w14:paraId="619365B9">
      <w:pPr>
        <w:ind w:firstLine="1044"/>
        <w:rPr>
          <w:rFonts w:hint="eastAsia" w:ascii="Times New Roman" w:hAnsi="Times New Roman"/>
          <w:color w:val="auto"/>
          <w:szCs w:val="20"/>
          <w:highlight w:val="none"/>
        </w:rPr>
      </w:pPr>
      <w:r>
        <w:rPr>
          <w:rFonts w:hint="eastAsia" w:ascii="Times New Roman" w:hAnsi="Times New Roman"/>
          <w:color w:val="auto"/>
          <w:szCs w:val="20"/>
          <w:highlight w:val="none"/>
        </w:rPr>
        <w:t>注:以上证明文件若</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存疑，</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需提供原件备查，</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中须附相关证明文件复印件并逐页加盖公章。</w:t>
      </w:r>
      <w:r>
        <w:rPr>
          <w:rFonts w:hint="eastAsia" w:ascii="Times New Roman" w:hAnsi="Times New Roman"/>
          <w:color w:val="auto"/>
          <w:szCs w:val="20"/>
          <w:highlight w:val="none"/>
          <w:lang w:val="en-US" w:eastAsia="zh-CN"/>
        </w:rPr>
        <w:t>项目如为多标段，</w:t>
      </w:r>
      <w:r>
        <w:rPr>
          <w:rFonts w:hint="eastAsia" w:ascii="Times New Roman" w:hAnsi="Times New Roman"/>
          <w:color w:val="auto"/>
          <w:szCs w:val="20"/>
          <w:highlight w:val="none"/>
          <w:lang w:eastAsia="zh-CN"/>
        </w:rPr>
        <w:t>询比</w:t>
      </w:r>
      <w:r>
        <w:rPr>
          <w:rFonts w:hint="eastAsia" w:ascii="Times New Roman" w:hAnsi="Times New Roman"/>
          <w:color w:val="auto"/>
          <w:szCs w:val="20"/>
          <w:highlight w:val="none"/>
        </w:rPr>
        <w:t>文件中未按标段分别表述的要求、规则、评审办法等内容，均视为适用于所有</w:t>
      </w:r>
      <w:r>
        <w:rPr>
          <w:rFonts w:ascii="Times New Roman" w:hAnsi="Times New Roman"/>
          <w:color w:val="auto"/>
          <w:szCs w:val="20"/>
          <w:highlight w:val="none"/>
        </w:rPr>
        <w:t>标段</w:t>
      </w:r>
      <w:r>
        <w:rPr>
          <w:rFonts w:hint="eastAsia" w:ascii="Times New Roman" w:hAnsi="Times New Roman"/>
          <w:color w:val="auto"/>
          <w:szCs w:val="20"/>
          <w:highlight w:val="none"/>
        </w:rPr>
        <w:t>。</w:t>
      </w:r>
    </w:p>
    <w:bookmarkEnd w:id="11"/>
    <w:p w14:paraId="333D15A6">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2" w:name="_Toc55379220"/>
      <w:bookmarkStart w:id="13" w:name="_Toc297817090"/>
      <w:bookmarkStart w:id="14" w:name="_Toc89675130"/>
      <w:bookmarkStart w:id="15" w:name="_Toc469574667"/>
      <w:r>
        <w:rPr>
          <w:rFonts w:hint="eastAsia" w:ascii="Times New Roman" w:hAnsi="Times New Roman" w:eastAsia="宋体" w:cs="Times New Roman"/>
          <w:b/>
          <w:bCs/>
          <w:snapToGrid w:val="0"/>
          <w:color w:val="auto"/>
          <w:kern w:val="2"/>
          <w:sz w:val="21"/>
          <w:szCs w:val="24"/>
          <w:highlight w:val="none"/>
          <w:lang w:val="en-US" w:eastAsia="zh-CN" w:bidi="ar-SA"/>
        </w:rPr>
        <w:t>3. 询比文件的获取</w:t>
      </w:r>
      <w:bookmarkEnd w:id="12"/>
    </w:p>
    <w:p w14:paraId="296E48F4">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3.1 响应截止时间：</w:t>
      </w:r>
      <w:r>
        <w:rPr>
          <w:rFonts w:hint="eastAsia" w:ascii="Times New Roman" w:hAnsi="Times New Roman"/>
          <w:color w:val="auto"/>
          <w:szCs w:val="20"/>
          <w:highlight w:val="none"/>
          <w:u w:val="single"/>
          <w:lang w:val="en-US" w:eastAsia="zh-CN"/>
        </w:rPr>
        <w:t>2026</w:t>
      </w:r>
      <w:r>
        <w:rPr>
          <w:rFonts w:hint="eastAsia" w:ascii="Times New Roman" w:hAnsi="Times New Roman"/>
          <w:color w:val="auto"/>
          <w:szCs w:val="20"/>
          <w:highlight w:val="none"/>
        </w:rPr>
        <w:t>年</w:t>
      </w:r>
      <w:r>
        <w:rPr>
          <w:rFonts w:hint="eastAsia"/>
          <w:color w:val="auto"/>
          <w:szCs w:val="20"/>
          <w:highlight w:val="none"/>
          <w:u w:val="single"/>
          <w:lang w:val="en-US" w:eastAsia="zh-CN"/>
        </w:rPr>
        <w:t>6</w:t>
      </w:r>
      <w:r>
        <w:rPr>
          <w:rFonts w:hint="eastAsia" w:ascii="Times New Roman" w:hAnsi="Times New Roman"/>
          <w:color w:val="auto"/>
          <w:szCs w:val="20"/>
          <w:highlight w:val="none"/>
        </w:rPr>
        <w:t>月</w:t>
      </w:r>
      <w:r>
        <w:rPr>
          <w:rFonts w:hint="eastAsia"/>
          <w:color w:val="auto"/>
          <w:szCs w:val="20"/>
          <w:highlight w:val="none"/>
          <w:u w:val="single"/>
          <w:lang w:val="en-US" w:eastAsia="zh-CN"/>
        </w:rPr>
        <w:t>18</w:t>
      </w:r>
      <w:r>
        <w:rPr>
          <w:rFonts w:hint="eastAsia" w:ascii="Times New Roman" w:hAnsi="Times New Roman"/>
          <w:color w:val="auto"/>
          <w:szCs w:val="20"/>
          <w:highlight w:val="none"/>
        </w:rPr>
        <w:t>日</w:t>
      </w:r>
      <w:r>
        <w:rPr>
          <w:rFonts w:hint="eastAsia" w:ascii="Times New Roman" w:hAnsi="Times New Roman"/>
          <w:color w:val="auto"/>
          <w:szCs w:val="20"/>
          <w:highlight w:val="none"/>
          <w:u w:val="single"/>
          <w:lang w:val="en-US" w:eastAsia="zh-CN"/>
        </w:rPr>
        <w:t>9</w:t>
      </w:r>
      <w:r>
        <w:rPr>
          <w:rFonts w:hint="eastAsia" w:ascii="Times New Roman" w:hAnsi="Times New Roman"/>
          <w:color w:val="auto"/>
          <w:szCs w:val="20"/>
          <w:highlight w:val="none"/>
        </w:rPr>
        <w:t>时</w:t>
      </w:r>
      <w:r>
        <w:rPr>
          <w:rFonts w:hint="eastAsia" w:ascii="Times New Roman" w:hAnsi="Times New Roman"/>
          <w:color w:val="auto"/>
          <w:szCs w:val="20"/>
          <w:highlight w:val="none"/>
          <w:u w:val="single"/>
          <w:lang w:val="en-US" w:eastAsia="zh-CN"/>
        </w:rPr>
        <w:t>30</w:t>
      </w:r>
      <w:r>
        <w:rPr>
          <w:rFonts w:hint="eastAsia" w:ascii="Times New Roman" w:hAnsi="Times New Roman"/>
          <w:color w:val="auto"/>
          <w:szCs w:val="20"/>
          <w:highlight w:val="none"/>
        </w:rPr>
        <w:t>分（北京时间）</w:t>
      </w:r>
    </w:p>
    <w:p w14:paraId="33599DDB">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3.2 </w:t>
      </w:r>
      <w:r>
        <w:rPr>
          <w:rFonts w:hint="eastAsia" w:ascii="Times New Roman" w:hAnsi="Times New Roman"/>
          <w:color w:val="auto"/>
          <w:szCs w:val="20"/>
          <w:highlight w:val="none"/>
        </w:rPr>
        <w:t>获取时间和方式：</w:t>
      </w:r>
      <w:r>
        <w:rPr>
          <w:rFonts w:hint="eastAsia" w:ascii="Times New Roman" w:hAnsi="Times New Roman"/>
          <w:color w:val="auto"/>
          <w:szCs w:val="20"/>
          <w:highlight w:val="none"/>
          <w:lang w:val="en-US" w:eastAsia="zh-CN"/>
        </w:rPr>
        <w:t>响应截止时间前</w:t>
      </w:r>
      <w:r>
        <w:rPr>
          <w:rFonts w:hint="eastAsia" w:ascii="Times New Roman" w:hAnsi="Times New Roman"/>
          <w:color w:val="auto"/>
          <w:szCs w:val="20"/>
          <w:highlight w:val="none"/>
        </w:rPr>
        <w:t>，在重庆市公共资源交易网（www.cqggzy.com）下载</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w:t>
      </w:r>
    </w:p>
    <w:p w14:paraId="649D8122">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4. 提问</w:t>
      </w:r>
    </w:p>
    <w:p w14:paraId="4A3AA419">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4.1 提问截止时间：2026</w:t>
      </w:r>
      <w:r>
        <w:rPr>
          <w:rFonts w:hint="eastAsia" w:ascii="Times New Roman" w:hAnsi="Times New Roman"/>
          <w:color w:val="auto"/>
          <w:szCs w:val="20"/>
          <w:highlight w:val="none"/>
        </w:rPr>
        <w:t>年</w:t>
      </w:r>
      <w:r>
        <w:rPr>
          <w:rFonts w:hint="eastAsia"/>
          <w:color w:val="auto"/>
          <w:szCs w:val="20"/>
          <w:highlight w:val="none"/>
          <w:lang w:val="en-US" w:eastAsia="zh-CN"/>
        </w:rPr>
        <w:t>6</w:t>
      </w:r>
      <w:r>
        <w:rPr>
          <w:rFonts w:hint="eastAsia" w:ascii="Times New Roman" w:hAnsi="Times New Roman"/>
          <w:color w:val="auto"/>
          <w:szCs w:val="20"/>
          <w:highlight w:val="none"/>
        </w:rPr>
        <w:t>月</w:t>
      </w:r>
      <w:r>
        <w:rPr>
          <w:rFonts w:hint="eastAsia"/>
          <w:color w:val="auto"/>
          <w:szCs w:val="20"/>
          <w:highlight w:val="none"/>
          <w:lang w:val="en-US" w:eastAsia="zh-CN"/>
        </w:rPr>
        <w:t>6</w:t>
      </w:r>
      <w:r>
        <w:rPr>
          <w:rFonts w:hint="eastAsia" w:ascii="Times New Roman" w:hAnsi="Times New Roman"/>
          <w:color w:val="auto"/>
          <w:szCs w:val="20"/>
          <w:highlight w:val="none"/>
        </w:rPr>
        <w:t>日</w:t>
      </w:r>
      <w:r>
        <w:rPr>
          <w:rFonts w:hint="eastAsia" w:ascii="Times New Roman" w:hAnsi="Times New Roman"/>
          <w:color w:val="auto"/>
          <w:szCs w:val="20"/>
          <w:highlight w:val="none"/>
          <w:lang w:val="en-US" w:eastAsia="zh-CN"/>
        </w:rPr>
        <w:t>17</w:t>
      </w:r>
      <w:r>
        <w:rPr>
          <w:rFonts w:hint="eastAsia" w:ascii="Times New Roman" w:hAnsi="Times New Roman"/>
          <w:color w:val="auto"/>
          <w:szCs w:val="20"/>
          <w:highlight w:val="none"/>
        </w:rPr>
        <w:t>时</w:t>
      </w:r>
      <w:r>
        <w:rPr>
          <w:rFonts w:hint="eastAsia" w:ascii="Times New Roman" w:hAnsi="Times New Roman"/>
          <w:color w:val="auto"/>
          <w:szCs w:val="20"/>
          <w:highlight w:val="none"/>
          <w:lang w:val="en-US" w:eastAsia="zh-CN"/>
        </w:rPr>
        <w:t>00</w:t>
      </w:r>
      <w:r>
        <w:rPr>
          <w:rFonts w:hint="eastAsia" w:ascii="Times New Roman" w:hAnsi="Times New Roman"/>
          <w:color w:val="auto"/>
          <w:szCs w:val="20"/>
          <w:highlight w:val="none"/>
        </w:rPr>
        <w:t>分（北京时间）</w:t>
      </w:r>
    </w:p>
    <w:p w14:paraId="00F9242E">
      <w:pPr>
        <w:bidi w:val="0"/>
        <w:ind w:firstLine="1044"/>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4.2 </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在下载</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后，应仔细检查</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ascii="Times New Roman" w:hAnsi="Times New Roman"/>
          <w:color w:val="auto"/>
          <w:szCs w:val="20"/>
          <w:highlight w:val="none"/>
          <w:lang w:eastAsia="zh-CN"/>
        </w:rPr>
        <w:t>询比公告</w:t>
      </w:r>
      <w:r>
        <w:rPr>
          <w:rFonts w:hint="eastAsia" w:ascii="Times New Roman" w:hAnsi="Times New Roman"/>
          <w:color w:val="auto"/>
          <w:szCs w:val="20"/>
          <w:highlight w:val="none"/>
        </w:rPr>
        <w:t>的“我要提问”栏目匿名提出。</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未提出，则视为</w:t>
      </w:r>
      <w:r>
        <w:rPr>
          <w:rFonts w:hint="eastAsia" w:ascii="Times New Roman" w:hAnsi="Times New Roman"/>
          <w:color w:val="auto"/>
          <w:szCs w:val="20"/>
          <w:highlight w:val="none"/>
          <w:lang w:eastAsia="zh-CN"/>
        </w:rPr>
        <w:t>响应人</w:t>
      </w:r>
      <w:r>
        <w:rPr>
          <w:rFonts w:hint="eastAsia" w:ascii="Times New Roman" w:hAnsi="Times New Roman"/>
          <w:color w:val="auto"/>
          <w:szCs w:val="20"/>
          <w:highlight w:val="none"/>
        </w:rPr>
        <w:t>已全面确认</w:t>
      </w:r>
      <w:r>
        <w:rPr>
          <w:rFonts w:hint="eastAsia" w:ascii="Times New Roman" w:hAnsi="Times New Roman"/>
          <w:color w:val="auto"/>
          <w:szCs w:val="20"/>
          <w:highlight w:val="none"/>
          <w:lang w:eastAsia="zh-CN"/>
        </w:rPr>
        <w:t>询比文件</w:t>
      </w:r>
      <w:r>
        <w:rPr>
          <w:rFonts w:hint="eastAsia" w:ascii="Times New Roman" w:hAnsi="Times New Roman"/>
          <w:color w:val="auto"/>
          <w:szCs w:val="20"/>
          <w:highlight w:val="none"/>
        </w:rPr>
        <w:t>内容。采购人在认为有必要对响应人所提问题进行</w:t>
      </w:r>
      <w:r>
        <w:rPr>
          <w:rFonts w:hint="eastAsia" w:ascii="Times New Roman" w:hAnsi="Times New Roman"/>
          <w:color w:val="auto"/>
          <w:szCs w:val="20"/>
          <w:highlight w:val="none"/>
          <w:lang w:eastAsia="zh-CN"/>
        </w:rPr>
        <w:t>回复</w:t>
      </w:r>
      <w:r>
        <w:rPr>
          <w:rFonts w:hint="eastAsia" w:ascii="Times New Roman" w:hAnsi="Times New Roman"/>
          <w:color w:val="auto"/>
          <w:szCs w:val="20"/>
          <w:highlight w:val="none"/>
        </w:rPr>
        <w:t>或对询比文件进行补充</w:t>
      </w:r>
      <w:r>
        <w:rPr>
          <w:rFonts w:hint="eastAsia" w:ascii="Times New Roman" w:hAnsi="Times New Roman"/>
          <w:color w:val="auto"/>
          <w:szCs w:val="20"/>
          <w:highlight w:val="none"/>
          <w:lang w:val="en-US" w:eastAsia="zh-CN"/>
        </w:rPr>
        <w:t>修改</w:t>
      </w:r>
      <w:r>
        <w:rPr>
          <w:rFonts w:hint="eastAsia" w:ascii="Times New Roman" w:hAnsi="Times New Roman"/>
          <w:color w:val="auto"/>
          <w:szCs w:val="20"/>
          <w:highlight w:val="none"/>
        </w:rPr>
        <w:t>时，将在《重庆市公共资源交易网（www.cqggzy.com）》“答疑补遗”栏上发布</w:t>
      </w:r>
      <w:r>
        <w:rPr>
          <w:rFonts w:hint="eastAsia" w:ascii="Times New Roman" w:hAnsi="Times New Roman"/>
          <w:color w:val="auto"/>
          <w:szCs w:val="20"/>
          <w:highlight w:val="none"/>
          <w:lang w:val="en-US" w:eastAsia="zh-CN"/>
        </w:rPr>
        <w:t>澄清修改</w:t>
      </w:r>
      <w:r>
        <w:rPr>
          <w:rFonts w:hint="eastAsia" w:ascii="Times New Roman" w:hAnsi="Times New Roman"/>
          <w:color w:val="auto"/>
          <w:szCs w:val="20"/>
          <w:highlight w:val="none"/>
        </w:rPr>
        <w:t>文件。不论响应人下载与否，都视为响应人收到有关本项目在《重庆市公共资源交易网（www.cqggzy.com）》上发布的所有资料并全部知晓有关询比过程和事宜，由此产生的一切后果由响应人自负。</w:t>
      </w:r>
    </w:p>
    <w:p w14:paraId="2DC5CA86">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bookmarkStart w:id="16" w:name="_Toc55379221"/>
      <w:r>
        <w:rPr>
          <w:rFonts w:hint="eastAsia" w:ascii="Times New Roman" w:hAnsi="Times New Roman" w:eastAsia="宋体" w:cs="Times New Roman"/>
          <w:b/>
          <w:bCs/>
          <w:snapToGrid w:val="0"/>
          <w:color w:val="auto"/>
          <w:kern w:val="2"/>
          <w:sz w:val="21"/>
          <w:szCs w:val="24"/>
          <w:highlight w:val="none"/>
          <w:lang w:val="en-US" w:eastAsia="zh-CN" w:bidi="ar-SA"/>
        </w:rPr>
        <w:t>5. 响应保证金的递交</w:t>
      </w:r>
      <w:bookmarkEnd w:id="13"/>
      <w:bookmarkEnd w:id="14"/>
      <w:bookmarkEnd w:id="15"/>
      <w:bookmarkEnd w:id="16"/>
    </w:p>
    <w:p w14:paraId="7DFED00C">
      <w:pPr>
        <w:bidi w:val="0"/>
        <w:ind w:firstLine="1044"/>
        <w:rPr>
          <w:rFonts w:ascii="Times New Roman" w:hAnsi="Times New Roman"/>
          <w:color w:val="auto"/>
          <w:szCs w:val="20"/>
          <w:highlight w:val="none"/>
        </w:rPr>
      </w:pPr>
      <w:bookmarkStart w:id="17" w:name="_Toc297817091"/>
      <w:bookmarkStart w:id="18" w:name="_Toc469574668"/>
      <w:bookmarkStart w:id="19" w:name="_Toc89675131"/>
      <w:bookmarkStart w:id="20" w:name="_Toc55379222"/>
      <w:r>
        <w:rPr>
          <w:rFonts w:hint="eastAsia" w:ascii="Times New Roman" w:hAnsi="Times New Roman"/>
          <w:color w:val="auto"/>
          <w:szCs w:val="20"/>
          <w:highlight w:val="none"/>
          <w:lang w:val="en-US" w:eastAsia="zh-CN"/>
        </w:rPr>
        <w:t>5.</w:t>
      </w:r>
      <w:r>
        <w:rPr>
          <w:rFonts w:hint="eastAsia" w:ascii="Times New Roman" w:hAnsi="Times New Roman"/>
          <w:color w:val="auto"/>
          <w:szCs w:val="20"/>
          <w:highlight w:val="none"/>
        </w:rPr>
        <w:t>1</w:t>
      </w:r>
      <w:r>
        <w:rPr>
          <w:rFonts w:hint="eastAsia" w:ascii="Times New Roman" w:hAnsi="Times New Roman"/>
          <w:color w:val="auto"/>
          <w:szCs w:val="20"/>
          <w:highlight w:val="none"/>
          <w:lang w:val="en-US" w:eastAsia="zh-CN"/>
        </w:rPr>
        <w:t xml:space="preserve"> </w:t>
      </w:r>
      <w:r>
        <w:rPr>
          <w:rFonts w:hint="eastAsia" w:ascii="Times New Roman" w:hAnsi="Times New Roman"/>
          <w:color w:val="auto"/>
          <w:szCs w:val="20"/>
          <w:highlight w:val="none"/>
          <w:lang w:eastAsia="zh-CN"/>
        </w:rPr>
        <w:t>响应保证金</w:t>
      </w:r>
      <w:r>
        <w:rPr>
          <w:rFonts w:hint="eastAsia" w:ascii="Times New Roman" w:hAnsi="Times New Roman"/>
          <w:color w:val="auto"/>
          <w:szCs w:val="20"/>
          <w:highlight w:val="none"/>
        </w:rPr>
        <w:t>的金额：</w:t>
      </w:r>
      <w:r>
        <w:rPr>
          <w:rFonts w:hint="eastAsia" w:ascii="Times New Roman" w:hAnsi="Times New Roman"/>
          <w:b/>
          <w:bCs/>
          <w:color w:val="auto"/>
          <w:szCs w:val="20"/>
          <w:highlight w:val="none"/>
          <w:u w:val="single"/>
          <w:lang w:val="en-US" w:eastAsia="zh-CN"/>
        </w:rPr>
        <w:t xml:space="preserve">无 </w:t>
      </w:r>
      <w:r>
        <w:rPr>
          <w:rFonts w:hint="eastAsia" w:ascii="Times New Roman" w:hAnsi="Times New Roman"/>
          <w:color w:val="auto"/>
          <w:szCs w:val="20"/>
          <w:highlight w:val="none"/>
        </w:rPr>
        <w:t>。</w:t>
      </w:r>
    </w:p>
    <w:p w14:paraId="0D7F3FC9">
      <w:pPr>
        <w:widowControl w:val="0"/>
        <w:autoSpaceDE w:val="0"/>
        <w:autoSpaceDN w:val="0"/>
        <w:bidi w:val="0"/>
        <w:spacing w:line="600" w:lineRule="exact"/>
        <w:ind w:firstLine="0" w:firstLineChars="0"/>
        <w:jc w:val="both"/>
        <w:outlineLvl w:val="1"/>
        <w:rPr>
          <w:rFonts w:hint="eastAsia"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6. 市场主体信息登记</w:t>
      </w:r>
    </w:p>
    <w:p w14:paraId="69709668">
      <w:pPr>
        <w:bidi w:val="0"/>
        <w:ind w:firstLine="1044"/>
        <w:rPr>
          <w:rFonts w:ascii="Times New Roman" w:hAnsi="Times New Roman"/>
          <w:color w:val="auto"/>
          <w:szCs w:val="20"/>
          <w:highlight w:val="none"/>
          <w:lang w:val="en-US" w:eastAsia="zh-CN"/>
        </w:rPr>
      </w:pPr>
      <w:r>
        <w:rPr>
          <w:rFonts w:hint="eastAsia" w:ascii="Times New Roman" w:hAnsi="Times New Roman"/>
          <w:color w:val="auto"/>
          <w:szCs w:val="20"/>
          <w:highlight w:val="none"/>
        </w:rPr>
        <w:t>根据重庆市公共资源交易中心《关于开展公共资源交易市场主体信息登记工作的公告》的要求，</w:t>
      </w:r>
      <w:r>
        <w:rPr>
          <w:rFonts w:hint="eastAsia" w:ascii="Times New Roman" w:hAnsi="Times New Roman"/>
          <w:color w:val="auto"/>
          <w:szCs w:val="20"/>
          <w:highlight w:val="none"/>
          <w:lang w:val="en-US" w:eastAsia="zh-CN"/>
        </w:rPr>
        <w:t>响应人</w:t>
      </w:r>
      <w:r>
        <w:rPr>
          <w:rFonts w:hint="eastAsia" w:ascii="Times New Roman" w:hAnsi="Times New Roman"/>
          <w:color w:val="auto"/>
          <w:szCs w:val="20"/>
          <w:highlight w:val="none"/>
        </w:rPr>
        <w:t>在</w:t>
      </w:r>
      <w:r>
        <w:rPr>
          <w:rFonts w:hint="eastAsia" w:ascii="Times New Roman" w:hAnsi="Times New Roman"/>
          <w:color w:val="auto"/>
          <w:szCs w:val="20"/>
          <w:highlight w:val="none"/>
          <w:lang w:val="en-US" w:eastAsia="zh-CN"/>
        </w:rPr>
        <w:t>响应</w:t>
      </w:r>
      <w:r>
        <w:rPr>
          <w:rFonts w:hint="eastAsia" w:ascii="Times New Roman" w:hAnsi="Times New Roman"/>
          <w:color w:val="auto"/>
          <w:szCs w:val="20"/>
          <w:highlight w:val="none"/>
        </w:rPr>
        <w:t>前需在重庆市公共资源交易网（www.cqggzy.com）办理市场主体信息登记手续。</w:t>
      </w:r>
    </w:p>
    <w:bookmarkEnd w:id="17"/>
    <w:bookmarkEnd w:id="18"/>
    <w:bookmarkEnd w:id="19"/>
    <w:bookmarkEnd w:id="20"/>
    <w:p w14:paraId="7A9A285B">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7. 响应文件的递交</w:t>
      </w:r>
    </w:p>
    <w:p w14:paraId="2BC27573">
      <w:pPr>
        <w:bidi w:val="0"/>
        <w:ind w:firstLine="1044"/>
        <w:rPr>
          <w:rFonts w:ascii="Times New Roman" w:hAnsi="Times New Roman"/>
          <w:color w:val="auto"/>
          <w:szCs w:val="20"/>
          <w:highlight w:val="none"/>
        </w:rPr>
      </w:pPr>
      <w:bookmarkStart w:id="21" w:name="_Toc55379223"/>
      <w:bookmarkStart w:id="22" w:name="_Toc89675132"/>
      <w:bookmarkStart w:id="23" w:name="_Toc469574669"/>
      <w:r>
        <w:rPr>
          <w:rFonts w:hint="eastAsia" w:ascii="Times New Roman" w:hAnsi="Times New Roman"/>
          <w:color w:val="auto"/>
          <w:szCs w:val="20"/>
          <w:highlight w:val="none"/>
          <w:lang w:val="en-US" w:eastAsia="zh-CN"/>
        </w:rPr>
        <w:t xml:space="preserve">7.1 </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现场递交时间为</w:t>
      </w:r>
      <w:r>
        <w:rPr>
          <w:rFonts w:hint="eastAsia" w:ascii="Times New Roman" w:hAnsi="Times New Roman"/>
          <w:color w:val="auto"/>
          <w:szCs w:val="20"/>
          <w:highlight w:val="none"/>
          <w:lang w:val="en-US" w:eastAsia="zh-CN"/>
        </w:rPr>
        <w:t>响应截止时间前半小时内，截至响应截止时间将不再收取响应文件</w:t>
      </w:r>
      <w:r>
        <w:rPr>
          <w:rFonts w:hint="eastAsia" w:ascii="Times New Roman" w:hAnsi="Times New Roman"/>
          <w:color w:val="auto"/>
          <w:szCs w:val="20"/>
          <w:highlight w:val="none"/>
        </w:rPr>
        <w:t>。</w:t>
      </w:r>
    </w:p>
    <w:p w14:paraId="0498FBE8">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7.2 </w:t>
      </w:r>
      <w:r>
        <w:rPr>
          <w:rFonts w:hint="eastAsia" w:ascii="Times New Roman" w:hAnsi="Times New Roman"/>
          <w:color w:val="auto"/>
          <w:szCs w:val="20"/>
          <w:highlight w:val="none"/>
        </w:rPr>
        <w:t>递交地点为重庆市渝北区青枫北路6号渝兴广场B10栋重庆市公共资源交易中心开标区（具体请</w:t>
      </w:r>
      <w:r>
        <w:rPr>
          <w:rFonts w:hint="eastAsia" w:ascii="Times New Roman" w:hAnsi="Times New Roman"/>
          <w:color w:val="auto"/>
          <w:szCs w:val="20"/>
          <w:highlight w:val="none"/>
          <w:lang w:eastAsia="zh-CN"/>
        </w:rPr>
        <w:t>登录</w:t>
      </w:r>
      <w:r>
        <w:rPr>
          <w:rFonts w:hint="eastAsia" w:ascii="Times New Roman" w:hAnsi="Times New Roman"/>
          <w:color w:val="auto"/>
          <w:szCs w:val="20"/>
          <w:highlight w:val="none"/>
        </w:rPr>
        <w:t>重庆市公共资源交易网（www.cqggzy.com）查询或递交文件当日见交易中心大厅电子显示屏）。</w:t>
      </w:r>
    </w:p>
    <w:p w14:paraId="6E925108">
      <w:pPr>
        <w:bidi w:val="0"/>
        <w:ind w:firstLine="1044"/>
        <w:rPr>
          <w:rFonts w:ascii="Times New Roman" w:hAnsi="Times New Roman"/>
          <w:color w:val="auto"/>
          <w:szCs w:val="20"/>
          <w:highlight w:val="none"/>
        </w:rPr>
      </w:pPr>
      <w:r>
        <w:rPr>
          <w:rFonts w:hint="eastAsia" w:ascii="Times New Roman" w:hAnsi="Times New Roman"/>
          <w:color w:val="auto"/>
          <w:szCs w:val="20"/>
          <w:highlight w:val="none"/>
          <w:lang w:val="en-US" w:eastAsia="zh-CN"/>
        </w:rPr>
        <w:t xml:space="preserve">7.3 </w:t>
      </w:r>
      <w:r>
        <w:rPr>
          <w:rFonts w:hint="eastAsia" w:ascii="Times New Roman" w:hAnsi="Times New Roman"/>
          <w:color w:val="auto"/>
          <w:szCs w:val="20"/>
          <w:highlight w:val="none"/>
        </w:rPr>
        <w:t>逾期送达的</w:t>
      </w:r>
      <w:r>
        <w:rPr>
          <w:rFonts w:hint="eastAsia" w:ascii="Times New Roman" w:hAnsi="Times New Roman"/>
          <w:color w:val="auto"/>
          <w:szCs w:val="20"/>
          <w:highlight w:val="none"/>
          <w:lang w:eastAsia="zh-CN"/>
        </w:rPr>
        <w:t>响应文件</w:t>
      </w:r>
      <w:r>
        <w:rPr>
          <w:rFonts w:hint="eastAsia" w:ascii="Times New Roman" w:hAnsi="Times New Roman"/>
          <w:color w:val="auto"/>
          <w:szCs w:val="20"/>
          <w:highlight w:val="none"/>
        </w:rPr>
        <w:t>，不予接收。</w:t>
      </w:r>
    </w:p>
    <w:p w14:paraId="72516C6E">
      <w:pPr>
        <w:widowControl w:val="0"/>
        <w:autoSpaceDE w:val="0"/>
        <w:autoSpaceDN w:val="0"/>
        <w:bidi w:val="0"/>
        <w:spacing w:line="600" w:lineRule="exact"/>
        <w:ind w:firstLine="0" w:firstLineChars="0"/>
        <w:jc w:val="both"/>
        <w:outlineLvl w:val="1"/>
        <w:rPr>
          <w:rFonts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8. 发布公告的媒介</w:t>
      </w:r>
      <w:bookmarkEnd w:id="21"/>
      <w:bookmarkEnd w:id="22"/>
      <w:bookmarkEnd w:id="23"/>
    </w:p>
    <w:p w14:paraId="57A67952">
      <w:pPr>
        <w:bidi w:val="0"/>
        <w:ind w:firstLine="1044"/>
        <w:rPr>
          <w:rFonts w:ascii="Times New Roman" w:hAnsi="Times New Roman"/>
          <w:color w:val="auto"/>
          <w:szCs w:val="20"/>
          <w:highlight w:val="none"/>
        </w:rPr>
      </w:pPr>
      <w:bookmarkStart w:id="24" w:name="_Toc89675133"/>
      <w:bookmarkStart w:id="25" w:name="_Toc469574670"/>
      <w:bookmarkStart w:id="26" w:name="_Toc250565211"/>
      <w:bookmarkStart w:id="27" w:name="_Toc55379224"/>
      <w:r>
        <w:rPr>
          <w:rFonts w:hint="eastAsia" w:ascii="Times New Roman" w:hAnsi="Times New Roman"/>
          <w:color w:val="auto"/>
          <w:szCs w:val="20"/>
          <w:highlight w:val="none"/>
        </w:rPr>
        <w:t>本次</w:t>
      </w:r>
      <w:r>
        <w:rPr>
          <w:rFonts w:hint="eastAsia" w:ascii="Times New Roman" w:hAnsi="Times New Roman"/>
          <w:color w:val="auto"/>
          <w:szCs w:val="20"/>
          <w:highlight w:val="none"/>
          <w:lang w:eastAsia="zh-CN"/>
        </w:rPr>
        <w:t>询比公告</w:t>
      </w:r>
      <w:r>
        <w:rPr>
          <w:rFonts w:hint="eastAsia" w:ascii="Times New Roman" w:hAnsi="Times New Roman"/>
          <w:color w:val="auto"/>
          <w:szCs w:val="20"/>
          <w:highlight w:val="none"/>
        </w:rPr>
        <w:t>同时在</w:t>
      </w:r>
      <w:r>
        <w:rPr>
          <w:rFonts w:hint="eastAsia" w:ascii="Times New Roman" w:hAnsi="Times New Roman"/>
          <w:color w:val="auto"/>
          <w:szCs w:val="20"/>
          <w:highlight w:val="none"/>
          <w:u w:val="single"/>
        </w:rPr>
        <w:t>《重庆市公共资源交易网（www.cqggzy.com）》《重庆三峡银行官网（https://www.ccqtgb.com）》和《中国</w:t>
      </w:r>
      <w:r>
        <w:rPr>
          <w:rFonts w:hint="eastAsia" w:ascii="Times New Roman" w:hAnsi="Times New Roman"/>
          <w:color w:val="auto"/>
          <w:szCs w:val="20"/>
          <w:highlight w:val="none"/>
          <w:u w:val="single"/>
          <w:lang w:val="en-US" w:eastAsia="zh-CN"/>
        </w:rPr>
        <w:t>招标投标</w:t>
      </w:r>
      <w:r>
        <w:rPr>
          <w:rFonts w:hint="eastAsia" w:ascii="Times New Roman" w:hAnsi="Times New Roman"/>
          <w:color w:val="auto"/>
          <w:szCs w:val="20"/>
          <w:highlight w:val="none"/>
          <w:u w:val="single"/>
        </w:rPr>
        <w:t>公共服务平台（http://www.cebpubservice.com）》</w:t>
      </w:r>
      <w:r>
        <w:rPr>
          <w:rFonts w:hint="eastAsia" w:ascii="Times New Roman" w:hAnsi="Times New Roman"/>
          <w:color w:val="auto"/>
          <w:szCs w:val="20"/>
          <w:highlight w:val="none"/>
        </w:rPr>
        <w:t>上发布。</w:t>
      </w:r>
    </w:p>
    <w:p w14:paraId="72F3DF51">
      <w:pPr>
        <w:widowControl w:val="0"/>
        <w:autoSpaceDE w:val="0"/>
        <w:autoSpaceDN w:val="0"/>
        <w:bidi w:val="0"/>
        <w:spacing w:line="600" w:lineRule="exact"/>
        <w:ind w:firstLine="0" w:firstLineChars="0"/>
        <w:jc w:val="both"/>
        <w:outlineLvl w:val="1"/>
        <w:rPr>
          <w:rFonts w:hint="eastAsia" w:ascii="Times New Roman" w:hAnsi="Times New Roman" w:eastAsia="宋体" w:cs="Times New Roman"/>
          <w:b/>
          <w:bCs/>
          <w:snapToGrid w:val="0"/>
          <w:color w:val="auto"/>
          <w:kern w:val="2"/>
          <w:sz w:val="21"/>
          <w:szCs w:val="24"/>
          <w:highlight w:val="none"/>
          <w:lang w:val="en-US" w:eastAsia="zh-CN" w:bidi="ar-SA"/>
        </w:rPr>
      </w:pPr>
      <w:r>
        <w:rPr>
          <w:rFonts w:hint="eastAsia" w:ascii="Times New Roman" w:hAnsi="Times New Roman" w:eastAsia="宋体" w:cs="Times New Roman"/>
          <w:b/>
          <w:bCs/>
          <w:snapToGrid w:val="0"/>
          <w:color w:val="auto"/>
          <w:kern w:val="2"/>
          <w:sz w:val="21"/>
          <w:szCs w:val="24"/>
          <w:highlight w:val="none"/>
          <w:lang w:val="en-US" w:eastAsia="zh-CN" w:bidi="ar-SA"/>
        </w:rPr>
        <w:t>9. 联系方式</w:t>
      </w:r>
      <w:bookmarkEnd w:id="24"/>
      <w:bookmarkEnd w:id="25"/>
      <w:bookmarkEnd w:id="26"/>
      <w:bookmarkEnd w:id="27"/>
    </w:p>
    <w:p w14:paraId="1BCC9E4E">
      <w:pPr>
        <w:ind w:firstLine="1044"/>
        <w:rPr>
          <w:rFonts w:hint="eastAsia" w:ascii="Times New Roman" w:hAnsi="Times New Roman"/>
          <w:color w:val="auto"/>
          <w:szCs w:val="20"/>
          <w:highlight w:val="none"/>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01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68F5D62">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.1 项目需求咨询</w:t>
            </w:r>
          </w:p>
        </w:tc>
      </w:tr>
      <w:tr w14:paraId="4FD9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B18A3B7">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项目联系人：</w:t>
            </w:r>
            <w:r>
              <w:rPr>
                <w:rFonts w:ascii="Times New Roman" w:hAnsi="Times New Roman"/>
                <w:color w:val="auto"/>
                <w:szCs w:val="20"/>
                <w:highlight w:val="none"/>
              </w:rPr>
              <w:t>杨老师</w:t>
            </w:r>
          </w:p>
        </w:tc>
        <w:tc>
          <w:tcPr>
            <w:tcW w:w="4480" w:type="dxa"/>
            <w:tcBorders>
              <w:top w:val="nil"/>
              <w:left w:val="nil"/>
              <w:bottom w:val="nil"/>
              <w:right w:val="single" w:color="auto" w:sz="4" w:space="0"/>
            </w:tcBorders>
          </w:tcPr>
          <w:p w14:paraId="3C364DD0">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联系方式：</w:t>
            </w:r>
            <w:r>
              <w:rPr>
                <w:rFonts w:ascii="Times New Roman" w:hAnsi="Times New Roman"/>
                <w:color w:val="auto"/>
                <w:szCs w:val="20"/>
                <w:highlight w:val="none"/>
              </w:rPr>
              <w:t>023-88890184</w:t>
            </w:r>
          </w:p>
        </w:tc>
      </w:tr>
      <w:tr w14:paraId="475E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7D49E0">
            <w:pPr>
              <w:spacing w:line="360" w:lineRule="auto"/>
              <w:ind w:firstLine="0" w:firstLineChars="0"/>
              <w:jc w:val="left"/>
              <w:rPr>
                <w:rFonts w:hint="eastAsia" w:ascii="Times New Roman" w:hAnsi="Times New Roman"/>
                <w:color w:val="auto"/>
                <w:szCs w:val="20"/>
                <w:highlight w:val="none"/>
              </w:rPr>
            </w:pPr>
          </w:p>
        </w:tc>
      </w:tr>
      <w:tr w14:paraId="1499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4E6382B">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.2 项目流程咨询</w:t>
            </w:r>
          </w:p>
        </w:tc>
      </w:tr>
      <w:tr w14:paraId="073D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A532B6">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rPr>
              <w:t>平台服务机构：重庆联合产权交易所集团股份有限公司</w:t>
            </w:r>
          </w:p>
        </w:tc>
      </w:tr>
      <w:tr w14:paraId="6570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3DE6DA8">
            <w:pPr>
              <w:spacing w:line="360" w:lineRule="auto"/>
              <w:ind w:firstLine="0" w:firstLineChars="0"/>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color w:val="auto"/>
                <w:szCs w:val="20"/>
                <w:highlight w:val="none"/>
              </w:rPr>
              <w:t>平台联系人：</w:t>
            </w:r>
            <w:r>
              <w:rPr>
                <w:rFonts w:hint="eastAsia" w:ascii="Times New Roman" w:hAnsi="Times New Roman"/>
                <w:color w:val="auto"/>
                <w:szCs w:val="20"/>
                <w:highlight w:val="none"/>
                <w:lang w:val="en-US" w:eastAsia="zh-CN"/>
              </w:rPr>
              <w:t>吴老师</w:t>
            </w:r>
          </w:p>
        </w:tc>
        <w:tc>
          <w:tcPr>
            <w:tcW w:w="4480" w:type="dxa"/>
            <w:tcBorders>
              <w:top w:val="nil"/>
              <w:left w:val="nil"/>
              <w:bottom w:val="nil"/>
              <w:right w:val="single" w:color="auto" w:sz="4" w:space="0"/>
            </w:tcBorders>
          </w:tcPr>
          <w:p w14:paraId="322D36C6">
            <w:pPr>
              <w:spacing w:line="360" w:lineRule="auto"/>
              <w:ind w:firstLine="0" w:firstLineChars="0"/>
              <w:jc w:val="left"/>
              <w:rPr>
                <w:rFonts w:ascii="Times New Roman" w:hAnsi="Times New Roman" w:eastAsia="宋体" w:cs="宋体"/>
                <w:color w:val="auto"/>
                <w:sz w:val="21"/>
                <w:szCs w:val="21"/>
                <w:highlight w:val="none"/>
                <w:lang w:val="en-US" w:eastAsia="zh-CN"/>
              </w:rPr>
            </w:pPr>
            <w:r>
              <w:rPr>
                <w:rFonts w:hint="eastAsia" w:ascii="Times New Roman" w:hAnsi="Times New Roman"/>
                <w:color w:val="auto"/>
                <w:szCs w:val="20"/>
                <w:highlight w:val="none"/>
              </w:rPr>
              <w:t>联系方式：023-6362</w:t>
            </w:r>
            <w:r>
              <w:rPr>
                <w:rFonts w:hint="eastAsia" w:ascii="Times New Roman" w:hAnsi="Times New Roman"/>
                <w:color w:val="auto"/>
                <w:szCs w:val="20"/>
                <w:highlight w:val="none"/>
                <w:lang w:val="en-US" w:eastAsia="zh-CN"/>
              </w:rPr>
              <w:t>1694</w:t>
            </w:r>
          </w:p>
        </w:tc>
      </w:tr>
      <w:tr w14:paraId="189E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A147AF8">
            <w:pPr>
              <w:spacing w:line="360" w:lineRule="auto"/>
              <w:ind w:firstLine="0" w:firstLineChars="0"/>
              <w:jc w:val="left"/>
              <w:rPr>
                <w:rFonts w:hint="eastAsia" w:ascii="Times New Roman" w:hAnsi="Times New Roman"/>
                <w:color w:val="auto"/>
                <w:szCs w:val="20"/>
                <w:highlight w:val="none"/>
              </w:rPr>
            </w:pPr>
          </w:p>
        </w:tc>
      </w:tr>
      <w:tr w14:paraId="6768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55E3D3">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val="en-US" w:eastAsia="zh-CN"/>
              </w:rPr>
              <w:t>9</w:t>
            </w:r>
            <w:r>
              <w:rPr>
                <w:rFonts w:hint="eastAsia" w:ascii="Times New Roman" w:hAnsi="Times New Roman"/>
                <w:color w:val="auto"/>
                <w:szCs w:val="20"/>
                <w:highlight w:val="none"/>
              </w:rPr>
              <w:t xml:space="preserve">.3 </w:t>
            </w: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联系方式</w:t>
            </w:r>
          </w:p>
        </w:tc>
      </w:tr>
      <w:tr w14:paraId="351F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3E75D22">
            <w:pPr>
              <w:spacing w:line="360" w:lineRule="auto"/>
              <w:ind w:firstLine="0" w:firstLineChars="0"/>
              <w:jc w:val="left"/>
              <w:rPr>
                <w:rFonts w:hint="eastAsia" w:ascii="Times New Roman" w:hAnsi="Times New Roman" w:eastAsia="宋体" w:cs="宋体"/>
                <w:color w:val="auto"/>
                <w:sz w:val="21"/>
                <w:szCs w:val="21"/>
                <w:highlight w:val="none"/>
                <w:lang w:eastAsia="zh-CN"/>
              </w:rPr>
            </w:pPr>
            <w:r>
              <w:rPr>
                <w:rFonts w:hint="eastAsia" w:ascii="Times New Roman" w:hAnsi="Times New Roman"/>
                <w:color w:val="auto"/>
                <w:szCs w:val="20"/>
                <w:highlight w:val="none"/>
              </w:rPr>
              <w:t>联系人：</w:t>
            </w:r>
            <w:r>
              <w:rPr>
                <w:rFonts w:hint="eastAsia" w:ascii="Times New Roman" w:hAnsi="Times New Roman"/>
                <w:color w:val="auto"/>
                <w:szCs w:val="20"/>
                <w:highlight w:val="none"/>
                <w:lang w:val="en-US" w:eastAsia="zh-CN"/>
              </w:rPr>
              <w:t>杨老师</w:t>
            </w:r>
          </w:p>
        </w:tc>
        <w:tc>
          <w:tcPr>
            <w:tcW w:w="4480" w:type="dxa"/>
            <w:tcBorders>
              <w:top w:val="nil"/>
              <w:left w:val="nil"/>
              <w:bottom w:val="nil"/>
              <w:right w:val="single" w:color="auto" w:sz="4" w:space="0"/>
            </w:tcBorders>
          </w:tcPr>
          <w:p w14:paraId="0F198DE2">
            <w:pPr>
              <w:spacing w:line="360" w:lineRule="auto"/>
              <w:ind w:firstLine="0" w:firstLineChars="0"/>
              <w:jc w:val="left"/>
              <w:rPr>
                <w:rFonts w:hint="eastAsia" w:ascii="Times New Roman" w:hAnsi="Times New Roman" w:cs="宋体"/>
                <w:color w:val="auto"/>
                <w:sz w:val="21"/>
                <w:szCs w:val="21"/>
                <w:highlight w:val="none"/>
              </w:rPr>
            </w:pPr>
            <w:r>
              <w:rPr>
                <w:rFonts w:hint="eastAsia" w:ascii="Times New Roman" w:hAnsi="Times New Roman"/>
                <w:color w:val="auto"/>
                <w:szCs w:val="20"/>
                <w:highlight w:val="none"/>
              </w:rPr>
              <w:t>联系方式：023-888903</w:t>
            </w:r>
            <w:r>
              <w:rPr>
                <w:rFonts w:hint="eastAsia" w:ascii="Times New Roman" w:hAnsi="Times New Roman"/>
                <w:color w:val="auto"/>
                <w:szCs w:val="20"/>
                <w:highlight w:val="none"/>
                <w:lang w:val="en-US" w:eastAsia="zh-CN"/>
              </w:rPr>
              <w:t>81</w:t>
            </w:r>
          </w:p>
        </w:tc>
      </w:tr>
      <w:tr w14:paraId="38D4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2861127">
            <w:pPr>
              <w:spacing w:line="360" w:lineRule="auto"/>
              <w:ind w:firstLine="0" w:firstLineChars="0"/>
              <w:jc w:val="left"/>
              <w:rPr>
                <w:rFonts w:hint="eastAsia" w:ascii="Times New Roman" w:hAnsi="Times New Roman"/>
                <w:color w:val="auto"/>
                <w:szCs w:val="20"/>
                <w:highlight w:val="none"/>
              </w:rPr>
            </w:pPr>
            <w:r>
              <w:rPr>
                <w:rFonts w:hint="eastAsia" w:ascii="Times New Roman" w:hAnsi="Times New Roman"/>
                <w:color w:val="auto"/>
                <w:szCs w:val="20"/>
                <w:highlight w:val="none"/>
                <w:lang w:eastAsia="zh-CN"/>
              </w:rPr>
              <w:t>采购人</w:t>
            </w:r>
            <w:r>
              <w:rPr>
                <w:rFonts w:hint="eastAsia" w:ascii="Times New Roman" w:hAnsi="Times New Roman"/>
                <w:color w:val="auto"/>
                <w:szCs w:val="20"/>
                <w:highlight w:val="none"/>
              </w:rPr>
              <w:t>地址：重庆市</w:t>
            </w:r>
            <w:r>
              <w:rPr>
                <w:rFonts w:ascii="Times New Roman" w:hAnsi="Times New Roman"/>
                <w:color w:val="auto"/>
                <w:szCs w:val="20"/>
                <w:highlight w:val="none"/>
              </w:rPr>
              <w:t>两江新区</w:t>
            </w:r>
            <w:r>
              <w:rPr>
                <w:rFonts w:hint="eastAsia" w:ascii="Times New Roman" w:hAnsi="Times New Roman"/>
                <w:color w:val="auto"/>
                <w:szCs w:val="20"/>
                <w:highlight w:val="none"/>
              </w:rPr>
              <w:t>嘉州路88号中渝国际都会4号写字楼21层</w:t>
            </w:r>
          </w:p>
        </w:tc>
      </w:tr>
    </w:tbl>
    <w:p w14:paraId="792579F5">
      <w:pPr>
        <w:ind w:firstLine="1044"/>
        <w:rPr>
          <w:rFonts w:ascii="Times New Roman" w:hAnsi="Times New Roman"/>
          <w:color w:val="auto"/>
          <w:szCs w:val="20"/>
          <w:highlight w:val="none"/>
        </w:rPr>
      </w:pPr>
    </w:p>
    <w:p w14:paraId="773AE883">
      <w:pPr>
        <w:pStyle w:val="2"/>
        <w:rPr>
          <w:rFonts w:hint="eastAsia"/>
          <w:color w:val="auto"/>
          <w:szCs w:val="20"/>
          <w:highlight w:val="none"/>
          <w:lang w:val="en-US" w:eastAsia="zh-CN"/>
        </w:rPr>
      </w:pPr>
      <w:r>
        <w:rPr>
          <w:rFonts w:hint="eastAsia"/>
          <w:color w:val="auto"/>
          <w:szCs w:val="20"/>
          <w:highlight w:val="none"/>
          <w:lang w:val="en-US" w:eastAsia="zh-CN"/>
        </w:rPr>
        <w:t>附件：询比文件-重庆三峡银行2026-2029年常年法律顾问服务项目（第二次）</w:t>
      </w:r>
    </w:p>
    <w:p w14:paraId="2D5E0CBE">
      <w:pPr>
        <w:rPr>
          <w:rFonts w:hint="default"/>
          <w:lang w:val="en-US" w:eastAsia="zh-CN"/>
        </w:rPr>
      </w:pPr>
    </w:p>
    <w:p w14:paraId="77310EFD">
      <w:pPr>
        <w:spacing w:line="240" w:lineRule="auto"/>
        <w:ind w:firstLine="0" w:firstLineChars="0"/>
        <w:jc w:val="right"/>
        <w:rPr>
          <w:rFonts w:ascii="Times New Roman" w:hAnsi="Times New Roman"/>
          <w:color w:val="auto"/>
          <w:szCs w:val="20"/>
          <w:highlight w:val="none"/>
        </w:rPr>
      </w:pPr>
      <w:r>
        <w:rPr>
          <w:rFonts w:hint="eastAsia" w:ascii="Times New Roman" w:hAnsi="Times New Roman"/>
          <w:color w:val="auto"/>
          <w:szCs w:val="20"/>
          <w:highlight w:val="none"/>
        </w:rPr>
        <w:t>重庆三峡银行股份有限公司</w:t>
      </w:r>
    </w:p>
    <w:p w14:paraId="7286ADD6">
      <w:pPr>
        <w:bidi w:val="0"/>
        <w:jc w:val="right"/>
        <w:rPr>
          <w:color w:val="auto"/>
          <w:highlight w:val="none"/>
        </w:rPr>
      </w:pPr>
      <w:r>
        <w:rPr>
          <w:rFonts w:hint="eastAsia" w:ascii="Times New Roman" w:hAnsi="Times New Roman"/>
          <w:color w:val="auto"/>
          <w:szCs w:val="20"/>
          <w:highlight w:val="none"/>
        </w:rPr>
        <w:t>202</w:t>
      </w:r>
      <w:r>
        <w:rPr>
          <w:rFonts w:hint="eastAsia" w:ascii="Times New Roman" w:hAnsi="Times New Roman"/>
          <w:color w:val="auto"/>
          <w:szCs w:val="20"/>
          <w:highlight w:val="none"/>
          <w:lang w:val="en-US" w:eastAsia="zh-CN"/>
        </w:rPr>
        <w:t>6</w:t>
      </w:r>
      <w:r>
        <w:rPr>
          <w:rFonts w:hint="eastAsia" w:ascii="Times New Roman" w:hAnsi="Times New Roman"/>
          <w:color w:val="auto"/>
          <w:szCs w:val="20"/>
          <w:highlight w:val="none"/>
        </w:rPr>
        <w:t>年</w:t>
      </w:r>
      <w:r>
        <w:rPr>
          <w:rFonts w:hint="eastAsia"/>
          <w:color w:val="auto"/>
          <w:szCs w:val="20"/>
          <w:highlight w:val="none"/>
          <w:lang w:val="en-US" w:eastAsia="zh-CN"/>
        </w:rPr>
        <w:t>6</w:t>
      </w:r>
      <w:r>
        <w:rPr>
          <w:rFonts w:hint="eastAsia" w:ascii="Times New Roman" w:hAnsi="Times New Roman"/>
          <w:color w:val="auto"/>
          <w:szCs w:val="20"/>
          <w:highlight w:val="none"/>
        </w:rPr>
        <w:t>月</w:t>
      </w:r>
      <w:r>
        <w:rPr>
          <w:rFonts w:hint="eastAsia"/>
          <w:color w:val="auto"/>
          <w:szCs w:val="20"/>
          <w:highlight w:val="none"/>
          <w:lang w:val="en-US" w:eastAsia="zh-CN"/>
        </w:rPr>
        <w:t>3</w:t>
      </w:r>
      <w:bookmarkStart w:id="28" w:name="_GoBack"/>
      <w:bookmarkEnd w:id="28"/>
      <w:r>
        <w:rPr>
          <w:rFonts w:hint="eastAsia" w:ascii="Times New Roman" w:hAnsi="Times New Roman"/>
          <w:color w:val="auto"/>
          <w:szCs w:val="20"/>
          <w:highlight w:val="none"/>
        </w:rPr>
        <w:t>日</w:t>
      </w:r>
    </w:p>
    <w:p w14:paraId="3E38CFF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8732C"/>
    <w:rsid w:val="0D652EFF"/>
    <w:rsid w:val="0E811524"/>
    <w:rsid w:val="213D4C18"/>
    <w:rsid w:val="21C30246"/>
    <w:rsid w:val="381D2FDA"/>
    <w:rsid w:val="3F08732C"/>
    <w:rsid w:val="4B4E7647"/>
    <w:rsid w:val="4F175D9E"/>
    <w:rsid w:val="4F475E46"/>
    <w:rsid w:val="59584170"/>
    <w:rsid w:val="5A8772FA"/>
    <w:rsid w:val="5B9A661D"/>
    <w:rsid w:val="671008FA"/>
    <w:rsid w:val="6DFA4114"/>
    <w:rsid w:val="728106FF"/>
    <w:rsid w:val="7941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link w:val="31"/>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4">
    <w:name w:val="heading 2"/>
    <w:basedOn w:val="1"/>
    <w:next w:val="1"/>
    <w:link w:val="32"/>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5">
    <w:name w:val="heading 3"/>
    <w:basedOn w:val="1"/>
    <w:next w:val="1"/>
    <w:link w:val="33"/>
    <w:autoRedefine/>
    <w:unhideWhenUsed/>
    <w:qFormat/>
    <w:uiPriority w:val="9"/>
    <w:pPr>
      <w:keepNext w:val="0"/>
      <w:keepLines w:val="0"/>
      <w:spacing w:before="0" w:after="0" w:line="360" w:lineRule="auto"/>
      <w:outlineLvl w:val="2"/>
    </w:pPr>
    <w:rPr>
      <w:b/>
      <w:bCs/>
      <w:szCs w:val="32"/>
    </w:rPr>
  </w:style>
  <w:style w:type="paragraph" w:styleId="6">
    <w:name w:val="heading 4"/>
    <w:basedOn w:val="1"/>
    <w:next w:val="1"/>
    <w:link w:val="34"/>
    <w:autoRedefine/>
    <w:qFormat/>
    <w:uiPriority w:val="0"/>
    <w:pPr>
      <w:keepNext w:val="0"/>
      <w:keepLines w:val="0"/>
      <w:spacing w:line="360" w:lineRule="auto"/>
      <w:ind w:firstLine="1044" w:firstLineChars="200"/>
      <w:outlineLvl w:val="3"/>
    </w:pPr>
    <w:rPr>
      <w:rFonts w:cs="Times New Roman"/>
      <w:bCs/>
      <w:szCs w:val="28"/>
    </w:rPr>
  </w:style>
  <w:style w:type="paragraph" w:styleId="7">
    <w:name w:val="heading 5"/>
    <w:basedOn w:val="1"/>
    <w:next w:val="1"/>
    <w:link w:val="35"/>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8">
    <w:name w:val="heading 6"/>
    <w:basedOn w:val="1"/>
    <w:next w:val="1"/>
    <w:link w:val="36"/>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6">
    <w:name w:val="Default Paragraph Font"/>
    <w:autoRedefine/>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szCs w:val="20"/>
    </w:rPr>
  </w:style>
  <w:style w:type="paragraph" w:styleId="10">
    <w:name w:val="annotation text"/>
    <w:basedOn w:val="1"/>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toc 1"/>
    <w:basedOn w:val="1"/>
    <w:next w:val="1"/>
    <w:qFormat/>
    <w:uiPriority w:val="0"/>
  </w:style>
  <w:style w:type="paragraph" w:styleId="13">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2 Char"/>
    <w:basedOn w:val="16"/>
    <w:link w:val="4"/>
    <w:autoRedefine/>
    <w:qFormat/>
    <w:uiPriority w:val="9"/>
    <w:rPr>
      <w:rFonts w:ascii="Times New Roman" w:hAnsi="Times New Roman" w:eastAsia="宋体" w:cstheme="majorBidi"/>
      <w:b/>
      <w:bCs/>
      <w:snapToGrid w:val="0"/>
      <w:szCs w:val="24"/>
    </w:rPr>
  </w:style>
  <w:style w:type="character" w:customStyle="1" w:styleId="18">
    <w:name w:val="标题 3 Char"/>
    <w:basedOn w:val="16"/>
    <w:link w:val="5"/>
    <w:autoRedefine/>
    <w:qFormat/>
    <w:uiPriority w:val="9"/>
    <w:rPr>
      <w:b/>
      <w:bCs/>
      <w:szCs w:val="32"/>
    </w:rPr>
  </w:style>
  <w:style w:type="character" w:customStyle="1" w:styleId="19">
    <w:name w:val="标题 4 Char"/>
    <w:link w:val="6"/>
    <w:autoRedefine/>
    <w:qFormat/>
    <w:uiPriority w:val="0"/>
    <w:rPr>
      <w:rFonts w:cs="Times New Roman"/>
      <w:bCs/>
      <w:szCs w:val="28"/>
    </w:rPr>
  </w:style>
  <w:style w:type="character" w:customStyle="1" w:styleId="20">
    <w:name w:val="标题 1 Char"/>
    <w:basedOn w:val="16"/>
    <w:link w:val="3"/>
    <w:autoRedefine/>
    <w:qFormat/>
    <w:uiPriority w:val="0"/>
    <w:rPr>
      <w:rFonts w:ascii="Times New Roman" w:hAnsi="Times New Roman" w:eastAsia="宋体" w:cs="等线 Light"/>
      <w:b/>
      <w:snapToGrid w:val="0"/>
      <w:kern w:val="0"/>
      <w:sz w:val="44"/>
      <w:szCs w:val="44"/>
    </w:rPr>
  </w:style>
  <w:style w:type="table" w:customStyle="1" w:styleId="21">
    <w:name w:val="网格型5"/>
    <w:basedOn w:val="14"/>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5 Char"/>
    <w:link w:val="7"/>
    <w:autoRedefine/>
    <w:qFormat/>
    <w:uiPriority w:val="0"/>
    <w:rPr>
      <w:rFonts w:ascii="Times New Roman" w:hAnsi="Times New Roman" w:eastAsia="宋体"/>
      <w:b/>
      <w:sz w:val="28"/>
    </w:rPr>
  </w:style>
  <w:style w:type="paragraph" w:customStyle="1" w:styleId="23">
    <w:name w:val="参选文件格式1"/>
    <w:basedOn w:val="1"/>
    <w:next w:val="1"/>
    <w:link w:val="27"/>
    <w:autoRedefine/>
    <w:qFormat/>
    <w:locked/>
    <w:uiPriority w:val="0"/>
    <w:pPr>
      <w:spacing w:line="360" w:lineRule="auto"/>
      <w:ind w:firstLine="0" w:firstLineChars="0"/>
      <w:jc w:val="center"/>
      <w:outlineLvl w:val="1"/>
    </w:pPr>
    <w:rPr>
      <w:rFonts w:hint="eastAsia" w:eastAsia="宋体"/>
      <w:b/>
      <w:sz w:val="28"/>
    </w:rPr>
  </w:style>
  <w:style w:type="paragraph" w:customStyle="1" w:styleId="24">
    <w:name w:val="参选文件格式2"/>
    <w:basedOn w:val="1"/>
    <w:next w:val="1"/>
    <w:link w:val="28"/>
    <w:autoRedefine/>
    <w:qFormat/>
    <w:locked/>
    <w:uiPriority w:val="0"/>
    <w:pPr>
      <w:ind w:firstLine="0" w:firstLineChars="0"/>
      <w:jc w:val="center"/>
      <w:outlineLvl w:val="2"/>
    </w:pPr>
    <w:rPr>
      <w:rFonts w:eastAsia="宋体"/>
      <w:bCs/>
      <w:szCs w:val="32"/>
    </w:rPr>
  </w:style>
  <w:style w:type="paragraph" w:customStyle="1" w:styleId="25">
    <w:name w:val="参选文件格式3"/>
    <w:basedOn w:val="1"/>
    <w:link w:val="26"/>
    <w:autoRedefine/>
    <w:qFormat/>
    <w:locked/>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6">
    <w:name w:val="参选文件格式3 Char"/>
    <w:link w:val="25"/>
    <w:autoRedefine/>
    <w:qFormat/>
    <w:uiPriority w:val="0"/>
    <w:rPr>
      <w:rFonts w:hint="eastAsia" w:ascii="宋体" w:hAnsi="宋体" w:eastAsia="宋体"/>
      <w:b/>
      <w:snapToGrid w:val="0"/>
      <w:kern w:val="0"/>
      <w:u w:val="none"/>
    </w:rPr>
  </w:style>
  <w:style w:type="character" w:customStyle="1" w:styleId="27">
    <w:name w:val="参选文件格式1 Char"/>
    <w:link w:val="23"/>
    <w:autoRedefine/>
    <w:qFormat/>
    <w:uiPriority w:val="0"/>
    <w:rPr>
      <w:rFonts w:hint="eastAsia" w:eastAsia="宋体"/>
      <w:b/>
      <w:sz w:val="28"/>
    </w:rPr>
  </w:style>
  <w:style w:type="character" w:customStyle="1" w:styleId="28">
    <w:name w:val="参选文件格式2 Char"/>
    <w:link w:val="24"/>
    <w:autoRedefine/>
    <w:qFormat/>
    <w:uiPriority w:val="0"/>
    <w:rPr>
      <w:rFonts w:eastAsia="宋体"/>
      <w:bCs/>
      <w:szCs w:val="32"/>
    </w:rPr>
  </w:style>
  <w:style w:type="character" w:customStyle="1" w:styleId="29">
    <w:name w:val="标题 4 字符"/>
    <w:link w:val="6"/>
    <w:autoRedefine/>
    <w:qFormat/>
    <w:uiPriority w:val="0"/>
    <w:rPr>
      <w:rFonts w:cs="Times New Roman"/>
      <w:bCs/>
      <w:szCs w:val="28"/>
    </w:rPr>
  </w:style>
  <w:style w:type="paragraph" w:customStyle="1" w:styleId="30">
    <w:name w:val="表格"/>
    <w:basedOn w:val="1"/>
    <w:qFormat/>
    <w:locked/>
    <w:uiPriority w:val="0"/>
    <w:pPr>
      <w:spacing w:line="240" w:lineRule="auto"/>
      <w:ind w:firstLine="0" w:firstLineChars="0"/>
    </w:pPr>
    <w:rPr>
      <w:rFonts w:ascii="Times New Roman" w:hAnsi="Times New Roman" w:eastAsia="宋体"/>
      <w:bCs/>
      <w:color w:val="auto"/>
      <w:szCs w:val="18"/>
    </w:rPr>
  </w:style>
  <w:style w:type="character" w:customStyle="1" w:styleId="31">
    <w:name w:val="heading 1 Char"/>
    <w:link w:val="3"/>
    <w:autoRedefine/>
    <w:qFormat/>
    <w:uiPriority w:val="0"/>
    <w:rPr>
      <w:rFonts w:ascii="Times New Roman" w:hAnsi="Times New Roman" w:eastAsia="宋体" w:cs="等线 Light"/>
      <w:b/>
      <w:snapToGrid w:val="0"/>
      <w:kern w:val="0"/>
      <w:sz w:val="44"/>
      <w:szCs w:val="44"/>
    </w:rPr>
  </w:style>
  <w:style w:type="character" w:customStyle="1" w:styleId="32">
    <w:name w:val="heading 2 Char"/>
    <w:link w:val="4"/>
    <w:autoRedefine/>
    <w:qFormat/>
    <w:uiPriority w:val="0"/>
    <w:rPr>
      <w:rFonts w:ascii="Times New Roman" w:hAnsi="Times New Roman" w:eastAsia="宋体" w:cstheme="majorBidi"/>
      <w:b/>
      <w:bCs/>
      <w:snapToGrid w:val="0"/>
      <w:szCs w:val="24"/>
    </w:rPr>
  </w:style>
  <w:style w:type="character" w:customStyle="1" w:styleId="33">
    <w:name w:val="heading 3 Char"/>
    <w:link w:val="5"/>
    <w:autoRedefine/>
    <w:qFormat/>
    <w:uiPriority w:val="0"/>
    <w:rPr>
      <w:b/>
      <w:bCs/>
      <w:szCs w:val="32"/>
    </w:rPr>
  </w:style>
  <w:style w:type="character" w:customStyle="1" w:styleId="34">
    <w:name w:val="heading 4 Char"/>
    <w:link w:val="6"/>
    <w:autoRedefine/>
    <w:qFormat/>
    <w:uiPriority w:val="0"/>
    <w:rPr>
      <w:rFonts w:cs="Times New Roman"/>
      <w:bCs/>
      <w:szCs w:val="28"/>
    </w:rPr>
  </w:style>
  <w:style w:type="character" w:customStyle="1" w:styleId="35">
    <w:name w:val="heading 5 Char"/>
    <w:link w:val="7"/>
    <w:autoRedefine/>
    <w:qFormat/>
    <w:uiPriority w:val="0"/>
    <w:rPr>
      <w:rFonts w:ascii="Times New Roman" w:hAnsi="Times New Roman" w:eastAsia="宋体"/>
      <w:b/>
      <w:sz w:val="28"/>
    </w:rPr>
  </w:style>
  <w:style w:type="character" w:customStyle="1" w:styleId="36">
    <w:name w:val="heading 6 Char"/>
    <w:link w:val="8"/>
    <w:autoRedefine/>
    <w:qFormat/>
    <w:uiPriority w:val="0"/>
    <w:rPr>
      <w:rFonts w:ascii="Times New Roman" w:hAnsi="Times New Roman" w:eastAsia="黑体"/>
      <w:b/>
    </w:rPr>
  </w:style>
  <w:style w:type="paragraph" w:customStyle="1" w:styleId="37">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38">
    <w:name w:val="标题2（无级别）"/>
    <w:basedOn w:val="1"/>
    <w:next w:val="1"/>
    <w:link w:val="40"/>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39">
    <w:name w:val="标题3（无级别）"/>
    <w:basedOn w:val="1"/>
    <w:next w:val="1"/>
    <w:qFormat/>
    <w:locked/>
    <w:uiPriority w:val="0"/>
    <w:pPr>
      <w:outlineLvl w:val="9"/>
    </w:pPr>
    <w:rPr>
      <w:rFonts w:hint="eastAsia" w:ascii="Times New Roman" w:hAnsi="Times New Roman"/>
      <w:b/>
      <w:bCs/>
      <w:sz w:val="21"/>
      <w:szCs w:val="32"/>
    </w:rPr>
  </w:style>
  <w:style w:type="character" w:customStyle="1" w:styleId="40">
    <w:name w:val="标题2（无级别） Char"/>
    <w:link w:val="38"/>
    <w:qFormat/>
    <w:uiPriority w:val="0"/>
    <w:rPr>
      <w:rFonts w:hint="eastAsia" w:ascii="Times New Roman" w:hAnsi="Times New Roman" w:eastAsia="宋体" w:cstheme="majorBidi"/>
      <w:b/>
      <w:bCs/>
      <w:snapToGrid w:val="0"/>
      <w:szCs w:val="24"/>
    </w:rPr>
  </w:style>
  <w:style w:type="paragraph" w:customStyle="1" w:styleId="41">
    <w:name w:val="小五"/>
    <w:basedOn w:val="1"/>
    <w:next w:val="1"/>
    <w:qFormat/>
    <w:locked/>
    <w:uiPriority w:val="0"/>
    <w:pPr>
      <w:spacing w:line="240" w:lineRule="auto"/>
      <w:ind w:firstLine="0" w:firstLineChars="0"/>
    </w:pPr>
    <w:rPr>
      <w:rFonts w:hint="eastAsia" w:ascii="Times New Roman" w:hAnsi="Times New Roman"/>
      <w:color w:val="auto"/>
      <w:sz w:val="18"/>
      <w:szCs w:val="18"/>
      <w:lang w:bidi="ar"/>
    </w:rPr>
  </w:style>
  <w:style w:type="paragraph" w:customStyle="1" w:styleId="42">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43">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44">
    <w:name w:val="正文居中"/>
    <w:basedOn w:val="1"/>
    <w:qFormat/>
    <w:locked/>
    <w:uiPriority w:val="0"/>
    <w:pPr>
      <w:ind w:firstLine="0" w:firstLineChars="0"/>
      <w:jc w:val="center"/>
    </w:pPr>
    <w:rPr>
      <w:rFonts w:hint="eastAsia" w:ascii="Times New Roman" w:hAnsi="Times New Roman"/>
      <w:color w:val="auto"/>
    </w:rPr>
  </w:style>
  <w:style w:type="paragraph" w:customStyle="1" w:styleId="45">
    <w:name w:val="Normal_47"/>
    <w:qFormat/>
    <w:uiPriority w:val="0"/>
    <w:pPr>
      <w:spacing w:before="120" w:after="240"/>
      <w:jc w:val="both"/>
    </w:pPr>
    <w:rPr>
      <w:rFonts w:ascii="Times New Roman" w:hAnsi="Times New Roman"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2026-06-02T09:08:00Z</dcterms:created>
  <dc:creator>邹乐乐</dc:creator>
  <cp:lastModifiedBy>邹乐乐</cp:lastModifiedBy>
  <dcterms:modified xsi:type="dcterms:W3CDTF">2026-06-02T09:43:53Z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B7D9B080B5EF4E3A9287502D19611AED_11</vt:lpwstr>
  </property>
  <property fmtid="{D5CDD505-2E9C-101B-9397-08002B2CF9AE}" pid="4" name="KSOTemplateDocerSaveRecord">
    <vt:lpwstr>eyJoZGlkIjoiY2ViOGY0ZTk4ZTMzMGY2ZWU5OGM2ZTM1MzEwZjMxYTYiLCJ1c2VySWQiOiIxNjMyMTcyNjY0In0=</vt:lpwstr>
  </property>
</Properties>
</file>