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19"/>
        </w:tabs>
        <w:autoSpaceDE w:val="0"/>
        <w:autoSpaceDN w:val="0"/>
        <w:adjustRightInd w:val="0"/>
        <w:snapToGrid w:val="0"/>
        <w:spacing w:line="360" w:lineRule="auto"/>
        <w:ind w:left="1590" w:hanging="1590" w:hangingChars="495"/>
        <w:rPr>
          <w:rFonts w:hint="eastAsia" w:ascii="宋体" w:hAnsi="宋体" w:eastAsia="宋体" w:cs="宋体"/>
          <w:b/>
          <w:color w:val="auto"/>
          <w:sz w:val="32"/>
          <w:szCs w:val="32"/>
          <w:highlight w:val="none"/>
          <w:lang w:val="en-US" w:eastAsia="zh-CN"/>
        </w:rPr>
      </w:pPr>
      <w:bookmarkStart w:id="0" w:name="_Toc287620665"/>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重庆三峡银行南岸支行搬迁装修工程标段2（第二次）</w:t>
      </w:r>
    </w:p>
    <w:p>
      <w:pPr>
        <w:snapToGrid w:val="0"/>
        <w:spacing w:line="360" w:lineRule="auto"/>
        <w:rPr>
          <w:rFonts w:hint="eastAsia" w:ascii="宋体" w:hAnsi="宋体" w:eastAsia="宋体" w:cs="宋体"/>
          <w:b/>
          <w:color w:val="auto"/>
          <w:sz w:val="32"/>
          <w:szCs w:val="32"/>
          <w:highlight w:val="none"/>
          <w:lang w:eastAsia="zh-CN"/>
        </w:rPr>
      </w:pPr>
      <w:r>
        <w:rPr>
          <w:rFonts w:hint="eastAsia" w:ascii="宋体" w:hAnsi="宋体" w:cs="MingLiU"/>
          <w:b/>
          <w:color w:val="auto"/>
          <w:spacing w:val="1"/>
          <w:w w:val="99"/>
          <w:kern w:val="0"/>
          <w:sz w:val="32"/>
          <w:szCs w:val="32"/>
          <w:highlight w:val="none"/>
        </w:rPr>
        <w:t>招标编号：</w:t>
      </w:r>
      <w:r>
        <w:rPr>
          <w:rFonts w:hint="eastAsia" w:ascii="宋体" w:hAnsi="宋体" w:cs="MingLiU"/>
          <w:b/>
          <w:color w:val="auto"/>
          <w:spacing w:val="1"/>
          <w:w w:val="99"/>
          <w:kern w:val="0"/>
          <w:sz w:val="32"/>
          <w:szCs w:val="32"/>
          <w:highlight w:val="none"/>
          <w:lang w:val="en-US" w:eastAsia="zh-CN"/>
        </w:rPr>
        <w:t>ZBCG-26610889</w:t>
      </w:r>
    </w:p>
    <w:p>
      <w:pPr>
        <w:spacing w:line="360" w:lineRule="auto"/>
        <w:rPr>
          <w:rFonts w:hint="eastAsia" w:ascii="宋体" w:hAnsi="宋体" w:cs="宋体"/>
          <w:b/>
          <w:bCs/>
          <w:color w:val="auto"/>
          <w:sz w:val="32"/>
          <w:szCs w:val="32"/>
          <w:highlight w:val="none"/>
        </w:rPr>
      </w:pPr>
    </w:p>
    <w:p>
      <w:pPr>
        <w:spacing w:line="360" w:lineRule="auto"/>
        <w:rPr>
          <w:rFonts w:hint="eastAsia" w:ascii="宋体" w:hAnsi="宋体" w:cs="宋体"/>
          <w:b/>
          <w:bCs/>
          <w:color w:val="auto"/>
          <w:sz w:val="32"/>
          <w:szCs w:val="32"/>
          <w:highlight w:val="none"/>
        </w:rPr>
      </w:pPr>
    </w:p>
    <w:p>
      <w:pPr>
        <w:autoSpaceDE w:val="0"/>
        <w:autoSpaceDN w:val="0"/>
        <w:adjustRightInd w:val="0"/>
        <w:snapToGrid w:val="0"/>
        <w:spacing w:line="360" w:lineRule="auto"/>
        <w:jc w:val="center"/>
        <w:rPr>
          <w:rFonts w:hint="eastAsia" w:ascii="宋体" w:hAnsi="宋体" w:cs="MingLiU"/>
          <w:b/>
          <w:color w:val="auto"/>
          <w:kern w:val="0"/>
          <w:sz w:val="84"/>
          <w:szCs w:val="44"/>
          <w:highlight w:val="none"/>
        </w:rPr>
      </w:pPr>
      <w:r>
        <w:rPr>
          <w:rFonts w:hint="eastAsia" w:ascii="宋体" w:hAnsi="宋体" w:cs="MingLiU"/>
          <w:b/>
          <w:color w:val="auto"/>
          <w:kern w:val="0"/>
          <w:sz w:val="84"/>
          <w:szCs w:val="44"/>
          <w:highlight w:val="none"/>
        </w:rPr>
        <w:t>招　标　文　件</w:t>
      </w:r>
    </w:p>
    <w:p>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pPr>
        <w:autoSpaceDE w:val="0"/>
        <w:autoSpaceDN w:val="0"/>
        <w:adjustRightInd w:val="0"/>
        <w:snapToGrid w:val="0"/>
        <w:spacing w:line="360" w:lineRule="auto"/>
        <w:jc w:val="center"/>
        <w:rPr>
          <w:rFonts w:hint="eastAsia" w:ascii="宋体" w:hAnsi="宋体" w:cs="宋体"/>
          <w:color w:val="auto"/>
          <w:sz w:val="32"/>
          <w:szCs w:val="32"/>
          <w:highlight w:val="none"/>
        </w:rPr>
      </w:pPr>
      <w:r>
        <w:rPr>
          <w:rFonts w:ascii="宋体" w:hAnsi="宋体"/>
          <w:color w:val="auto"/>
          <w:sz w:val="36"/>
          <w:szCs w:val="36"/>
          <w:highlight w:val="none"/>
        </w:rPr>
        <w:drawing>
          <wp:inline distT="0" distB="0" distL="114300" distR="114300">
            <wp:extent cx="1609090" cy="972820"/>
            <wp:effectExtent l="0" t="0" r="10160" b="17780"/>
            <wp:docPr id="1" name="图片 6" descr="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说明: 招采LOGO"/>
                    <pic:cNvPicPr>
                      <a:picLocks noChangeAspect="1"/>
                    </pic:cNvPicPr>
                  </pic:nvPicPr>
                  <pic:blipFill>
                    <a:blip r:embed="rId12"/>
                    <a:stretch>
                      <a:fillRect/>
                    </a:stretch>
                  </pic:blipFill>
                  <pic:spPr>
                    <a:xfrm>
                      <a:off x="0" y="0"/>
                      <a:ext cx="1609090" cy="972820"/>
                    </a:xfrm>
                    <a:prstGeom prst="rect">
                      <a:avLst/>
                    </a:prstGeom>
                    <a:noFill/>
                    <a:ln>
                      <a:noFill/>
                    </a:ln>
                  </pic:spPr>
                </pic:pic>
              </a:graphicData>
            </a:graphic>
          </wp:inline>
        </w:drawing>
      </w:r>
    </w:p>
    <w:p>
      <w:pPr>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p>
    <w:p>
      <w:pPr>
        <w:spacing w:after="120" w:line="360" w:lineRule="auto"/>
        <w:rPr>
          <w:rFonts w:hint="eastAsia" w:ascii="宋体" w:hAnsi="宋体"/>
          <w:color w:val="auto"/>
          <w:sz w:val="32"/>
          <w:szCs w:val="32"/>
          <w:highlight w:val="none"/>
        </w:rPr>
      </w:pPr>
    </w:p>
    <w:p>
      <w:pPr>
        <w:spacing w:after="120" w:line="360" w:lineRule="auto"/>
        <w:rPr>
          <w:rFonts w:hint="eastAsia" w:ascii="宋体" w:hAnsi="宋体"/>
          <w:color w:val="auto"/>
          <w:sz w:val="32"/>
          <w:szCs w:val="32"/>
          <w:highlight w:val="none"/>
        </w:rPr>
      </w:pPr>
    </w:p>
    <w:p>
      <w:pPr>
        <w:spacing w:after="120" w:line="360" w:lineRule="auto"/>
        <w:rPr>
          <w:rFonts w:hint="eastAsia" w:ascii="宋体" w:hAnsi="宋体"/>
          <w:color w:val="auto"/>
          <w:sz w:val="32"/>
          <w:szCs w:val="32"/>
          <w:highlight w:val="none"/>
        </w:rPr>
      </w:pPr>
    </w:p>
    <w:p>
      <w:pPr>
        <w:spacing w:after="120" w:line="360" w:lineRule="auto"/>
        <w:rPr>
          <w:rFonts w:hint="eastAsia" w:ascii="宋体" w:hAnsi="宋体"/>
          <w:color w:val="auto"/>
          <w:sz w:val="32"/>
          <w:szCs w:val="32"/>
          <w:highlight w:val="none"/>
        </w:rPr>
      </w:pPr>
    </w:p>
    <w:p>
      <w:pPr>
        <w:snapToGrid w:val="0"/>
        <w:spacing w:line="360" w:lineRule="auto"/>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 xml:space="preserve">招 </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 xml:space="preserve">标 </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人：</w:t>
      </w:r>
      <w:r>
        <w:rPr>
          <w:rFonts w:hint="eastAsia" w:ascii="宋体" w:hAnsi="宋体" w:cs="宋体"/>
          <w:b/>
          <w:color w:val="auto"/>
          <w:sz w:val="32"/>
          <w:szCs w:val="32"/>
          <w:highlight w:val="none"/>
          <w:u w:val="single"/>
        </w:rPr>
        <w:t>重庆三峡银行股份有限公司（单位法人章）</w:t>
      </w:r>
    </w:p>
    <w:p>
      <w:pPr>
        <w:tabs>
          <w:tab w:val="left" w:pos="6219"/>
        </w:tabs>
        <w:autoSpaceDE w:val="0"/>
        <w:autoSpaceDN w:val="0"/>
        <w:adjustRightInd w:val="0"/>
        <w:snapToGrid w:val="0"/>
        <w:spacing w:line="360" w:lineRule="auto"/>
        <w:jc w:val="left"/>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招标代理机构：</w:t>
      </w:r>
      <w:r>
        <w:rPr>
          <w:rFonts w:hint="eastAsia" w:ascii="宋体" w:hAnsi="宋体" w:cs="宋体"/>
          <w:b/>
          <w:color w:val="auto"/>
          <w:sz w:val="32"/>
          <w:szCs w:val="32"/>
          <w:highlight w:val="none"/>
          <w:u w:val="single"/>
        </w:rPr>
        <w:t>重庆招标采购（集团）有限责任公司（单位法人章）</w:t>
      </w:r>
    </w:p>
    <w:p>
      <w:pPr>
        <w:spacing w:line="360" w:lineRule="auto"/>
        <w:jc w:val="center"/>
        <w:rPr>
          <w:rFonts w:hint="eastAsia" w:ascii="宋体" w:hAnsi="宋体" w:cs="宋体"/>
          <w:b/>
          <w:color w:val="auto"/>
          <w:sz w:val="32"/>
          <w:szCs w:val="32"/>
          <w:highlight w:val="none"/>
        </w:rPr>
      </w:pPr>
    </w:p>
    <w:p>
      <w:pPr>
        <w:spacing w:line="360" w:lineRule="auto"/>
        <w:jc w:val="center"/>
        <w:rPr>
          <w:rFonts w:hint="eastAsia" w:ascii="宋体" w:hAnsi="宋体"/>
          <w:color w:val="auto"/>
          <w:kern w:val="0"/>
          <w:position w:val="-5"/>
          <w:sz w:val="36"/>
          <w:szCs w:val="36"/>
          <w:highlight w:val="none"/>
        </w:rPr>
        <w:sectPr>
          <w:footerReference r:id="rId6" w:type="first"/>
          <w:headerReference r:id="rId3" w:type="default"/>
          <w:footerReference r:id="rId4" w:type="default"/>
          <w:footerReference r:id="rId5" w:type="even"/>
          <w:pgSz w:w="11907" w:h="16840"/>
          <w:pgMar w:top="1304" w:right="1134" w:bottom="1304" w:left="1304" w:header="851" w:footer="992" w:gutter="0"/>
          <w:pgNumType w:fmt="decimal" w:start="1"/>
          <w:cols w:space="720" w:num="1"/>
          <w:docGrid w:linePitch="312" w:charSpace="0"/>
        </w:sectPr>
      </w:pPr>
      <w:r>
        <w:rPr>
          <w:rFonts w:hint="eastAsia" w:ascii="宋体" w:hAnsi="宋体" w:cs="宋体"/>
          <w:b/>
          <w:color w:val="auto"/>
          <w:sz w:val="32"/>
          <w:szCs w:val="32"/>
          <w:highlight w:val="none"/>
        </w:rPr>
        <w:t>二〇二</w:t>
      </w:r>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五</w:t>
      </w:r>
      <w:r>
        <w:rPr>
          <w:rFonts w:hint="eastAsia" w:ascii="宋体" w:hAnsi="宋体" w:cs="宋体"/>
          <w:b/>
          <w:color w:val="auto"/>
          <w:sz w:val="32"/>
          <w:szCs w:val="32"/>
          <w:highlight w:val="none"/>
        </w:rPr>
        <w:t>月</w:t>
      </w:r>
    </w:p>
    <w:p>
      <w:pPr>
        <w:pStyle w:val="118"/>
        <w:jc w:val="center"/>
        <w:rPr>
          <w:rFonts w:hint="eastAsia" w:ascii="宋体" w:hAnsi="宋体"/>
          <w:color w:val="auto"/>
          <w:sz w:val="44"/>
          <w:szCs w:val="44"/>
          <w:highlight w:val="none"/>
        </w:rPr>
      </w:pPr>
      <w:bookmarkStart w:id="1" w:name="_Toc28843"/>
      <w:bookmarkStart w:id="2"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1"/>
      <w:bookmarkEnd w:id="2"/>
    </w:p>
    <w:p>
      <w:pPr>
        <w:pStyle w:val="31"/>
        <w:tabs>
          <w:tab w:val="right" w:leader="dot" w:pos="9469"/>
        </w:tabs>
        <w:rPr>
          <w:color w:val="auto"/>
          <w:highlight w:val="none"/>
        </w:rPr>
      </w:pPr>
      <w:r>
        <w:rPr>
          <w:rFonts w:ascii="宋体" w:hAnsi="宋体"/>
          <w:i w:val="0"/>
          <w:iCs w:val="0"/>
          <w:color w:val="auto"/>
          <w:highlight w:val="none"/>
        </w:rPr>
        <w:fldChar w:fldCharType="begin"/>
      </w:r>
      <w:r>
        <w:rPr>
          <w:rFonts w:ascii="宋体" w:hAnsi="宋体"/>
          <w:i w:val="0"/>
          <w:iCs w:val="0"/>
          <w:color w:val="auto"/>
          <w:highlight w:val="none"/>
        </w:rPr>
        <w:instrText xml:space="preserve"> TOC \o "1-3" \h \z \u </w:instrText>
      </w:r>
      <w:r>
        <w:rPr>
          <w:rFonts w:ascii="宋体" w:hAnsi="宋体"/>
          <w:i w:val="0"/>
          <w:iCs w:val="0"/>
          <w:color w:val="auto"/>
          <w:highlight w:val="none"/>
        </w:rPr>
        <w:fldChar w:fldCharType="separate"/>
      </w:r>
      <w:r>
        <w:rPr>
          <w:rFonts w:ascii="宋体" w:hAnsi="宋体"/>
          <w:i w:val="0"/>
          <w:iCs w:val="0"/>
          <w:color w:val="auto"/>
          <w:highlight w:val="none"/>
        </w:rPr>
        <w:fldChar w:fldCharType="begin"/>
      </w:r>
      <w:r>
        <w:rPr>
          <w:rFonts w:ascii="宋体" w:hAnsi="宋体"/>
          <w:i w:val="0"/>
          <w:iCs w:val="0"/>
          <w:color w:val="auto"/>
          <w:highlight w:val="none"/>
        </w:rPr>
        <w:instrText xml:space="preserve"> HYPERLINK \l _Toc7468 </w:instrText>
      </w:r>
      <w:r>
        <w:rPr>
          <w:rFonts w:ascii="宋体" w:hAnsi="宋体"/>
          <w:i w:val="0"/>
          <w:iCs w:val="0"/>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_Toc7468 \h </w:instrText>
      </w:r>
      <w:r>
        <w:rPr>
          <w:color w:val="auto"/>
          <w:highlight w:val="none"/>
        </w:rPr>
        <w:fldChar w:fldCharType="separate"/>
      </w:r>
      <w:r>
        <w:rPr>
          <w:color w:val="auto"/>
          <w:highlight w:val="none"/>
        </w:rPr>
        <w:t>3</w:t>
      </w:r>
      <w:r>
        <w:rPr>
          <w:color w:val="auto"/>
          <w:highlight w:val="none"/>
        </w:rPr>
        <w:fldChar w:fldCharType="end"/>
      </w:r>
      <w:r>
        <w:rPr>
          <w:rFonts w:ascii="宋体" w:hAnsi="宋体"/>
          <w:i w:val="0"/>
          <w:iCs w:val="0"/>
          <w:color w:val="auto"/>
          <w:highlight w:val="none"/>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_Toc14678 </w:instrText>
      </w:r>
      <w:r>
        <w:rPr>
          <w:rFonts w:ascii="宋体" w:hAnsi="宋体"/>
          <w:bCs/>
          <w:i w:val="0"/>
          <w:iCs w:val="0"/>
          <w:color w:val="auto"/>
          <w:szCs w:val="20"/>
          <w:highlight w:val="none"/>
          <w:lang w:val="zh-CN"/>
        </w:rPr>
        <w:fldChar w:fldCharType="separate"/>
      </w:r>
      <w:r>
        <w:rPr>
          <w:rFonts w:ascii="宋体" w:hAnsi="宋体"/>
          <w:snapToGrid w:val="0"/>
          <w:color w:val="auto"/>
          <w:kern w:val="0"/>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_Toc14678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_Toc31669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1. </w:t>
      </w:r>
      <w:r>
        <w:rPr>
          <w:rFonts w:hint="eastAsia" w:ascii="宋体" w:hAnsi="宋体"/>
          <w:snapToGrid w:val="0"/>
          <w:color w:val="auto"/>
          <w:szCs w:val="28"/>
          <w:highlight w:val="none"/>
        </w:rPr>
        <w:t xml:space="preserve"> </w:t>
      </w:r>
      <w:r>
        <w:rPr>
          <w:rFonts w:ascii="宋体" w:hAnsi="宋体"/>
          <w:snapToGrid w:val="0"/>
          <w:color w:val="auto"/>
          <w:szCs w:val="28"/>
          <w:highlight w:val="none"/>
        </w:rPr>
        <w:t>招标条件</w:t>
      </w:r>
      <w:r>
        <w:rPr>
          <w:color w:val="auto"/>
          <w:highlight w:val="none"/>
        </w:rPr>
        <w:tab/>
      </w:r>
      <w:r>
        <w:rPr>
          <w:color w:val="auto"/>
          <w:highlight w:val="none"/>
        </w:rPr>
        <w:fldChar w:fldCharType="begin"/>
      </w:r>
      <w:r>
        <w:rPr>
          <w:color w:val="auto"/>
          <w:highlight w:val="none"/>
        </w:rPr>
        <w:instrText xml:space="preserve"> PAGEREF _Toc31669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_Toc27951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2.</w:t>
      </w:r>
      <w:r>
        <w:rPr>
          <w:rFonts w:hint="eastAsia" w:ascii="宋体" w:hAnsi="宋体"/>
          <w:snapToGrid w:val="0"/>
          <w:color w:val="auto"/>
          <w:szCs w:val="28"/>
          <w:highlight w:val="none"/>
        </w:rPr>
        <w:t xml:space="preserve"> </w:t>
      </w:r>
      <w:r>
        <w:rPr>
          <w:rFonts w:ascii="宋体" w:hAnsi="宋体"/>
          <w:snapToGrid w:val="0"/>
          <w:color w:val="auto"/>
          <w:szCs w:val="28"/>
          <w:highlight w:val="none"/>
        </w:rPr>
        <w:t xml:space="preserve"> 项目概况与招标范围</w:t>
      </w:r>
      <w:r>
        <w:rPr>
          <w:color w:val="auto"/>
          <w:highlight w:val="none"/>
        </w:rPr>
        <w:tab/>
      </w:r>
      <w:r>
        <w:rPr>
          <w:color w:val="auto"/>
          <w:highlight w:val="none"/>
        </w:rPr>
        <w:fldChar w:fldCharType="begin"/>
      </w:r>
      <w:r>
        <w:rPr>
          <w:color w:val="auto"/>
          <w:highlight w:val="none"/>
        </w:rPr>
        <w:instrText xml:space="preserve"> PAGEREF _Toc27951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_Toc14187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3. </w:t>
      </w:r>
      <w:r>
        <w:rPr>
          <w:rFonts w:hint="eastAsia" w:ascii="宋体" w:hAnsi="宋体"/>
          <w:snapToGrid w:val="0"/>
          <w:color w:val="auto"/>
          <w:szCs w:val="28"/>
          <w:highlight w:val="none"/>
        </w:rPr>
        <w:t xml:space="preserve"> </w:t>
      </w:r>
      <w:r>
        <w:rPr>
          <w:rFonts w:ascii="宋体" w:hAnsi="宋体"/>
          <w:snapToGrid w:val="0"/>
          <w:color w:val="auto"/>
          <w:szCs w:val="28"/>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_Toc14187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_Toc25449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4. </w:t>
      </w:r>
      <w:r>
        <w:rPr>
          <w:rFonts w:hint="eastAsia" w:ascii="宋体" w:hAnsi="宋体"/>
          <w:snapToGrid w:val="0"/>
          <w:color w:val="auto"/>
          <w:szCs w:val="28"/>
          <w:highlight w:val="none"/>
        </w:rPr>
        <w:t xml:space="preserve"> </w:t>
      </w:r>
      <w:r>
        <w:rPr>
          <w:rFonts w:ascii="宋体" w:hAnsi="宋体"/>
          <w:snapToGrid w:val="0"/>
          <w:color w:val="auto"/>
          <w:szCs w:val="28"/>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_Toc25449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_Toc19273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5. </w:t>
      </w:r>
      <w:r>
        <w:rPr>
          <w:rFonts w:hint="eastAsia" w:ascii="宋体" w:hAnsi="宋体"/>
          <w:snapToGrid w:val="0"/>
          <w:color w:val="auto"/>
          <w:szCs w:val="28"/>
          <w:highlight w:val="none"/>
        </w:rPr>
        <w:t xml:space="preserve"> </w:t>
      </w:r>
      <w:r>
        <w:rPr>
          <w:rFonts w:ascii="宋体" w:hAnsi="宋体"/>
          <w:snapToGrid w:val="0"/>
          <w:color w:val="auto"/>
          <w:szCs w:val="28"/>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_Toc19273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_Toc27725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6. </w:t>
      </w:r>
      <w:r>
        <w:rPr>
          <w:rFonts w:hint="eastAsia" w:ascii="宋体" w:hAnsi="宋体"/>
          <w:snapToGrid w:val="0"/>
          <w:color w:val="auto"/>
          <w:szCs w:val="28"/>
          <w:highlight w:val="none"/>
        </w:rPr>
        <w:t xml:space="preserve"> </w:t>
      </w:r>
      <w:r>
        <w:rPr>
          <w:rFonts w:ascii="宋体" w:hAnsi="宋体"/>
          <w:snapToGrid w:val="0"/>
          <w:color w:val="auto"/>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_Toc27725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_Toc27334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rPr>
        <w:t>7</w:t>
      </w:r>
      <w:r>
        <w:rPr>
          <w:rFonts w:ascii="宋体" w:hAnsi="宋体"/>
          <w:snapToGrid w:val="0"/>
          <w:color w:val="auto"/>
          <w:szCs w:val="28"/>
          <w:highlight w:val="none"/>
        </w:rPr>
        <w:t xml:space="preserve">. </w:t>
      </w:r>
      <w:r>
        <w:rPr>
          <w:rFonts w:hint="eastAsia" w:ascii="宋体" w:hAnsi="宋体"/>
          <w:snapToGrid w:val="0"/>
          <w:color w:val="auto"/>
          <w:szCs w:val="28"/>
          <w:highlight w:val="none"/>
        </w:rPr>
        <w:t xml:space="preserve"> </w:t>
      </w:r>
      <w:r>
        <w:rPr>
          <w:rFonts w:ascii="宋体" w:hAnsi="宋体"/>
          <w:snapToGrid w:val="0"/>
          <w:color w:val="auto"/>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_Toc27334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_Toc18558 </w:instrText>
      </w:r>
      <w:r>
        <w:rPr>
          <w:rFonts w:ascii="宋体" w:hAnsi="宋体"/>
          <w:bCs/>
          <w:i w:val="0"/>
          <w:iCs w:val="0"/>
          <w:color w:val="auto"/>
          <w:szCs w:val="20"/>
          <w:highlight w:val="none"/>
          <w:lang w:val="zh-CN"/>
        </w:rPr>
        <w:fldChar w:fldCharType="separate"/>
      </w:r>
      <w:r>
        <w:rPr>
          <w:rFonts w:ascii="宋体" w:hAnsi="宋体"/>
          <w:snapToGrid w:val="0"/>
          <w:color w:val="auto"/>
          <w:kern w:val="0"/>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_Toc18558 \h </w:instrText>
      </w:r>
      <w:r>
        <w:rPr>
          <w:color w:val="auto"/>
          <w:highlight w:val="none"/>
        </w:rPr>
        <w:fldChar w:fldCharType="separate"/>
      </w:r>
      <w:r>
        <w:rPr>
          <w:color w:val="auto"/>
          <w:highlight w:val="none"/>
        </w:rPr>
        <w:t>7</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_Toc27352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_Toc27352 \h </w:instrText>
      </w:r>
      <w:r>
        <w:rPr>
          <w:color w:val="auto"/>
          <w:highlight w:val="none"/>
        </w:rPr>
        <w:fldChar w:fldCharType="separate"/>
      </w:r>
      <w:r>
        <w:rPr>
          <w:color w:val="auto"/>
          <w:highlight w:val="none"/>
        </w:rPr>
        <w:t>7</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_Toc15481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_Toc15481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_Toc7166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  项目概况</w:t>
      </w:r>
      <w:r>
        <w:rPr>
          <w:color w:val="auto"/>
          <w:highlight w:val="none"/>
        </w:rPr>
        <w:tab/>
      </w:r>
      <w:r>
        <w:rPr>
          <w:color w:val="auto"/>
          <w:highlight w:val="none"/>
        </w:rPr>
        <w:fldChar w:fldCharType="begin"/>
      </w:r>
      <w:r>
        <w:rPr>
          <w:color w:val="auto"/>
          <w:highlight w:val="none"/>
        </w:rPr>
        <w:instrText xml:space="preserve"> PAGEREF _Toc7166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_Toc17634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_Toc17634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_Toc26060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1.3  招标范围、计划工期和质量要求</w:t>
      </w:r>
      <w:r>
        <w:rPr>
          <w:color w:val="auto"/>
          <w:highlight w:val="none"/>
        </w:rPr>
        <w:tab/>
      </w:r>
      <w:r>
        <w:rPr>
          <w:color w:val="auto"/>
          <w:highlight w:val="none"/>
        </w:rPr>
        <w:fldChar w:fldCharType="begin"/>
      </w:r>
      <w:r>
        <w:rPr>
          <w:color w:val="auto"/>
          <w:highlight w:val="none"/>
        </w:rPr>
        <w:instrText xml:space="preserve"> PAGEREF _Toc26060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_Toc6782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_Toc6782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_Toc14212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1.5  费用承担</w:t>
      </w:r>
      <w:r>
        <w:rPr>
          <w:color w:val="auto"/>
          <w:highlight w:val="none"/>
        </w:rPr>
        <w:tab/>
      </w:r>
      <w:r>
        <w:rPr>
          <w:color w:val="auto"/>
          <w:highlight w:val="none"/>
        </w:rPr>
        <w:fldChar w:fldCharType="begin"/>
      </w:r>
      <w:r>
        <w:rPr>
          <w:color w:val="auto"/>
          <w:highlight w:val="none"/>
        </w:rPr>
        <w:instrText xml:space="preserve"> PAGEREF _Toc14212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_Toc27345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1.6  保密</w:t>
      </w:r>
      <w:r>
        <w:rPr>
          <w:color w:val="auto"/>
          <w:highlight w:val="none"/>
        </w:rPr>
        <w:tab/>
      </w:r>
      <w:r>
        <w:rPr>
          <w:color w:val="auto"/>
          <w:highlight w:val="none"/>
        </w:rPr>
        <w:fldChar w:fldCharType="begin"/>
      </w:r>
      <w:r>
        <w:rPr>
          <w:color w:val="auto"/>
          <w:highlight w:val="none"/>
        </w:rPr>
        <w:instrText xml:space="preserve"> PAGEREF _Toc27345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_Toc16061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1.7  语言文字</w:t>
      </w:r>
      <w:r>
        <w:rPr>
          <w:color w:val="auto"/>
          <w:highlight w:val="none"/>
        </w:rPr>
        <w:tab/>
      </w:r>
      <w:r>
        <w:rPr>
          <w:color w:val="auto"/>
          <w:highlight w:val="none"/>
        </w:rPr>
        <w:fldChar w:fldCharType="begin"/>
      </w:r>
      <w:r>
        <w:rPr>
          <w:color w:val="auto"/>
          <w:highlight w:val="none"/>
        </w:rPr>
        <w:instrText xml:space="preserve"> PAGEREF _Toc16061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_Toc4779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1.8  计量单位</w:t>
      </w:r>
      <w:r>
        <w:rPr>
          <w:color w:val="auto"/>
          <w:highlight w:val="none"/>
        </w:rPr>
        <w:tab/>
      </w:r>
      <w:r>
        <w:rPr>
          <w:color w:val="auto"/>
          <w:highlight w:val="none"/>
        </w:rPr>
        <w:fldChar w:fldCharType="begin"/>
      </w:r>
      <w:r>
        <w:rPr>
          <w:color w:val="auto"/>
          <w:highlight w:val="none"/>
        </w:rPr>
        <w:instrText xml:space="preserve"> PAGEREF _Toc4779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_Toc7227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1.9  踏勘现场</w:t>
      </w:r>
      <w:r>
        <w:rPr>
          <w:color w:val="auto"/>
          <w:highlight w:val="none"/>
        </w:rPr>
        <w:tab/>
      </w:r>
      <w:r>
        <w:rPr>
          <w:color w:val="auto"/>
          <w:highlight w:val="none"/>
        </w:rPr>
        <w:fldChar w:fldCharType="begin"/>
      </w:r>
      <w:r>
        <w:rPr>
          <w:color w:val="auto"/>
          <w:highlight w:val="none"/>
        </w:rPr>
        <w:instrText xml:space="preserve"> PAGEREF _Toc7227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_Toc21041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1.10  投标预备会</w:t>
      </w:r>
      <w:r>
        <w:rPr>
          <w:color w:val="auto"/>
          <w:highlight w:val="none"/>
        </w:rPr>
        <w:tab/>
      </w:r>
      <w:r>
        <w:rPr>
          <w:color w:val="auto"/>
          <w:highlight w:val="none"/>
        </w:rPr>
        <w:fldChar w:fldCharType="begin"/>
      </w:r>
      <w:r>
        <w:rPr>
          <w:color w:val="auto"/>
          <w:highlight w:val="none"/>
        </w:rPr>
        <w:instrText xml:space="preserve"> PAGEREF _Toc21041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_Toc20558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1.11  分包</w:t>
      </w:r>
      <w:r>
        <w:rPr>
          <w:color w:val="auto"/>
          <w:highlight w:val="none"/>
        </w:rPr>
        <w:tab/>
      </w:r>
      <w:r>
        <w:rPr>
          <w:color w:val="auto"/>
          <w:highlight w:val="none"/>
        </w:rPr>
        <w:fldChar w:fldCharType="begin"/>
      </w:r>
      <w:r>
        <w:rPr>
          <w:color w:val="auto"/>
          <w:highlight w:val="none"/>
        </w:rPr>
        <w:instrText xml:space="preserve"> PAGEREF _Toc20558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_Toc28199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1.12  偏离</w:t>
      </w:r>
      <w:r>
        <w:rPr>
          <w:color w:val="auto"/>
          <w:highlight w:val="none"/>
        </w:rPr>
        <w:tab/>
      </w:r>
      <w:r>
        <w:rPr>
          <w:color w:val="auto"/>
          <w:highlight w:val="none"/>
        </w:rPr>
        <w:fldChar w:fldCharType="begin"/>
      </w:r>
      <w:r>
        <w:rPr>
          <w:color w:val="auto"/>
          <w:highlight w:val="none"/>
        </w:rPr>
        <w:instrText xml:space="preserve"> PAGEREF _Toc28199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_Toc9086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_Toc9086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_Toc4225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_Toc4225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_Toc13650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_Toc13650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_Toc2693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_Toc2693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_Toc27237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_Toc27237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_Toc27916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_Toc27916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_Toc31796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3.2  投标报价</w:t>
      </w:r>
      <w:r>
        <w:rPr>
          <w:color w:val="auto"/>
          <w:highlight w:val="none"/>
        </w:rPr>
        <w:tab/>
      </w:r>
      <w:r>
        <w:rPr>
          <w:color w:val="auto"/>
          <w:highlight w:val="none"/>
        </w:rPr>
        <w:fldChar w:fldCharType="begin"/>
      </w:r>
      <w:r>
        <w:rPr>
          <w:color w:val="auto"/>
          <w:highlight w:val="none"/>
        </w:rPr>
        <w:instrText xml:space="preserve"> PAGEREF _Toc31796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_Toc20376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3.3  投标有效期</w:t>
      </w:r>
      <w:r>
        <w:rPr>
          <w:color w:val="auto"/>
          <w:highlight w:val="none"/>
        </w:rPr>
        <w:tab/>
      </w:r>
      <w:r>
        <w:rPr>
          <w:color w:val="auto"/>
          <w:highlight w:val="none"/>
        </w:rPr>
        <w:fldChar w:fldCharType="begin"/>
      </w:r>
      <w:r>
        <w:rPr>
          <w:color w:val="auto"/>
          <w:highlight w:val="none"/>
        </w:rPr>
        <w:instrText xml:space="preserve"> PAGEREF _Toc20376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_Toc16452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3.4  投标</w:t>
      </w:r>
      <w:r>
        <w:rPr>
          <w:rFonts w:hint="eastAsia" w:ascii="宋体" w:hAnsi="宋体"/>
          <w:snapToGrid w:val="0"/>
          <w:color w:val="auto"/>
          <w:szCs w:val="24"/>
          <w:highlight w:val="none"/>
        </w:rPr>
        <w:t>保证金</w:t>
      </w:r>
      <w:r>
        <w:rPr>
          <w:color w:val="auto"/>
          <w:highlight w:val="none"/>
        </w:rPr>
        <w:tab/>
      </w:r>
      <w:r>
        <w:rPr>
          <w:color w:val="auto"/>
          <w:highlight w:val="none"/>
        </w:rPr>
        <w:fldChar w:fldCharType="begin"/>
      </w:r>
      <w:r>
        <w:rPr>
          <w:color w:val="auto"/>
          <w:highlight w:val="none"/>
        </w:rPr>
        <w:instrText xml:space="preserve"> PAGEREF _Toc16452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_Toc9570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_Toc9570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_Toc10645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_Toc10645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_Toc14217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_Toc14217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_Toc24181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_Toc24181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_Toc22024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4.1  投标文件的密封和标记</w:t>
      </w:r>
      <w:r>
        <w:rPr>
          <w:color w:val="auto"/>
          <w:highlight w:val="none"/>
        </w:rPr>
        <w:tab/>
      </w:r>
      <w:r>
        <w:rPr>
          <w:color w:val="auto"/>
          <w:highlight w:val="none"/>
        </w:rPr>
        <w:fldChar w:fldCharType="begin"/>
      </w:r>
      <w:r>
        <w:rPr>
          <w:color w:val="auto"/>
          <w:highlight w:val="none"/>
        </w:rPr>
        <w:instrText xml:space="preserve"> PAGEREF _Toc22024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_Toc20022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_Toc20022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_Toc7462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_Toc7462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_Toc19800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_Toc19800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_Toc23407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_Toc23407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_Toc13337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5.2  开标程序</w:t>
      </w:r>
      <w:r>
        <w:rPr>
          <w:color w:val="auto"/>
          <w:highlight w:val="none"/>
        </w:rPr>
        <w:tab/>
      </w:r>
      <w:r>
        <w:rPr>
          <w:color w:val="auto"/>
          <w:highlight w:val="none"/>
        </w:rPr>
        <w:fldChar w:fldCharType="begin"/>
      </w:r>
      <w:r>
        <w:rPr>
          <w:color w:val="auto"/>
          <w:highlight w:val="none"/>
        </w:rPr>
        <w:instrText xml:space="preserve"> PAGEREF _Toc13337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_Toc17533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w:t>
      </w:r>
      <w:r>
        <w:rPr>
          <w:rFonts w:hint="eastAsia" w:ascii="宋体" w:hAnsi="宋体"/>
          <w:snapToGrid w:val="0"/>
          <w:color w:val="auto"/>
          <w:szCs w:val="24"/>
          <w:highlight w:val="none"/>
        </w:rPr>
        <w:t>3</w:t>
      </w:r>
      <w:r>
        <w:rPr>
          <w:rFonts w:ascii="宋体" w:hAnsi="宋体"/>
          <w:snapToGrid w:val="0"/>
          <w:color w:val="auto"/>
          <w:szCs w:val="24"/>
          <w:highlight w:val="none"/>
        </w:rPr>
        <w:t xml:space="preserve">  </w:t>
      </w:r>
      <w:r>
        <w:rPr>
          <w:rFonts w:hint="eastAsia" w:ascii="宋体" w:hAnsi="宋体"/>
          <w:snapToGrid w:val="0"/>
          <w:color w:val="auto"/>
          <w:szCs w:val="24"/>
          <w:highlight w:val="none"/>
        </w:rPr>
        <w:t>开标异议</w:t>
      </w:r>
      <w:r>
        <w:rPr>
          <w:color w:val="auto"/>
          <w:highlight w:val="none"/>
        </w:rPr>
        <w:tab/>
      </w:r>
      <w:r>
        <w:rPr>
          <w:color w:val="auto"/>
          <w:highlight w:val="none"/>
        </w:rPr>
        <w:fldChar w:fldCharType="begin"/>
      </w:r>
      <w:r>
        <w:rPr>
          <w:color w:val="auto"/>
          <w:highlight w:val="none"/>
        </w:rPr>
        <w:instrText xml:space="preserve"> PAGEREF _Toc17533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_Toc6807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_Toc6807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_Toc16163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6.1  评标委员会</w:t>
      </w:r>
      <w:r>
        <w:rPr>
          <w:color w:val="auto"/>
          <w:highlight w:val="none"/>
        </w:rPr>
        <w:tab/>
      </w:r>
      <w:r>
        <w:rPr>
          <w:color w:val="auto"/>
          <w:highlight w:val="none"/>
        </w:rPr>
        <w:fldChar w:fldCharType="begin"/>
      </w:r>
      <w:r>
        <w:rPr>
          <w:color w:val="auto"/>
          <w:highlight w:val="none"/>
        </w:rPr>
        <w:instrText xml:space="preserve"> PAGEREF _Toc16163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_Toc26339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6.2  评标原则</w:t>
      </w:r>
      <w:r>
        <w:rPr>
          <w:color w:val="auto"/>
          <w:highlight w:val="none"/>
        </w:rPr>
        <w:tab/>
      </w:r>
      <w:r>
        <w:rPr>
          <w:color w:val="auto"/>
          <w:highlight w:val="none"/>
        </w:rPr>
        <w:fldChar w:fldCharType="begin"/>
      </w:r>
      <w:r>
        <w:rPr>
          <w:color w:val="auto"/>
          <w:highlight w:val="none"/>
        </w:rPr>
        <w:instrText xml:space="preserve"> PAGEREF _Toc26339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_Toc20906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6.3  评标</w:t>
      </w:r>
      <w:r>
        <w:rPr>
          <w:color w:val="auto"/>
          <w:highlight w:val="none"/>
        </w:rPr>
        <w:tab/>
      </w:r>
      <w:r>
        <w:rPr>
          <w:color w:val="auto"/>
          <w:highlight w:val="none"/>
        </w:rPr>
        <w:fldChar w:fldCharType="begin"/>
      </w:r>
      <w:r>
        <w:rPr>
          <w:color w:val="auto"/>
          <w:highlight w:val="none"/>
        </w:rPr>
        <w:instrText xml:space="preserve"> PAGEREF _Toc20906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_Toc17583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_Toc17583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_Toc1349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7.1  定标方式</w:t>
      </w:r>
      <w:r>
        <w:rPr>
          <w:color w:val="auto"/>
          <w:highlight w:val="none"/>
        </w:rPr>
        <w:tab/>
      </w:r>
      <w:r>
        <w:rPr>
          <w:color w:val="auto"/>
          <w:highlight w:val="none"/>
        </w:rPr>
        <w:fldChar w:fldCharType="begin"/>
      </w:r>
      <w:r>
        <w:rPr>
          <w:color w:val="auto"/>
          <w:highlight w:val="none"/>
        </w:rPr>
        <w:instrText xml:space="preserve"> PAGEREF _Toc1349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_Toc7045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7.2  中标公示及中标通知</w:t>
      </w:r>
      <w:r>
        <w:rPr>
          <w:color w:val="auto"/>
          <w:highlight w:val="none"/>
        </w:rPr>
        <w:tab/>
      </w:r>
      <w:r>
        <w:rPr>
          <w:color w:val="auto"/>
          <w:highlight w:val="none"/>
        </w:rPr>
        <w:fldChar w:fldCharType="begin"/>
      </w:r>
      <w:r>
        <w:rPr>
          <w:color w:val="auto"/>
          <w:highlight w:val="none"/>
        </w:rPr>
        <w:instrText xml:space="preserve"> PAGEREF _Toc7045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_Toc8685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7.3  履约担保</w:t>
      </w:r>
      <w:r>
        <w:rPr>
          <w:color w:val="auto"/>
          <w:highlight w:val="none"/>
        </w:rPr>
        <w:tab/>
      </w:r>
      <w:r>
        <w:rPr>
          <w:color w:val="auto"/>
          <w:highlight w:val="none"/>
        </w:rPr>
        <w:fldChar w:fldCharType="begin"/>
      </w:r>
      <w:r>
        <w:rPr>
          <w:color w:val="auto"/>
          <w:highlight w:val="none"/>
        </w:rPr>
        <w:instrText xml:space="preserve"> PAGEREF _Toc8685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_Toc32684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7.4  签订合同</w:t>
      </w:r>
      <w:r>
        <w:rPr>
          <w:color w:val="auto"/>
          <w:highlight w:val="none"/>
        </w:rPr>
        <w:tab/>
      </w:r>
      <w:r>
        <w:rPr>
          <w:color w:val="auto"/>
          <w:highlight w:val="none"/>
        </w:rPr>
        <w:fldChar w:fldCharType="begin"/>
      </w:r>
      <w:r>
        <w:rPr>
          <w:color w:val="auto"/>
          <w:highlight w:val="none"/>
        </w:rPr>
        <w:instrText xml:space="preserve"> PAGEREF _Toc32684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_Toc28219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8.  重新招标和不再招标</w:t>
      </w:r>
      <w:r>
        <w:rPr>
          <w:color w:val="auto"/>
          <w:highlight w:val="none"/>
        </w:rPr>
        <w:tab/>
      </w:r>
      <w:r>
        <w:rPr>
          <w:color w:val="auto"/>
          <w:highlight w:val="none"/>
        </w:rPr>
        <w:fldChar w:fldCharType="begin"/>
      </w:r>
      <w:r>
        <w:rPr>
          <w:color w:val="auto"/>
          <w:highlight w:val="none"/>
        </w:rPr>
        <w:instrText xml:space="preserve"> PAGEREF _Toc28219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_Toc15131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8.1  重新招标</w:t>
      </w:r>
      <w:r>
        <w:rPr>
          <w:rFonts w:hint="eastAsia" w:ascii="宋体" w:hAnsi="宋体"/>
          <w:snapToGrid w:val="0"/>
          <w:color w:val="auto"/>
          <w:szCs w:val="24"/>
          <w:highlight w:val="none"/>
        </w:rPr>
        <w:t>的情形</w:t>
      </w:r>
      <w:r>
        <w:rPr>
          <w:color w:val="auto"/>
          <w:highlight w:val="none"/>
        </w:rPr>
        <w:tab/>
      </w:r>
      <w:r>
        <w:rPr>
          <w:color w:val="auto"/>
          <w:highlight w:val="none"/>
        </w:rPr>
        <w:fldChar w:fldCharType="begin"/>
      </w:r>
      <w:r>
        <w:rPr>
          <w:color w:val="auto"/>
          <w:highlight w:val="none"/>
        </w:rPr>
        <w:instrText xml:space="preserve"> PAGEREF _Toc15131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_Toc15104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8.2  </w:t>
      </w:r>
      <w:r>
        <w:rPr>
          <w:rFonts w:hint="eastAsia" w:ascii="宋体" w:hAnsi="宋体"/>
          <w:snapToGrid w:val="0"/>
          <w:color w:val="auto"/>
          <w:szCs w:val="24"/>
          <w:highlight w:val="none"/>
        </w:rPr>
        <w:t>重新</w:t>
      </w:r>
      <w:r>
        <w:rPr>
          <w:rFonts w:ascii="宋体" w:hAnsi="宋体"/>
          <w:snapToGrid w:val="0"/>
          <w:color w:val="auto"/>
          <w:szCs w:val="24"/>
          <w:highlight w:val="none"/>
        </w:rPr>
        <w:t>招标和不再招标</w:t>
      </w:r>
      <w:r>
        <w:rPr>
          <w:color w:val="auto"/>
          <w:highlight w:val="none"/>
        </w:rPr>
        <w:tab/>
      </w:r>
      <w:r>
        <w:rPr>
          <w:color w:val="auto"/>
          <w:highlight w:val="none"/>
        </w:rPr>
        <w:fldChar w:fldCharType="begin"/>
      </w:r>
      <w:r>
        <w:rPr>
          <w:color w:val="auto"/>
          <w:highlight w:val="none"/>
        </w:rPr>
        <w:instrText xml:space="preserve"> PAGEREF _Toc15104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_Toc14131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_Toc14131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_Toc166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_Toc5396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_Toc5396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_Toc17575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_Toc17575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_Toc29126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_Toc29126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_Toc28564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9.5  投诉</w:t>
      </w:r>
      <w:r>
        <w:rPr>
          <w:color w:val="auto"/>
          <w:highlight w:val="none"/>
        </w:rPr>
        <w:tab/>
      </w:r>
      <w:r>
        <w:rPr>
          <w:color w:val="auto"/>
          <w:highlight w:val="none"/>
        </w:rPr>
        <w:fldChar w:fldCharType="begin"/>
      </w:r>
      <w:r>
        <w:rPr>
          <w:color w:val="auto"/>
          <w:highlight w:val="none"/>
        </w:rPr>
        <w:instrText xml:space="preserve"> PAGEREF _Toc28564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_Toc31892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_Toc31892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_Toc16520 </w:instrText>
      </w:r>
      <w:r>
        <w:rPr>
          <w:rFonts w:ascii="宋体" w:hAnsi="宋体"/>
          <w:bCs/>
          <w:i w:val="0"/>
          <w:iCs w:val="0"/>
          <w:color w:val="auto"/>
          <w:szCs w:val="20"/>
          <w:highlight w:val="none"/>
          <w:lang w:val="zh-CN"/>
        </w:rPr>
        <w:fldChar w:fldCharType="separate"/>
      </w:r>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_Toc16520 \h </w:instrText>
      </w:r>
      <w:r>
        <w:rPr>
          <w:color w:val="auto"/>
          <w:highlight w:val="none"/>
        </w:rPr>
        <w:fldChar w:fldCharType="separate"/>
      </w:r>
      <w:r>
        <w:rPr>
          <w:color w:val="auto"/>
          <w:highlight w:val="none"/>
        </w:rPr>
        <w:t>38</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_Toc31044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_Toc31044 \h </w:instrText>
      </w:r>
      <w:r>
        <w:rPr>
          <w:color w:val="auto"/>
          <w:highlight w:val="none"/>
        </w:rPr>
        <w:fldChar w:fldCharType="separate"/>
      </w:r>
      <w:r>
        <w:rPr>
          <w:color w:val="auto"/>
          <w:highlight w:val="none"/>
        </w:rPr>
        <w:t>38</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_Toc12536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_Toc12536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_Toc21782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_Toc21782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_Toc29757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_Toc29757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_Toc27823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_Toc27823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_Toc22615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_Toc22615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_Toc21078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3.1  初步评审</w:t>
      </w:r>
      <w:r>
        <w:rPr>
          <w:color w:val="auto"/>
          <w:highlight w:val="none"/>
        </w:rPr>
        <w:tab/>
      </w:r>
      <w:r>
        <w:rPr>
          <w:color w:val="auto"/>
          <w:highlight w:val="none"/>
        </w:rPr>
        <w:fldChar w:fldCharType="begin"/>
      </w:r>
      <w:r>
        <w:rPr>
          <w:color w:val="auto"/>
          <w:highlight w:val="none"/>
        </w:rPr>
        <w:instrText xml:space="preserve"> PAGEREF _Toc21078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_Toc14760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3.2  详细评审</w:t>
      </w:r>
      <w:r>
        <w:rPr>
          <w:color w:val="auto"/>
          <w:highlight w:val="none"/>
        </w:rPr>
        <w:tab/>
      </w:r>
      <w:r>
        <w:rPr>
          <w:color w:val="auto"/>
          <w:highlight w:val="none"/>
        </w:rPr>
        <w:fldChar w:fldCharType="begin"/>
      </w:r>
      <w:r>
        <w:rPr>
          <w:color w:val="auto"/>
          <w:highlight w:val="none"/>
        </w:rPr>
        <w:instrText xml:space="preserve"> PAGEREF _Toc14760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_Toc7986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3.3  投标文件的澄清和补正</w:t>
      </w:r>
      <w:r>
        <w:rPr>
          <w:color w:val="auto"/>
          <w:highlight w:val="none"/>
        </w:rPr>
        <w:tab/>
      </w:r>
      <w:r>
        <w:rPr>
          <w:color w:val="auto"/>
          <w:highlight w:val="none"/>
        </w:rPr>
        <w:fldChar w:fldCharType="begin"/>
      </w:r>
      <w:r>
        <w:rPr>
          <w:color w:val="auto"/>
          <w:highlight w:val="none"/>
        </w:rPr>
        <w:instrText xml:space="preserve"> PAGEREF _Toc7986 \h </w:instrText>
      </w:r>
      <w:r>
        <w:rPr>
          <w:color w:val="auto"/>
          <w:highlight w:val="none"/>
        </w:rPr>
        <w:fldChar w:fldCharType="separate"/>
      </w:r>
      <w:r>
        <w:rPr>
          <w:color w:val="auto"/>
          <w:highlight w:val="none"/>
        </w:rPr>
        <w:t>46</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_Toc2499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3.4  评标结果</w:t>
      </w:r>
      <w:r>
        <w:rPr>
          <w:color w:val="auto"/>
          <w:highlight w:val="none"/>
        </w:rPr>
        <w:tab/>
      </w:r>
      <w:r>
        <w:rPr>
          <w:color w:val="auto"/>
          <w:highlight w:val="none"/>
        </w:rPr>
        <w:fldChar w:fldCharType="begin"/>
      </w:r>
      <w:r>
        <w:rPr>
          <w:color w:val="auto"/>
          <w:highlight w:val="none"/>
        </w:rPr>
        <w:instrText xml:space="preserve"> PAGEREF _Toc2499 \h </w:instrText>
      </w:r>
      <w:r>
        <w:rPr>
          <w:color w:val="auto"/>
          <w:highlight w:val="none"/>
        </w:rPr>
        <w:fldChar w:fldCharType="separate"/>
      </w:r>
      <w:r>
        <w:rPr>
          <w:color w:val="auto"/>
          <w:highlight w:val="none"/>
        </w:rPr>
        <w:t>46</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_Toc28526 </w:instrText>
      </w:r>
      <w:r>
        <w:rPr>
          <w:rFonts w:ascii="宋体" w:hAnsi="宋体"/>
          <w:bCs/>
          <w:i w:val="0"/>
          <w:iCs w:val="0"/>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_Toc28526 \h </w:instrText>
      </w:r>
      <w:r>
        <w:rPr>
          <w:color w:val="auto"/>
          <w:highlight w:val="none"/>
        </w:rPr>
        <w:fldChar w:fldCharType="separate"/>
      </w:r>
      <w:r>
        <w:rPr>
          <w:color w:val="auto"/>
          <w:highlight w:val="none"/>
        </w:rPr>
        <w:t>50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_Toc10630 </w:instrText>
      </w:r>
      <w:r>
        <w:rPr>
          <w:rFonts w:ascii="宋体" w:hAnsi="宋体"/>
          <w:bCs/>
          <w:i w:val="0"/>
          <w:iCs w:val="0"/>
          <w:color w:val="auto"/>
          <w:szCs w:val="20"/>
          <w:highlight w:val="none"/>
          <w:lang w:val="zh-CN"/>
        </w:rPr>
        <w:fldChar w:fldCharType="separate"/>
      </w:r>
      <w:r>
        <w:rPr>
          <w:rFonts w:ascii="宋体" w:hAnsi="宋体"/>
          <w:color w:val="auto"/>
          <w:szCs w:val="4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_Toc10630 \h </w:instrText>
      </w:r>
      <w:r>
        <w:rPr>
          <w:color w:val="auto"/>
          <w:highlight w:val="none"/>
        </w:rPr>
        <w:fldChar w:fldCharType="separate"/>
      </w:r>
      <w:r>
        <w:rPr>
          <w:color w:val="auto"/>
          <w:highlight w:val="none"/>
        </w:rPr>
        <w:t>52</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_Toc26723 </w:instrText>
      </w:r>
      <w:r>
        <w:rPr>
          <w:rFonts w:ascii="宋体" w:hAnsi="宋体"/>
          <w:bCs/>
          <w:i w:val="0"/>
          <w:iCs w:val="0"/>
          <w:color w:val="auto"/>
          <w:szCs w:val="20"/>
          <w:highlight w:val="none"/>
          <w:lang w:val="zh-CN"/>
        </w:rPr>
        <w:fldChar w:fldCharType="separate"/>
      </w:r>
      <w:r>
        <w:rPr>
          <w:rFonts w:hint="eastAsia" w:ascii="宋体" w:hAnsi="宋体"/>
          <w:color w:val="auto"/>
          <w:szCs w:val="4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_Toc26723 \h </w:instrText>
      </w:r>
      <w:r>
        <w:rPr>
          <w:color w:val="auto"/>
          <w:highlight w:val="none"/>
        </w:rPr>
        <w:fldChar w:fldCharType="separate"/>
      </w:r>
      <w:r>
        <w:rPr>
          <w:color w:val="auto"/>
          <w:highlight w:val="none"/>
        </w:rPr>
        <w:t>57</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_Toc6413 </w:instrText>
      </w:r>
      <w:r>
        <w:rPr>
          <w:rFonts w:ascii="宋体" w:hAnsi="宋体"/>
          <w:bCs/>
          <w:i w:val="0"/>
          <w:iCs w:val="0"/>
          <w:color w:val="auto"/>
          <w:szCs w:val="20"/>
          <w:highlight w:val="none"/>
          <w:lang w:val="zh-CN"/>
        </w:rPr>
        <w:fldChar w:fldCharType="separate"/>
      </w:r>
      <w:r>
        <w:rPr>
          <w:rFonts w:hint="eastAsia" w:ascii="宋体" w:hAnsi="宋体"/>
          <w:color w:val="auto"/>
          <w:szCs w:val="4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_Toc6413 \h </w:instrText>
      </w:r>
      <w:r>
        <w:rPr>
          <w:color w:val="auto"/>
          <w:highlight w:val="none"/>
        </w:rPr>
        <w:fldChar w:fldCharType="separate"/>
      </w:r>
      <w:r>
        <w:rPr>
          <w:color w:val="auto"/>
          <w:highlight w:val="none"/>
        </w:rPr>
        <w:t>110</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_Toc24895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_Toc24895 \h </w:instrText>
      </w:r>
      <w:r>
        <w:rPr>
          <w:color w:val="auto"/>
          <w:highlight w:val="none"/>
        </w:rPr>
        <w:fldChar w:fldCharType="separate"/>
      </w:r>
      <w:r>
        <w:rPr>
          <w:color w:val="auto"/>
          <w:highlight w:val="none"/>
        </w:rPr>
        <w:t>181</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_Toc21575 </w:instrText>
      </w:r>
      <w:r>
        <w:rPr>
          <w:rFonts w:ascii="宋体" w:hAnsi="宋体"/>
          <w:bCs/>
          <w:i w:val="0"/>
          <w:iCs w:val="0"/>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_Toc21575 \h </w:instrText>
      </w:r>
      <w:r>
        <w:rPr>
          <w:color w:val="auto"/>
          <w:highlight w:val="none"/>
        </w:rPr>
        <w:fldChar w:fldCharType="separate"/>
      </w:r>
      <w:r>
        <w:rPr>
          <w:color w:val="auto"/>
          <w:highlight w:val="none"/>
        </w:rPr>
        <w:t>182</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_Toc18885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_Toc18885 \h </w:instrText>
      </w:r>
      <w:r>
        <w:rPr>
          <w:color w:val="auto"/>
          <w:highlight w:val="none"/>
        </w:rPr>
        <w:fldChar w:fldCharType="separate"/>
      </w:r>
      <w:r>
        <w:rPr>
          <w:color w:val="auto"/>
          <w:highlight w:val="none"/>
        </w:rPr>
        <w:t>183</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_Toc10551 </w:instrText>
      </w:r>
      <w:r>
        <w:rPr>
          <w:rFonts w:ascii="宋体" w:hAnsi="宋体"/>
          <w:bCs/>
          <w:i w:val="0"/>
          <w:iCs w:val="0"/>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_Toc10551 \h </w:instrText>
      </w:r>
      <w:r>
        <w:rPr>
          <w:color w:val="auto"/>
          <w:highlight w:val="none"/>
        </w:rPr>
        <w:fldChar w:fldCharType="separate"/>
      </w:r>
      <w:r>
        <w:rPr>
          <w:color w:val="auto"/>
          <w:highlight w:val="none"/>
        </w:rPr>
        <w:t>184</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_Toc2066 </w:instrText>
      </w:r>
      <w:r>
        <w:rPr>
          <w:rFonts w:ascii="宋体" w:hAnsi="宋体"/>
          <w:bCs/>
          <w:i w:val="0"/>
          <w:iCs w:val="0"/>
          <w:color w:val="auto"/>
          <w:szCs w:val="20"/>
          <w:highlight w:val="none"/>
          <w:lang w:val="zh-CN"/>
        </w:rPr>
        <w:fldChar w:fldCharType="separate"/>
      </w:r>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_Toc2066 \h </w:instrText>
      </w:r>
      <w:r>
        <w:rPr>
          <w:color w:val="auto"/>
          <w:highlight w:val="none"/>
        </w:rPr>
        <w:fldChar w:fldCharType="separate"/>
      </w:r>
      <w:r>
        <w:rPr>
          <w:color w:val="auto"/>
          <w:highlight w:val="none"/>
        </w:rPr>
        <w:t>185</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_Toc32030 </w:instrText>
      </w:r>
      <w:r>
        <w:rPr>
          <w:rFonts w:ascii="宋体" w:hAnsi="宋体"/>
          <w:bCs/>
          <w:i w:val="0"/>
          <w:iCs w:val="0"/>
          <w:color w:val="auto"/>
          <w:szCs w:val="20"/>
          <w:highlight w:val="none"/>
          <w:lang w:val="zh-CN"/>
        </w:rPr>
        <w:fldChar w:fldCharType="separate"/>
      </w:r>
      <w:r>
        <w:rPr>
          <w:rFonts w:ascii="宋体" w:hAnsi="宋体"/>
          <w:color w:val="auto"/>
          <w:szCs w:val="52"/>
          <w:highlight w:val="none"/>
        </w:rPr>
        <w:t>第 四 卷</w:t>
      </w:r>
      <w:r>
        <w:rPr>
          <w:color w:val="auto"/>
          <w:highlight w:val="none"/>
        </w:rPr>
        <w:tab/>
      </w:r>
      <w:r>
        <w:rPr>
          <w:color w:val="auto"/>
          <w:highlight w:val="none"/>
        </w:rPr>
        <w:fldChar w:fldCharType="begin"/>
      </w:r>
      <w:r>
        <w:rPr>
          <w:color w:val="auto"/>
          <w:highlight w:val="none"/>
        </w:rPr>
        <w:instrText xml:space="preserve"> PAGEREF _Toc32030 \h </w:instrText>
      </w:r>
      <w:r>
        <w:rPr>
          <w:color w:val="auto"/>
          <w:highlight w:val="none"/>
        </w:rPr>
        <w:fldChar w:fldCharType="separate"/>
      </w:r>
      <w:r>
        <w:rPr>
          <w:color w:val="auto"/>
          <w:highlight w:val="none"/>
        </w:rPr>
        <w:t>186</w:t>
      </w:r>
      <w:r>
        <w:rPr>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_Toc3473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_Toc3473 \h </w:instrText>
      </w:r>
      <w:r>
        <w:rPr>
          <w:color w:val="auto"/>
          <w:highlight w:val="none"/>
        </w:rPr>
        <w:fldChar w:fldCharType="separate"/>
      </w:r>
      <w:r>
        <w:rPr>
          <w:color w:val="auto"/>
          <w:highlight w:val="none"/>
        </w:rPr>
        <w:t>187</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_Toc24616 </w:instrText>
      </w:r>
      <w:r>
        <w:rPr>
          <w:rFonts w:ascii="宋体" w:hAnsi="宋体"/>
          <w:bCs/>
          <w:i w:val="0"/>
          <w:iCs w:val="0"/>
          <w:color w:val="auto"/>
          <w:szCs w:val="20"/>
          <w:highlight w:val="none"/>
          <w:lang w:val="zh-CN"/>
        </w:rPr>
        <w:fldChar w:fldCharType="separate"/>
      </w:r>
      <w:r>
        <w:rPr>
          <w:rFonts w:hint="eastAsia"/>
          <w:color w:val="auto"/>
          <w:highlight w:val="none"/>
          <w:lang w:val="en-US" w:eastAsia="zh-CN"/>
        </w:rPr>
        <w:t>一、</w:t>
      </w:r>
      <w:r>
        <w:rPr>
          <w:rFonts w:ascii="宋体" w:hAnsi="宋体"/>
          <w:bCs/>
          <w:i w:val="0"/>
          <w:iCs w:val="0"/>
          <w:color w:val="auto"/>
          <w:szCs w:val="20"/>
          <w:highlight w:val="none"/>
          <w:lang w:val="zh-CN"/>
        </w:rPr>
        <w:fldChar w:fldCharType="end"/>
      </w: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_Toc9343 </w:instrText>
      </w:r>
      <w:r>
        <w:rPr>
          <w:rFonts w:ascii="宋体" w:hAnsi="宋体"/>
          <w:bCs/>
          <w:i w:val="0"/>
          <w:iCs w:val="0"/>
          <w:color w:val="auto"/>
          <w:szCs w:val="20"/>
          <w:highlight w:val="none"/>
          <w:lang w:val="zh-CN"/>
        </w:rPr>
        <w:fldChar w:fldCharType="separate"/>
      </w:r>
      <w:r>
        <w:rPr>
          <w:rFonts w:hint="eastAsia"/>
          <w:color w:val="auto"/>
          <w:highlight w:val="none"/>
        </w:rPr>
        <w:t>投标函部分</w:t>
      </w:r>
      <w:r>
        <w:rPr>
          <w:rFonts w:hint="eastAsia"/>
          <w:color w:val="auto"/>
          <w:highlight w:val="none"/>
          <w:lang w:eastAsia="zh-CN"/>
        </w:rPr>
        <w:t>（</w:t>
      </w:r>
      <w:r>
        <w:rPr>
          <w:rFonts w:hint="eastAsia"/>
          <w:color w:val="auto"/>
          <w:highlight w:val="none"/>
          <w:lang w:val="en-US" w:eastAsia="zh-CN"/>
        </w:rPr>
        <w:t>含资格审查和商务部分</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_Toc9343 \h </w:instrText>
      </w:r>
      <w:r>
        <w:rPr>
          <w:color w:val="auto"/>
          <w:highlight w:val="none"/>
        </w:rPr>
        <w:fldChar w:fldCharType="separate"/>
      </w:r>
      <w:r>
        <w:rPr>
          <w:color w:val="auto"/>
          <w:highlight w:val="none"/>
        </w:rPr>
        <w:t>189</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_Toc2900 </w:instrText>
      </w:r>
      <w:r>
        <w:rPr>
          <w:rFonts w:ascii="宋体" w:hAnsi="宋体"/>
          <w:bCs/>
          <w:i w:val="0"/>
          <w:iCs w:val="0"/>
          <w:color w:val="auto"/>
          <w:szCs w:val="20"/>
          <w:highlight w:val="none"/>
          <w:lang w:val="zh-CN"/>
        </w:rPr>
        <w:fldChar w:fldCharType="separate"/>
      </w:r>
      <w:r>
        <w:rPr>
          <w:rFonts w:hint="eastAsia"/>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_Toc2900 \h </w:instrText>
      </w:r>
      <w:r>
        <w:rPr>
          <w:color w:val="auto"/>
          <w:highlight w:val="none"/>
        </w:rPr>
        <w:fldChar w:fldCharType="separate"/>
      </w:r>
      <w:r>
        <w:rPr>
          <w:color w:val="auto"/>
          <w:highlight w:val="none"/>
        </w:rPr>
        <w:t>192</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_Toc17078 </w:instrText>
      </w:r>
      <w:r>
        <w:rPr>
          <w:rFonts w:ascii="宋体" w:hAnsi="宋体"/>
          <w:bCs/>
          <w:i w:val="0"/>
          <w:iCs w:val="0"/>
          <w:color w:val="auto"/>
          <w:szCs w:val="20"/>
          <w:highlight w:val="none"/>
          <w:lang w:val="zh-CN"/>
        </w:rPr>
        <w:fldChar w:fldCharType="separate"/>
      </w:r>
      <w:r>
        <w:rPr>
          <w:rFonts w:ascii="宋体" w:hAnsi="宋体"/>
          <w:bCs w:val="0"/>
          <w:color w:val="auto"/>
          <w:highlight w:val="none"/>
        </w:rPr>
        <w:t>（</w:t>
      </w:r>
      <w:r>
        <w:rPr>
          <w:rFonts w:hint="eastAsia" w:ascii="宋体" w:hAnsi="宋体"/>
          <w:bCs w:val="0"/>
          <w:color w:val="auto"/>
          <w:highlight w:val="none"/>
          <w:lang w:val="en-US" w:eastAsia="zh-CN"/>
        </w:rPr>
        <w:t>二</w:t>
      </w:r>
      <w:r>
        <w:rPr>
          <w:rFonts w:ascii="宋体" w:hAnsi="宋体"/>
          <w:bCs w:val="0"/>
          <w:color w:val="auto"/>
          <w:highlight w:val="none"/>
        </w:rPr>
        <w:t>）</w:t>
      </w:r>
      <w:r>
        <w:rPr>
          <w:rFonts w:ascii="宋体" w:hAnsi="宋体"/>
          <w:bCs/>
          <w:i w:val="0"/>
          <w:iCs w:val="0"/>
          <w:color w:val="auto"/>
          <w:szCs w:val="20"/>
          <w:highlight w:val="none"/>
          <w:lang w:val="zh-CN"/>
        </w:rPr>
        <w:fldChar w:fldCharType="end"/>
      </w: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_Toc675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_Toc675 \h </w:instrText>
      </w:r>
      <w:r>
        <w:rPr>
          <w:color w:val="auto"/>
          <w:highlight w:val="none"/>
        </w:rPr>
        <w:fldChar w:fldCharType="separate"/>
      </w:r>
      <w:r>
        <w:rPr>
          <w:color w:val="auto"/>
          <w:highlight w:val="none"/>
        </w:rPr>
        <w:t>193</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_Toc21391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w:t>
      </w:r>
      <w:r>
        <w:rPr>
          <w:rFonts w:hint="eastAsia" w:ascii="宋体" w:hAnsi="宋体"/>
          <w:bCs w:val="0"/>
          <w:color w:val="auto"/>
          <w:highlight w:val="none"/>
          <w:lang w:val="en-US" w:eastAsia="zh-CN"/>
        </w:rPr>
        <w:t>三</w:t>
      </w:r>
      <w:r>
        <w:rPr>
          <w:rFonts w:hint="eastAsia" w:ascii="宋体" w:hAnsi="宋体"/>
          <w:bCs w:val="0"/>
          <w:color w:val="auto"/>
          <w:highlight w:val="none"/>
        </w:rPr>
        <w:t>）</w:t>
      </w:r>
      <w:r>
        <w:rPr>
          <w:rFonts w:hint="eastAsia" w:ascii="宋体" w:hAnsi="宋体"/>
          <w:color w:val="auto"/>
          <w:highlight w:val="none"/>
          <w:lang w:val="en-US" w:eastAsia="zh-CN"/>
        </w:rPr>
        <w:t>共同投标协议</w:t>
      </w:r>
      <w:r>
        <w:rPr>
          <w:rFonts w:hint="eastAsia" w:ascii="宋体" w:hAnsi="宋体"/>
          <w:bCs w:val="0"/>
          <w:color w:val="auto"/>
          <w:highlight w:val="none"/>
        </w:rPr>
        <w:t>（如有）</w:t>
      </w:r>
      <w:r>
        <w:rPr>
          <w:color w:val="auto"/>
          <w:highlight w:val="none"/>
        </w:rPr>
        <w:tab/>
      </w:r>
      <w:r>
        <w:rPr>
          <w:color w:val="auto"/>
          <w:highlight w:val="none"/>
        </w:rPr>
        <w:fldChar w:fldCharType="begin"/>
      </w:r>
      <w:r>
        <w:rPr>
          <w:color w:val="auto"/>
          <w:highlight w:val="none"/>
        </w:rPr>
        <w:instrText xml:space="preserve"> PAGEREF _Toc21391 \h </w:instrText>
      </w:r>
      <w:r>
        <w:rPr>
          <w:color w:val="auto"/>
          <w:highlight w:val="none"/>
        </w:rPr>
        <w:fldChar w:fldCharType="separate"/>
      </w:r>
      <w:r>
        <w:rPr>
          <w:color w:val="auto"/>
          <w:highlight w:val="none"/>
        </w:rPr>
        <w:t>195</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_Toc9697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w:t>
      </w:r>
      <w:r>
        <w:rPr>
          <w:rFonts w:hint="eastAsia" w:ascii="宋体" w:hAnsi="宋体"/>
          <w:bCs w:val="0"/>
          <w:color w:val="auto"/>
          <w:highlight w:val="none"/>
          <w:lang w:val="en-US" w:eastAsia="zh-CN"/>
        </w:rPr>
        <w:t>四</w:t>
      </w:r>
      <w:r>
        <w:rPr>
          <w:rFonts w:hint="eastAsia" w:ascii="宋体" w:hAnsi="宋体"/>
          <w:bCs w:val="0"/>
          <w:color w:val="auto"/>
          <w:highlight w:val="none"/>
        </w:rPr>
        <w:t>）投标人基本情况表</w:t>
      </w:r>
      <w:r>
        <w:rPr>
          <w:color w:val="auto"/>
          <w:highlight w:val="none"/>
        </w:rPr>
        <w:tab/>
      </w:r>
      <w:r>
        <w:rPr>
          <w:color w:val="auto"/>
          <w:highlight w:val="none"/>
        </w:rPr>
        <w:fldChar w:fldCharType="begin"/>
      </w:r>
      <w:r>
        <w:rPr>
          <w:color w:val="auto"/>
          <w:highlight w:val="none"/>
        </w:rPr>
        <w:instrText xml:space="preserve"> PAGEREF _Toc9697 \h </w:instrText>
      </w:r>
      <w:r>
        <w:rPr>
          <w:color w:val="auto"/>
          <w:highlight w:val="none"/>
        </w:rPr>
        <w:fldChar w:fldCharType="separate"/>
      </w:r>
      <w:r>
        <w:rPr>
          <w:color w:val="auto"/>
          <w:highlight w:val="none"/>
        </w:rPr>
        <w:t>197</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_Toc14878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w:t>
      </w:r>
      <w:r>
        <w:rPr>
          <w:rFonts w:hint="eastAsia" w:ascii="宋体" w:hAnsi="宋体"/>
          <w:bCs w:val="0"/>
          <w:color w:val="auto"/>
          <w:highlight w:val="none"/>
          <w:lang w:val="en-US" w:eastAsia="zh-CN"/>
        </w:rPr>
        <w:t>五</w:t>
      </w:r>
      <w:r>
        <w:rPr>
          <w:rFonts w:hint="eastAsia" w:ascii="宋体" w:hAnsi="宋体"/>
          <w:bCs w:val="0"/>
          <w:color w:val="auto"/>
          <w:highlight w:val="none"/>
        </w:rPr>
        <w:t>）项目管理机构</w:t>
      </w:r>
      <w:r>
        <w:rPr>
          <w:color w:val="auto"/>
          <w:highlight w:val="none"/>
        </w:rPr>
        <w:tab/>
      </w:r>
      <w:r>
        <w:rPr>
          <w:color w:val="auto"/>
          <w:highlight w:val="none"/>
        </w:rPr>
        <w:fldChar w:fldCharType="begin"/>
      </w:r>
      <w:r>
        <w:rPr>
          <w:color w:val="auto"/>
          <w:highlight w:val="none"/>
        </w:rPr>
        <w:instrText xml:space="preserve"> PAGEREF _Toc14878 \h </w:instrText>
      </w:r>
      <w:r>
        <w:rPr>
          <w:color w:val="auto"/>
          <w:highlight w:val="none"/>
        </w:rPr>
        <w:fldChar w:fldCharType="separate"/>
      </w:r>
      <w:r>
        <w:rPr>
          <w:color w:val="auto"/>
          <w:highlight w:val="none"/>
        </w:rPr>
        <w:t>198</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_Toc3194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六</w:t>
      </w:r>
      <w:r>
        <w:rPr>
          <w:rFonts w:hint="eastAsia" w:ascii="宋体" w:hAnsi="宋体"/>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_Toc3194 \h </w:instrText>
      </w:r>
      <w:r>
        <w:rPr>
          <w:color w:val="auto"/>
          <w:highlight w:val="none"/>
        </w:rPr>
        <w:fldChar w:fldCharType="separate"/>
      </w:r>
      <w:r>
        <w:rPr>
          <w:color w:val="auto"/>
          <w:highlight w:val="none"/>
        </w:rPr>
        <w:t>200</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_Toc5661 </w:instrText>
      </w:r>
      <w:r>
        <w:rPr>
          <w:rFonts w:ascii="宋体" w:hAnsi="宋体"/>
          <w:bCs/>
          <w:i w:val="0"/>
          <w:iCs w:val="0"/>
          <w:color w:val="auto"/>
          <w:szCs w:val="20"/>
          <w:highlight w:val="none"/>
          <w:lang w:val="zh-CN"/>
        </w:rPr>
        <w:fldChar w:fldCharType="separate"/>
      </w:r>
      <w:r>
        <w:rPr>
          <w:rFonts w:ascii="宋体" w:hAnsi="宋体"/>
          <w:color w:val="auto"/>
          <w:highlight w:val="none"/>
        </w:rPr>
        <w:t>（</w:t>
      </w:r>
      <w:r>
        <w:rPr>
          <w:rFonts w:hint="eastAsia" w:ascii="宋体" w:hAnsi="宋体"/>
          <w:color w:val="auto"/>
          <w:highlight w:val="none"/>
          <w:lang w:val="en-US" w:eastAsia="zh-CN"/>
        </w:rPr>
        <w:t>七</w:t>
      </w:r>
      <w:r>
        <w:rPr>
          <w:rFonts w:ascii="宋体" w:hAnsi="宋体"/>
          <w:color w:val="auto"/>
          <w:highlight w:val="none"/>
        </w:rPr>
        <w:t>）类似项目情况表</w:t>
      </w:r>
      <w:r>
        <w:rPr>
          <w:color w:val="auto"/>
          <w:highlight w:val="none"/>
        </w:rPr>
        <w:tab/>
      </w:r>
      <w:r>
        <w:rPr>
          <w:color w:val="auto"/>
          <w:highlight w:val="none"/>
        </w:rPr>
        <w:fldChar w:fldCharType="begin"/>
      </w:r>
      <w:r>
        <w:rPr>
          <w:color w:val="auto"/>
          <w:highlight w:val="none"/>
        </w:rPr>
        <w:instrText xml:space="preserve"> PAGEREF _Toc5661 \h </w:instrText>
      </w:r>
      <w:r>
        <w:rPr>
          <w:color w:val="auto"/>
          <w:highlight w:val="none"/>
        </w:rPr>
        <w:fldChar w:fldCharType="separate"/>
      </w:r>
      <w:r>
        <w:rPr>
          <w:color w:val="auto"/>
          <w:highlight w:val="none"/>
        </w:rPr>
        <w:t>201</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_Toc11581 </w:instrText>
      </w:r>
      <w:r>
        <w:rPr>
          <w:rFonts w:ascii="宋体" w:hAnsi="宋体"/>
          <w:bCs/>
          <w:i w:val="0"/>
          <w:iCs w:val="0"/>
          <w:color w:val="auto"/>
          <w:szCs w:val="20"/>
          <w:highlight w:val="none"/>
          <w:lang w:val="zh-CN"/>
        </w:rPr>
        <w:fldChar w:fldCharType="separate"/>
      </w:r>
      <w:r>
        <w:rPr>
          <w:rFonts w:ascii="宋体" w:hAnsi="宋体"/>
          <w:color w:val="auto"/>
          <w:highlight w:val="none"/>
        </w:rPr>
        <w:t>（</w:t>
      </w:r>
      <w:r>
        <w:rPr>
          <w:rFonts w:hint="eastAsia" w:ascii="宋体" w:hAnsi="宋体"/>
          <w:color w:val="auto"/>
          <w:highlight w:val="none"/>
          <w:lang w:val="en-US" w:eastAsia="zh-CN"/>
        </w:rPr>
        <w:t>八</w:t>
      </w:r>
      <w:r>
        <w:rPr>
          <w:rFonts w:ascii="宋体" w:hAnsi="宋体"/>
          <w:color w:val="auto"/>
          <w:highlight w:val="none"/>
        </w:rPr>
        <w:t>）</w:t>
      </w:r>
      <w:r>
        <w:rPr>
          <w:rFonts w:hint="eastAsia" w:ascii="宋体" w:hAnsi="宋体"/>
          <w:color w:val="auto"/>
          <w:highlight w:val="none"/>
        </w:rPr>
        <w:t>承诺</w:t>
      </w:r>
      <w:r>
        <w:rPr>
          <w:color w:val="auto"/>
          <w:highlight w:val="none"/>
        </w:rPr>
        <w:tab/>
      </w:r>
      <w:r>
        <w:rPr>
          <w:color w:val="auto"/>
          <w:highlight w:val="none"/>
        </w:rPr>
        <w:fldChar w:fldCharType="begin"/>
      </w:r>
      <w:r>
        <w:rPr>
          <w:color w:val="auto"/>
          <w:highlight w:val="none"/>
        </w:rPr>
        <w:instrText xml:space="preserve"> PAGEREF _Toc11581 \h </w:instrText>
      </w:r>
      <w:r>
        <w:rPr>
          <w:color w:val="auto"/>
          <w:highlight w:val="none"/>
        </w:rPr>
        <w:fldChar w:fldCharType="separate"/>
      </w:r>
      <w:r>
        <w:rPr>
          <w:color w:val="auto"/>
          <w:highlight w:val="none"/>
        </w:rPr>
        <w:t>202</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_Toc26931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九</w:t>
      </w:r>
      <w:r>
        <w:rPr>
          <w:rFonts w:hint="eastAsia" w:ascii="宋体" w:hAnsi="宋体"/>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_Toc26931 \h </w:instrText>
      </w:r>
      <w:r>
        <w:rPr>
          <w:color w:val="auto"/>
          <w:highlight w:val="none"/>
        </w:rPr>
        <w:fldChar w:fldCharType="separate"/>
      </w:r>
      <w:r>
        <w:rPr>
          <w:color w:val="auto"/>
          <w:highlight w:val="none"/>
        </w:rPr>
        <w:t>204</w:t>
      </w:r>
      <w:r>
        <w:rPr>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_Toc6399 </w:instrText>
      </w:r>
      <w:r>
        <w:rPr>
          <w:rFonts w:ascii="宋体" w:hAnsi="宋体"/>
          <w:bCs/>
          <w:i w:val="0"/>
          <w:iCs w:val="0"/>
          <w:color w:val="auto"/>
          <w:szCs w:val="20"/>
          <w:highlight w:val="none"/>
          <w:lang w:val="zh-CN"/>
        </w:rPr>
        <w:fldChar w:fldCharType="separate"/>
      </w:r>
      <w:r>
        <w:rPr>
          <w:rFonts w:ascii="宋体" w:hAnsi="宋体"/>
          <w:bCs w:val="0"/>
          <w:color w:val="auto"/>
          <w:highlight w:val="none"/>
        </w:rPr>
        <w:t>（</w:t>
      </w:r>
      <w:r>
        <w:rPr>
          <w:rFonts w:hint="eastAsia" w:ascii="宋体" w:hAnsi="宋体"/>
          <w:bCs w:val="0"/>
          <w:color w:val="auto"/>
          <w:highlight w:val="none"/>
          <w:lang w:val="en-US" w:eastAsia="zh-CN"/>
        </w:rPr>
        <w:t>十</w:t>
      </w:r>
      <w:r>
        <w:rPr>
          <w:rFonts w:ascii="宋体" w:hAnsi="宋体"/>
          <w:bCs w:val="0"/>
          <w:color w:val="auto"/>
          <w:highlight w:val="none"/>
        </w:rPr>
        <w:t>）</w:t>
      </w:r>
      <w:r>
        <w:rPr>
          <w:rFonts w:hint="eastAsia" w:ascii="宋体" w:hAnsi="宋体"/>
          <w:bCs w:val="0"/>
          <w:color w:val="auto"/>
          <w:highlight w:val="none"/>
          <w:lang w:val="en-US" w:eastAsia="zh-CN"/>
        </w:rPr>
        <w:t>商务部分证明材料</w:t>
      </w:r>
      <w:r>
        <w:rPr>
          <w:color w:val="auto"/>
          <w:highlight w:val="none"/>
        </w:rPr>
        <w:tab/>
      </w:r>
      <w:r>
        <w:rPr>
          <w:color w:val="auto"/>
          <w:highlight w:val="none"/>
        </w:rPr>
        <w:fldChar w:fldCharType="begin"/>
      </w:r>
      <w:r>
        <w:rPr>
          <w:color w:val="auto"/>
          <w:highlight w:val="none"/>
        </w:rPr>
        <w:instrText xml:space="preserve"> PAGEREF _Toc6399 \h </w:instrText>
      </w:r>
      <w:r>
        <w:rPr>
          <w:color w:val="auto"/>
          <w:highlight w:val="none"/>
        </w:rPr>
        <w:fldChar w:fldCharType="separate"/>
      </w:r>
      <w:r>
        <w:rPr>
          <w:color w:val="auto"/>
          <w:highlight w:val="none"/>
        </w:rPr>
        <w:t>206</w:t>
      </w:r>
      <w:r>
        <w:rPr>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rFonts w:hint="eastAsia" w:ascii="宋体" w:hAnsi="宋体"/>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_Toc26498 </w:instrText>
      </w:r>
      <w:r>
        <w:rPr>
          <w:rFonts w:ascii="宋体" w:hAnsi="宋体"/>
          <w:bCs/>
          <w:i w:val="0"/>
          <w:iCs w:val="0"/>
          <w:color w:val="auto"/>
          <w:szCs w:val="20"/>
          <w:highlight w:val="none"/>
          <w:lang w:val="zh-CN"/>
        </w:rPr>
        <w:fldChar w:fldCharType="separate"/>
      </w:r>
      <w:r>
        <w:rPr>
          <w:rFonts w:hint="eastAsia"/>
          <w:color w:val="auto"/>
          <w:highlight w:val="none"/>
          <w:lang w:val="en-US" w:eastAsia="zh-CN"/>
        </w:rPr>
        <w:t>二、技术部分</w:t>
      </w:r>
      <w:r>
        <w:rPr>
          <w:color w:val="auto"/>
          <w:highlight w:val="none"/>
        </w:rPr>
        <w:tab/>
      </w:r>
      <w:r>
        <w:rPr>
          <w:color w:val="auto"/>
          <w:highlight w:val="none"/>
        </w:rPr>
        <w:fldChar w:fldCharType="begin"/>
      </w:r>
      <w:r>
        <w:rPr>
          <w:color w:val="auto"/>
          <w:highlight w:val="none"/>
        </w:rPr>
        <w:instrText xml:space="preserve"> PAGEREF _Toc26498 \h </w:instrText>
      </w:r>
      <w:r>
        <w:rPr>
          <w:color w:val="auto"/>
          <w:highlight w:val="none"/>
        </w:rPr>
        <w:fldChar w:fldCharType="separate"/>
      </w:r>
      <w:r>
        <w:rPr>
          <w:color w:val="auto"/>
          <w:highlight w:val="none"/>
        </w:rPr>
        <w:t>208</w:t>
      </w:r>
      <w:r>
        <w:rPr>
          <w:color w:val="auto"/>
          <w:highlight w:val="none"/>
        </w:rPr>
        <w:fldChar w:fldCharType="end"/>
      </w:r>
      <w:r>
        <w:rPr>
          <w:rFonts w:ascii="宋体" w:hAnsi="宋体"/>
          <w:bCs/>
          <w:i w:val="0"/>
          <w:iCs w:val="0"/>
          <w:color w:val="auto"/>
          <w:szCs w:val="20"/>
          <w:highlight w:val="none"/>
          <w:lang w:val="zh-CN"/>
        </w:rPr>
        <w:fldChar w:fldCharType="end"/>
      </w:r>
      <w:r>
        <w:rPr>
          <w:rFonts w:ascii="宋体" w:hAnsi="宋体"/>
          <w:bCs/>
          <w:i w:val="0"/>
          <w:iCs w:val="0"/>
          <w:color w:val="auto"/>
          <w:szCs w:val="20"/>
          <w:highlight w:val="none"/>
          <w:lang w:val="zh-CN"/>
        </w:rPr>
        <w:fldChar w:fldCharType="end"/>
      </w:r>
    </w:p>
    <w:bookmarkEnd w:id="0"/>
    <w:p>
      <w:pPr>
        <w:spacing w:line="20" w:lineRule="exact"/>
        <w:rPr>
          <w:rFonts w:hint="eastAsia" w:ascii="宋体" w:hAnsi="宋体"/>
          <w:color w:val="auto"/>
          <w:highlight w:val="none"/>
        </w:rPr>
      </w:pPr>
      <w:bookmarkStart w:id="3" w:name="_Toc430530414"/>
    </w:p>
    <w:p>
      <w:pPr>
        <w:spacing w:line="20" w:lineRule="exact"/>
        <w:jc w:val="left"/>
        <w:rPr>
          <w:rFonts w:hint="eastAsia" w:ascii="宋体" w:hAnsi="宋体"/>
          <w:color w:val="auto"/>
          <w:highlight w:val="none"/>
        </w:rPr>
        <w:sectPr>
          <w:footerReference r:id="rId7" w:type="default"/>
          <w:pgSz w:w="11907" w:h="16840"/>
          <w:pgMar w:top="1304" w:right="1134" w:bottom="1304" w:left="1304" w:header="851" w:footer="992" w:gutter="0"/>
          <w:pgNumType w:fmt="decimal" w:start="1"/>
          <w:cols w:space="720" w:num="1"/>
          <w:docGrid w:linePitch="312" w:charSpace="0"/>
        </w:sectPr>
      </w:pPr>
    </w:p>
    <w:bookmarkEnd w:id="3"/>
    <w:p>
      <w:pPr>
        <w:spacing w:line="360" w:lineRule="auto"/>
        <w:rPr>
          <w:rFonts w:hint="eastAsia" w:ascii="宋体" w:hAnsi="宋体"/>
          <w:color w:val="auto"/>
          <w:highlight w:val="none"/>
        </w:rPr>
      </w:pPr>
    </w:p>
    <w:p>
      <w:pPr>
        <w:pStyle w:val="3"/>
        <w:spacing w:before="0" w:after="0" w:line="480" w:lineRule="auto"/>
        <w:jc w:val="center"/>
        <w:rPr>
          <w:rFonts w:hint="eastAsia" w:ascii="宋体" w:hAnsi="宋体"/>
          <w:color w:val="auto"/>
          <w:sz w:val="52"/>
          <w:szCs w:val="52"/>
          <w:highlight w:val="none"/>
        </w:rPr>
      </w:pPr>
      <w:bookmarkStart w:id="4" w:name="_Toc7468"/>
      <w:bookmarkStart w:id="5" w:name="_Toc9936"/>
      <w:bookmarkStart w:id="6" w:name="_Toc509218690"/>
      <w:r>
        <w:rPr>
          <w:rFonts w:hint="eastAsia" w:ascii="宋体" w:hAnsi="宋体"/>
          <w:color w:val="auto"/>
          <w:sz w:val="52"/>
          <w:szCs w:val="52"/>
          <w:highlight w:val="none"/>
        </w:rPr>
        <w:t>第 一 卷</w:t>
      </w:r>
      <w:bookmarkEnd w:id="4"/>
      <w:bookmarkEnd w:id="5"/>
      <w:bookmarkEnd w:id="6"/>
    </w:p>
    <w:p>
      <w:pPr>
        <w:spacing w:line="200" w:lineRule="exact"/>
        <w:rPr>
          <w:rFonts w:hint="eastAsia" w:ascii="宋体" w:hAnsi="宋体"/>
          <w:color w:val="auto"/>
          <w:highlight w:val="none"/>
        </w:rPr>
      </w:pPr>
      <w:r>
        <w:rPr>
          <w:rFonts w:ascii="宋体" w:hAnsi="宋体"/>
          <w:color w:val="auto"/>
          <w:highlight w:val="none"/>
        </w:rPr>
        <w:br w:type="page"/>
      </w:r>
    </w:p>
    <w:p>
      <w:pPr>
        <w:pStyle w:val="3"/>
        <w:spacing w:line="360" w:lineRule="auto"/>
        <w:jc w:val="center"/>
        <w:rPr>
          <w:rFonts w:hint="eastAsia" w:ascii="宋体" w:hAnsi="宋体"/>
          <w:snapToGrid w:val="0"/>
          <w:color w:val="auto"/>
          <w:kern w:val="0"/>
          <w:highlight w:val="none"/>
        </w:rPr>
      </w:pPr>
      <w:bookmarkStart w:id="7" w:name="_Toc12819"/>
      <w:bookmarkStart w:id="8" w:name="_Toc14678"/>
      <w:bookmarkStart w:id="9" w:name="_Toc287607727"/>
      <w:bookmarkStart w:id="10" w:name="_Toc224103298"/>
      <w:bookmarkStart w:id="11" w:name="_Toc287620666"/>
      <w:bookmarkStart w:id="12" w:name="_Toc277082535"/>
      <w:bookmarkStart w:id="13" w:name="_Toc509218691"/>
      <w:bookmarkStart w:id="14" w:name="_Toc430530415"/>
      <w:r>
        <w:rPr>
          <w:rFonts w:ascii="宋体" w:hAnsi="宋体"/>
          <w:snapToGrid w:val="0"/>
          <w:color w:val="auto"/>
          <w:kern w:val="0"/>
          <w:highlight w:val="none"/>
        </w:rPr>
        <w:t>第一章  招标公告</w:t>
      </w:r>
      <w:bookmarkEnd w:id="7"/>
      <w:bookmarkEnd w:id="8"/>
      <w:bookmarkEnd w:id="9"/>
      <w:bookmarkEnd w:id="10"/>
      <w:bookmarkEnd w:id="11"/>
      <w:bookmarkEnd w:id="12"/>
      <w:bookmarkEnd w:id="13"/>
      <w:bookmarkEnd w:id="14"/>
    </w:p>
    <w:p>
      <w:pPr>
        <w:autoSpaceDE w:val="0"/>
        <w:autoSpaceDN w:val="0"/>
        <w:adjustRightInd w:val="0"/>
        <w:snapToGrid w:val="0"/>
        <w:spacing w:line="360" w:lineRule="auto"/>
        <w:jc w:val="center"/>
        <w:rPr>
          <w:rFonts w:hint="eastAsia" w:ascii="宋体" w:hAnsi="宋体"/>
          <w:snapToGrid w:val="0"/>
          <w:color w:val="auto"/>
          <w:kern w:val="0"/>
          <w:sz w:val="28"/>
          <w:szCs w:val="28"/>
          <w:highlight w:val="none"/>
        </w:rPr>
      </w:pPr>
      <w:r>
        <w:rPr>
          <w:rFonts w:hint="eastAsia" w:ascii="宋体" w:hAnsi="宋体"/>
          <w:color w:val="auto"/>
          <w:kern w:val="0"/>
          <w:sz w:val="32"/>
          <w:szCs w:val="32"/>
          <w:highlight w:val="none"/>
          <w:u w:val="single"/>
          <w:lang w:eastAsia="zh-CN"/>
        </w:rPr>
        <w:t>重庆三峡银行南岸支行搬迁装修工程标段2（第二次）</w:t>
      </w:r>
      <w:r>
        <w:rPr>
          <w:rFonts w:ascii="宋体" w:hAnsi="宋体"/>
          <w:snapToGrid w:val="0"/>
          <w:color w:val="auto"/>
          <w:w w:val="99"/>
          <w:kern w:val="0"/>
          <w:sz w:val="28"/>
          <w:szCs w:val="28"/>
          <w:highlight w:val="none"/>
        </w:rPr>
        <w:t>招标公告</w:t>
      </w:r>
    </w:p>
    <w:p>
      <w:pPr>
        <w:pStyle w:val="4"/>
        <w:spacing w:before="100" w:after="100" w:line="460" w:lineRule="exact"/>
        <w:rPr>
          <w:rFonts w:hint="eastAsia" w:ascii="宋体" w:hAnsi="宋体"/>
          <w:snapToGrid w:val="0"/>
          <w:color w:val="auto"/>
          <w:sz w:val="28"/>
          <w:szCs w:val="28"/>
          <w:highlight w:val="none"/>
        </w:rPr>
      </w:pPr>
      <w:bookmarkStart w:id="15" w:name="_Toc287620667"/>
      <w:bookmarkStart w:id="16" w:name="_Toc200359427"/>
      <w:bookmarkStart w:id="17" w:name="_Toc287607728"/>
      <w:bookmarkStart w:id="18" w:name="_Toc509218692"/>
      <w:bookmarkStart w:id="19" w:name="_Toc277082536"/>
      <w:bookmarkStart w:id="20" w:name="_Toc200359238"/>
      <w:bookmarkStart w:id="21" w:name="_Toc31669"/>
      <w:bookmarkStart w:id="22" w:name="_Toc27491"/>
      <w:bookmarkStart w:id="23" w:name="_Toc224103299"/>
      <w:bookmarkStart w:id="24" w:name="_Toc430530416"/>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5"/>
      <w:bookmarkEnd w:id="16"/>
      <w:bookmarkEnd w:id="17"/>
      <w:bookmarkEnd w:id="18"/>
      <w:bookmarkEnd w:id="19"/>
      <w:bookmarkEnd w:id="20"/>
      <w:bookmarkEnd w:id="21"/>
      <w:bookmarkEnd w:id="22"/>
      <w:bookmarkEnd w:id="23"/>
      <w:bookmarkEnd w:id="24"/>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重庆三峡银行</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支行搬迁装修工程</w:t>
      </w:r>
      <w:r>
        <w:rPr>
          <w:rFonts w:hint="eastAsia" w:ascii="宋体" w:hAnsi="宋体"/>
          <w:snapToGrid w:val="0"/>
          <w:color w:val="auto"/>
          <w:kern w:val="0"/>
          <w:szCs w:val="21"/>
          <w:highlight w:val="none"/>
        </w:rPr>
        <w:t>已</w:t>
      </w:r>
      <w:r>
        <w:rPr>
          <w:rFonts w:ascii="宋体" w:hAnsi="宋体"/>
          <w:snapToGrid w:val="0"/>
          <w:color w:val="auto"/>
          <w:kern w:val="0"/>
          <w:szCs w:val="21"/>
          <w:highlight w:val="none"/>
        </w:rPr>
        <w:t>由</w:t>
      </w:r>
      <w:r>
        <w:rPr>
          <w:rFonts w:hint="eastAsia" w:ascii="宋体" w:hAnsi="宋体"/>
          <w:snapToGrid w:val="0"/>
          <w:color w:val="auto"/>
          <w:kern w:val="0"/>
          <w:szCs w:val="21"/>
          <w:highlight w:val="none"/>
          <w:u w:val="single"/>
        </w:rPr>
        <w:t>重庆三峡银行股份有限公司董事会</w:t>
      </w:r>
      <w:r>
        <w:rPr>
          <w:rFonts w:ascii="宋体" w:hAnsi="宋体"/>
          <w:snapToGrid w:val="0"/>
          <w:color w:val="auto"/>
          <w:kern w:val="0"/>
          <w:szCs w:val="21"/>
          <w:highlight w:val="none"/>
        </w:rPr>
        <w:t>批准建设，项目业主为</w:t>
      </w:r>
      <w:r>
        <w:rPr>
          <w:rFonts w:hint="eastAsia" w:ascii="宋体" w:hAnsi="宋体"/>
          <w:snapToGrid w:val="0"/>
          <w:color w:val="auto"/>
          <w:kern w:val="0"/>
          <w:szCs w:val="21"/>
          <w:highlight w:val="none"/>
          <w:u w:val="single"/>
        </w:rPr>
        <w:t>重庆三峡银行股份有限公司</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企业自筹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100%</w:t>
      </w:r>
      <w:r>
        <w:rPr>
          <w:rFonts w:ascii="宋体" w:hAnsi="宋体"/>
          <w:snapToGrid w:val="0"/>
          <w:color w:val="auto"/>
          <w:kern w:val="0"/>
          <w:szCs w:val="21"/>
          <w:highlight w:val="none"/>
        </w:rPr>
        <w:t>，招标人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重庆三峡银行股份有限公司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该项目的施工</w:t>
      </w:r>
      <w:r>
        <w:rPr>
          <w:rFonts w:ascii="宋体" w:hAnsi="宋体"/>
          <w:snapToGrid w:val="0"/>
          <w:color w:val="auto"/>
          <w:kern w:val="0"/>
          <w:position w:val="-2"/>
          <w:szCs w:val="21"/>
          <w:highlight w:val="none"/>
        </w:rPr>
        <w:t>进行公开招标。</w:t>
      </w:r>
    </w:p>
    <w:p>
      <w:pPr>
        <w:pStyle w:val="4"/>
        <w:spacing w:before="100" w:after="100" w:line="460" w:lineRule="exact"/>
        <w:rPr>
          <w:rFonts w:hint="eastAsia" w:ascii="宋体" w:hAnsi="宋体"/>
          <w:snapToGrid w:val="0"/>
          <w:color w:val="auto"/>
          <w:sz w:val="28"/>
          <w:szCs w:val="28"/>
          <w:highlight w:val="none"/>
        </w:rPr>
      </w:pPr>
      <w:bookmarkStart w:id="25" w:name="_Toc287607729"/>
      <w:bookmarkStart w:id="26" w:name="_Toc277082537"/>
      <w:bookmarkStart w:id="27" w:name="_Toc287620668"/>
      <w:bookmarkStart w:id="28" w:name="_Toc200359428"/>
      <w:bookmarkStart w:id="29" w:name="_Toc200359239"/>
      <w:bookmarkStart w:id="30" w:name="_Toc27951"/>
      <w:bookmarkStart w:id="31" w:name="_Toc509218693"/>
      <w:bookmarkStart w:id="32" w:name="_Toc16344"/>
      <w:bookmarkStart w:id="33" w:name="_Toc430530417"/>
      <w:bookmarkStart w:id="34" w:name="_Toc224103300"/>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5"/>
      <w:bookmarkEnd w:id="26"/>
      <w:bookmarkEnd w:id="27"/>
      <w:bookmarkEnd w:id="28"/>
      <w:bookmarkEnd w:id="29"/>
      <w:bookmarkEnd w:id="30"/>
      <w:bookmarkEnd w:id="31"/>
      <w:bookmarkEnd w:id="32"/>
      <w:bookmarkEnd w:id="33"/>
      <w:bookmarkEnd w:id="34"/>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rPr>
        <w:t>重庆市</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区</w:t>
      </w:r>
      <w:r>
        <w:rPr>
          <w:rFonts w:hint="eastAsia" w:ascii="宋体" w:hAnsi="宋体"/>
          <w:snapToGrid w:val="0"/>
          <w:color w:val="auto"/>
          <w:kern w:val="0"/>
          <w:szCs w:val="21"/>
          <w:highlight w:val="none"/>
          <w:u w:val="single"/>
          <w:lang w:val="en-US" w:eastAsia="zh-CN"/>
        </w:rPr>
        <w:t>弹子石新街38号附11-18号</w:t>
      </w:r>
      <w:r>
        <w:rPr>
          <w:rFonts w:hint="eastAsia" w:ascii="宋体" w:hAnsi="宋体"/>
          <w:snapToGrid w:val="0"/>
          <w:color w:val="auto"/>
          <w:kern w:val="0"/>
          <w:szCs w:val="21"/>
          <w:highlight w:val="none"/>
          <w:u w:val="single"/>
        </w:rPr>
        <w:t>。</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支行搬迁装修,室内精装修面积约</w:t>
      </w:r>
      <w:r>
        <w:rPr>
          <w:rFonts w:hint="eastAsia" w:ascii="宋体" w:hAnsi="宋体"/>
          <w:snapToGrid w:val="0"/>
          <w:color w:val="auto"/>
          <w:kern w:val="0"/>
          <w:szCs w:val="21"/>
          <w:highlight w:val="none"/>
          <w:lang w:val="en-US" w:eastAsia="zh-CN"/>
        </w:rPr>
        <w:t>1706</w:t>
      </w:r>
      <w:r>
        <w:rPr>
          <w:rFonts w:hint="eastAsia" w:ascii="宋体" w:hAnsi="宋体"/>
          <w:snapToGrid w:val="0"/>
          <w:color w:val="auto"/>
          <w:kern w:val="0"/>
          <w:szCs w:val="21"/>
          <w:highlight w:val="none"/>
        </w:rPr>
        <w:t>平方米。</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bCs/>
          <w:snapToGrid w:val="0"/>
          <w:color w:val="auto"/>
          <w:kern w:val="0"/>
          <w:szCs w:val="21"/>
          <w:highlight w:val="none"/>
        </w:rPr>
      </w:pPr>
      <w:r>
        <w:rPr>
          <w:rFonts w:hint="eastAsia" w:ascii="宋体" w:hAnsi="宋体"/>
          <w:snapToGrid w:val="0"/>
          <w:color w:val="auto"/>
          <w:kern w:val="0"/>
          <w:szCs w:val="21"/>
          <w:highlight w:val="none"/>
        </w:rPr>
        <w:t>2.3 本次招标项目工程总投资额：</w:t>
      </w:r>
      <w:r>
        <w:rPr>
          <w:rFonts w:hint="eastAsia" w:ascii="宋体" w:hAnsi="宋体"/>
          <w:snapToGrid w:val="0"/>
          <w:color w:val="auto"/>
          <w:kern w:val="0"/>
          <w:szCs w:val="21"/>
          <w:highlight w:val="none"/>
          <w:u w:val="single"/>
        </w:rPr>
        <w:t>约</w:t>
      </w:r>
      <w:r>
        <w:rPr>
          <w:rFonts w:hint="eastAsia" w:ascii="宋体" w:hAnsi="宋体"/>
          <w:snapToGrid w:val="0"/>
          <w:color w:val="auto"/>
          <w:kern w:val="0"/>
          <w:szCs w:val="21"/>
          <w:highlight w:val="none"/>
          <w:u w:val="single"/>
          <w:lang w:val="en-US" w:eastAsia="zh-CN"/>
        </w:rPr>
        <w:t>472</w:t>
      </w:r>
      <w:r>
        <w:rPr>
          <w:rFonts w:hint="eastAsia" w:ascii="宋体" w:hAnsi="宋体"/>
          <w:snapToGrid w:val="0"/>
          <w:color w:val="auto"/>
          <w:kern w:val="0"/>
          <w:szCs w:val="21"/>
          <w:highlight w:val="none"/>
          <w:u w:val="single"/>
        </w:rPr>
        <w:t>万元。</w:t>
      </w:r>
    </w:p>
    <w:p>
      <w:pPr>
        <w:tabs>
          <w:tab w:val="left" w:pos="3840"/>
          <w:tab w:val="left" w:pos="5300"/>
        </w:tabs>
        <w:autoSpaceDE w:val="0"/>
        <w:autoSpaceDN w:val="0"/>
        <w:adjustRightInd w:val="0"/>
        <w:snapToGrid w:val="0"/>
        <w:spacing w:line="460" w:lineRule="exact"/>
        <w:ind w:firstLine="840" w:firstLineChars="400"/>
        <w:jc w:val="left"/>
        <w:rPr>
          <w:color w:val="auto"/>
          <w:highlight w:val="none"/>
        </w:rPr>
      </w:pPr>
      <w:r>
        <w:rPr>
          <w:rFonts w:hint="eastAsia" w:ascii="宋体" w:hAnsi="宋体"/>
          <w:snapToGrid w:val="0"/>
          <w:color w:val="auto"/>
          <w:kern w:val="0"/>
          <w:szCs w:val="21"/>
          <w:highlight w:val="none"/>
        </w:rPr>
        <w:t>本次招标项目合同估算金额：</w:t>
      </w:r>
      <w:r>
        <w:rPr>
          <w:rFonts w:hint="eastAsia" w:ascii="宋体" w:hAnsi="宋体"/>
          <w:snapToGrid w:val="0"/>
          <w:color w:val="auto"/>
          <w:kern w:val="0"/>
          <w:szCs w:val="21"/>
          <w:highlight w:val="none"/>
          <w:u w:val="single"/>
        </w:rPr>
        <w:t>标段1约</w:t>
      </w:r>
      <w:r>
        <w:rPr>
          <w:rFonts w:hint="eastAsia" w:ascii="宋体" w:hAnsi="宋体"/>
          <w:snapToGrid w:val="0"/>
          <w:color w:val="auto"/>
          <w:kern w:val="0"/>
          <w:szCs w:val="21"/>
          <w:highlight w:val="none"/>
          <w:u w:val="single"/>
          <w:lang w:val="en-US" w:eastAsia="zh-CN"/>
        </w:rPr>
        <w:t>382</w:t>
      </w:r>
      <w:r>
        <w:rPr>
          <w:rFonts w:hint="eastAsia" w:ascii="宋体" w:hAnsi="宋体"/>
          <w:snapToGrid w:val="0"/>
          <w:color w:val="auto"/>
          <w:kern w:val="0"/>
          <w:szCs w:val="21"/>
          <w:highlight w:val="none"/>
          <w:u w:val="single"/>
        </w:rPr>
        <w:t>万元，标段2约</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万元。</w:t>
      </w:r>
    </w:p>
    <w:p>
      <w:pPr>
        <w:tabs>
          <w:tab w:val="left" w:pos="3840"/>
          <w:tab w:val="left" w:pos="5300"/>
        </w:tabs>
        <w:autoSpaceDE w:val="0"/>
        <w:autoSpaceDN w:val="0"/>
        <w:adjustRightInd w:val="0"/>
        <w:snapToGrid w:val="0"/>
        <w:spacing w:line="460" w:lineRule="exact"/>
        <w:ind w:right="8"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2.4 招标范围：</w:t>
      </w:r>
    </w:p>
    <w:p>
      <w:pPr>
        <w:tabs>
          <w:tab w:val="left" w:pos="3840"/>
          <w:tab w:val="left" w:pos="5300"/>
        </w:tabs>
        <w:autoSpaceDE w:val="0"/>
        <w:autoSpaceDN w:val="0"/>
        <w:adjustRightInd w:val="0"/>
        <w:snapToGrid w:val="0"/>
        <w:spacing w:line="460" w:lineRule="exact"/>
        <w:ind w:right="8"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标段2包括但不限于重庆三峡银行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支行搬迁装修工程施工图纸清单范围内的弱电、智能化、安防等专业的全部内容。</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日历天</w:t>
      </w:r>
    </w:p>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rPr>
        <w:t>24个月</w:t>
      </w:r>
    </w:p>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2.6 标段划分：本项目共划分2个标段，同一投标人可以同时对两个标段进行投标，</w:t>
      </w:r>
      <w:r>
        <w:rPr>
          <w:rFonts w:hint="eastAsia" w:ascii="宋体" w:hAnsi="宋体"/>
          <w:snapToGrid w:val="0"/>
          <w:color w:val="auto"/>
          <w:kern w:val="0"/>
          <w:szCs w:val="21"/>
          <w:highlight w:val="none"/>
          <w:lang w:val="en-US" w:eastAsia="zh-CN"/>
        </w:rPr>
        <w:t>允许同一投标人同时成为两个标段的中标人</w:t>
      </w:r>
      <w:r>
        <w:rPr>
          <w:rFonts w:hint="eastAsia" w:ascii="宋体" w:hAnsi="宋体"/>
          <w:snapToGrid w:val="0"/>
          <w:color w:val="auto"/>
          <w:kern w:val="0"/>
          <w:szCs w:val="21"/>
          <w:highlight w:val="none"/>
        </w:rPr>
        <w:t>。（注：同一投标人同时对两个标段进行投标的，应按标段分别制作投标文件。）</w:t>
      </w:r>
    </w:p>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u w:val="single"/>
        </w:rPr>
        <w:t>标段2：包括但不限于重庆三峡银行</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支行搬迁装修工程施工图纸清单范围内的弱电、智能化、安防等专业的全部内容。</w:t>
      </w:r>
    </w:p>
    <w:p>
      <w:pPr>
        <w:tabs>
          <w:tab w:val="left" w:pos="3840"/>
          <w:tab w:val="left" w:pos="5300"/>
        </w:tabs>
        <w:autoSpaceDE w:val="0"/>
        <w:autoSpaceDN w:val="0"/>
        <w:adjustRightInd w:val="0"/>
        <w:snapToGrid w:val="0"/>
        <w:spacing w:line="440" w:lineRule="exact"/>
        <w:ind w:firstLine="420" w:firstLineChars="200"/>
        <w:jc w:val="left"/>
        <w:rPr>
          <w:rFonts w:hint="default" w:ascii="宋体" w:hAnsi="宋体"/>
          <w:snapToGrid w:val="0"/>
          <w:color w:val="auto"/>
          <w:kern w:val="0"/>
          <w:szCs w:val="21"/>
          <w:highlight w:val="none"/>
          <w:lang w:val="en-US"/>
        </w:rPr>
      </w:pPr>
      <w:r>
        <w:rPr>
          <w:rFonts w:hint="eastAsia" w:ascii="宋体" w:hAnsi="宋体"/>
          <w:snapToGrid w:val="0"/>
          <w:color w:val="auto"/>
          <w:kern w:val="0"/>
          <w:szCs w:val="21"/>
          <w:highlight w:val="none"/>
        </w:rPr>
        <w:t>2.7 其他：</w:t>
      </w:r>
      <w:r>
        <w:rPr>
          <w:rFonts w:hint="default"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lang w:val="en-US" w:eastAsia="zh-CN"/>
        </w:rPr>
        <w:t>/</w:t>
      </w:r>
      <w:r>
        <w:rPr>
          <w:rFonts w:hint="default" w:ascii="宋体" w:hAnsi="宋体"/>
          <w:snapToGrid w:val="0"/>
          <w:color w:val="auto"/>
          <w:kern w:val="0"/>
          <w:szCs w:val="21"/>
          <w:highlight w:val="none"/>
          <w:u w:val="single"/>
          <w:lang w:val="en-US"/>
        </w:rPr>
        <w:t xml:space="preserve"> </w:t>
      </w:r>
    </w:p>
    <w:p>
      <w:pPr>
        <w:pStyle w:val="4"/>
        <w:spacing w:before="100" w:after="100" w:line="460" w:lineRule="exact"/>
        <w:rPr>
          <w:rFonts w:hint="eastAsia" w:ascii="宋体" w:hAnsi="宋体"/>
          <w:snapToGrid w:val="0"/>
          <w:color w:val="auto"/>
          <w:sz w:val="28"/>
          <w:szCs w:val="28"/>
          <w:highlight w:val="none"/>
        </w:rPr>
      </w:pPr>
      <w:bookmarkStart w:id="35" w:name="_Toc200359429"/>
      <w:bookmarkStart w:id="36" w:name="_Toc200359240"/>
      <w:bookmarkStart w:id="37" w:name="_Toc224103301"/>
      <w:bookmarkStart w:id="38" w:name="_Toc430530418"/>
      <w:bookmarkStart w:id="39" w:name="_Toc277082538"/>
      <w:bookmarkStart w:id="40" w:name="_Toc287620669"/>
      <w:bookmarkStart w:id="41" w:name="_Toc19513"/>
      <w:bookmarkStart w:id="42" w:name="_Toc509218694"/>
      <w:bookmarkStart w:id="43" w:name="_Toc14187"/>
      <w:bookmarkStart w:id="44" w:name="_Toc287607730"/>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投标人资格要求</w:t>
      </w:r>
      <w:bookmarkEnd w:id="35"/>
      <w:bookmarkEnd w:id="36"/>
      <w:bookmarkEnd w:id="37"/>
      <w:bookmarkEnd w:id="38"/>
      <w:bookmarkEnd w:id="39"/>
      <w:bookmarkEnd w:id="40"/>
      <w:bookmarkEnd w:id="41"/>
      <w:bookmarkEnd w:id="42"/>
      <w:bookmarkEnd w:id="43"/>
      <w:bookmarkEnd w:id="44"/>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3.1  本次招标要求投标人须具备</w:t>
      </w:r>
      <w:r>
        <w:rPr>
          <w:rFonts w:hint="eastAsia" w:ascii="宋体" w:hAnsi="宋体"/>
          <w:snapToGrid w:val="0"/>
          <w:color w:val="auto"/>
          <w:kern w:val="0"/>
          <w:szCs w:val="21"/>
          <w:highlight w:val="none"/>
        </w:rPr>
        <w:t>以下条件：</w:t>
      </w:r>
    </w:p>
    <w:p>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本次招标要求投标人具备的资质条件：</w:t>
      </w:r>
    </w:p>
    <w:p>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eastAsia="宋体"/>
          <w:b/>
          <w:bCs/>
          <w:snapToGrid w:val="0"/>
          <w:color w:val="auto"/>
          <w:kern w:val="0"/>
          <w:szCs w:val="21"/>
          <w:highlight w:val="none"/>
          <w:u w:val="single"/>
          <w:lang w:eastAsia="zh-CN"/>
        </w:rPr>
      </w:pPr>
      <w:r>
        <w:rPr>
          <w:rFonts w:hint="eastAsia" w:ascii="宋体" w:hAnsi="宋体"/>
          <w:b/>
          <w:bCs/>
          <w:snapToGrid w:val="0"/>
          <w:color w:val="auto"/>
          <w:kern w:val="0"/>
          <w:szCs w:val="21"/>
          <w:highlight w:val="none"/>
          <w:u w:val="single"/>
        </w:rPr>
        <w:t>具备建设行政主管部门颁发的电子与智能化工程专业承包二级及以上资质</w:t>
      </w:r>
      <w:r>
        <w:rPr>
          <w:rFonts w:hint="eastAsia" w:ascii="宋体" w:hAnsi="宋体"/>
          <w:b/>
          <w:bCs/>
          <w:snapToGrid w:val="0"/>
          <w:color w:val="auto"/>
          <w:kern w:val="0"/>
          <w:szCs w:val="21"/>
          <w:highlight w:val="none"/>
          <w:u w:val="single"/>
          <w:lang w:eastAsia="zh-CN"/>
        </w:rPr>
        <w:t>。</w:t>
      </w:r>
    </w:p>
    <w:p>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3.1.2 本次招标要求投标人具备的业绩条件：</w:t>
      </w:r>
    </w:p>
    <w:p>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eastAsia="宋体"/>
          <w:b/>
          <w:bCs/>
          <w:snapToGrid w:val="0"/>
          <w:color w:val="auto"/>
          <w:kern w:val="0"/>
          <w:szCs w:val="21"/>
          <w:highlight w:val="none"/>
          <w:u w:val="single"/>
          <w:lang w:eastAsia="zh-CN"/>
        </w:rPr>
      </w:pPr>
      <w:r>
        <w:rPr>
          <w:rFonts w:hint="eastAsia" w:ascii="宋体" w:hAnsi="宋体"/>
          <w:b/>
          <w:bCs/>
          <w:snapToGrid w:val="0"/>
          <w:color w:val="auto"/>
          <w:kern w:val="0"/>
          <w:szCs w:val="21"/>
          <w:highlight w:val="none"/>
          <w:u w:val="single"/>
        </w:rPr>
        <w:t>投标截止日前5年，指投标人在20</w:t>
      </w:r>
      <w:r>
        <w:rPr>
          <w:rFonts w:hint="eastAsia" w:ascii="宋体" w:hAnsi="宋体"/>
          <w:b/>
          <w:bCs/>
          <w:snapToGrid w:val="0"/>
          <w:color w:val="auto"/>
          <w:kern w:val="0"/>
          <w:szCs w:val="21"/>
          <w:highlight w:val="none"/>
          <w:u w:val="single"/>
          <w:lang w:val="en-US" w:eastAsia="zh-CN"/>
        </w:rPr>
        <w:t>21</w:t>
      </w:r>
      <w:r>
        <w:rPr>
          <w:rFonts w:hint="eastAsia" w:ascii="宋体" w:hAnsi="宋体"/>
          <w:b/>
          <w:bCs/>
          <w:snapToGrid w:val="0"/>
          <w:color w:val="auto"/>
          <w:kern w:val="0"/>
          <w:szCs w:val="21"/>
          <w:highlight w:val="none"/>
          <w:u w:val="single"/>
        </w:rPr>
        <w:t>年1月1日起至投标截止日止（以竣工时间为准）完成的1个类似项目业绩，详见招标文件第二章投标人须知前附表第1.4.1项内容</w:t>
      </w:r>
      <w:r>
        <w:rPr>
          <w:rFonts w:hint="eastAsia" w:ascii="宋体" w:hAnsi="宋体"/>
          <w:b/>
          <w:bCs/>
          <w:snapToGrid w:val="0"/>
          <w:color w:val="auto"/>
          <w:kern w:val="0"/>
          <w:szCs w:val="21"/>
          <w:highlight w:val="none"/>
          <w:u w:val="single"/>
          <w:lang w:eastAsia="zh-CN"/>
        </w:rPr>
        <w:t>。</w:t>
      </w:r>
    </w:p>
    <w:p>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color w:val="auto"/>
          <w:szCs w:val="21"/>
          <w:highlight w:val="none"/>
        </w:rPr>
      </w:pPr>
      <w:r>
        <w:rPr>
          <w:rFonts w:hint="eastAsia" w:ascii="宋体" w:hAnsi="宋体"/>
          <w:snapToGrid w:val="0"/>
          <w:color w:val="auto"/>
          <w:kern w:val="0"/>
          <w:szCs w:val="21"/>
          <w:highlight w:val="none"/>
        </w:rPr>
        <w:t>3.1.3 投标人还应在人员、设备、资金等方面具有相应的施工能力，详见招标文件第二章投标人须知前附表第1.4.1项内容。</w:t>
      </w:r>
    </w:p>
    <w:p>
      <w:pPr>
        <w:tabs>
          <w:tab w:val="left" w:pos="3045"/>
          <w:tab w:val="left" w:pos="8310"/>
        </w:tabs>
        <w:autoSpaceDE w:val="0"/>
        <w:autoSpaceDN w:val="0"/>
        <w:adjustRightInd w:val="0"/>
        <w:snapToGrid w:val="0"/>
        <w:spacing w:line="46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u w:val="single"/>
          <w:lang w:val="en-US" w:eastAsia="zh-CN"/>
        </w:rPr>
        <w:t>标段2不接受联合体投标</w:t>
      </w:r>
      <w:r>
        <w:rPr>
          <w:rFonts w:ascii="宋体" w:hAnsi="宋体"/>
          <w:snapToGrid w:val="0"/>
          <w:color w:val="auto"/>
          <w:kern w:val="0"/>
          <w:szCs w:val="21"/>
          <w:highlight w:val="none"/>
        </w:rPr>
        <w:t>。</w:t>
      </w:r>
    </w:p>
    <w:p>
      <w:pPr>
        <w:pStyle w:val="4"/>
        <w:spacing w:before="100" w:after="100" w:line="460" w:lineRule="exact"/>
        <w:rPr>
          <w:rFonts w:hint="eastAsia" w:ascii="宋体" w:hAnsi="宋体"/>
          <w:snapToGrid w:val="0"/>
          <w:color w:val="auto"/>
          <w:sz w:val="28"/>
          <w:szCs w:val="28"/>
          <w:highlight w:val="none"/>
        </w:rPr>
      </w:pPr>
      <w:bookmarkStart w:id="45" w:name="_Toc224103302"/>
      <w:bookmarkStart w:id="46" w:name="_Toc287620670"/>
      <w:bookmarkStart w:id="47" w:name="_Toc200359241"/>
      <w:bookmarkStart w:id="48" w:name="_Toc277082539"/>
      <w:bookmarkStart w:id="49" w:name="_Toc10508"/>
      <w:bookmarkStart w:id="50" w:name="_Toc430530419"/>
      <w:bookmarkStart w:id="51" w:name="_Toc287607731"/>
      <w:bookmarkStart w:id="52" w:name="_Toc25449"/>
      <w:bookmarkStart w:id="53" w:name="_Toc200359430"/>
      <w:bookmarkStart w:id="54" w:name="_Toc509218695"/>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45"/>
      <w:bookmarkEnd w:id="46"/>
      <w:bookmarkEnd w:id="47"/>
      <w:bookmarkEnd w:id="48"/>
      <w:bookmarkEnd w:id="49"/>
      <w:bookmarkEnd w:id="50"/>
      <w:bookmarkEnd w:id="51"/>
      <w:bookmarkEnd w:id="52"/>
      <w:bookmarkEnd w:id="53"/>
      <w:bookmarkEnd w:id="54"/>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6</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5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21 </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u w:val="single"/>
        </w:rPr>
        <w:t>重庆市公共资源交易网（www.cqggzy.com）</w:t>
      </w:r>
      <w:r>
        <w:rPr>
          <w:rFonts w:ascii="宋体" w:hAnsi="宋体"/>
          <w:snapToGrid w:val="0"/>
          <w:color w:val="auto"/>
          <w:kern w:val="0"/>
          <w:szCs w:val="21"/>
          <w:highlight w:val="none"/>
        </w:rPr>
        <w:t>下载招标文件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工程量清单、图纸、澄清、修改、补充通知、最高限价通知等全部内容。不管下载与否都视为潜在投标人全部知晓有关招投标过程和全部内容。</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4.2  投标人可在</w:t>
      </w:r>
      <w:r>
        <w:rPr>
          <w:rFonts w:hint="eastAsia" w:ascii="宋体" w:hAnsi="宋体"/>
          <w:snapToGrid w:val="0"/>
          <w:color w:val="auto"/>
          <w:kern w:val="0"/>
          <w:szCs w:val="21"/>
          <w:highlight w:val="none"/>
          <w:u w:val="single"/>
        </w:rPr>
        <w:t>重庆市公共资源交易网（www.cqggzy.com）</w:t>
      </w:r>
      <w:r>
        <w:rPr>
          <w:rFonts w:hint="eastAsia" w:ascii="宋体" w:hAnsi="宋体"/>
          <w:snapToGrid w:val="0"/>
          <w:color w:val="auto"/>
          <w:kern w:val="0"/>
          <w:szCs w:val="21"/>
          <w:highlight w:val="none"/>
        </w:rPr>
        <w:t>本项目招标公告网页下方“我要提问”栏提出疑问，提问时间从本公告发布至</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5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26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15</w:t>
      </w:r>
      <w:r>
        <w:rPr>
          <w:rFonts w:hint="eastAsia" w:ascii="宋体" w:hAnsi="宋体" w:cs="宋体"/>
          <w:color w:val="auto"/>
          <w:szCs w:val="21"/>
          <w:highlight w:val="none"/>
        </w:rPr>
        <w:t>时</w:t>
      </w:r>
      <w:r>
        <w:rPr>
          <w:rFonts w:hint="eastAsia" w:ascii="宋体" w:hAnsi="宋体" w:cs="宋体"/>
          <w:color w:val="auto"/>
          <w:kern w:val="0"/>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4.3  招标人应于</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5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29</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18</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u w:val="single"/>
        </w:rPr>
        <w:t>重庆市公共资源交易网（www.cqggzy.com）</w:t>
      </w:r>
      <w:r>
        <w:rPr>
          <w:rFonts w:hint="eastAsia" w:ascii="宋体" w:hAnsi="宋体"/>
          <w:snapToGrid w:val="0"/>
          <w:color w:val="auto"/>
          <w:kern w:val="0"/>
          <w:szCs w:val="21"/>
          <w:highlight w:val="none"/>
        </w:rPr>
        <w:t>发布澄清或修改。</w:t>
      </w:r>
    </w:p>
    <w:p>
      <w:pPr>
        <w:pStyle w:val="4"/>
        <w:spacing w:before="100" w:after="100" w:line="460" w:lineRule="exact"/>
        <w:rPr>
          <w:rFonts w:hint="eastAsia" w:ascii="宋体" w:hAnsi="宋体"/>
          <w:snapToGrid w:val="0"/>
          <w:color w:val="auto"/>
          <w:sz w:val="28"/>
          <w:szCs w:val="28"/>
          <w:highlight w:val="none"/>
        </w:rPr>
      </w:pPr>
      <w:bookmarkStart w:id="55" w:name="_Toc430530420"/>
      <w:bookmarkStart w:id="56" w:name="_Toc200359242"/>
      <w:bookmarkStart w:id="57" w:name="_Toc19273"/>
      <w:bookmarkStart w:id="58" w:name="_Toc28449"/>
      <w:bookmarkStart w:id="59" w:name="_Toc287607732"/>
      <w:bookmarkStart w:id="60" w:name="_Toc200359431"/>
      <w:bookmarkStart w:id="61" w:name="_Toc277082540"/>
      <w:bookmarkStart w:id="62" w:name="_Toc287620671"/>
      <w:bookmarkStart w:id="63" w:name="_Toc509218696"/>
      <w:bookmarkStart w:id="64" w:name="_Toc224103303"/>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投标文件的递交</w:t>
      </w:r>
      <w:bookmarkEnd w:id="55"/>
      <w:bookmarkEnd w:id="56"/>
      <w:bookmarkEnd w:id="57"/>
      <w:bookmarkEnd w:id="58"/>
      <w:bookmarkEnd w:id="59"/>
      <w:bookmarkEnd w:id="60"/>
      <w:bookmarkEnd w:id="61"/>
      <w:bookmarkEnd w:id="62"/>
      <w:bookmarkEnd w:id="63"/>
      <w:bookmarkEnd w:id="64"/>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5.1  投标文件递交的截止时间（投标截止时间，下同）为</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6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16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u w:val="single"/>
          <w:lang w:val="en-US" w:eastAsia="zh-CN"/>
        </w:rPr>
        <w:t xml:space="preserve">9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30</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重庆市公共资源交易中心（重庆市</w:t>
      </w:r>
      <w:r>
        <w:rPr>
          <w:rFonts w:hint="eastAsia" w:ascii="宋体" w:hAnsi="宋体"/>
          <w:snapToGrid w:val="0"/>
          <w:color w:val="auto"/>
          <w:kern w:val="0"/>
          <w:szCs w:val="21"/>
          <w:highlight w:val="none"/>
          <w:u w:val="single"/>
          <w:lang w:eastAsia="zh-CN"/>
        </w:rPr>
        <w:t>两江新区</w:t>
      </w:r>
      <w:r>
        <w:rPr>
          <w:rFonts w:hint="eastAsia" w:ascii="宋体" w:hAnsi="宋体"/>
          <w:snapToGrid w:val="0"/>
          <w:color w:val="auto"/>
          <w:kern w:val="0"/>
          <w:szCs w:val="21"/>
          <w:highlight w:val="none"/>
          <w:u w:val="single"/>
        </w:rPr>
        <w:t>青枫北路6号渝兴广场B10栋2层），</w:t>
      </w:r>
      <w:r>
        <w:rPr>
          <w:rFonts w:hint="eastAsia" w:ascii="宋体" w:hAnsi="宋体" w:cs="宋体"/>
          <w:color w:val="auto"/>
          <w:spacing w:val="-3"/>
          <w:szCs w:val="21"/>
          <w:highlight w:val="none"/>
          <w:u w:val="single"/>
          <w:shd w:val="clear" w:color="auto" w:fill="FFFFFF"/>
        </w:rPr>
        <w:t>具体房间号见开标当日指示牌</w:t>
      </w:r>
      <w:r>
        <w:rPr>
          <w:rFonts w:ascii="宋体" w:hAnsi="宋体"/>
          <w:snapToGrid w:val="0"/>
          <w:color w:val="auto"/>
          <w:kern w:val="0"/>
          <w:szCs w:val="21"/>
          <w:highlight w:val="none"/>
        </w:rPr>
        <w:t>。</w:t>
      </w:r>
    </w:p>
    <w:p>
      <w:pPr>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逾期送达的或者未送达指定地点的投标文件，招标人不予受理。</w:t>
      </w:r>
      <w:r>
        <w:rPr>
          <w:rFonts w:hint="eastAsia" w:ascii="宋体" w:hAnsi="宋体"/>
          <w:snapToGrid w:val="0"/>
          <w:color w:val="auto"/>
          <w:kern w:val="0"/>
          <w:szCs w:val="21"/>
          <w:highlight w:val="none"/>
        </w:rPr>
        <w:t xml:space="preserve"> </w:t>
      </w:r>
    </w:p>
    <w:p>
      <w:pPr>
        <w:pStyle w:val="4"/>
        <w:spacing w:before="100" w:after="100" w:line="460" w:lineRule="exact"/>
        <w:rPr>
          <w:rFonts w:hint="eastAsia" w:ascii="宋体" w:hAnsi="宋体"/>
          <w:snapToGrid w:val="0"/>
          <w:color w:val="auto"/>
          <w:sz w:val="28"/>
          <w:szCs w:val="28"/>
          <w:highlight w:val="none"/>
        </w:rPr>
      </w:pPr>
      <w:bookmarkStart w:id="65" w:name="_Toc509218697"/>
      <w:bookmarkStart w:id="66" w:name="_Toc277082541"/>
      <w:bookmarkStart w:id="67" w:name="_Toc430530421"/>
      <w:bookmarkStart w:id="68" w:name="_Toc200359243"/>
      <w:bookmarkStart w:id="69" w:name="_Toc27725"/>
      <w:bookmarkStart w:id="70" w:name="_Toc8166"/>
      <w:bookmarkStart w:id="71" w:name="_Toc200359432"/>
      <w:bookmarkStart w:id="72" w:name="_Toc287620672"/>
      <w:bookmarkStart w:id="73" w:name="_Toc224103304"/>
      <w:bookmarkStart w:id="74" w:name="_Toc287607733"/>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5"/>
      <w:bookmarkEnd w:id="66"/>
      <w:bookmarkEnd w:id="67"/>
      <w:bookmarkEnd w:id="68"/>
      <w:bookmarkEnd w:id="69"/>
      <w:bookmarkEnd w:id="70"/>
      <w:bookmarkEnd w:id="71"/>
      <w:bookmarkEnd w:id="72"/>
      <w:bookmarkEnd w:id="73"/>
      <w:bookmarkEnd w:id="74"/>
    </w:p>
    <w:p>
      <w:pPr>
        <w:tabs>
          <w:tab w:val="left" w:pos="4950"/>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本次招标公告同时在</w:t>
      </w:r>
      <w:r>
        <w:rPr>
          <w:rFonts w:hint="eastAsia" w:ascii="宋体" w:hAnsi="宋体"/>
          <w:snapToGrid w:val="0"/>
          <w:color w:val="auto"/>
          <w:kern w:val="0"/>
          <w:szCs w:val="21"/>
          <w:highlight w:val="none"/>
          <w:u w:val="single"/>
        </w:rPr>
        <w:t>重庆市公共资源交易网（www.cqggzy.com）</w:t>
      </w:r>
      <w:r>
        <w:rPr>
          <w:rFonts w:ascii="宋体" w:hAnsi="宋体"/>
          <w:snapToGrid w:val="0"/>
          <w:color w:val="auto"/>
          <w:kern w:val="0"/>
          <w:szCs w:val="21"/>
          <w:highlight w:val="none"/>
        </w:rPr>
        <w:t>上发布。</w:t>
      </w:r>
    </w:p>
    <w:p>
      <w:pPr>
        <w:pStyle w:val="4"/>
        <w:spacing w:before="100" w:after="100" w:line="460" w:lineRule="exact"/>
        <w:rPr>
          <w:rFonts w:hint="eastAsia" w:ascii="宋体" w:hAnsi="宋体"/>
          <w:snapToGrid w:val="0"/>
          <w:color w:val="auto"/>
          <w:sz w:val="28"/>
          <w:szCs w:val="28"/>
          <w:highlight w:val="none"/>
        </w:rPr>
      </w:pPr>
      <w:bookmarkStart w:id="75" w:name="_Toc31352"/>
      <w:bookmarkStart w:id="76" w:name="_Toc14240"/>
      <w:bookmarkStart w:id="77" w:name="_Toc287620673"/>
      <w:bookmarkStart w:id="78" w:name="_Toc27334"/>
      <w:bookmarkStart w:id="79" w:name="_Toc287607734"/>
      <w:bookmarkStart w:id="80" w:name="_Toc509218698"/>
      <w:bookmarkStart w:id="81" w:name="_Toc277082542"/>
      <w:bookmarkStart w:id="82" w:name="_Toc430530422"/>
      <w:bookmarkStart w:id="83" w:name="_Toc224103305"/>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75"/>
      <w:bookmarkEnd w:id="76"/>
      <w:bookmarkStart w:id="84" w:name="_Toc589"/>
      <w:r>
        <w:rPr>
          <w:rFonts w:ascii="宋体" w:hAnsi="宋体"/>
          <w:snapToGrid w:val="0"/>
          <w:color w:val="auto"/>
          <w:sz w:val="28"/>
          <w:szCs w:val="28"/>
          <w:highlight w:val="none"/>
        </w:rPr>
        <w:t>联系方式</w:t>
      </w:r>
      <w:bookmarkEnd w:id="77"/>
      <w:bookmarkEnd w:id="78"/>
      <w:bookmarkEnd w:id="79"/>
      <w:bookmarkEnd w:id="80"/>
      <w:bookmarkEnd w:id="81"/>
      <w:bookmarkEnd w:id="82"/>
      <w:bookmarkEnd w:id="83"/>
      <w:bookmarkEnd w:id="84"/>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bookmarkStart w:id="85" w:name="_Toc287620683"/>
      <w:bookmarkStart w:id="86" w:name="_Toc287607744"/>
      <w:bookmarkStart w:id="87" w:name="_Toc32148"/>
      <w:bookmarkStart w:id="88" w:name="_Toc224103315"/>
      <w:bookmarkStart w:id="89" w:name="_Toc430530432"/>
      <w:r>
        <w:rPr>
          <w:rFonts w:hint="eastAsia" w:ascii="宋体" w:hAnsi="宋体"/>
          <w:snapToGrid w:val="0"/>
          <w:color w:val="auto"/>
          <w:kern w:val="0"/>
          <w:szCs w:val="21"/>
          <w:highlight w:val="none"/>
        </w:rPr>
        <w:t>招标人：重庆三峡银行股份有限公司</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w:t>
      </w:r>
      <w:r>
        <w:rPr>
          <w:rFonts w:hint="eastAsia" w:ascii="宋体" w:hAnsi="宋体"/>
          <w:snapToGrid w:val="0"/>
          <w:color w:val="auto"/>
          <w:kern w:val="0"/>
          <w:szCs w:val="21"/>
          <w:highlight w:val="none"/>
          <w:lang w:val="en-US" w:eastAsia="zh-CN"/>
        </w:rPr>
        <w:t>两江新</w:t>
      </w:r>
      <w:r>
        <w:rPr>
          <w:rFonts w:hint="eastAsia" w:ascii="宋体" w:hAnsi="宋体"/>
          <w:snapToGrid w:val="0"/>
          <w:color w:val="auto"/>
          <w:kern w:val="0"/>
          <w:szCs w:val="21"/>
          <w:highlight w:val="none"/>
        </w:rPr>
        <w:t>区嘉州路88号中渝国际都会4号写字楼</w:t>
      </w:r>
    </w:p>
    <w:p>
      <w:pPr>
        <w:tabs>
          <w:tab w:val="left" w:pos="5140"/>
          <w:tab w:val="left" w:pos="8420"/>
        </w:tabs>
        <w:autoSpaceDE w:val="0"/>
        <w:autoSpaceDN w:val="0"/>
        <w:adjustRightInd w:val="0"/>
        <w:snapToGrid w:val="0"/>
        <w:spacing w:line="450" w:lineRule="exact"/>
        <w:ind w:firstLine="420" w:firstLineChars="200"/>
        <w:jc w:val="left"/>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rPr>
        <w:t>联系人：</w:t>
      </w:r>
      <w:r>
        <w:rPr>
          <w:rFonts w:hint="eastAsia" w:ascii="宋体" w:hAnsi="宋体"/>
          <w:snapToGrid w:val="0"/>
          <w:color w:val="auto"/>
          <w:kern w:val="0"/>
          <w:szCs w:val="21"/>
          <w:highlight w:val="none"/>
          <w:lang w:eastAsia="zh-CN"/>
        </w:rPr>
        <w:t>杨</w:t>
      </w:r>
      <w:r>
        <w:rPr>
          <w:rFonts w:hint="eastAsia" w:ascii="宋体" w:hAnsi="宋体"/>
          <w:snapToGrid w:val="0"/>
          <w:color w:val="auto"/>
          <w:kern w:val="0"/>
          <w:szCs w:val="21"/>
          <w:highlight w:val="none"/>
        </w:rPr>
        <w:t>老师</w:t>
      </w:r>
      <w:r>
        <w:rPr>
          <w:rFonts w:hint="eastAsia" w:ascii="宋体" w:hAnsi="宋体"/>
          <w:snapToGrid w:val="0"/>
          <w:color w:val="auto"/>
          <w:kern w:val="0"/>
          <w:szCs w:val="21"/>
          <w:highlight w:val="none"/>
          <w:lang w:val="en-US" w:eastAsia="zh-CN"/>
        </w:rPr>
        <w:t xml:space="preserve"> 苑老师</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电  话：023-88890381、</w:t>
      </w:r>
      <w:r>
        <w:rPr>
          <w:rFonts w:hint="eastAsia" w:ascii="宋体" w:hAnsi="宋体"/>
          <w:snapToGrid w:val="0"/>
          <w:color w:val="auto"/>
          <w:kern w:val="0"/>
          <w:szCs w:val="21"/>
          <w:highlight w:val="none"/>
          <w:lang w:val="en-US" w:eastAsia="zh-CN"/>
        </w:rPr>
        <w:t>023-88890592</w:t>
      </w:r>
      <w:r>
        <w:rPr>
          <w:rFonts w:hint="eastAsia" w:ascii="宋体" w:hAnsi="宋体"/>
          <w:snapToGrid w:val="0"/>
          <w:color w:val="auto"/>
          <w:kern w:val="0"/>
          <w:szCs w:val="21"/>
          <w:highlight w:val="none"/>
        </w:rPr>
        <w:t xml:space="preserve">         </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招标代理机构：重庆招标采购（集团）有限责任公司</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w:t>
      </w:r>
      <w:r>
        <w:rPr>
          <w:rFonts w:hint="eastAsia" w:ascii="宋体" w:hAnsi="宋体"/>
          <w:snapToGrid w:val="0"/>
          <w:color w:val="auto"/>
          <w:kern w:val="0"/>
          <w:szCs w:val="21"/>
          <w:highlight w:val="none"/>
          <w:lang w:val="en-US" w:eastAsia="zh-CN"/>
        </w:rPr>
        <w:t>两江新</w:t>
      </w:r>
      <w:r>
        <w:rPr>
          <w:rFonts w:hint="eastAsia" w:ascii="宋体" w:hAnsi="宋体"/>
          <w:snapToGrid w:val="0"/>
          <w:color w:val="auto"/>
          <w:kern w:val="0"/>
          <w:szCs w:val="21"/>
          <w:highlight w:val="none"/>
        </w:rPr>
        <w:t>区五简路2号重庆咨询大厦A座</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联系人：</w:t>
      </w:r>
      <w:r>
        <w:rPr>
          <w:rFonts w:hint="eastAsia" w:ascii="宋体" w:hAnsi="宋体"/>
          <w:snapToGrid w:val="0"/>
          <w:color w:val="auto"/>
          <w:kern w:val="0"/>
          <w:szCs w:val="21"/>
          <w:highlight w:val="none"/>
          <w:lang w:val="en-US" w:eastAsia="zh-CN"/>
        </w:rPr>
        <w:t>龚</w:t>
      </w:r>
      <w:r>
        <w:rPr>
          <w:rFonts w:hint="eastAsia" w:ascii="宋体" w:hAnsi="宋体"/>
          <w:snapToGrid w:val="0"/>
          <w:color w:val="auto"/>
          <w:kern w:val="0"/>
          <w:szCs w:val="21"/>
          <w:highlight w:val="none"/>
        </w:rPr>
        <w:t>老师</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rPr>
        <w:t>电  话：023-67</w:t>
      </w:r>
      <w:r>
        <w:rPr>
          <w:rFonts w:hint="eastAsia" w:ascii="宋体" w:hAnsi="宋体"/>
          <w:snapToGrid w:val="0"/>
          <w:color w:val="auto"/>
          <w:kern w:val="0"/>
          <w:szCs w:val="21"/>
          <w:highlight w:val="none"/>
          <w:lang w:val="en-US" w:eastAsia="zh-CN"/>
        </w:rPr>
        <w:t>078251</w:t>
      </w:r>
    </w:p>
    <w:p>
      <w:pPr>
        <w:pStyle w:val="2"/>
        <w:jc w:val="right"/>
        <w:rPr>
          <w:rFonts w:hint="default"/>
          <w:lang w:val="en-US" w:eastAsia="zh-CN"/>
        </w:rPr>
      </w:pPr>
      <w:r>
        <w:rPr>
          <w:rFonts w:hint="eastAsia" w:ascii="宋体" w:hAnsi="宋体"/>
          <w:snapToGrid w:val="0"/>
          <w:color w:val="auto"/>
          <w:kern w:val="0"/>
          <w:szCs w:val="21"/>
          <w:highlight w:val="none"/>
          <w:lang w:val="en-US" w:eastAsia="zh-CN"/>
        </w:rPr>
        <w:t>2026年5月21</w:t>
      </w:r>
      <w:bookmarkStart w:id="2286" w:name="_GoBack"/>
      <w:bookmarkEnd w:id="2286"/>
      <w:r>
        <w:rPr>
          <w:rFonts w:hint="eastAsia" w:ascii="宋体" w:hAnsi="宋体"/>
          <w:snapToGrid w:val="0"/>
          <w:color w:val="auto"/>
          <w:kern w:val="0"/>
          <w:szCs w:val="21"/>
          <w:highlight w:val="none"/>
          <w:lang w:val="en-US" w:eastAsia="zh-CN"/>
        </w:rPr>
        <w:t xml:space="preserve"> 日</w:t>
      </w:r>
    </w:p>
    <w:p>
      <w:pP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br w:type="page"/>
      </w:r>
    </w:p>
    <w:p>
      <w:pPr>
        <w:pStyle w:val="3"/>
        <w:spacing w:line="360" w:lineRule="auto"/>
        <w:jc w:val="center"/>
        <w:rPr>
          <w:rFonts w:hint="eastAsia" w:ascii="宋体" w:hAnsi="宋体"/>
          <w:bCs w:val="0"/>
          <w:snapToGrid w:val="0"/>
          <w:color w:val="auto"/>
          <w:kern w:val="0"/>
          <w:highlight w:val="none"/>
        </w:rPr>
      </w:pPr>
      <w:bookmarkStart w:id="90" w:name="_Toc18558"/>
      <w:r>
        <w:rPr>
          <w:rFonts w:ascii="宋体" w:hAnsi="宋体"/>
          <w:snapToGrid w:val="0"/>
          <w:color w:val="auto"/>
          <w:kern w:val="0"/>
          <w:highlight w:val="none"/>
        </w:rPr>
        <w:t>第二章  投标人须知</w:t>
      </w:r>
      <w:bookmarkEnd w:id="85"/>
      <w:bookmarkEnd w:id="86"/>
      <w:bookmarkEnd w:id="87"/>
      <w:bookmarkEnd w:id="88"/>
      <w:bookmarkEnd w:id="89"/>
      <w:bookmarkEnd w:id="90"/>
      <w:bookmarkStart w:id="91" w:name="_Toc224103316"/>
      <w:bookmarkStart w:id="92" w:name="_Toc430530433"/>
      <w:bookmarkStart w:id="93" w:name="_Toc287620684"/>
      <w:bookmarkStart w:id="94" w:name="_Toc287607745"/>
      <w:bookmarkStart w:id="95" w:name="_Toc277082551"/>
    </w:p>
    <w:p>
      <w:pPr>
        <w:pStyle w:val="4"/>
        <w:spacing w:before="100" w:after="100" w:line="360" w:lineRule="auto"/>
        <w:rPr>
          <w:rFonts w:hint="eastAsia" w:ascii="宋体" w:hAnsi="宋体"/>
          <w:color w:val="auto"/>
          <w:highlight w:val="none"/>
        </w:rPr>
      </w:pPr>
      <w:bookmarkStart w:id="96" w:name="_Toc8005"/>
      <w:bookmarkStart w:id="97" w:name="_Toc509218708"/>
      <w:bookmarkStart w:id="98" w:name="_Toc27352"/>
      <w:r>
        <w:rPr>
          <w:rFonts w:hint="eastAsia" w:ascii="宋体" w:hAnsi="宋体"/>
          <w:color w:val="auto"/>
          <w:highlight w:val="none"/>
        </w:rPr>
        <w:t>投标人须知前附表</w:t>
      </w:r>
      <w:bookmarkEnd w:id="91"/>
      <w:bookmarkEnd w:id="92"/>
      <w:bookmarkEnd w:id="93"/>
      <w:bookmarkEnd w:id="94"/>
      <w:bookmarkEnd w:id="95"/>
      <w:bookmarkEnd w:id="96"/>
      <w:bookmarkEnd w:id="97"/>
      <w:bookmarkEnd w:id="98"/>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hint="eastAsia"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pPr>
              <w:snapToGrid w:val="0"/>
              <w:spacing w:line="400" w:lineRule="exact"/>
              <w:jc w:val="center"/>
              <w:rPr>
                <w:rFonts w:hint="eastAsia"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pPr>
              <w:snapToGrid w:val="0"/>
              <w:spacing w:line="400" w:lineRule="exact"/>
              <w:jc w:val="center"/>
              <w:rPr>
                <w:rFonts w:hint="eastAsia" w:ascii="宋体" w:hAnsi="宋体"/>
                <w:b/>
                <w:color w:val="auto"/>
                <w:kern w:val="0"/>
                <w:szCs w:val="21"/>
                <w:highlight w:val="none"/>
              </w:rPr>
            </w:pPr>
            <w:r>
              <w:rPr>
                <w:rFonts w:ascii="宋体" w:hAnsi="宋体"/>
                <w:b/>
                <w:color w:val="auto"/>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招标人</w:t>
            </w:r>
          </w:p>
        </w:tc>
        <w:tc>
          <w:tcPr>
            <w:tcW w:w="6490" w:type="dxa"/>
            <w:vAlign w:val="center"/>
          </w:tcPr>
          <w:p>
            <w:pPr>
              <w:autoSpaceDE w:val="0"/>
              <w:autoSpaceDN w:val="0"/>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名称：</w:t>
            </w:r>
            <w:r>
              <w:rPr>
                <w:rFonts w:hint="eastAsia" w:ascii="宋体" w:hAnsi="宋体"/>
                <w:color w:val="auto"/>
                <w:szCs w:val="21"/>
                <w:highlight w:val="none"/>
              </w:rPr>
              <w:t>重庆三峡银行股份有限公司</w:t>
            </w:r>
          </w:p>
          <w:p>
            <w:pPr>
              <w:autoSpaceDE w:val="0"/>
              <w:autoSpaceDN w:val="0"/>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地址：重庆市</w:t>
            </w:r>
            <w:r>
              <w:rPr>
                <w:rFonts w:hint="eastAsia" w:ascii="宋体" w:hAnsi="宋体"/>
                <w:color w:val="auto"/>
                <w:szCs w:val="21"/>
                <w:highlight w:val="none"/>
                <w:lang w:eastAsia="zh-CN"/>
              </w:rPr>
              <w:t>两江新区</w:t>
            </w:r>
            <w:r>
              <w:rPr>
                <w:rFonts w:hint="eastAsia" w:ascii="宋体" w:hAnsi="宋体"/>
                <w:color w:val="auto"/>
                <w:szCs w:val="21"/>
                <w:highlight w:val="none"/>
              </w:rPr>
              <w:t>嘉州路88号中渝国际都会4号写字楼</w:t>
            </w:r>
          </w:p>
          <w:p>
            <w:pPr>
              <w:autoSpaceDE w:val="0"/>
              <w:autoSpaceDN w:val="0"/>
              <w:adjustRightInd w:val="0"/>
              <w:snapToGrid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snapToGrid w:val="0"/>
                <w:color w:val="auto"/>
                <w:kern w:val="0"/>
                <w:szCs w:val="21"/>
                <w:highlight w:val="none"/>
                <w:lang w:eastAsia="zh-CN"/>
              </w:rPr>
              <w:t>杨</w:t>
            </w:r>
            <w:r>
              <w:rPr>
                <w:rFonts w:hint="eastAsia" w:ascii="宋体" w:hAnsi="宋体"/>
                <w:snapToGrid w:val="0"/>
                <w:color w:val="auto"/>
                <w:kern w:val="0"/>
                <w:szCs w:val="21"/>
                <w:highlight w:val="none"/>
              </w:rPr>
              <w:t>老师</w:t>
            </w:r>
            <w:r>
              <w:rPr>
                <w:rFonts w:hint="eastAsia" w:ascii="宋体" w:hAnsi="宋体"/>
                <w:snapToGrid w:val="0"/>
                <w:color w:val="auto"/>
                <w:kern w:val="0"/>
                <w:szCs w:val="21"/>
                <w:highlight w:val="none"/>
                <w:lang w:val="en-US" w:eastAsia="zh-CN"/>
              </w:rPr>
              <w:t xml:space="preserve"> 苑老师</w:t>
            </w:r>
          </w:p>
          <w:p>
            <w:pPr>
              <w:autoSpaceDE w:val="0"/>
              <w:autoSpaceDN w:val="0"/>
              <w:adjustRightInd w:val="0"/>
              <w:snapToGrid w:val="0"/>
              <w:spacing w:line="400" w:lineRule="exact"/>
              <w:rPr>
                <w:rFonts w:hint="eastAsia" w:ascii="宋体" w:hAnsi="宋体"/>
                <w:color w:val="auto"/>
                <w:kern w:val="0"/>
                <w:szCs w:val="21"/>
                <w:highlight w:val="none"/>
              </w:rPr>
            </w:pPr>
            <w:r>
              <w:rPr>
                <w:rFonts w:hint="eastAsia" w:ascii="宋体" w:hAnsi="宋体"/>
                <w:color w:val="auto"/>
                <w:szCs w:val="21"/>
                <w:highlight w:val="none"/>
              </w:rPr>
              <w:t>电话：</w:t>
            </w:r>
            <w:r>
              <w:rPr>
                <w:rFonts w:hint="eastAsia" w:ascii="宋体" w:hAnsi="宋体"/>
                <w:snapToGrid w:val="0"/>
                <w:color w:val="auto"/>
                <w:kern w:val="0"/>
                <w:szCs w:val="21"/>
                <w:highlight w:val="none"/>
              </w:rPr>
              <w:t>023-88890381、</w:t>
            </w:r>
            <w:r>
              <w:rPr>
                <w:rFonts w:hint="eastAsia" w:ascii="宋体" w:hAnsi="宋体"/>
                <w:snapToGrid w:val="0"/>
                <w:color w:val="auto"/>
                <w:kern w:val="0"/>
                <w:szCs w:val="21"/>
                <w:highlight w:val="none"/>
                <w:lang w:val="en-US" w:eastAsia="zh-CN"/>
              </w:rPr>
              <w:t>023-88890592</w:t>
            </w:r>
            <w:r>
              <w:rPr>
                <w:rFonts w:hint="eastAsia" w:ascii="宋体" w:hAnsi="宋体"/>
                <w:color w:val="auto"/>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招标代理机构</w:t>
            </w:r>
          </w:p>
        </w:tc>
        <w:tc>
          <w:tcPr>
            <w:tcW w:w="6490" w:type="dxa"/>
            <w:vAlign w:val="center"/>
          </w:tcPr>
          <w:p>
            <w:pPr>
              <w:autoSpaceDE w:val="0"/>
              <w:autoSpaceDN w:val="0"/>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名称：</w:t>
            </w:r>
            <w:r>
              <w:rPr>
                <w:rFonts w:hint="eastAsia" w:ascii="宋体" w:hAnsi="宋体"/>
                <w:color w:val="auto"/>
                <w:szCs w:val="21"/>
                <w:highlight w:val="none"/>
              </w:rPr>
              <w:t>重庆招标采购（集团）有限责任公司</w:t>
            </w:r>
          </w:p>
          <w:p>
            <w:pPr>
              <w:autoSpaceDE w:val="0"/>
              <w:autoSpaceDN w:val="0"/>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地址：重庆市</w:t>
            </w:r>
            <w:r>
              <w:rPr>
                <w:rFonts w:hint="eastAsia" w:ascii="宋体" w:hAnsi="宋体"/>
                <w:color w:val="auto"/>
                <w:szCs w:val="21"/>
                <w:highlight w:val="none"/>
                <w:lang w:eastAsia="zh-CN"/>
              </w:rPr>
              <w:t>两江新区</w:t>
            </w:r>
            <w:r>
              <w:rPr>
                <w:rFonts w:hint="eastAsia" w:ascii="宋体" w:hAnsi="宋体"/>
                <w:color w:val="auto"/>
                <w:szCs w:val="21"/>
                <w:highlight w:val="none"/>
              </w:rPr>
              <w:t>五简路2号重庆咨询大厦A座</w:t>
            </w:r>
          </w:p>
          <w:p>
            <w:pPr>
              <w:autoSpaceDE w:val="0"/>
              <w:autoSpaceDN w:val="0"/>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龚</w:t>
            </w:r>
            <w:r>
              <w:rPr>
                <w:rFonts w:hint="eastAsia" w:ascii="宋体" w:hAnsi="宋体"/>
                <w:color w:val="auto"/>
                <w:szCs w:val="21"/>
                <w:highlight w:val="none"/>
              </w:rPr>
              <w:t>老师</w:t>
            </w:r>
          </w:p>
          <w:p>
            <w:pPr>
              <w:autoSpaceDE w:val="0"/>
              <w:autoSpaceDN w:val="0"/>
              <w:adjustRightInd w:val="0"/>
              <w:snapToGrid w:val="0"/>
              <w:spacing w:line="400" w:lineRule="exact"/>
              <w:rPr>
                <w:rFonts w:hint="default" w:ascii="宋体" w:hAnsi="宋体" w:eastAsia="宋体"/>
                <w:color w:val="auto"/>
                <w:kern w:val="0"/>
                <w:szCs w:val="21"/>
                <w:highlight w:val="none"/>
                <w:lang w:val="en-US" w:eastAsia="zh-CN"/>
              </w:rPr>
            </w:pPr>
            <w:r>
              <w:rPr>
                <w:rFonts w:hint="eastAsia" w:ascii="宋体" w:hAnsi="宋体"/>
                <w:color w:val="auto"/>
                <w:szCs w:val="21"/>
                <w:highlight w:val="none"/>
              </w:rPr>
              <w:t>电话：023-67</w:t>
            </w:r>
            <w:r>
              <w:rPr>
                <w:rFonts w:hint="eastAsia" w:ascii="宋体" w:hAnsi="宋体"/>
                <w:color w:val="auto"/>
                <w:szCs w:val="21"/>
                <w:highlight w:val="none"/>
                <w:lang w:val="en-US" w:eastAsia="zh-CN"/>
              </w:rPr>
              <w:t>078251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pPr>
              <w:snapToGrid w:val="0"/>
              <w:spacing w:line="400" w:lineRule="exact"/>
              <w:jc w:val="left"/>
              <w:rPr>
                <w:rFonts w:hint="eastAsia" w:ascii="宋体" w:hAnsi="宋体" w:eastAsia="宋体"/>
                <w:color w:val="auto"/>
                <w:szCs w:val="21"/>
                <w:highlight w:val="none"/>
                <w:lang w:eastAsia="zh-CN"/>
              </w:rPr>
            </w:pPr>
            <w:r>
              <w:rPr>
                <w:rFonts w:hint="eastAsia" w:ascii="宋体" w:hAnsi="宋体"/>
                <w:snapToGrid w:val="0"/>
                <w:color w:val="auto"/>
                <w:kern w:val="0"/>
                <w:szCs w:val="21"/>
                <w:highlight w:val="none"/>
                <w:u w:val="single"/>
                <w:lang w:eastAsia="zh-CN"/>
              </w:rPr>
              <w:t>重庆三峡银行南岸支行搬迁装修工程标段2（第二次）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pPr>
              <w:snapToGrid w:val="0"/>
              <w:spacing w:line="400" w:lineRule="exact"/>
              <w:jc w:val="left"/>
              <w:rPr>
                <w:rFonts w:hint="eastAsia" w:ascii="宋体" w:hAnsi="宋体"/>
                <w:color w:val="auto"/>
                <w:szCs w:val="21"/>
                <w:highlight w:val="none"/>
              </w:rPr>
            </w:pPr>
            <w:r>
              <w:rPr>
                <w:rFonts w:hint="eastAsia" w:ascii="宋体" w:hAnsi="宋体"/>
                <w:snapToGrid w:val="0"/>
                <w:color w:val="auto"/>
                <w:kern w:val="0"/>
                <w:szCs w:val="21"/>
                <w:highlight w:val="none"/>
                <w:u w:val="single"/>
              </w:rPr>
              <w:t>重庆市</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区</w:t>
            </w:r>
            <w:r>
              <w:rPr>
                <w:rFonts w:hint="eastAsia" w:ascii="宋体" w:hAnsi="宋体"/>
                <w:snapToGrid w:val="0"/>
                <w:color w:val="auto"/>
                <w:kern w:val="0"/>
                <w:szCs w:val="21"/>
                <w:highlight w:val="none"/>
                <w:u w:val="single"/>
                <w:lang w:val="en-US" w:eastAsia="zh-CN"/>
              </w:rPr>
              <w:t>弹子石新街38号附11-18号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rPr>
                <w:rFonts w:hint="eastAsia" w:ascii="宋体" w:hAnsi="宋体"/>
                <w:i/>
                <w:snapToGrid w:val="0"/>
                <w:color w:val="auto"/>
                <w:kern w:val="0"/>
                <w:szCs w:val="21"/>
                <w:highlight w:val="none"/>
              </w:rPr>
            </w:pPr>
            <w:r>
              <w:rPr>
                <w:rFonts w:hint="eastAsia" w:ascii="宋体" w:hAnsi="宋体"/>
                <w:snapToGrid w:val="0"/>
                <w:color w:val="auto"/>
                <w:kern w:val="0"/>
                <w:szCs w:val="21"/>
                <w:highlight w:val="none"/>
              </w:rPr>
              <w:t>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支行搬迁装修,室内精装修面积约</w:t>
            </w:r>
            <w:r>
              <w:rPr>
                <w:rFonts w:hint="eastAsia" w:ascii="宋体" w:hAnsi="宋体"/>
                <w:snapToGrid w:val="0"/>
                <w:color w:val="auto"/>
                <w:kern w:val="0"/>
                <w:szCs w:val="21"/>
                <w:highlight w:val="none"/>
                <w:lang w:val="en-US" w:eastAsia="zh-CN"/>
              </w:rPr>
              <w:t>1706</w:t>
            </w:r>
            <w:r>
              <w:rPr>
                <w:rFonts w:hint="eastAsia" w:ascii="宋体" w:hAnsi="宋体"/>
                <w:snapToGrid w:val="0"/>
                <w:color w:val="auto"/>
                <w:kern w:val="0"/>
                <w:szCs w:val="21"/>
                <w:highlight w:val="none"/>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pPr>
              <w:snapToGrid w:val="0"/>
              <w:spacing w:line="400" w:lineRule="exact"/>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u w:val="single"/>
              </w:rPr>
              <w:t>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招标范围</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i/>
                <w:color w:val="auto"/>
                <w:szCs w:val="21"/>
                <w:highlight w:val="none"/>
              </w:rPr>
            </w:pPr>
            <w:r>
              <w:rPr>
                <w:rFonts w:hint="eastAsia" w:ascii="宋体" w:hAnsi="宋体"/>
                <w:snapToGrid w:val="0"/>
                <w:color w:val="auto"/>
                <w:kern w:val="0"/>
                <w:szCs w:val="21"/>
                <w:highlight w:val="none"/>
              </w:rPr>
              <w:t>标段2包括但不限于重庆三峡银行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支行搬迁装修工程施工图纸清单范围内的弱电、智能化、安防等专业的全部内容。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计划工期</w:t>
            </w:r>
          </w:p>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pPr>
              <w:snapToGrid w:val="0"/>
              <w:spacing w:line="400" w:lineRule="exact"/>
              <w:ind w:firstLine="420" w:firstLineChars="200"/>
              <w:rPr>
                <w:rFonts w:hint="eastAsia"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日历天</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rPr>
              <w:t xml:space="preserve"> 24个月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1.4.1</w:t>
            </w: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1.4.1</w:t>
            </w: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1.4.1</w:t>
            </w: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1.4.1</w:t>
            </w: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tc>
        <w:tc>
          <w:tcPr>
            <w:tcW w:w="1644" w:type="dxa"/>
            <w:vAlign w:val="center"/>
          </w:tcPr>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投标人资质条件、能力和信誉</w:t>
            </w: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投标人资质条件、能力和信誉</w:t>
            </w: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投标人资质条件、能力和信誉</w:t>
            </w: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投标人资质条件、能力和信誉</w:t>
            </w: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p>
            <w:pPr>
              <w:snapToGrid w:val="0"/>
              <w:spacing w:line="400" w:lineRule="exact"/>
              <w:jc w:val="center"/>
              <w:rPr>
                <w:rFonts w:hint="eastAsia" w:ascii="宋体" w:hAnsi="宋体"/>
                <w:color w:val="auto"/>
                <w:kern w:val="0"/>
                <w:szCs w:val="21"/>
                <w:highlight w:val="none"/>
              </w:rPr>
            </w:pPr>
          </w:p>
        </w:tc>
        <w:tc>
          <w:tcPr>
            <w:tcW w:w="6490" w:type="dxa"/>
            <w:vAlign w:val="center"/>
          </w:tcPr>
          <w:p>
            <w:pPr>
              <w:autoSpaceDE w:val="0"/>
              <w:autoSpaceDN w:val="0"/>
              <w:adjustRightInd w:val="0"/>
              <w:snapToGrid w:val="0"/>
              <w:spacing w:line="400" w:lineRule="exact"/>
              <w:ind w:firstLine="420" w:firstLineChars="200"/>
              <w:rPr>
                <w:rFonts w:hint="eastAsia" w:ascii="宋体" w:hAnsi="宋体"/>
                <w:color w:val="auto"/>
                <w:szCs w:val="21"/>
                <w:highlight w:val="none"/>
              </w:rPr>
            </w:pPr>
            <w:bookmarkStart w:id="99" w:name="OLE_LINK1"/>
            <w:r>
              <w:rPr>
                <w:rFonts w:ascii="宋体" w:hAnsi="宋体"/>
                <w:color w:val="auto"/>
                <w:szCs w:val="21"/>
                <w:highlight w:val="none"/>
              </w:rPr>
              <w:t>本工程施工招标实行资格后审，投标人应</w:t>
            </w:r>
            <w:bookmarkStart w:id="100" w:name="一是"/>
            <w:bookmarkEnd w:id="100"/>
            <w:r>
              <w:rPr>
                <w:rFonts w:ascii="宋体" w:hAnsi="宋体"/>
                <w:color w:val="auto"/>
                <w:szCs w:val="21"/>
                <w:highlight w:val="none"/>
              </w:rPr>
              <w:t>具备以下资格条件：</w:t>
            </w:r>
          </w:p>
          <w:bookmarkEnd w:id="99"/>
          <w:p>
            <w:pPr>
              <w:autoSpaceDE w:val="0"/>
              <w:autoSpaceDN w:val="0"/>
              <w:adjustRightInd w:val="0"/>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1.资质条件、</w:t>
            </w:r>
            <w:r>
              <w:rPr>
                <w:rFonts w:hint="eastAsia" w:ascii="宋体" w:hAnsi="宋体"/>
                <w:b/>
                <w:color w:val="auto"/>
                <w:szCs w:val="21"/>
                <w:highlight w:val="none"/>
                <w:lang w:eastAsia="zh-CN"/>
              </w:rPr>
              <w:t>独立法人资格</w:t>
            </w:r>
            <w:r>
              <w:rPr>
                <w:rFonts w:ascii="宋体" w:hAnsi="宋体"/>
                <w:b/>
                <w:color w:val="auto"/>
                <w:szCs w:val="21"/>
                <w:highlight w:val="none"/>
              </w:rPr>
              <w:t>及安全生产条件</w:t>
            </w:r>
          </w:p>
          <w:p>
            <w:pPr>
              <w:tabs>
                <w:tab w:val="left" w:pos="3840"/>
                <w:tab w:val="left" w:pos="5300"/>
              </w:tabs>
              <w:autoSpaceDE w:val="0"/>
              <w:autoSpaceDN w:val="0"/>
              <w:adjustRightInd w:val="0"/>
              <w:snapToGrid w:val="0"/>
              <w:spacing w:line="460" w:lineRule="exact"/>
              <w:ind w:firstLine="422" w:firstLineChars="200"/>
              <w:jc w:val="left"/>
              <w:rPr>
                <w:rFonts w:hint="eastAsia" w:ascii="宋体" w:hAnsi="宋体"/>
                <w:b/>
                <w:bCs/>
                <w:snapToGrid w:val="0"/>
                <w:color w:val="auto"/>
                <w:kern w:val="0"/>
                <w:szCs w:val="21"/>
                <w:highlight w:val="none"/>
                <w:u w:val="single"/>
              </w:rPr>
            </w:pPr>
            <w:r>
              <w:rPr>
                <w:rFonts w:hint="eastAsia" w:ascii="宋体" w:hAnsi="宋体"/>
                <w:b/>
                <w:bCs/>
                <w:snapToGrid w:val="0"/>
                <w:color w:val="auto"/>
                <w:kern w:val="0"/>
                <w:szCs w:val="21"/>
                <w:highlight w:val="none"/>
                <w:u w:val="single"/>
              </w:rPr>
              <w:t>具备建设行政主管部门颁发的有效的电子与智能化工程专业承包二级及以上资质；</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有效的资质证书</w:t>
            </w:r>
            <w:r>
              <w:rPr>
                <w:rFonts w:ascii="宋体" w:hAnsi="宋体"/>
                <w:color w:val="auto"/>
                <w:szCs w:val="21"/>
                <w:highlight w:val="none"/>
              </w:rPr>
              <w:t>。</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）具备</w:t>
            </w:r>
            <w:r>
              <w:rPr>
                <w:rFonts w:hint="eastAsia" w:ascii="宋体" w:hAnsi="宋体"/>
                <w:color w:val="auto"/>
                <w:szCs w:val="21"/>
                <w:highlight w:val="none"/>
                <w:lang w:val="en-US" w:eastAsia="zh-CN"/>
              </w:rPr>
              <w:t>独立法人资格</w:t>
            </w:r>
            <w:r>
              <w:rPr>
                <w:rFonts w:ascii="宋体" w:hAnsi="宋体"/>
                <w:color w:val="auto"/>
                <w:szCs w:val="21"/>
                <w:highlight w:val="none"/>
              </w:rPr>
              <w:t>。</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提供</w:t>
            </w:r>
            <w:r>
              <w:rPr>
                <w:rFonts w:hint="eastAsia" w:ascii="宋体" w:hAnsi="宋体"/>
                <w:color w:val="auto"/>
                <w:szCs w:val="21"/>
                <w:highlight w:val="none"/>
                <w:lang w:eastAsia="zh-CN"/>
              </w:rPr>
              <w:t>：</w:t>
            </w:r>
            <w:r>
              <w:rPr>
                <w:rFonts w:ascii="宋体" w:hAnsi="宋体"/>
                <w:color w:val="auto"/>
                <w:szCs w:val="21"/>
                <w:highlight w:val="none"/>
              </w:rPr>
              <w:t>有效的营业执照</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注：不得将投标人营业执照记载的经营范围作为评审因素。</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）具备建设行政主管部门颁发的有效的安全生产许可证，企业</w:t>
            </w:r>
            <w:r>
              <w:rPr>
                <w:rFonts w:hint="eastAsia" w:ascii="宋体" w:hAnsi="宋体"/>
                <w:color w:val="auto"/>
                <w:szCs w:val="21"/>
                <w:highlight w:val="none"/>
              </w:rPr>
              <w:t>主要</w:t>
            </w:r>
            <w:r>
              <w:rPr>
                <w:rFonts w:ascii="宋体" w:hAnsi="宋体"/>
                <w:color w:val="auto"/>
                <w:szCs w:val="21"/>
                <w:highlight w:val="none"/>
              </w:rPr>
              <w:t>负责人、</w:t>
            </w:r>
            <w:r>
              <w:rPr>
                <w:rFonts w:hint="eastAsia" w:ascii="宋体" w:hAnsi="宋体"/>
                <w:color w:val="auto"/>
                <w:szCs w:val="21"/>
                <w:highlight w:val="none"/>
                <w:lang w:val="en-US" w:eastAsia="zh-CN"/>
              </w:rPr>
              <w:t>拟派</w:t>
            </w:r>
            <w:r>
              <w:rPr>
                <w:rFonts w:ascii="宋体" w:hAnsi="宋体"/>
                <w:color w:val="auto"/>
                <w:szCs w:val="21"/>
                <w:highlight w:val="none"/>
              </w:rPr>
              <w:t>项目经理具备相应的由建设行政主管部门颁发的有效的安全生产考核合格证书</w:t>
            </w:r>
            <w:r>
              <w:rPr>
                <w:rFonts w:hint="eastAsia" w:ascii="宋体" w:hAnsi="宋体"/>
                <w:color w:val="auto"/>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有效的安全生产许可证</w:t>
            </w:r>
            <w:r>
              <w:rPr>
                <w:rFonts w:ascii="宋体" w:hAnsi="宋体"/>
                <w:color w:val="auto"/>
                <w:szCs w:val="21"/>
                <w:highlight w:val="none"/>
              </w:rPr>
              <w:t>及安全生产考核合格证书。</w:t>
            </w:r>
          </w:p>
          <w:p>
            <w:pPr>
              <w:autoSpaceDE w:val="0"/>
              <w:autoSpaceDN w:val="0"/>
              <w:adjustRightInd w:val="0"/>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2.财务要求</w:t>
            </w:r>
          </w:p>
          <w:p>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u w:val="single"/>
              </w:rPr>
              <w:t>202</w:t>
            </w:r>
            <w:r>
              <w:rPr>
                <w:rFonts w:hint="eastAsia" w:ascii="宋体" w:hAnsi="宋体"/>
                <w:color w:val="auto"/>
                <w:kern w:val="0"/>
                <w:szCs w:val="21"/>
                <w:highlight w:val="none"/>
                <w:u w:val="single"/>
                <w:lang w:val="en-US" w:eastAsia="zh-CN"/>
              </w:rPr>
              <w:t>2</w:t>
            </w:r>
            <w:r>
              <w:rPr>
                <w:rFonts w:hint="eastAsia" w:ascii="宋体" w:hAnsi="宋体"/>
                <w:color w:val="auto"/>
                <w:kern w:val="0"/>
                <w:szCs w:val="21"/>
                <w:highlight w:val="none"/>
              </w:rPr>
              <w:t>年、</w:t>
            </w:r>
            <w:r>
              <w:rPr>
                <w:rFonts w:hint="eastAsia" w:ascii="宋体" w:hAnsi="宋体"/>
                <w:color w:val="auto"/>
                <w:kern w:val="0"/>
                <w:szCs w:val="21"/>
                <w:highlight w:val="none"/>
                <w:u w:val="single"/>
              </w:rPr>
              <w:t>202</w:t>
            </w:r>
            <w:r>
              <w:rPr>
                <w:rFonts w:hint="eastAsia" w:ascii="宋体" w:hAnsi="宋体"/>
                <w:color w:val="auto"/>
                <w:kern w:val="0"/>
                <w:szCs w:val="21"/>
                <w:highlight w:val="none"/>
                <w:u w:val="single"/>
                <w:lang w:val="en-US" w:eastAsia="zh-CN"/>
              </w:rPr>
              <w:t>3</w:t>
            </w:r>
            <w:r>
              <w:rPr>
                <w:rFonts w:hint="eastAsia" w:ascii="宋体" w:hAnsi="宋体"/>
                <w:color w:val="auto"/>
                <w:kern w:val="0"/>
                <w:szCs w:val="21"/>
                <w:highlight w:val="none"/>
              </w:rPr>
              <w:t>年、</w:t>
            </w:r>
            <w:r>
              <w:rPr>
                <w:rFonts w:hint="eastAsia" w:ascii="宋体" w:hAnsi="宋体"/>
                <w:color w:val="auto"/>
                <w:kern w:val="0"/>
                <w:szCs w:val="21"/>
                <w:highlight w:val="none"/>
                <w:u w:val="single"/>
              </w:rPr>
              <w:t>202</w:t>
            </w:r>
            <w:r>
              <w:rPr>
                <w:rFonts w:hint="eastAsia" w:ascii="宋体" w:hAnsi="宋体"/>
                <w:color w:val="auto"/>
                <w:kern w:val="0"/>
                <w:szCs w:val="21"/>
                <w:highlight w:val="none"/>
                <w:u w:val="single"/>
                <w:lang w:val="en-US" w:eastAsia="zh-CN"/>
              </w:rPr>
              <w:t>4</w:t>
            </w:r>
            <w:r>
              <w:rPr>
                <w:rFonts w:hint="eastAsia" w:ascii="宋体" w:hAnsi="宋体"/>
                <w:color w:val="auto"/>
                <w:kern w:val="0"/>
                <w:szCs w:val="21"/>
                <w:highlight w:val="none"/>
              </w:rPr>
              <w:t>年的年度财务状况不亏损。</w:t>
            </w:r>
          </w:p>
          <w:p>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会计师事务所或审计机构出具的合法有效的财务审计报告及财务报表，财务报表须至少包括现金流量表、资产负债表、利润表。</w:t>
            </w:r>
          </w:p>
          <w:p>
            <w:pPr>
              <w:autoSpaceDE w:val="0"/>
              <w:autoSpaceDN w:val="0"/>
              <w:adjustRightInd w:val="0"/>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3.业绩要求</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Theme="minorEastAsia" w:hAnsiTheme="minorEastAsia" w:eastAsiaTheme="minorEastAsia" w:cstheme="minorEastAsia"/>
                <w:color w:val="auto"/>
                <w:kern w:val="0"/>
                <w:sz w:val="21"/>
                <w:szCs w:val="21"/>
                <w:highlight w:val="none"/>
                <w:lang w:eastAsia="zh-CN"/>
              </w:rPr>
              <w:t>投标人</w:t>
            </w:r>
            <w:r>
              <w:rPr>
                <w:rFonts w:hint="eastAsia" w:asciiTheme="minorEastAsia" w:hAnsiTheme="minorEastAsia" w:eastAsiaTheme="minorEastAsia" w:cstheme="minorEastAsia"/>
                <w:snapToGrid/>
                <w:color w:val="auto"/>
                <w:sz w:val="21"/>
                <w:szCs w:val="21"/>
                <w:highlight w:val="none"/>
                <w:u w:val="none"/>
                <w:lang w:val="en-US" w:eastAsia="zh-CN"/>
              </w:rPr>
              <w:t>自</w:t>
            </w:r>
            <w:r>
              <w:rPr>
                <w:rFonts w:hint="eastAsia" w:asciiTheme="minorEastAsia" w:hAnsiTheme="minorEastAsia" w:eastAsiaTheme="minorEastAsia" w:cstheme="minorEastAsia"/>
                <w:snapToGrid/>
                <w:color w:val="auto"/>
                <w:sz w:val="21"/>
                <w:szCs w:val="21"/>
                <w:highlight w:val="none"/>
                <w:u w:val="single"/>
                <w:lang w:val="en-US" w:eastAsia="zh-CN"/>
              </w:rPr>
              <w:t>2021</w:t>
            </w:r>
            <w:r>
              <w:rPr>
                <w:rFonts w:hint="eastAsia" w:asciiTheme="minorEastAsia" w:hAnsiTheme="minorEastAsia" w:eastAsiaTheme="minorEastAsia" w:cstheme="minorEastAsia"/>
                <w:snapToGrid/>
                <w:color w:val="auto"/>
                <w:sz w:val="21"/>
                <w:szCs w:val="21"/>
                <w:highlight w:val="none"/>
                <w:u w:val="none"/>
                <w:lang w:eastAsia="zh-CN"/>
              </w:rPr>
              <w:t>年1月1日起</w:t>
            </w:r>
            <w:r>
              <w:rPr>
                <w:rFonts w:hint="eastAsia" w:ascii="宋体" w:hAnsi="宋体"/>
                <w:color w:val="auto"/>
                <w:szCs w:val="21"/>
                <w:highlight w:val="none"/>
              </w:rPr>
              <w:t>至投标截止日止（以竣工时间为准）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完成过</w:t>
            </w:r>
            <w:r>
              <w:rPr>
                <w:rFonts w:hint="eastAsia" w:ascii="宋体" w:hAnsi="宋体"/>
                <w:color w:val="auto"/>
                <w:szCs w:val="21"/>
                <w:highlight w:val="none"/>
              </w:rPr>
              <w:t>1个</w:t>
            </w:r>
            <w:r>
              <w:rPr>
                <w:rFonts w:hint="eastAsia" w:ascii="宋体" w:hAnsi="宋体"/>
                <w:b/>
                <w:bCs/>
                <w:color w:val="auto"/>
                <w:szCs w:val="21"/>
                <w:highlight w:val="none"/>
                <w:u w:val="single"/>
              </w:rPr>
              <w:t>建筑面积1300平方米及以上</w:t>
            </w:r>
            <w:r>
              <w:rPr>
                <w:rFonts w:hint="eastAsia" w:ascii="宋体" w:hAnsi="宋体"/>
                <w:b/>
                <w:bCs/>
                <w:color w:val="auto"/>
                <w:szCs w:val="21"/>
                <w:highlight w:val="none"/>
                <w:u w:val="single"/>
                <w:lang w:val="en-US" w:eastAsia="zh-CN"/>
              </w:rPr>
              <w:t>的</w:t>
            </w:r>
            <w:r>
              <w:rPr>
                <w:rFonts w:hint="eastAsia" w:ascii="宋体" w:hAnsi="宋体"/>
                <w:b/>
                <w:bCs/>
                <w:color w:val="auto"/>
                <w:szCs w:val="21"/>
                <w:highlight w:val="none"/>
                <w:u w:val="single"/>
              </w:rPr>
              <w:t>重庆市范围内银行网点（总、分、支行营业厅或办公大楼）安防智能化工程</w:t>
            </w:r>
            <w:r>
              <w:rPr>
                <w:rFonts w:hint="eastAsia" w:ascii="宋体" w:hAnsi="宋体"/>
                <w:color w:val="auto"/>
                <w:szCs w:val="21"/>
                <w:highlight w:val="none"/>
                <w:u w:val="none"/>
                <w:lang w:val="en-US" w:eastAsia="zh-CN"/>
              </w:rPr>
              <w:t>施工</w:t>
            </w:r>
            <w:r>
              <w:rPr>
                <w:rFonts w:hint="eastAsia" w:ascii="宋体" w:hAnsi="宋体"/>
                <w:color w:val="auto"/>
                <w:szCs w:val="21"/>
                <w:highlight w:val="none"/>
              </w:rPr>
              <w:t>业绩。</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该业绩的中标通知书（直接发包的项目可提供项目发包人出具的项目直接发包情况说明或证明文书代替）、施工合同协议书（或长期框架\入围协议）和工程竣工验收合格的证明材料。若上述资料无法体现工程规模（如有）的，还须提供业主证明</w:t>
            </w:r>
            <w:r>
              <w:rPr>
                <w:rFonts w:hint="eastAsia" w:ascii="宋体" w:hAnsi="宋体"/>
                <w:color w:val="auto"/>
                <w:szCs w:val="21"/>
                <w:highlight w:val="none"/>
                <w:u w:val="none"/>
                <w:lang w:val="en-US" w:eastAsia="zh-CN"/>
              </w:rPr>
              <w:t>。</w:t>
            </w:r>
            <w:r>
              <w:rPr>
                <w:rFonts w:hint="eastAsia" w:ascii="宋体" w:hAnsi="宋体"/>
                <w:color w:val="auto"/>
                <w:szCs w:val="21"/>
                <w:highlight w:val="none"/>
              </w:rPr>
              <w:t>投标人应对其提供的业绩证明材料的真实性负责。</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当上述</w:t>
            </w:r>
            <w:r>
              <w:rPr>
                <w:rFonts w:hint="eastAsia" w:ascii="宋体" w:hAnsi="宋体"/>
                <w:color w:val="auto"/>
                <w:szCs w:val="21"/>
                <w:highlight w:val="none"/>
                <w:lang w:val="en-US" w:eastAsia="zh-CN"/>
              </w:rPr>
              <w:t>业绩证明材料</w:t>
            </w:r>
            <w:r>
              <w:rPr>
                <w:rFonts w:hint="eastAsia" w:ascii="宋体" w:hAnsi="宋体"/>
                <w:color w:val="auto"/>
                <w:szCs w:val="21"/>
                <w:highlight w:val="none"/>
              </w:rPr>
              <w:t>中针对同一指标存在不一致时，以工程竣工验收合格的证明材料为准。</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（2）投标人提供的业绩为联合体业绩的，其在该业绩中的工作分工应与本项目承担的工作一致</w:t>
            </w:r>
            <w:r>
              <w:rPr>
                <w:rFonts w:hint="eastAsia" w:ascii="宋体" w:hAnsi="宋体"/>
                <w:color w:val="auto"/>
                <w:szCs w:val="21"/>
                <w:highlight w:val="none"/>
                <w:lang w:eastAsia="zh-CN"/>
              </w:rPr>
              <w:t>。</w:t>
            </w:r>
          </w:p>
          <w:p>
            <w:pPr>
              <w:adjustRightInd w:val="0"/>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4.投标截止日投标资格情况</w:t>
            </w:r>
          </w:p>
          <w:p>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投标人不得存在下列情形之一：</w:t>
            </w:r>
          </w:p>
          <w:p>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且在暂停期限内</w:t>
            </w:r>
            <w:r>
              <w:rPr>
                <w:rFonts w:hint="eastAsia" w:ascii="宋体" w:hAnsi="宋体"/>
                <w:color w:val="auto"/>
                <w:szCs w:val="21"/>
                <w:highlight w:val="none"/>
                <w:lang w:eastAsia="zh-CN"/>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kern w:val="0"/>
                <w:highlight w:val="none"/>
              </w:rPr>
              <w:t>第二章“投标人须知”第1.4.3项规定</w:t>
            </w:r>
            <w:r>
              <w:rPr>
                <w:rFonts w:hint="eastAsia" w:ascii="宋体" w:hAnsi="宋体" w:eastAsia="宋体" w:cs="宋体"/>
                <w:color w:val="auto"/>
                <w:kern w:val="0"/>
                <w:highlight w:val="none"/>
                <w:lang w:val="en-US" w:eastAsia="zh-CN"/>
              </w:rPr>
              <w:t>的情形之一</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第二章“投标人须知”第9.2款规定的情形之一。</w:t>
            </w:r>
          </w:p>
          <w:p>
            <w:pPr>
              <w:keepNext w:val="0"/>
              <w:keepLines w:val="0"/>
              <w:pageBreakBefore w:val="0"/>
              <w:kinsoku/>
              <w:wordWrap/>
              <w:overflowPunct/>
              <w:topLinePunct w:val="0"/>
              <w:bidi w:val="0"/>
              <w:spacing w:line="400" w:lineRule="exact"/>
              <w:ind w:firstLine="420" w:firstLineChars="200"/>
              <w:textAlignment w:val="auto"/>
              <w:rPr>
                <w:color w:val="auto"/>
                <w:highlight w:val="none"/>
              </w:rPr>
            </w:pPr>
            <w:r>
              <w:rPr>
                <w:rFonts w:hint="eastAsia"/>
                <w:color w:val="auto"/>
                <w:highlight w:val="none"/>
              </w:rPr>
              <w:t>提供</w:t>
            </w:r>
            <w:r>
              <w:rPr>
                <w:rFonts w:hint="eastAsia"/>
                <w:color w:val="auto"/>
                <w:highlight w:val="none"/>
                <w:lang w:eastAsia="zh-CN"/>
              </w:rPr>
              <w:t>：</w:t>
            </w:r>
            <w:r>
              <w:rPr>
                <w:rFonts w:hint="eastAsia"/>
                <w:color w:val="auto"/>
                <w:highlight w:val="none"/>
              </w:rPr>
              <w:t>承诺</w:t>
            </w:r>
            <w:r>
              <w:rPr>
                <w:rFonts w:hint="eastAsia"/>
                <w:color w:val="auto"/>
                <w:highlight w:val="none"/>
                <w:lang w:eastAsia="zh-CN"/>
              </w:rPr>
              <w:t>（</w:t>
            </w:r>
            <w:r>
              <w:rPr>
                <w:rFonts w:hint="eastAsia" w:asciiTheme="minorEastAsia" w:hAnsiTheme="minorEastAsia" w:eastAsiaTheme="minorEastAsia" w:cstheme="minorEastAsia"/>
                <w:color w:val="auto"/>
                <w:szCs w:val="21"/>
                <w:highlight w:val="none"/>
                <w:lang w:val="en-US" w:eastAsia="zh-CN"/>
              </w:rPr>
              <w:t>格式见第八章投标文件格式</w:t>
            </w:r>
            <w:r>
              <w:rPr>
                <w:rFonts w:hint="eastAsia"/>
                <w:color w:val="auto"/>
                <w:highlight w:val="none"/>
                <w:lang w:eastAsia="zh-CN"/>
              </w:rPr>
              <w:t>）</w:t>
            </w:r>
            <w:r>
              <w:rPr>
                <w:rFonts w:hint="eastAsia"/>
                <w:color w:val="auto"/>
                <w:highlight w:val="none"/>
              </w:rPr>
              <w:t>。</w:t>
            </w:r>
          </w:p>
          <w:p>
            <w:pPr>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5.项目经理资格要求</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w:t>
            </w:r>
            <w:r>
              <w:rPr>
                <w:rFonts w:hint="eastAsia"/>
                <w:color w:val="auto"/>
                <w:szCs w:val="21"/>
                <w:highlight w:val="none"/>
              </w:rPr>
              <w:t>投标人拟派的</w:t>
            </w:r>
            <w:r>
              <w:rPr>
                <w:color w:val="auto"/>
                <w:szCs w:val="21"/>
                <w:highlight w:val="none"/>
              </w:rPr>
              <w:t>项目经理须</w:t>
            </w:r>
            <w:r>
              <w:rPr>
                <w:rFonts w:hint="eastAsia"/>
                <w:color w:val="auto"/>
                <w:szCs w:val="21"/>
                <w:highlight w:val="none"/>
                <w:lang w:val="en-US" w:eastAsia="zh-CN"/>
              </w:rPr>
              <w:t>是投标单位人员，</w:t>
            </w:r>
            <w:r>
              <w:rPr>
                <w:color w:val="auto"/>
                <w:szCs w:val="21"/>
                <w:highlight w:val="none"/>
              </w:rPr>
              <w:t>应</w:t>
            </w:r>
            <w:r>
              <w:rPr>
                <w:rFonts w:hint="eastAsia"/>
                <w:color w:val="auto"/>
                <w:szCs w:val="21"/>
                <w:highlight w:val="none"/>
                <w:lang w:val="en-US" w:eastAsia="zh-CN"/>
              </w:rPr>
              <w:t>具备</w:t>
            </w:r>
            <w:r>
              <w:rPr>
                <w:rFonts w:hint="eastAsia"/>
                <w:b/>
                <w:bCs/>
                <w:color w:val="auto"/>
                <w:szCs w:val="21"/>
                <w:highlight w:val="none"/>
                <w:u w:val="single"/>
                <w:lang w:eastAsia="zh-CN"/>
              </w:rPr>
              <w:t>机电</w:t>
            </w:r>
            <w:r>
              <w:rPr>
                <w:rFonts w:hint="eastAsia"/>
                <w:b/>
                <w:bCs/>
                <w:color w:val="auto"/>
                <w:szCs w:val="21"/>
                <w:highlight w:val="none"/>
                <w:u w:val="single"/>
              </w:rPr>
              <w:t>工程</w:t>
            </w:r>
            <w:r>
              <w:rPr>
                <w:rFonts w:hint="eastAsia"/>
                <w:b/>
                <w:bCs/>
                <w:color w:val="auto"/>
                <w:szCs w:val="21"/>
                <w:highlight w:val="none"/>
              </w:rPr>
              <w:t>专业</w:t>
            </w:r>
            <w:r>
              <w:rPr>
                <w:rFonts w:hint="eastAsia"/>
                <w:b/>
                <w:bCs/>
                <w:color w:val="auto"/>
                <w:szCs w:val="21"/>
                <w:highlight w:val="none"/>
                <w:u w:val="single"/>
              </w:rPr>
              <w:t>二</w:t>
            </w:r>
            <w:r>
              <w:rPr>
                <w:b/>
                <w:bCs/>
                <w:color w:val="auto"/>
                <w:szCs w:val="21"/>
                <w:highlight w:val="none"/>
                <w:u w:val="single"/>
              </w:rPr>
              <w:t>级及以上</w:t>
            </w:r>
            <w:r>
              <w:rPr>
                <w:rFonts w:hint="eastAsia"/>
                <w:b/>
                <w:bCs/>
                <w:color w:val="auto"/>
                <w:szCs w:val="21"/>
                <w:highlight w:val="none"/>
              </w:rPr>
              <w:t>注册建造师执业资格并在投标单位注册</w:t>
            </w:r>
            <w:r>
              <w:rPr>
                <w:rFonts w:hint="eastAsia" w:ascii="宋体" w:hAnsi="宋体"/>
                <w:color w:val="auto"/>
                <w:szCs w:val="21"/>
                <w:highlight w:val="none"/>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5.2项目经理要求：投标人须承诺拟派项目经理按注册建造师的相关规定到岗履职和未被禁止参与投标。</w:t>
            </w:r>
          </w:p>
          <w:p>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5.2.1到岗履职要求：承诺拟派项目经理中标后在本项目任职，签订合同时拟派的项目经理必须与投标文件中的项目经理一致，并满足办理施工许可手续的相关要求。不能按承诺到岗</w:t>
            </w:r>
            <w:r>
              <w:rPr>
                <w:rFonts w:hint="eastAsia" w:ascii="宋体" w:hAnsi="宋体"/>
                <w:color w:val="auto"/>
                <w:highlight w:val="none"/>
                <w:lang w:val="en-US" w:eastAsia="zh-CN"/>
              </w:rPr>
              <w:t>履职</w:t>
            </w:r>
            <w:r>
              <w:rPr>
                <w:rFonts w:ascii="宋体" w:hAnsi="宋体"/>
                <w:color w:val="auto"/>
                <w:highlight w:val="none"/>
              </w:rPr>
              <w:t>的，</w:t>
            </w:r>
            <w:r>
              <w:rPr>
                <w:rFonts w:hint="eastAsia" w:ascii="宋体" w:hAnsi="宋体"/>
                <w:color w:val="auto"/>
                <w:highlight w:val="none"/>
                <w:lang w:val="en-US" w:eastAsia="zh-CN"/>
              </w:rPr>
              <w:t>招标人</w:t>
            </w:r>
            <w:r>
              <w:rPr>
                <w:rFonts w:ascii="宋体" w:hAnsi="宋体"/>
                <w:color w:val="auto"/>
                <w:highlight w:val="none"/>
              </w:rPr>
              <w:t>按合同相关条款</w:t>
            </w:r>
            <w:r>
              <w:rPr>
                <w:rFonts w:hint="eastAsia" w:ascii="宋体" w:hAnsi="宋体"/>
                <w:color w:val="auto"/>
                <w:highlight w:val="none"/>
                <w:lang w:val="en-US" w:eastAsia="zh-CN"/>
              </w:rPr>
              <w:t>要求投标人承担责任</w:t>
            </w:r>
            <w:r>
              <w:rPr>
                <w:rFonts w:ascii="宋体" w:hAnsi="宋体"/>
                <w:color w:val="auto"/>
                <w:highlight w:val="none"/>
              </w:rPr>
              <w:t>并上报行政主管部门，给招标人造成损失的，投标人依法承担赔偿责任</w:t>
            </w:r>
            <w:r>
              <w:rPr>
                <w:rFonts w:hint="eastAsia" w:ascii="宋体" w:hAnsi="宋体"/>
                <w:color w:val="auto"/>
                <w:highlight w:val="none"/>
                <w:lang w:val="en-US" w:eastAsia="zh-CN"/>
              </w:rPr>
              <w:t>或违约责任</w:t>
            </w:r>
            <w:r>
              <w:rPr>
                <w:rFonts w:ascii="宋体" w:hAnsi="宋体"/>
                <w:color w:val="auto"/>
                <w:highlight w:val="none"/>
              </w:rPr>
              <w:t>。拟派项目经理中标后不得随意更换。</w:t>
            </w:r>
          </w:p>
          <w:p>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5.2.2未被禁止参与投标要求：承诺拟派项目经理未被</w:t>
            </w:r>
            <w:r>
              <w:rPr>
                <w:rFonts w:hint="eastAsia" w:ascii="宋体" w:hAnsi="宋体"/>
                <w:color w:val="auto"/>
                <w:highlight w:val="none"/>
                <w:lang w:val="en-US" w:eastAsia="zh-CN"/>
              </w:rPr>
              <w:t>有关</w:t>
            </w:r>
            <w:r>
              <w:rPr>
                <w:rFonts w:ascii="宋体" w:hAnsi="宋体"/>
                <w:color w:val="auto"/>
                <w:highlight w:val="none"/>
              </w:rPr>
              <w:t>部门暂停</w:t>
            </w:r>
            <w:r>
              <w:rPr>
                <w:rFonts w:hint="eastAsia" w:ascii="宋体" w:hAnsi="宋体"/>
                <w:color w:val="auto"/>
                <w:highlight w:val="none"/>
                <w:lang w:val="en-US" w:eastAsia="zh-CN"/>
              </w:rPr>
              <w:t>其</w:t>
            </w:r>
            <w:r>
              <w:rPr>
                <w:rFonts w:ascii="宋体" w:hAnsi="宋体"/>
                <w:color w:val="auto"/>
                <w:highlight w:val="none"/>
              </w:rPr>
              <w:t>在渝承揽</w:t>
            </w:r>
            <w:r>
              <w:rPr>
                <w:rFonts w:hint="eastAsia" w:ascii="宋体" w:hAnsi="宋体"/>
                <w:color w:val="auto"/>
                <w:highlight w:val="none"/>
                <w:lang w:val="en-US" w:eastAsia="zh-CN"/>
              </w:rPr>
              <w:t>的</w:t>
            </w:r>
            <w:r>
              <w:rPr>
                <w:rFonts w:ascii="宋体" w:hAnsi="宋体"/>
                <w:color w:val="auto"/>
                <w:highlight w:val="none"/>
              </w:rPr>
              <w:t>新业务</w:t>
            </w:r>
            <w:r>
              <w:rPr>
                <w:rFonts w:hint="eastAsia" w:ascii="宋体" w:hAnsi="宋体"/>
                <w:color w:val="auto"/>
                <w:highlight w:val="none"/>
                <w:lang w:val="en-US" w:eastAsia="zh-CN"/>
              </w:rPr>
              <w:t>中任职</w:t>
            </w:r>
            <w:r>
              <w:rPr>
                <w:rFonts w:ascii="宋体" w:hAnsi="宋体"/>
                <w:color w:val="auto"/>
                <w:highlight w:val="none"/>
              </w:rPr>
              <w:t>。若</w:t>
            </w:r>
            <w:r>
              <w:rPr>
                <w:rFonts w:hint="eastAsia" w:ascii="宋体" w:hAnsi="宋体"/>
                <w:color w:val="auto"/>
                <w:highlight w:val="none"/>
                <w:lang w:val="en-US" w:eastAsia="zh-CN"/>
              </w:rPr>
              <w:t>其</w:t>
            </w:r>
            <w:r>
              <w:rPr>
                <w:rFonts w:ascii="宋体" w:hAnsi="宋体"/>
                <w:color w:val="auto"/>
                <w:highlight w:val="none"/>
              </w:rPr>
              <w:t>被暂停在渝承揽</w:t>
            </w:r>
            <w:r>
              <w:rPr>
                <w:rFonts w:hint="eastAsia" w:ascii="宋体" w:hAnsi="宋体"/>
                <w:color w:val="auto"/>
                <w:highlight w:val="none"/>
                <w:lang w:val="en-US" w:eastAsia="zh-CN"/>
              </w:rPr>
              <w:t>的</w:t>
            </w:r>
            <w:r>
              <w:rPr>
                <w:rFonts w:ascii="宋体" w:hAnsi="宋体"/>
                <w:color w:val="auto"/>
                <w:highlight w:val="none"/>
              </w:rPr>
              <w:t>新业务</w:t>
            </w:r>
            <w:r>
              <w:rPr>
                <w:rFonts w:hint="eastAsia" w:ascii="宋体" w:hAnsi="宋体"/>
                <w:color w:val="auto"/>
                <w:highlight w:val="none"/>
                <w:lang w:val="en-US" w:eastAsia="zh-CN"/>
              </w:rPr>
              <w:t>中任职</w:t>
            </w:r>
            <w:r>
              <w:rPr>
                <w:rFonts w:ascii="宋体" w:hAnsi="宋体"/>
                <w:color w:val="auto"/>
                <w:highlight w:val="none"/>
              </w:rPr>
              <w:t>但仍参加投标，将被否决投标；已取得中标候选人资格或中标资格的，招标人有权取消</w:t>
            </w:r>
            <w:r>
              <w:rPr>
                <w:rFonts w:hint="eastAsia" w:ascii="宋体" w:hAnsi="宋体"/>
                <w:color w:val="auto"/>
                <w:highlight w:val="none"/>
                <w:lang w:val="en-US" w:eastAsia="zh-CN"/>
              </w:rPr>
              <w:t>投标人的</w:t>
            </w:r>
            <w:r>
              <w:rPr>
                <w:rFonts w:ascii="宋体" w:hAnsi="宋体"/>
                <w:color w:val="auto"/>
                <w:highlight w:val="none"/>
              </w:rPr>
              <w:t>中标候选人资格或中标资格；给招标人造成损失的，投标人依法承担赔偿责任</w:t>
            </w:r>
            <w:r>
              <w:rPr>
                <w:rFonts w:hint="eastAsia" w:ascii="宋体" w:hAnsi="宋体"/>
                <w:color w:val="auto"/>
                <w:highlight w:val="none"/>
                <w:lang w:val="en-US" w:eastAsia="zh-CN"/>
              </w:rPr>
              <w:t>或违约责任</w:t>
            </w:r>
            <w:r>
              <w:rPr>
                <w:rFonts w:ascii="宋体" w:hAnsi="宋体"/>
                <w:color w:val="auto"/>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5.2.3为保证</w:t>
            </w:r>
            <w:r>
              <w:rPr>
                <w:rFonts w:hint="eastAsia" w:ascii="宋体" w:hAnsi="宋体"/>
                <w:color w:val="auto"/>
                <w:highlight w:val="none"/>
              </w:rPr>
              <w:t>投标人</w:t>
            </w:r>
            <w:r>
              <w:rPr>
                <w:rFonts w:ascii="宋体" w:hAnsi="宋体"/>
                <w:color w:val="auto"/>
                <w:highlight w:val="none"/>
              </w:rPr>
              <w:t>拟派的项目经理到本项目到岗履职，</w:t>
            </w:r>
            <w:r>
              <w:rPr>
                <w:rFonts w:hint="eastAsia" w:ascii="宋体" w:hAnsi="宋体"/>
                <w:color w:val="auto"/>
                <w:highlight w:val="none"/>
              </w:rPr>
              <w:t>投标人</w:t>
            </w:r>
            <w:r>
              <w:rPr>
                <w:rFonts w:ascii="宋体" w:hAnsi="宋体"/>
                <w:color w:val="auto"/>
                <w:highlight w:val="none"/>
              </w:rPr>
              <w:t>还需承诺：</w:t>
            </w:r>
          </w:p>
          <w:p>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若</w:t>
            </w:r>
            <w:r>
              <w:rPr>
                <w:rFonts w:hint="eastAsia" w:ascii="宋体" w:hAnsi="宋体"/>
                <w:color w:val="auto"/>
                <w:highlight w:val="none"/>
              </w:rPr>
              <w:t>投标人</w:t>
            </w:r>
            <w:r>
              <w:rPr>
                <w:rFonts w:ascii="宋体" w:hAnsi="宋体"/>
                <w:color w:val="auto"/>
                <w:highlight w:val="none"/>
              </w:rPr>
              <w:t>拟派本项目的项目经理有在其他项目任职的情形的（或有在其他项目中标或拟中标的情形的），应在收到中标通知书后</w:t>
            </w:r>
            <w:r>
              <w:rPr>
                <w:rFonts w:ascii="宋体" w:hAnsi="宋体"/>
                <w:color w:val="auto"/>
                <w:highlight w:val="none"/>
                <w:u w:val="single"/>
              </w:rPr>
              <w:t xml:space="preserve"> 14 </w:t>
            </w:r>
            <w:r>
              <w:rPr>
                <w:rFonts w:ascii="宋体" w:hAnsi="宋体"/>
                <w:color w:val="auto"/>
                <w:highlight w:val="none"/>
              </w:rPr>
              <w:t>日内，办理完成放弃在其他项目任职的手续（或办理完成放弃在其他项目中标</w:t>
            </w:r>
            <w:r>
              <w:rPr>
                <w:rFonts w:hint="eastAsia" w:ascii="宋体" w:hAnsi="宋体"/>
                <w:color w:val="auto"/>
                <w:highlight w:val="none"/>
              </w:rPr>
              <w:t>或拟中标</w:t>
            </w:r>
            <w:r>
              <w:rPr>
                <w:rFonts w:ascii="宋体" w:hAnsi="宋体"/>
                <w:color w:val="auto"/>
                <w:highlight w:val="none"/>
              </w:rPr>
              <w:t>的手续），招标人在合同签订前有权对</w:t>
            </w:r>
            <w:r>
              <w:rPr>
                <w:rFonts w:hint="eastAsia" w:ascii="宋体" w:hAnsi="宋体"/>
                <w:color w:val="auto"/>
                <w:highlight w:val="none"/>
              </w:rPr>
              <w:t>投标人</w:t>
            </w:r>
            <w:r>
              <w:rPr>
                <w:rFonts w:ascii="宋体" w:hAnsi="宋体"/>
                <w:color w:val="auto"/>
                <w:highlight w:val="none"/>
              </w:rPr>
              <w:t>拟派项目经理在其他项目的任职情形（或在其他项目的中标或拟中标情形）进行核查，若与</w:t>
            </w:r>
            <w:r>
              <w:rPr>
                <w:rFonts w:hint="eastAsia" w:ascii="宋体" w:hAnsi="宋体"/>
                <w:color w:val="auto"/>
                <w:highlight w:val="none"/>
              </w:rPr>
              <w:t>投标人</w:t>
            </w:r>
            <w:r>
              <w:rPr>
                <w:rFonts w:ascii="宋体" w:hAnsi="宋体"/>
                <w:color w:val="auto"/>
                <w:highlight w:val="none"/>
              </w:rPr>
              <w:t>承诺内容不符或</w:t>
            </w:r>
            <w:r>
              <w:rPr>
                <w:rFonts w:hint="eastAsia" w:ascii="宋体" w:hAnsi="宋体"/>
                <w:color w:val="auto"/>
                <w:highlight w:val="none"/>
              </w:rPr>
              <w:t>投标人</w:t>
            </w:r>
            <w:r>
              <w:rPr>
                <w:rFonts w:ascii="宋体" w:hAnsi="宋体"/>
                <w:color w:val="auto"/>
                <w:highlight w:val="none"/>
              </w:rPr>
              <w:t>未在上述时间内按照招标文件规定递交放弃在其他项目任职、中标或拟中标的相关资料，视为</w:t>
            </w:r>
            <w:r>
              <w:rPr>
                <w:rFonts w:hint="eastAsia" w:ascii="宋体" w:hAnsi="宋体"/>
                <w:color w:val="auto"/>
                <w:highlight w:val="none"/>
              </w:rPr>
              <w:t>投标人</w:t>
            </w:r>
            <w:r>
              <w:rPr>
                <w:rFonts w:ascii="宋体" w:hAnsi="宋体"/>
                <w:color w:val="auto"/>
                <w:highlight w:val="none"/>
              </w:rPr>
              <w:t>放弃中标资格，招标人不退还其投标保证金。在合同签订时，</w:t>
            </w:r>
            <w:r>
              <w:rPr>
                <w:rFonts w:hint="eastAsia" w:ascii="宋体" w:hAnsi="宋体"/>
                <w:color w:val="auto"/>
                <w:highlight w:val="none"/>
              </w:rPr>
              <w:t>投标人</w:t>
            </w:r>
            <w:r>
              <w:rPr>
                <w:rFonts w:ascii="宋体" w:hAnsi="宋体"/>
                <w:color w:val="auto"/>
                <w:highlight w:val="none"/>
              </w:rPr>
              <w:t>需确保拟派项目经理符合《建筑施工企业项目经理资质管理办法》规定的项目经理任职条件，否则视为</w:t>
            </w:r>
            <w:r>
              <w:rPr>
                <w:rFonts w:hint="eastAsia" w:ascii="宋体" w:hAnsi="宋体"/>
                <w:color w:val="auto"/>
                <w:highlight w:val="none"/>
              </w:rPr>
              <w:t>投标人</w:t>
            </w:r>
            <w:r>
              <w:rPr>
                <w:rFonts w:ascii="宋体" w:hAnsi="宋体"/>
                <w:color w:val="auto"/>
                <w:highlight w:val="none"/>
              </w:rPr>
              <w:t>放弃中标资格，招标人不退还其投标保证金。</w:t>
            </w:r>
          </w:p>
          <w:p>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放弃在其他项目任职的需提供</w:t>
            </w:r>
            <w:r>
              <w:rPr>
                <w:rFonts w:hint="eastAsia" w:ascii="宋体" w:hAnsi="宋体"/>
                <w:color w:val="auto"/>
                <w:highlight w:val="none"/>
              </w:rPr>
              <w:t>：</w:t>
            </w:r>
            <w:r>
              <w:rPr>
                <w:rFonts w:ascii="宋体" w:hAnsi="宋体"/>
                <w:color w:val="auto"/>
                <w:highlight w:val="none"/>
              </w:rPr>
              <w:t>①</w:t>
            </w:r>
            <w:r>
              <w:rPr>
                <w:rFonts w:hint="eastAsia" w:ascii="宋体" w:hAnsi="宋体"/>
                <w:color w:val="auto"/>
                <w:highlight w:val="none"/>
              </w:rPr>
              <w:t>经</w:t>
            </w:r>
            <w:r>
              <w:rPr>
                <w:rFonts w:ascii="宋体" w:hAnsi="宋体"/>
                <w:color w:val="auto"/>
                <w:highlight w:val="none"/>
              </w:rPr>
              <w:t>业主或建设单位同意任职变更的文件；②负责项目监管的行业行政主管部门出具同意任职变更的证明材料。</w:t>
            </w:r>
          </w:p>
          <w:p>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放弃在其他项目中标或拟中标的需提供</w:t>
            </w:r>
            <w:r>
              <w:rPr>
                <w:rFonts w:hint="eastAsia" w:ascii="宋体" w:hAnsi="宋体"/>
                <w:color w:val="auto"/>
                <w:highlight w:val="none"/>
              </w:rPr>
              <w:t>：</w:t>
            </w:r>
            <w:r>
              <w:rPr>
                <w:rFonts w:ascii="宋体" w:hAnsi="宋体"/>
                <w:color w:val="auto"/>
                <w:highlight w:val="none"/>
              </w:rPr>
              <w:t>①经中标或拟中标的其他项目建设单位同意的放弃中标函</w:t>
            </w:r>
            <w:r>
              <w:rPr>
                <w:rFonts w:hint="eastAsia" w:ascii="宋体" w:hAnsi="宋体"/>
                <w:color w:val="auto"/>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拟派项目经理</w:t>
            </w:r>
            <w:r>
              <w:rPr>
                <w:rFonts w:hint="eastAsia" w:ascii="宋体" w:hAnsi="宋体"/>
                <w:color w:val="auto"/>
                <w:kern w:val="0"/>
                <w:szCs w:val="21"/>
                <w:highlight w:val="none"/>
                <w:lang w:val="en-US" w:eastAsia="zh-CN"/>
              </w:rPr>
              <w:t>有效的</w:t>
            </w:r>
            <w:r>
              <w:rPr>
                <w:rFonts w:hint="eastAsia" w:ascii="宋体" w:hAnsi="宋体"/>
                <w:color w:val="auto"/>
                <w:kern w:val="0"/>
                <w:szCs w:val="21"/>
                <w:highlight w:val="none"/>
              </w:rPr>
              <w:t>身份证、建造师注册证、投标人为其缴纳的养老保险证明材料</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承诺（格式见第八章投标文件格式）。</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注：</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pPr>
              <w:autoSpaceDE w:val="0"/>
              <w:autoSpaceDN w:val="0"/>
              <w:adjustRightInd w:val="0"/>
              <w:snapToGrid w:val="0"/>
              <w:spacing w:line="400" w:lineRule="exact"/>
              <w:ind w:firstLine="420" w:firstLineChars="200"/>
              <w:rPr>
                <w:rFonts w:hint="eastAsia" w:ascii="宋体" w:hAnsi="宋体"/>
                <w:color w:val="auto"/>
                <w:spacing w:val="-24"/>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建造师电子注册证书本人手写签名与签名图像笔迹是否一致不作为否决投标的情形。</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5.3项目经理业绩</w:t>
            </w:r>
          </w:p>
          <w:p>
            <w:pPr>
              <w:numPr>
                <w:ilvl w:val="0"/>
                <w:numId w:val="0"/>
              </w:num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Theme="minorEastAsia" w:hAnsiTheme="minorEastAsia" w:eastAsiaTheme="minorEastAsia" w:cstheme="minorEastAsia"/>
                <w:color w:val="auto"/>
                <w:kern w:val="0"/>
                <w:sz w:val="21"/>
                <w:szCs w:val="21"/>
                <w:highlight w:val="none"/>
                <w:lang w:eastAsia="zh-CN"/>
              </w:rPr>
              <w:t>投标人</w:t>
            </w:r>
            <w:r>
              <w:rPr>
                <w:rFonts w:hint="eastAsia" w:asciiTheme="minorEastAsia" w:hAnsiTheme="minorEastAsia" w:eastAsiaTheme="minorEastAsia" w:cstheme="minorEastAsia"/>
                <w:color w:val="auto"/>
                <w:kern w:val="0"/>
                <w:sz w:val="21"/>
                <w:szCs w:val="21"/>
                <w:highlight w:val="none"/>
                <w:lang w:val="en-US" w:eastAsia="zh-CN"/>
              </w:rPr>
              <w:t>拟派的项目经理</w:t>
            </w:r>
            <w:r>
              <w:rPr>
                <w:rFonts w:hint="eastAsia" w:asciiTheme="minorEastAsia" w:hAnsiTheme="minorEastAsia" w:eastAsiaTheme="minorEastAsia" w:cstheme="minorEastAsia"/>
                <w:snapToGrid/>
                <w:color w:val="auto"/>
                <w:sz w:val="21"/>
                <w:szCs w:val="21"/>
                <w:highlight w:val="none"/>
                <w:u w:val="none"/>
                <w:lang w:val="en-US" w:eastAsia="zh-CN"/>
              </w:rPr>
              <w:t>自</w:t>
            </w:r>
            <w:r>
              <w:rPr>
                <w:rFonts w:hint="eastAsia" w:ascii="宋体" w:hAnsi="宋体" w:cs="宋体"/>
                <w:color w:val="auto"/>
                <w:kern w:val="0"/>
                <w:szCs w:val="21"/>
                <w:highlight w:val="none"/>
                <w:u w:val="single"/>
              </w:rPr>
              <w:t>20</w:t>
            </w:r>
            <w:r>
              <w:rPr>
                <w:rFonts w:hint="eastAsia" w:ascii="宋体" w:hAnsi="宋体" w:cs="宋体"/>
                <w:color w:val="auto"/>
                <w:kern w:val="0"/>
                <w:szCs w:val="21"/>
                <w:highlight w:val="none"/>
                <w:u w:val="single"/>
                <w:lang w:val="en-US" w:eastAsia="zh-CN"/>
              </w:rPr>
              <w:t>21</w:t>
            </w:r>
            <w:r>
              <w:rPr>
                <w:rFonts w:hint="eastAsia" w:ascii="宋体" w:hAnsi="宋体" w:cs="宋体"/>
                <w:color w:val="auto"/>
                <w:kern w:val="0"/>
                <w:szCs w:val="21"/>
                <w:highlight w:val="none"/>
              </w:rPr>
              <w:t>年1月1日起至</w:t>
            </w:r>
            <w:r>
              <w:rPr>
                <w:rFonts w:hint="eastAsia" w:ascii="宋体" w:hAnsi="宋体"/>
                <w:color w:val="auto"/>
                <w:kern w:val="0"/>
                <w:szCs w:val="21"/>
                <w:highlight w:val="none"/>
              </w:rPr>
              <w:t>投标截止日止（以竣工时间为准）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完成</w:t>
            </w:r>
            <w:r>
              <w:rPr>
                <w:rFonts w:hint="eastAsia" w:ascii="宋体" w:hAnsi="宋体"/>
                <w:color w:val="auto"/>
                <w:szCs w:val="21"/>
                <w:highlight w:val="none"/>
                <w:lang w:val="en-US" w:eastAsia="zh-CN"/>
              </w:rPr>
              <w:t>过</w:t>
            </w:r>
            <w:r>
              <w:rPr>
                <w:rFonts w:hint="eastAsia" w:ascii="宋体" w:hAnsi="宋体"/>
                <w:color w:val="auto"/>
                <w:szCs w:val="21"/>
                <w:highlight w:val="none"/>
              </w:rPr>
              <w:t>1个</w:t>
            </w:r>
            <w:r>
              <w:rPr>
                <w:rFonts w:hint="eastAsia" w:ascii="宋体" w:hAnsi="宋体"/>
                <w:b/>
                <w:bCs/>
                <w:color w:val="auto"/>
                <w:szCs w:val="21"/>
                <w:highlight w:val="none"/>
                <w:u w:val="single"/>
              </w:rPr>
              <w:t>建筑面积1300平方米及以上</w:t>
            </w:r>
            <w:r>
              <w:rPr>
                <w:rFonts w:hint="eastAsia" w:ascii="宋体" w:hAnsi="宋体"/>
                <w:b/>
                <w:bCs/>
                <w:color w:val="auto"/>
                <w:szCs w:val="21"/>
                <w:highlight w:val="none"/>
                <w:u w:val="single"/>
                <w:lang w:val="en-US" w:eastAsia="zh-CN"/>
              </w:rPr>
              <w:t>的</w:t>
            </w:r>
            <w:r>
              <w:rPr>
                <w:rFonts w:hint="eastAsia" w:ascii="宋体" w:hAnsi="宋体"/>
                <w:b/>
                <w:bCs/>
                <w:color w:val="auto"/>
                <w:szCs w:val="21"/>
                <w:highlight w:val="none"/>
                <w:u w:val="single"/>
              </w:rPr>
              <w:t>重庆市范围内银行网点（</w:t>
            </w:r>
            <w:r>
              <w:rPr>
                <w:rFonts w:hint="eastAsia" w:ascii="宋体" w:hAnsi="宋体"/>
                <w:b/>
                <w:bCs/>
                <w:color w:val="auto"/>
                <w:szCs w:val="21"/>
                <w:highlight w:val="none"/>
                <w:u w:val="single"/>
                <w:lang w:val="en-US" w:eastAsia="zh-CN"/>
              </w:rPr>
              <w:t>总、</w:t>
            </w:r>
            <w:r>
              <w:rPr>
                <w:rFonts w:hint="eastAsia" w:ascii="宋体" w:hAnsi="宋体"/>
                <w:b/>
                <w:bCs/>
                <w:color w:val="auto"/>
                <w:szCs w:val="21"/>
                <w:highlight w:val="none"/>
                <w:u w:val="single"/>
              </w:rPr>
              <w:t>分</w:t>
            </w:r>
            <w:r>
              <w:rPr>
                <w:rFonts w:hint="eastAsia" w:ascii="宋体" w:hAnsi="宋体"/>
                <w:b/>
                <w:bCs/>
                <w:color w:val="auto"/>
                <w:szCs w:val="21"/>
                <w:highlight w:val="none"/>
                <w:u w:val="single"/>
                <w:lang w:val="en-US" w:eastAsia="zh-CN"/>
              </w:rPr>
              <w:t>、</w:t>
            </w:r>
            <w:r>
              <w:rPr>
                <w:rFonts w:hint="eastAsia" w:ascii="宋体" w:hAnsi="宋体"/>
                <w:b/>
                <w:bCs/>
                <w:color w:val="auto"/>
                <w:szCs w:val="21"/>
                <w:highlight w:val="none"/>
                <w:u w:val="single"/>
              </w:rPr>
              <w:t>支行营业厅或办公大楼）</w:t>
            </w:r>
            <w:r>
              <w:rPr>
                <w:rFonts w:hint="eastAsia" w:ascii="宋体" w:hAnsi="宋体"/>
                <w:b/>
                <w:bCs/>
                <w:color w:val="auto"/>
                <w:szCs w:val="21"/>
                <w:highlight w:val="none"/>
                <w:u w:val="single"/>
                <w:lang w:val="en-US" w:eastAsia="zh-CN"/>
              </w:rPr>
              <w:t>安防智能化</w:t>
            </w:r>
            <w:r>
              <w:rPr>
                <w:rFonts w:hint="eastAsia" w:ascii="宋体" w:hAnsi="宋体"/>
                <w:b/>
                <w:bCs/>
                <w:color w:val="auto"/>
                <w:szCs w:val="21"/>
                <w:highlight w:val="none"/>
                <w:u w:val="single"/>
              </w:rPr>
              <w:t>工程</w:t>
            </w:r>
            <w:r>
              <w:rPr>
                <w:rFonts w:hint="eastAsia" w:ascii="宋体" w:hAnsi="宋体"/>
                <w:color w:val="auto"/>
                <w:szCs w:val="21"/>
                <w:highlight w:val="none"/>
                <w:u w:val="none"/>
                <w:lang w:val="en-US" w:eastAsia="zh-CN"/>
              </w:rPr>
              <w:t>施工</w:t>
            </w:r>
            <w:r>
              <w:rPr>
                <w:rFonts w:hint="eastAsia" w:ascii="宋体" w:hAnsi="宋体"/>
                <w:color w:val="auto"/>
                <w:szCs w:val="21"/>
                <w:highlight w:val="none"/>
              </w:rPr>
              <w:t>业绩</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并在该业绩中担任</w:t>
            </w:r>
            <w:r>
              <w:rPr>
                <w:rFonts w:hint="eastAsia" w:ascii="宋体" w:hAnsi="宋体"/>
                <w:color w:val="auto"/>
                <w:szCs w:val="21"/>
                <w:highlight w:val="none"/>
                <w:u w:val="single"/>
                <w:lang w:val="en-US" w:eastAsia="zh-CN"/>
              </w:rPr>
              <w:t>项目经理</w:t>
            </w:r>
            <w:r>
              <w:rPr>
                <w:rFonts w:hint="eastAsia" w:ascii="宋体" w:hAnsi="宋体"/>
                <w:color w:val="auto"/>
                <w:szCs w:val="21"/>
                <w:highlight w:val="none"/>
              </w:rPr>
              <w:t>。</w:t>
            </w:r>
          </w:p>
          <w:p>
            <w:pPr>
              <w:autoSpaceDE w:val="0"/>
              <w:autoSpaceDN w:val="0"/>
              <w:adjustRightInd w:val="0"/>
              <w:snapToGrid w:val="0"/>
              <w:spacing w:line="400" w:lineRule="exact"/>
              <w:ind w:firstLine="415" w:firstLineChars="198"/>
              <w:rPr>
                <w:rFonts w:hint="eastAsia" w:ascii="宋体" w:hAnsi="宋体"/>
                <w:color w:val="auto"/>
                <w:szCs w:val="21"/>
                <w:highlight w:val="none"/>
              </w:rPr>
            </w:pPr>
            <w:r>
              <w:rPr>
                <w:rFonts w:hint="eastAsia" w:ascii="宋体" w:hAnsi="宋体"/>
                <w:color w:val="auto"/>
                <w:szCs w:val="21"/>
                <w:highlight w:val="none"/>
                <w:lang w:val="en-US" w:eastAsia="zh-CN"/>
              </w:rPr>
              <w:t>提供：</w:t>
            </w:r>
            <w:r>
              <w:rPr>
                <w:rFonts w:hint="eastAsia" w:ascii="宋体" w:hAnsi="宋体"/>
                <w:color w:val="auto"/>
                <w:szCs w:val="21"/>
                <w:highlight w:val="none"/>
              </w:rPr>
              <w:t>该业绩的中标通知书（直接发包的项目可提供项目发包人出具的项目直接发包情况说明或证明文书代替）、合同协议书和工程竣工验收合格的证明材料。若上述资料无法体现工程规模（如有）、人员姓名职务信息的，还须提供业主证明。</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当上述</w:t>
            </w:r>
            <w:r>
              <w:rPr>
                <w:rFonts w:hint="eastAsia" w:ascii="宋体" w:hAnsi="宋体"/>
                <w:color w:val="auto"/>
                <w:szCs w:val="21"/>
                <w:highlight w:val="none"/>
                <w:lang w:val="en-US" w:eastAsia="zh-CN"/>
              </w:rPr>
              <w:t>业绩证明材料</w:t>
            </w:r>
            <w:r>
              <w:rPr>
                <w:rFonts w:hint="eastAsia" w:ascii="宋体" w:hAnsi="宋体"/>
                <w:color w:val="auto"/>
                <w:szCs w:val="21"/>
                <w:highlight w:val="none"/>
              </w:rPr>
              <w:t>中针对同一指标存在不一致时，以工程竣工验收合格的证明材料为准。</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）项目经理业绩必须为该拟派项目经理在投标人本单位的业绩，其他公司业绩无效。</w:t>
            </w:r>
          </w:p>
          <w:p>
            <w:pPr>
              <w:autoSpaceDE w:val="0"/>
              <w:autoSpaceDN w:val="0"/>
              <w:adjustRightInd w:val="0"/>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6.其他要求</w:t>
            </w:r>
          </w:p>
          <w:p>
            <w:pPr>
              <w:snapToGrid w:val="0"/>
              <w:spacing w:line="400" w:lineRule="exact"/>
              <w:ind w:firstLine="420" w:firstLineChars="200"/>
              <w:rPr>
                <w:rFonts w:hint="eastAsia"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投标人拟派的技术负责人须是投标单位人员，具备</w:t>
            </w:r>
            <w:r>
              <w:rPr>
                <w:rFonts w:hint="eastAsia" w:ascii="宋体" w:hAnsi="宋体"/>
                <w:b/>
                <w:bCs/>
                <w:color w:val="auto"/>
                <w:szCs w:val="21"/>
                <w:highlight w:val="none"/>
                <w:u w:val="single"/>
              </w:rPr>
              <w:t>工程类中</w:t>
            </w:r>
            <w:r>
              <w:rPr>
                <w:rFonts w:ascii="宋体" w:hAnsi="宋体"/>
                <w:b/>
                <w:bCs/>
                <w:color w:val="auto"/>
                <w:szCs w:val="21"/>
                <w:highlight w:val="none"/>
                <w:u w:val="single"/>
              </w:rPr>
              <w:t>级及以上</w:t>
            </w:r>
            <w:r>
              <w:rPr>
                <w:rFonts w:ascii="宋体" w:hAnsi="宋体"/>
                <w:b/>
                <w:bCs/>
                <w:color w:val="auto"/>
                <w:szCs w:val="21"/>
                <w:highlight w:val="none"/>
              </w:rPr>
              <w:t>职称；</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拟派技术负责人</w:t>
            </w:r>
            <w:r>
              <w:rPr>
                <w:rFonts w:hint="eastAsia" w:ascii="宋体" w:hAnsi="宋体"/>
                <w:color w:val="auto"/>
                <w:kern w:val="0"/>
                <w:szCs w:val="21"/>
                <w:highlight w:val="none"/>
                <w:lang w:val="en-US" w:eastAsia="zh-CN"/>
              </w:rPr>
              <w:t>有效的</w:t>
            </w:r>
            <w:r>
              <w:rPr>
                <w:rFonts w:hint="eastAsia" w:ascii="宋体" w:hAnsi="宋体"/>
                <w:color w:val="auto"/>
                <w:kern w:val="0"/>
                <w:szCs w:val="21"/>
                <w:highlight w:val="none"/>
              </w:rPr>
              <w:t>身份证、职称证及投标人本单位为其缴纳的养老保险证明材料。</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lang w:val="en-US" w:eastAsia="zh-CN"/>
              </w:rPr>
              <w:t>在</w:t>
            </w:r>
            <w:r>
              <w:rPr>
                <w:rFonts w:hint="eastAsia" w:ascii="宋体" w:hAnsi="宋体"/>
                <w:color w:val="auto"/>
                <w:szCs w:val="21"/>
                <w:highlight w:val="none"/>
              </w:rPr>
              <w:t>中标后签订合同之前，须按照建设行政主管部门的要求组建施工项目部，配置项目管理班子，出具任命文件。任命文件应当明确施工项目部的职责、岗位设置、人员配备，并书面通知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val="en-US" w:eastAsia="zh-CN"/>
              </w:rPr>
              <w:t>招标人</w:t>
            </w:r>
            <w:r>
              <w:rPr>
                <w:rFonts w:hint="eastAsia" w:ascii="宋体" w:hAnsi="宋体"/>
                <w:color w:val="auto"/>
                <w:szCs w:val="21"/>
                <w:highlight w:val="none"/>
              </w:rPr>
              <w:t>。相关岗位管理人员应持有建设行政主管部门要求的岗位证书，并提供投标人为其缴纳的养老保险证明材料。中标后不能满足该要求的，招标人可取消</w:t>
            </w:r>
            <w:r>
              <w:rPr>
                <w:rFonts w:hint="eastAsia" w:ascii="宋体" w:hAnsi="宋体"/>
                <w:color w:val="auto"/>
                <w:szCs w:val="21"/>
                <w:highlight w:val="none"/>
                <w:lang w:val="en-US" w:eastAsia="zh-CN"/>
              </w:rPr>
              <w:t>投标人</w:t>
            </w:r>
            <w:r>
              <w:rPr>
                <w:rFonts w:hint="eastAsia" w:ascii="宋体" w:hAnsi="宋体"/>
                <w:color w:val="auto"/>
                <w:szCs w:val="21"/>
                <w:highlight w:val="none"/>
              </w:rPr>
              <w:t>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招标人</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要求投标人承担责任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color w:val="auto"/>
                <w:szCs w:val="21"/>
                <w:highlight w:val="none"/>
              </w:rPr>
              <w:t>给招标人造成损失的，投标人依法承担赔偿责任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w:t>
            </w:r>
          </w:p>
          <w:p>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承诺（格式见第八章投标文件格式）。</w:t>
            </w:r>
          </w:p>
          <w:p>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法定代表人或</w:t>
            </w:r>
            <w:r>
              <w:rPr>
                <w:rFonts w:hint="eastAsia" w:ascii="宋体" w:hAnsi="宋体"/>
                <w:i w:val="0"/>
                <w:iCs/>
                <w:color w:val="auto"/>
                <w:kern w:val="0"/>
                <w:szCs w:val="21"/>
                <w:highlight w:val="none"/>
              </w:rPr>
              <w:t>委托代理人</w:t>
            </w:r>
            <w:r>
              <w:rPr>
                <w:rFonts w:hint="eastAsia" w:ascii="宋体" w:hAnsi="宋体"/>
                <w:i w:val="0"/>
                <w:iCs/>
                <w:color w:val="auto"/>
                <w:kern w:val="0"/>
                <w:szCs w:val="21"/>
                <w:highlight w:val="none"/>
                <w:lang w:val="en-US" w:eastAsia="zh-CN"/>
              </w:rPr>
              <w:t>代表</w:t>
            </w:r>
            <w:r>
              <w:rPr>
                <w:rFonts w:hint="eastAsia" w:ascii="宋体" w:hAnsi="宋体"/>
                <w:i w:val="0"/>
                <w:iCs/>
                <w:color w:val="auto"/>
                <w:kern w:val="0"/>
                <w:szCs w:val="21"/>
                <w:highlight w:val="none"/>
              </w:rPr>
              <w:t>投标人签署、澄清、说明、补正、递交、撤回、修改本项目投标文件、签订合同和处理有关事宜，其法律后果由投标人承担。</w:t>
            </w:r>
            <w:r>
              <w:rPr>
                <w:rFonts w:ascii="宋体" w:hAnsi="宋体"/>
                <w:color w:val="auto"/>
                <w:kern w:val="0"/>
                <w:szCs w:val="21"/>
                <w:highlight w:val="none"/>
              </w:rPr>
              <w:t>委托代理人</w:t>
            </w:r>
            <w:r>
              <w:rPr>
                <w:rFonts w:hint="eastAsia" w:ascii="宋体" w:hAnsi="宋体"/>
                <w:color w:val="auto"/>
                <w:kern w:val="0"/>
                <w:szCs w:val="21"/>
                <w:highlight w:val="none"/>
                <w:lang w:val="en-US" w:eastAsia="zh-CN"/>
              </w:rPr>
              <w:t>须是</w:t>
            </w:r>
            <w:r>
              <w:rPr>
                <w:rFonts w:ascii="宋体" w:hAnsi="宋体"/>
                <w:color w:val="auto"/>
                <w:kern w:val="0"/>
                <w:szCs w:val="21"/>
                <w:highlight w:val="none"/>
              </w:rPr>
              <w:t>投标单位</w:t>
            </w:r>
            <w:r>
              <w:rPr>
                <w:rFonts w:hint="eastAsia" w:ascii="宋体" w:hAnsi="宋体"/>
                <w:color w:val="auto"/>
                <w:kern w:val="0"/>
                <w:szCs w:val="21"/>
                <w:highlight w:val="none"/>
              </w:rPr>
              <w:t>人员</w:t>
            </w:r>
            <w:r>
              <w:rPr>
                <w:rFonts w:hint="eastAsia" w:ascii="宋体" w:hAnsi="宋体"/>
                <w:color w:val="auto"/>
                <w:kern w:val="0"/>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提供：</w:t>
            </w:r>
            <w:r>
              <w:rPr>
                <w:rFonts w:hint="eastAsia" w:ascii="宋体" w:hAnsi="宋体"/>
                <w:color w:val="auto"/>
                <w:kern w:val="0"/>
                <w:szCs w:val="21"/>
                <w:highlight w:val="none"/>
              </w:rPr>
              <w:t>法定代表人身份证明</w:t>
            </w:r>
            <w:r>
              <w:rPr>
                <w:rFonts w:hint="eastAsia" w:ascii="宋体" w:hAnsi="宋体"/>
                <w:color w:val="auto"/>
                <w:szCs w:val="21"/>
                <w:highlight w:val="none"/>
              </w:rPr>
              <w:t>（格式见第八章投标文件格式）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法定代表人委托代理人投标的，还须提供</w:t>
            </w:r>
            <w:r>
              <w:rPr>
                <w:rFonts w:hint="eastAsia" w:ascii="宋体" w:hAnsi="宋体"/>
                <w:color w:val="auto"/>
                <w:kern w:val="0"/>
                <w:szCs w:val="21"/>
                <w:highlight w:val="none"/>
              </w:rPr>
              <w:t>授权委托书</w:t>
            </w:r>
            <w:r>
              <w:rPr>
                <w:rFonts w:hint="eastAsia" w:ascii="宋体" w:hAnsi="宋体"/>
                <w:color w:val="auto"/>
                <w:szCs w:val="21"/>
                <w:highlight w:val="none"/>
              </w:rPr>
              <w:t>（格式见第八章投标文件格式）</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投标人为该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4</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投标文件真实性：</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投标文件中的所有内容</w:t>
            </w:r>
            <w:r>
              <w:rPr>
                <w:rFonts w:hint="eastAsia" w:ascii="宋体" w:hAnsi="宋体" w:eastAsia="宋体" w:cs="Times New Roman"/>
                <w:color w:val="auto"/>
                <w:kern w:val="0"/>
                <w:szCs w:val="21"/>
                <w:highlight w:val="none"/>
                <w:lang w:val="en-US" w:eastAsia="zh-CN"/>
              </w:rPr>
              <w:t>须</w:t>
            </w:r>
            <w:r>
              <w:rPr>
                <w:rFonts w:hint="eastAsia" w:ascii="宋体" w:hAnsi="宋体" w:eastAsia="宋体" w:cs="Times New Roman"/>
                <w:color w:val="auto"/>
                <w:kern w:val="0"/>
                <w:szCs w:val="21"/>
                <w:highlight w:val="none"/>
              </w:rPr>
              <w:t>真实有效，不存在弄虚作假情形。</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提供</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承诺（格式见第</w:t>
            </w:r>
            <w:r>
              <w:rPr>
                <w:rFonts w:hint="eastAsia" w:ascii="宋体" w:hAnsi="宋体" w:eastAsia="宋体" w:cs="Times New Roman"/>
                <w:color w:val="auto"/>
                <w:kern w:val="0"/>
                <w:szCs w:val="21"/>
                <w:highlight w:val="none"/>
                <w:lang w:val="en-US" w:eastAsia="zh-CN"/>
              </w:rPr>
              <w:t>八</w:t>
            </w:r>
            <w:r>
              <w:rPr>
                <w:rFonts w:hint="eastAsia" w:ascii="宋体" w:hAnsi="宋体" w:eastAsia="宋体" w:cs="Times New Roman"/>
                <w:color w:val="auto"/>
                <w:kern w:val="0"/>
                <w:szCs w:val="21"/>
                <w:highlight w:val="none"/>
              </w:rPr>
              <w:t>章投标文件格式）。</w:t>
            </w:r>
          </w:p>
          <w:p>
            <w:pPr>
              <w:autoSpaceDE w:val="0"/>
              <w:autoSpaceDN w:val="0"/>
              <w:adjustRightInd w:val="0"/>
              <w:snapToGrid w:val="0"/>
              <w:spacing w:line="400" w:lineRule="exact"/>
              <w:ind w:firstLine="417" w:firstLineChars="198"/>
              <w:rPr>
                <w:rFonts w:hint="eastAsia" w:ascii="宋体" w:hAnsi="宋体" w:cs="宋体"/>
                <w:b/>
                <w:color w:val="auto"/>
                <w:szCs w:val="21"/>
                <w:highlight w:val="none"/>
              </w:rPr>
            </w:pPr>
            <w:r>
              <w:rPr>
                <w:rFonts w:hint="eastAsia" w:ascii="宋体" w:hAnsi="宋体" w:cs="宋体"/>
                <w:b/>
                <w:color w:val="auto"/>
                <w:szCs w:val="21"/>
                <w:highlight w:val="none"/>
              </w:rPr>
              <w:t>特别说明：</w:t>
            </w:r>
          </w:p>
          <w:p>
            <w:pPr>
              <w:autoSpaceDE w:val="0"/>
              <w:autoSpaceDN w:val="0"/>
              <w:adjustRightInd w:val="0"/>
              <w:snapToGrid w:val="0"/>
              <w:spacing w:line="400" w:lineRule="exact"/>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w:t>
            </w:r>
          </w:p>
          <w:p>
            <w:pPr>
              <w:autoSpaceDE w:val="0"/>
              <w:autoSpaceDN w:val="0"/>
              <w:adjustRightInd w:val="0"/>
              <w:snapToGrid w:val="0"/>
              <w:spacing w:line="400" w:lineRule="exact"/>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上述要求须提交的相关证明材料均为复印件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且所有复印件、截图、承诺函原件</w:t>
            </w:r>
            <w:r>
              <w:rPr>
                <w:rFonts w:hint="eastAsia" w:ascii="宋体" w:hAnsi="宋体" w:cs="宋体"/>
                <w:color w:val="auto"/>
                <w:szCs w:val="21"/>
                <w:highlight w:val="none"/>
              </w:rPr>
              <w:t>均须加盖投标人投标人公章，复印件须清晰可辨</w:t>
            </w:r>
            <w:r>
              <w:rPr>
                <w:rFonts w:hint="eastAsia" w:ascii="宋体" w:hAnsi="宋体" w:cs="宋体"/>
                <w:color w:val="auto"/>
                <w:szCs w:val="21"/>
                <w:highlight w:val="none"/>
                <w:lang w:eastAsia="zh-CN"/>
              </w:rPr>
              <w:t>，</w:t>
            </w:r>
            <w:r>
              <w:rPr>
                <w:rFonts w:hint="eastAsia" w:ascii="宋体" w:hAnsi="宋体" w:cs="宋体"/>
                <w:color w:val="auto"/>
                <w:szCs w:val="21"/>
                <w:highlight w:val="none"/>
              </w:rPr>
              <w:t>，有一条不满足，则投标文件由评标委员会作否决投标处理。</w:t>
            </w:r>
          </w:p>
          <w:p>
            <w:pPr>
              <w:autoSpaceDE w:val="0"/>
              <w:autoSpaceDN w:val="0"/>
              <w:adjustRightInd w:val="0"/>
              <w:snapToGrid w:val="0"/>
              <w:spacing w:line="400" w:lineRule="exact"/>
              <w:ind w:firstLine="415" w:firstLineChars="198"/>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u w:val="single"/>
              </w:rPr>
              <w:t>招标人在</w:t>
            </w:r>
            <w:r>
              <w:rPr>
                <w:rFonts w:hint="eastAsia" w:ascii="宋体" w:hAnsi="宋体" w:cs="宋体"/>
                <w:b/>
                <w:bCs/>
                <w:color w:val="auto"/>
                <w:szCs w:val="21"/>
                <w:highlight w:val="none"/>
                <w:u w:val="single"/>
                <w:lang w:val="en-US" w:eastAsia="zh-CN"/>
              </w:rPr>
              <w:t>本项目</w:t>
            </w:r>
            <w:r>
              <w:rPr>
                <w:rFonts w:hint="eastAsia" w:ascii="宋体" w:hAnsi="宋体" w:cs="宋体"/>
                <w:b/>
                <w:bCs/>
                <w:color w:val="auto"/>
                <w:szCs w:val="21"/>
                <w:highlight w:val="none"/>
                <w:u w:val="single"/>
              </w:rPr>
              <w:t>合同签订前均有权对投标人提供的资料进行核实，</w:t>
            </w:r>
            <w:r>
              <w:rPr>
                <w:rFonts w:hint="eastAsia" w:ascii="宋体" w:hAnsi="宋体" w:cs="宋体"/>
                <w:b/>
                <w:bCs/>
                <w:color w:val="auto"/>
                <w:szCs w:val="21"/>
                <w:highlight w:val="none"/>
                <w:u w:val="single"/>
                <w:lang w:val="en-US" w:eastAsia="zh-CN"/>
              </w:rPr>
              <w:t>包括但不限于核查中标单位办公地址、投标业绩现场地址、行业历史业绩等，</w:t>
            </w:r>
            <w:r>
              <w:rPr>
                <w:rFonts w:hint="eastAsia" w:ascii="宋体" w:hAnsi="宋体" w:cs="宋体"/>
                <w:b/>
                <w:bCs/>
                <w:color w:val="auto"/>
                <w:szCs w:val="21"/>
                <w:highlight w:val="none"/>
                <w:u w:val="single"/>
              </w:rPr>
              <w:t>若发现弄虚作假</w:t>
            </w:r>
            <w:r>
              <w:rPr>
                <w:rFonts w:hint="eastAsia" w:ascii="宋体" w:hAnsi="宋体" w:cs="宋体"/>
                <w:b/>
                <w:bCs/>
                <w:color w:val="auto"/>
                <w:szCs w:val="21"/>
                <w:highlight w:val="none"/>
                <w:u w:val="single"/>
                <w:lang w:val="en-US" w:eastAsia="zh-CN"/>
              </w:rPr>
              <w:t>情况</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则招标人有权</w:t>
            </w:r>
            <w:r>
              <w:rPr>
                <w:rFonts w:hint="eastAsia" w:ascii="宋体" w:hAnsi="宋体" w:cs="宋体"/>
                <w:b/>
                <w:bCs/>
                <w:color w:val="auto"/>
                <w:szCs w:val="21"/>
                <w:highlight w:val="none"/>
                <w:u w:val="single"/>
              </w:rPr>
              <w:t>按相关规定取消其中标资格，并按相关法律法规报招标投标监督部门，其投标保证金不予退还，投标人承担因此造成的相关责任并赔偿相应损失</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同时按排名顺位选取下一位拟中标人</w:t>
            </w:r>
            <w:r>
              <w:rPr>
                <w:rFonts w:hint="eastAsia" w:ascii="宋体" w:hAnsi="宋体" w:cs="宋体"/>
                <w:b/>
                <w:bCs/>
                <w:color w:val="auto"/>
                <w:szCs w:val="21"/>
                <w:highlight w:val="none"/>
              </w:rPr>
              <w:t>。</w:t>
            </w:r>
          </w:p>
          <w:p>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本招标文件中所要求的人员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pPr>
              <w:spacing w:line="400" w:lineRule="exact"/>
              <w:ind w:firstLine="420" w:firstLineChars="200"/>
              <w:rPr>
                <w:rFonts w:hint="eastAsia"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pPr>
              <w:spacing w:line="400" w:lineRule="exact"/>
              <w:ind w:firstLine="420" w:firstLineChars="200"/>
              <w:rPr>
                <w:rFonts w:hint="eastAsia"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lang w:val="en-US" w:eastAsia="zh-CN"/>
              </w:rPr>
              <w:t>拟派人员在投标单位</w:t>
            </w:r>
            <w:r>
              <w:rPr>
                <w:rFonts w:ascii="宋体" w:hAnsi="宋体"/>
                <w:bCs/>
                <w:snapToGrid w:val="0"/>
                <w:color w:val="auto"/>
                <w:kern w:val="0"/>
                <w:szCs w:val="21"/>
                <w:highlight w:val="none"/>
              </w:rPr>
              <w:t>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w:t>
            </w:r>
            <w:r>
              <w:rPr>
                <w:rFonts w:hint="eastAsia" w:ascii="宋体" w:hAnsi="宋体"/>
                <w:bCs/>
                <w:snapToGrid w:val="0"/>
                <w:color w:val="auto"/>
                <w:kern w:val="0"/>
                <w:szCs w:val="21"/>
                <w:highlight w:val="none"/>
                <w:u w:val="single"/>
              </w:rPr>
              <w:t>202</w:t>
            </w:r>
            <w:r>
              <w:rPr>
                <w:rFonts w:hint="eastAsia" w:ascii="宋体" w:hAnsi="宋体"/>
                <w:bCs/>
                <w:snapToGrid w:val="0"/>
                <w:color w:val="auto"/>
                <w:kern w:val="0"/>
                <w:szCs w:val="21"/>
                <w:highlight w:val="none"/>
                <w:u w:val="single"/>
                <w:lang w:val="en-US" w:eastAsia="zh-CN"/>
              </w:rPr>
              <w:t>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11</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rPr>
              <w:t>202</w:t>
            </w:r>
            <w:r>
              <w:rPr>
                <w:rFonts w:hint="eastAsia" w:ascii="宋体" w:hAnsi="宋体"/>
                <w:bCs/>
                <w:snapToGrid w:val="0"/>
                <w:color w:val="auto"/>
                <w:kern w:val="0"/>
                <w:szCs w:val="21"/>
                <w:highlight w:val="none"/>
                <w:u w:val="single"/>
                <w:lang w:val="en-US" w:eastAsia="zh-CN"/>
              </w:rPr>
              <w:t>6</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4</w:t>
            </w:r>
            <w:r>
              <w:rPr>
                <w:rFonts w:ascii="宋体" w:hAnsi="宋体"/>
                <w:bCs/>
                <w:snapToGrid w:val="0"/>
                <w:color w:val="auto"/>
                <w:kern w:val="0"/>
                <w:szCs w:val="21"/>
                <w:highlight w:val="none"/>
              </w:rPr>
              <w:t>月</w:t>
            </w:r>
            <w:r>
              <w:rPr>
                <w:rFonts w:hint="eastAsia" w:ascii="宋体" w:hAnsi="宋体"/>
                <w:bCs/>
                <w:color w:val="auto"/>
                <w:szCs w:val="21"/>
                <w:highlight w:val="none"/>
              </w:rPr>
              <w:t>。提供的养老保险参保证明须体现</w:t>
            </w:r>
            <w:r>
              <w:rPr>
                <w:rFonts w:hint="eastAsia" w:ascii="宋体" w:hAnsi="宋体"/>
                <w:bCs/>
                <w:color w:val="auto"/>
                <w:szCs w:val="21"/>
                <w:highlight w:val="none"/>
                <w:lang w:val="en-US" w:eastAsia="zh-CN"/>
              </w:rPr>
              <w:t>拟派</w:t>
            </w:r>
            <w:r>
              <w:rPr>
                <w:rFonts w:hint="eastAsia" w:ascii="宋体" w:hAnsi="宋体"/>
                <w:bCs/>
                <w:color w:val="auto"/>
                <w:szCs w:val="21"/>
                <w:highlight w:val="none"/>
              </w:rPr>
              <w:t>人员的姓名、身份证号（或社保号）、单位名称、</w:t>
            </w:r>
            <w:r>
              <w:rPr>
                <w:rFonts w:hint="eastAsia" w:ascii="宋体" w:hAnsi="宋体"/>
                <w:bCs/>
                <w:color w:val="auto"/>
                <w:szCs w:val="21"/>
                <w:highlight w:val="none"/>
                <w:lang w:val="en-US" w:eastAsia="zh-CN"/>
              </w:rPr>
              <w:t>在投标单位</w:t>
            </w:r>
            <w:r>
              <w:rPr>
                <w:rFonts w:hint="eastAsia" w:ascii="宋体" w:hAnsi="宋体"/>
                <w:bCs/>
                <w:color w:val="auto"/>
                <w:szCs w:val="21"/>
                <w:highlight w:val="none"/>
              </w:rPr>
              <w:t>参保时间（或起始参保时间），并带有社保部门公章或社保部门的有效电子印章。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pPr>
              <w:numPr>
                <w:ilvl w:val="-1"/>
                <w:numId w:val="0"/>
              </w:numPr>
              <w:snapToGrid w:val="0"/>
              <w:spacing w:after="15" w:afterLines="5"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本项目标段2不接受联合体投标。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pPr>
              <w:snapToGrid w:val="0"/>
              <w:spacing w:line="400" w:lineRule="exact"/>
              <w:ind w:firstLine="420" w:firstLineChars="200"/>
              <w:rPr>
                <w:rFonts w:hint="default" w:ascii="宋体" w:hAnsi="宋体" w:eastAsia="宋体"/>
                <w:color w:val="auto"/>
                <w:kern w:val="0"/>
                <w:szCs w:val="21"/>
                <w:highlight w:val="none"/>
                <w:lang w:val="en-US" w:eastAsia="zh-CN"/>
              </w:rPr>
            </w:pPr>
            <w:r>
              <w:rPr>
                <w:rFonts w:ascii="宋体" w:hAnsi="宋体"/>
                <w:color w:val="auto"/>
                <w:kern w:val="0"/>
                <w:szCs w:val="21"/>
                <w:highlight w:val="none"/>
              </w:rPr>
              <w:t>不允许</w:t>
            </w:r>
            <w:r>
              <w:rPr>
                <w:rFonts w:hint="eastAsia" w:ascii="宋体" w:hAnsi="宋体"/>
                <w:color w:val="auto"/>
                <w:kern w:val="0"/>
                <w:szCs w:val="21"/>
                <w:highlight w:val="none"/>
                <w:lang w:val="en-US" w:eastAsia="zh-CN"/>
              </w:rPr>
              <w:t>违法分包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pPr>
              <w:snapToGrid w:val="0"/>
              <w:spacing w:after="15" w:afterLines="5" w:line="400" w:lineRule="exact"/>
              <w:jc w:val="center"/>
              <w:rPr>
                <w:rFonts w:hint="eastAsia" w:ascii="宋体" w:hAnsi="宋体"/>
                <w:color w:val="auto"/>
                <w:kern w:val="0"/>
                <w:szCs w:val="21"/>
                <w:highlight w:val="none"/>
              </w:rPr>
            </w:pPr>
            <w:r>
              <w:rPr>
                <w:rFonts w:ascii="宋体" w:hAnsi="宋体"/>
                <w:color w:val="auto"/>
                <w:kern w:val="0"/>
                <w:szCs w:val="21"/>
                <w:highlight w:val="none"/>
              </w:rPr>
              <w:t>构成招标文件的其他材料</w:t>
            </w:r>
          </w:p>
        </w:tc>
        <w:tc>
          <w:tcPr>
            <w:tcW w:w="6490" w:type="dxa"/>
            <w:vAlign w:val="center"/>
          </w:tcPr>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招标人发出的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投标人对招标文件提出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投标人应仔细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在招标公告规定的时间</w:t>
            </w:r>
            <w:r>
              <w:rPr>
                <w:rFonts w:ascii="宋体" w:hAnsi="宋体"/>
                <w:color w:val="auto"/>
                <w:kern w:val="0"/>
                <w:szCs w:val="21"/>
                <w:highlight w:val="none"/>
              </w:rPr>
              <w:t>前</w:t>
            </w:r>
            <w:r>
              <w:rPr>
                <w:rFonts w:hint="eastAsia" w:ascii="宋体" w:hAnsi="宋体"/>
                <w:color w:val="auto"/>
                <w:kern w:val="0"/>
                <w:szCs w:val="21"/>
                <w:highlight w:val="none"/>
              </w:rPr>
              <w:t>在本项目招标公告网页下方“我要提问”栏</w:t>
            </w:r>
            <w:r>
              <w:rPr>
                <w:rFonts w:ascii="宋体" w:hAnsi="宋体"/>
                <w:color w:val="auto"/>
                <w:kern w:val="0"/>
                <w:szCs w:val="21"/>
                <w:highlight w:val="none"/>
              </w:rPr>
              <w:t>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招标人对招标文件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490" w:type="dxa"/>
            <w:vAlign w:val="center"/>
          </w:tcPr>
          <w:p>
            <w:pPr>
              <w:snapToGrid w:val="0"/>
              <w:spacing w:line="400" w:lineRule="exact"/>
              <w:ind w:firstLine="420" w:firstLineChars="200"/>
              <w:rPr>
                <w:rFonts w:hint="eastAsia" w:ascii="宋体" w:hAnsi="宋体"/>
                <w:snapToGrid w:val="0"/>
                <w:color w:val="auto"/>
                <w:kern w:val="0"/>
                <w:szCs w:val="21"/>
                <w:highlight w:val="none"/>
              </w:rPr>
            </w:pPr>
            <w:r>
              <w:rPr>
                <w:rFonts w:hint="eastAsia" w:ascii="宋体" w:hAnsi="宋体"/>
                <w:color w:val="auto"/>
                <w:szCs w:val="21"/>
                <w:highlight w:val="none"/>
              </w:rPr>
              <w:t>招标人应在招标公告规定的时间前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color w:val="auto"/>
                <w:kern w:val="0"/>
                <w:szCs w:val="21"/>
                <w:highlight w:val="none"/>
                <w:u w:val="single"/>
              </w:rPr>
              <w:t>重庆市公共资源交易网（www.cqggzy.com）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hint="eastAsia" w:ascii="宋体" w:hAnsi="宋体"/>
                <w:color w:val="auto"/>
                <w:kern w:val="0"/>
                <w:szCs w:val="21"/>
                <w:highlight w:val="none"/>
              </w:rPr>
            </w:pP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pPr>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详见招标公告规定的投标截止时间。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pPr>
              <w:snapToGrid w:val="0"/>
              <w:spacing w:after="15" w:afterLines="5" w:line="400" w:lineRule="exact"/>
              <w:jc w:val="center"/>
              <w:rPr>
                <w:rFonts w:hint="eastAsia" w:ascii="宋体" w:hAnsi="宋体"/>
                <w:color w:val="auto"/>
                <w:kern w:val="0"/>
                <w:szCs w:val="21"/>
                <w:highlight w:val="none"/>
              </w:rPr>
            </w:pPr>
            <w:r>
              <w:rPr>
                <w:rFonts w:ascii="宋体" w:hAnsi="宋体"/>
                <w:color w:val="auto"/>
                <w:kern w:val="0"/>
                <w:szCs w:val="21"/>
                <w:highlight w:val="none"/>
              </w:rPr>
              <w:t>招标人对招标文件进行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490" w:type="dxa"/>
            <w:vAlign w:val="center"/>
          </w:tcPr>
          <w:p>
            <w:pPr>
              <w:snapToGrid w:val="0"/>
              <w:spacing w:line="400" w:lineRule="exact"/>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2.2.4</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投标人对招标文件及澄清修改提出异议的截止时间</w:t>
            </w:r>
          </w:p>
        </w:tc>
        <w:tc>
          <w:tcPr>
            <w:tcW w:w="6490" w:type="dxa"/>
            <w:vAlign w:val="center"/>
          </w:tcPr>
          <w:p>
            <w:pPr>
              <w:snapToGri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投标人对招标文件和</w:t>
            </w:r>
            <w:r>
              <w:rPr>
                <w:rFonts w:hint="eastAsia" w:ascii="宋体" w:hAnsi="宋体"/>
                <w:snapToGrid w:val="0"/>
                <w:color w:val="auto"/>
                <w:kern w:val="0"/>
                <w:szCs w:val="21"/>
                <w:highlight w:val="none"/>
              </w:rPr>
              <w:t>澄清修改</w:t>
            </w:r>
            <w:r>
              <w:rPr>
                <w:rFonts w:ascii="宋体" w:hAnsi="宋体"/>
                <w:snapToGrid w:val="0"/>
                <w:color w:val="auto"/>
                <w:kern w:val="0"/>
                <w:szCs w:val="21"/>
                <w:highlight w:val="none"/>
              </w:rPr>
              <w:t>有异议的，应当在投标截止时间10日前，</w:t>
            </w:r>
            <w:r>
              <w:rPr>
                <w:rFonts w:hint="eastAsia" w:ascii="宋体" w:hAnsi="宋体"/>
                <w:snapToGrid w:val="0"/>
                <w:color w:val="auto"/>
                <w:kern w:val="0"/>
                <w:szCs w:val="21"/>
                <w:highlight w:val="none"/>
              </w:rPr>
              <w:t>以书面形式通知招标人或招标代理机构</w:t>
            </w:r>
            <w:r>
              <w:rPr>
                <w:rFonts w:ascii="宋体" w:hAnsi="宋体"/>
                <w:snapToGrid w:val="0"/>
                <w:color w:val="auto"/>
                <w:kern w:val="0"/>
                <w:szCs w:val="21"/>
                <w:highlight w:val="none"/>
              </w:rPr>
              <w:t>。招标人应当自收到异议之日起3日内做出答复，</w:t>
            </w:r>
            <w:r>
              <w:rPr>
                <w:rFonts w:hint="eastAsia" w:ascii="宋体" w:hAnsi="宋体"/>
                <w:snapToGrid w:val="0"/>
                <w:color w:val="auto"/>
                <w:kern w:val="0"/>
                <w:szCs w:val="21"/>
                <w:highlight w:val="none"/>
              </w:rPr>
              <w:t>答复内容可能影响投标文件编制的，将以修改的形式于投标截止时间15日前在</w:t>
            </w:r>
            <w:r>
              <w:rPr>
                <w:rFonts w:hint="eastAsia" w:ascii="宋体" w:hAnsi="宋体"/>
                <w:snapToGrid w:val="0"/>
                <w:color w:val="auto"/>
                <w:kern w:val="0"/>
                <w:szCs w:val="21"/>
                <w:highlight w:val="none"/>
                <w:u w:val="single"/>
              </w:rPr>
              <w:t>重庆市公共资源交易网（www.cqggzy.com）</w:t>
            </w:r>
            <w:r>
              <w:rPr>
                <w:rFonts w:hint="eastAsia" w:ascii="宋体" w:hAnsi="宋体"/>
                <w:snapToGrid w:val="0"/>
                <w:color w:val="auto"/>
                <w:kern w:val="0"/>
                <w:szCs w:val="21"/>
                <w:highlight w:val="none"/>
              </w:rPr>
              <w:t>澄清修改区发布。发布时间至投标截止时间不足15日的，须相应延后投标截止时间</w:t>
            </w:r>
            <w:r>
              <w:rPr>
                <w:rFonts w:ascii="宋体" w:hAnsi="宋体"/>
                <w:snapToGrid w:val="0"/>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pPr>
              <w:snapToGrid w:val="0"/>
              <w:spacing w:after="31" w:afterLines="10" w:line="400" w:lineRule="exact"/>
              <w:jc w:val="center"/>
              <w:rPr>
                <w:rFonts w:hint="eastAsia" w:ascii="宋体" w:hAnsi="宋体"/>
                <w:color w:val="auto"/>
                <w:kern w:val="0"/>
                <w:szCs w:val="21"/>
                <w:highlight w:val="none"/>
              </w:rPr>
            </w:pPr>
            <w:r>
              <w:rPr>
                <w:rFonts w:ascii="宋体" w:hAnsi="宋体"/>
                <w:color w:val="auto"/>
                <w:kern w:val="0"/>
                <w:szCs w:val="21"/>
                <w:highlight w:val="none"/>
              </w:rPr>
              <w:t>构成投标文件的其他材料</w:t>
            </w:r>
          </w:p>
        </w:tc>
        <w:tc>
          <w:tcPr>
            <w:tcW w:w="6490" w:type="dxa"/>
            <w:vAlign w:val="center"/>
          </w:tcPr>
          <w:p>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pPr>
              <w:pStyle w:val="2"/>
              <w:tabs>
                <w:tab w:val="left" w:pos="546"/>
                <w:tab w:val="left" w:pos="711"/>
              </w:tabs>
              <w:snapToGrid w:val="0"/>
              <w:spacing w:after="0" w:line="400" w:lineRule="exact"/>
              <w:ind w:firstLine="420" w:firstLineChars="200"/>
              <w:rPr>
                <w:rFonts w:hint="eastAsia"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本项目的投标报价应为完成投标人须知前附表1.3.1条规定的招标范围内所有工作以及按合同约定交付招标人项目成果所需的全部费用。</w:t>
            </w:r>
          </w:p>
          <w:p>
            <w:pPr>
              <w:pStyle w:val="2"/>
              <w:tabs>
                <w:tab w:val="left" w:pos="546"/>
                <w:tab w:val="left" w:pos="711"/>
              </w:tabs>
              <w:snapToGrid w:val="0"/>
              <w:spacing w:after="0" w:line="400" w:lineRule="exact"/>
              <w:ind w:left="0" w:leftChars="0"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标段2</w:t>
            </w:r>
            <w:r>
              <w:rPr>
                <w:rFonts w:hint="eastAsia" w:ascii="宋体" w:hAnsi="宋体" w:cs="宋体"/>
                <w:color w:val="auto"/>
                <w:szCs w:val="21"/>
                <w:highlight w:val="none"/>
              </w:rPr>
              <w:t>采用总价包干的方式，施工图和工程量清单范围内容总价包干。投标人根据项目情况、自身实力、市场行情自行填报投标总价</w:t>
            </w:r>
            <w:r>
              <w:rPr>
                <w:rFonts w:hint="eastAsia" w:ascii="宋体" w:hAnsi="宋体" w:cs="宋体"/>
                <w:b/>
                <w:bCs/>
                <w:color w:val="auto"/>
                <w:szCs w:val="21"/>
                <w:highlight w:val="none"/>
              </w:rPr>
              <w:t>（其中安全文明施工费、技术措施费及其他风险费、规费、税金为不可竞争费用）</w:t>
            </w:r>
            <w:r>
              <w:rPr>
                <w:rFonts w:hint="eastAsia" w:ascii="宋体" w:hAnsi="宋体" w:cs="宋体"/>
                <w:color w:val="auto"/>
                <w:szCs w:val="21"/>
                <w:highlight w:val="none"/>
              </w:rPr>
              <w:t>，投标报价以元为单位，保留小数点后两位，第三位四舍五入，不足两位的按实际位数保留。在施工过程中，除合同约定或经招标人批准同意可以调整的情形外，总价固定不予调整。</w:t>
            </w:r>
          </w:p>
          <w:p>
            <w:pPr>
              <w:pStyle w:val="2"/>
              <w:tabs>
                <w:tab w:val="left" w:pos="546"/>
                <w:tab w:val="left" w:pos="711"/>
              </w:tabs>
              <w:snapToGrid w:val="0"/>
              <w:spacing w:after="0" w:line="400" w:lineRule="exact"/>
              <w:ind w:left="0" w:leftChars="0"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3.本项目提供的图纸和工程量清单仅作为投标人对项目工程量及报价的测算，</w:t>
            </w:r>
            <w:r>
              <w:rPr>
                <w:rFonts w:hint="eastAsia" w:ascii="宋体" w:hAnsi="宋体" w:cs="宋体"/>
                <w:b/>
                <w:bCs/>
                <w:color w:val="auto"/>
                <w:szCs w:val="21"/>
                <w:highlight w:val="none"/>
                <w:lang w:val="en-US" w:eastAsia="zh-CN"/>
              </w:rPr>
              <w:t>投标人在填报投标报价时不需要填报工程量清单单价报价。</w:t>
            </w:r>
          </w:p>
          <w:p>
            <w:pPr>
              <w:pStyle w:val="2"/>
              <w:tabs>
                <w:tab w:val="left" w:pos="546"/>
                <w:tab w:val="left" w:pos="711"/>
              </w:tabs>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3.最高限价</w:t>
            </w:r>
          </w:p>
          <w:p>
            <w:pPr>
              <w:pStyle w:val="2"/>
              <w:tabs>
                <w:tab w:val="left" w:pos="546"/>
                <w:tab w:val="left" w:pos="711"/>
              </w:tabs>
              <w:snapToGrid w:val="0"/>
              <w:spacing w:after="0"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标段2：</w:t>
            </w:r>
            <w:r>
              <w:rPr>
                <w:rFonts w:hint="eastAsia" w:ascii="宋体" w:hAnsi="宋体" w:cs="宋体"/>
                <w:b/>
                <w:bCs/>
                <w:color w:val="auto"/>
                <w:szCs w:val="21"/>
                <w:highlight w:val="none"/>
                <w:lang w:val="en-US" w:eastAsia="zh-CN"/>
              </w:rPr>
              <w:t>903256.76</w:t>
            </w:r>
            <w:r>
              <w:rPr>
                <w:rFonts w:hint="eastAsia" w:ascii="宋体" w:hAnsi="宋体" w:cs="宋体"/>
                <w:b/>
                <w:bCs/>
                <w:color w:val="auto"/>
                <w:szCs w:val="21"/>
                <w:highlight w:val="none"/>
              </w:rPr>
              <w:t>元，</w:t>
            </w:r>
            <w:r>
              <w:rPr>
                <w:rFonts w:hint="eastAsia" w:ascii="宋体" w:hAnsi="宋体" w:cs="宋体"/>
                <w:b/>
                <w:bCs/>
                <w:color w:val="auto"/>
                <w:szCs w:val="21"/>
                <w:highlight w:val="none"/>
                <w:lang w:val="en-US" w:eastAsia="zh-CN"/>
              </w:rPr>
              <w:t>其中</w:t>
            </w:r>
            <w:r>
              <w:rPr>
                <w:rFonts w:hint="eastAsia" w:ascii="宋体" w:hAnsi="宋体" w:cs="宋体"/>
                <w:b/>
                <w:bCs/>
                <w:color w:val="auto"/>
                <w:szCs w:val="21"/>
                <w:highlight w:val="none"/>
              </w:rPr>
              <w:t>安全文明施工费</w:t>
            </w:r>
            <w:r>
              <w:rPr>
                <w:rFonts w:hint="eastAsia" w:ascii="宋体" w:hAnsi="宋体" w:cs="宋体"/>
                <w:b/>
                <w:bCs/>
                <w:color w:val="auto"/>
                <w:szCs w:val="21"/>
                <w:highlight w:val="none"/>
                <w:lang w:val="en-US" w:eastAsia="zh-CN"/>
              </w:rPr>
              <w:t>15967.76</w:t>
            </w:r>
            <w:r>
              <w:rPr>
                <w:rFonts w:hint="eastAsia" w:ascii="宋体" w:hAnsi="宋体" w:cs="宋体"/>
                <w:b/>
                <w:bCs/>
                <w:color w:val="auto"/>
                <w:szCs w:val="21"/>
                <w:highlight w:val="none"/>
              </w:rPr>
              <w:t>元。</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0" w:firstLineChars="0"/>
              <w:textAlignment w:val="auto"/>
              <w:rPr>
                <w:rFonts w:hint="eastAsia"/>
                <w:color w:val="auto"/>
                <w:highlight w:val="none"/>
                <w:lang w:val="en-US" w:eastAsia="zh-CN"/>
              </w:rPr>
            </w:pPr>
            <w:r>
              <w:rPr>
                <w:rFonts w:hint="eastAsia"/>
                <w:color w:val="auto"/>
                <w:highlight w:val="none"/>
                <w:lang w:val="en-US" w:eastAsia="zh-CN"/>
              </w:rPr>
              <w:t xml:space="preserve">    投标人总报价不得高于最高限价，否则，其投标文件将被否决。</w:t>
            </w:r>
          </w:p>
          <w:p>
            <w:pPr>
              <w:pStyle w:val="2"/>
              <w:tabs>
                <w:tab w:val="left" w:pos="546"/>
                <w:tab w:val="left" w:pos="711"/>
              </w:tabs>
              <w:snapToGrid w:val="0"/>
              <w:spacing w:line="400" w:lineRule="exact"/>
              <w:ind w:firstLine="420" w:firstLineChars="200"/>
              <w:rPr>
                <w:rFonts w:hint="eastAsia"/>
                <w:color w:val="auto"/>
                <w:highlight w:val="none"/>
              </w:rPr>
            </w:pPr>
            <w:r>
              <w:rPr>
                <w:rFonts w:hint="eastAsia"/>
                <w:color w:val="auto"/>
                <w:highlight w:val="none"/>
                <w:lang w:val="en-US" w:eastAsia="zh-CN"/>
              </w:rPr>
              <w:t>投标人安全文明施工费按招标文件给出的金额填报，不允许修改，否则，其投标文件将被否决。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90</w:t>
            </w:r>
            <w:r>
              <w:rPr>
                <w:rFonts w:ascii="宋体" w:hAnsi="宋体"/>
                <w:color w:val="auto"/>
                <w:szCs w:val="21"/>
                <w:highlight w:val="none"/>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pPr>
              <w:snapToGrid w:val="0"/>
              <w:spacing w:line="400" w:lineRule="exact"/>
              <w:ind w:firstLine="420" w:firstLineChars="200"/>
              <w:rPr>
                <w:color w:val="auto"/>
                <w:highlight w:val="none"/>
              </w:rPr>
            </w:pPr>
            <w:r>
              <w:rPr>
                <w:rFonts w:hint="eastAsia"/>
                <w:color w:val="auto"/>
                <w:highlight w:val="none"/>
              </w:rPr>
              <w:t>投标保证金的交纳方式：投标人可选择以下</w:t>
            </w:r>
            <w:r>
              <w:rPr>
                <w:rFonts w:hint="eastAsia"/>
                <w:color w:val="auto"/>
                <w:highlight w:val="none"/>
                <w:lang w:val="en-US" w:eastAsia="zh-CN"/>
              </w:rPr>
              <w:t>二</w:t>
            </w:r>
            <w:r>
              <w:rPr>
                <w:rFonts w:hint="eastAsia"/>
                <w:color w:val="auto"/>
                <w:highlight w:val="none"/>
              </w:rPr>
              <w:t>种方式之一。</w:t>
            </w:r>
          </w:p>
          <w:p>
            <w:pPr>
              <w:snapToGrid w:val="0"/>
              <w:spacing w:line="400" w:lineRule="exact"/>
              <w:ind w:firstLine="420" w:firstLineChars="200"/>
              <w:rPr>
                <w:color w:val="auto"/>
                <w:highlight w:val="none"/>
              </w:rPr>
            </w:pPr>
            <w:r>
              <w:rPr>
                <w:rFonts w:hint="eastAsia"/>
                <w:color w:val="auto"/>
                <w:highlight w:val="none"/>
              </w:rPr>
              <w:t>方式一</w:t>
            </w:r>
          </w:p>
          <w:p>
            <w:pPr>
              <w:snapToGrid w:val="0"/>
              <w:spacing w:line="400" w:lineRule="exact"/>
              <w:ind w:firstLine="420" w:firstLineChars="200"/>
              <w:rPr>
                <w:color w:val="auto"/>
                <w:highlight w:val="none"/>
              </w:rPr>
            </w:pPr>
            <w:r>
              <w:rPr>
                <w:color w:val="auto"/>
                <w:highlight w:val="none"/>
              </w:rPr>
              <w:t>一、</w:t>
            </w:r>
            <w:r>
              <w:rPr>
                <w:rFonts w:hint="eastAsia"/>
                <w:color w:val="auto"/>
                <w:highlight w:val="none"/>
              </w:rPr>
              <w:t>以电子投标保函形式交纳投标保证金</w:t>
            </w:r>
          </w:p>
          <w:p>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若投标截止时间延期，则电子投标保函提交的截止时间和投标截止时间应当保持一致。</w:t>
            </w:r>
          </w:p>
          <w:p>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ascii="宋体" w:hAnsi="宋体"/>
                <w:color w:val="auto"/>
                <w:kern w:val="0"/>
                <w:szCs w:val="21"/>
                <w:highlight w:val="none"/>
              </w:rPr>
              <w:t>不满足上述要求的电子</w:t>
            </w:r>
            <w:r>
              <w:rPr>
                <w:rFonts w:ascii="宋体" w:hAnsi="宋体"/>
                <w:color w:val="auto"/>
                <w:kern w:val="0"/>
                <w:szCs w:val="21"/>
                <w:highlight w:val="none"/>
              </w:rPr>
              <w:t>投标保函</w:t>
            </w:r>
            <w:r>
              <w:rPr>
                <w:rFonts w:hint="eastAsia" w:ascii="宋体" w:hAnsi="宋体"/>
                <w:color w:val="auto"/>
                <w:kern w:val="0"/>
                <w:szCs w:val="21"/>
                <w:highlight w:val="none"/>
                <w:lang w:eastAsia="zh-CN"/>
              </w:rPr>
              <w:t>视为</w:t>
            </w:r>
            <w:r>
              <w:rPr>
                <w:rFonts w:ascii="宋体" w:hAnsi="宋体"/>
                <w:color w:val="auto"/>
                <w:kern w:val="0"/>
                <w:szCs w:val="21"/>
                <w:highlight w:val="none"/>
              </w:rPr>
              <w:t>无效。</w:t>
            </w:r>
          </w:p>
          <w:p>
            <w:pPr>
              <w:snapToGrid w:val="0"/>
              <w:spacing w:line="400" w:lineRule="exact"/>
              <w:ind w:firstLine="420" w:firstLineChars="200"/>
              <w:rPr>
                <w:color w:val="auto"/>
                <w:highlight w:val="none"/>
              </w:rPr>
            </w:pPr>
            <w:r>
              <w:rPr>
                <w:rFonts w:hint="eastAsia"/>
                <w:color w:val="auto"/>
                <w:highlight w:val="none"/>
              </w:rPr>
              <w:t>以电子投标保函形式担保的</w:t>
            </w:r>
            <w:r>
              <w:rPr>
                <w:color w:val="auto"/>
                <w:highlight w:val="none"/>
              </w:rPr>
              <w:t>投标保证金的金额：</w:t>
            </w:r>
            <w:r>
              <w:rPr>
                <w:rFonts w:hint="eastAsia"/>
                <w:color w:val="auto"/>
                <w:highlight w:val="none"/>
              </w:rPr>
              <w:t>1</w:t>
            </w:r>
            <w:r>
              <w:rPr>
                <w:color w:val="auto"/>
                <w:highlight w:val="none"/>
              </w:rPr>
              <w:t>万元整（人民币）</w:t>
            </w:r>
            <w:r>
              <w:rPr>
                <w:rFonts w:hint="eastAsia"/>
                <w:color w:val="auto"/>
                <w:highlight w:val="none"/>
              </w:rPr>
              <w:t>。</w:t>
            </w:r>
          </w:p>
          <w:p>
            <w:pPr>
              <w:snapToGrid w:val="0"/>
              <w:spacing w:line="400" w:lineRule="exact"/>
              <w:ind w:firstLine="420" w:firstLineChars="200"/>
              <w:rPr>
                <w:color w:val="auto"/>
                <w:highlight w:val="none"/>
              </w:rPr>
            </w:pPr>
            <w:r>
              <w:rPr>
                <w:rFonts w:hint="eastAsia"/>
                <w:color w:val="auto"/>
                <w:highlight w:val="none"/>
              </w:rPr>
              <w:t>3. 电子投标保函</w:t>
            </w:r>
          </w:p>
          <w:p>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以</w:t>
            </w:r>
            <w:r>
              <w:rPr>
                <w:rFonts w:hint="eastAsia"/>
                <w:color w:val="auto"/>
                <w:highlight w:val="none"/>
                <w:u w:val="single"/>
              </w:rPr>
              <w:t>重庆市公共资源交易中心</w:t>
            </w:r>
            <w:r>
              <w:rPr>
                <w:rFonts w:hint="eastAsia"/>
                <w:color w:val="auto"/>
                <w:highlight w:val="none"/>
              </w:rPr>
              <w:t>开标现场展示的电子投标保函交纳情况为准，投标人在投标时无须再提供电子投标保函的相关资料。</w:t>
            </w:r>
          </w:p>
          <w:p>
            <w:pPr>
              <w:snapToGrid w:val="0"/>
              <w:spacing w:line="400" w:lineRule="exact"/>
              <w:ind w:firstLine="420" w:firstLineChars="200"/>
              <w:rPr>
                <w:color w:val="auto"/>
                <w:highlight w:val="none"/>
              </w:rPr>
            </w:pPr>
            <w:r>
              <w:rPr>
                <w:color w:val="auto"/>
                <w:highlight w:val="none"/>
              </w:rPr>
              <w:t>二、</w:t>
            </w:r>
            <w:r>
              <w:rPr>
                <w:rFonts w:hint="eastAsia"/>
                <w:color w:val="auto"/>
                <w:highlight w:val="none"/>
              </w:rPr>
              <w:t>电子</w:t>
            </w:r>
            <w:r>
              <w:rPr>
                <w:color w:val="auto"/>
                <w:highlight w:val="none"/>
              </w:rPr>
              <w:t>投标保函的</w:t>
            </w:r>
            <w:r>
              <w:rPr>
                <w:rFonts w:hint="eastAsia"/>
                <w:color w:val="auto"/>
                <w:highlight w:val="none"/>
              </w:rPr>
              <w:t>注销</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，向除中标人以外的投标人退还</w:t>
            </w:r>
            <w:r>
              <w:rPr>
                <w:rFonts w:hint="eastAsia" w:ascii="宋体" w:hAnsi="宋体" w:eastAsia="宋体" w:cs="宋体"/>
                <w:color w:val="auto"/>
                <w:highlight w:val="none"/>
              </w:rPr>
              <w:t>电子投标保函</w:t>
            </w:r>
            <w:r>
              <w:rPr>
                <w:rFonts w:hint="eastAsia" w:ascii="宋体" w:hAnsi="宋体" w:eastAsia="宋体" w:cs="宋体"/>
                <w:color w:val="auto"/>
                <w:highlight w:val="none"/>
                <w:lang w:eastAsia="zh-CN"/>
              </w:rPr>
              <w:t>，并书面通知</w:t>
            </w:r>
            <w:r>
              <w:rPr>
                <w:rFonts w:hint="eastAsia" w:ascii="宋体" w:hAnsi="宋体" w:eastAsia="宋体" w:cs="宋体"/>
                <w:color w:val="auto"/>
                <w:highlight w:val="none"/>
              </w:rPr>
              <w:t>保函出具机构</w:t>
            </w:r>
            <w:r>
              <w:rPr>
                <w:rFonts w:hint="eastAsia" w:ascii="宋体" w:hAnsi="宋体" w:eastAsia="宋体" w:cs="宋体"/>
                <w:color w:val="auto"/>
                <w:highlight w:val="none"/>
                <w:lang w:eastAsia="zh-CN"/>
              </w:rPr>
              <w:t>本项目准予</w:t>
            </w:r>
            <w:r>
              <w:rPr>
                <w:rFonts w:hint="eastAsia" w:ascii="宋体" w:hAnsi="宋体" w:eastAsia="宋体" w:cs="宋体"/>
                <w:color w:val="auto"/>
                <w:highlight w:val="none"/>
              </w:rPr>
              <w:t>注销电子投标保函。具体注销事宜由投标人与</w:t>
            </w:r>
            <w:r>
              <w:rPr>
                <w:rFonts w:hint="eastAsia" w:ascii="宋体" w:hAnsi="宋体" w:eastAsia="宋体" w:cs="宋体"/>
                <w:color w:val="auto"/>
                <w:highlight w:val="none"/>
                <w:lang w:eastAsia="zh-CN"/>
              </w:rPr>
              <w:t>保函出具机构</w:t>
            </w:r>
            <w:r>
              <w:rPr>
                <w:rFonts w:hint="eastAsia" w:ascii="宋体" w:hAnsi="宋体" w:eastAsia="宋体" w:cs="宋体"/>
                <w:color w:val="auto"/>
                <w:highlight w:val="none"/>
              </w:rPr>
              <w:t>协商。</w:t>
            </w:r>
          </w:p>
          <w:p>
            <w:pPr>
              <w:snapToGrid w:val="0"/>
              <w:spacing w:line="400" w:lineRule="exact"/>
              <w:ind w:firstLine="420" w:firstLineChars="200"/>
              <w:rPr>
                <w:color w:val="auto"/>
                <w:highlight w:val="none"/>
              </w:rPr>
            </w:pPr>
            <w:r>
              <w:rPr>
                <w:rFonts w:hint="eastAsia" w:ascii="宋体" w:hAnsi="宋体" w:eastAsia="宋体" w:cs="宋体"/>
                <w:color w:val="auto"/>
                <w:highlight w:val="none"/>
              </w:rPr>
              <w:t>招标人应当在法定时间内和中标人签订合同。招标人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招标人与中标人签订</w:t>
            </w:r>
            <w:r>
              <w:rPr>
                <w:rFonts w:hint="eastAsia" w:ascii="宋体" w:hAnsi="宋体" w:eastAsia="宋体" w:cs="宋体"/>
                <w:color w:val="auto"/>
                <w:highlight w:val="none"/>
              </w:rPr>
              <w:t>合同后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，向中标人退还</w:t>
            </w:r>
            <w:r>
              <w:rPr>
                <w:rFonts w:hint="eastAsia" w:ascii="宋体" w:hAnsi="宋体" w:eastAsia="宋体" w:cs="宋体"/>
                <w:color w:val="auto"/>
                <w:highlight w:val="none"/>
              </w:rPr>
              <w:t>电子投标保函</w:t>
            </w:r>
            <w:r>
              <w:rPr>
                <w:rFonts w:hint="eastAsia" w:ascii="宋体" w:hAnsi="宋体" w:eastAsia="宋体" w:cs="宋体"/>
                <w:color w:val="auto"/>
                <w:highlight w:val="none"/>
                <w:lang w:eastAsia="zh-CN"/>
              </w:rPr>
              <w:t>，并书面通知</w:t>
            </w:r>
            <w:r>
              <w:rPr>
                <w:rFonts w:hint="eastAsia" w:ascii="宋体" w:hAnsi="宋体" w:eastAsia="宋体" w:cs="宋体"/>
                <w:color w:val="auto"/>
                <w:highlight w:val="none"/>
              </w:rPr>
              <w:t>保函出具机构</w:t>
            </w:r>
            <w:r>
              <w:rPr>
                <w:rFonts w:hint="eastAsia" w:ascii="宋体" w:hAnsi="宋体" w:eastAsia="宋体" w:cs="宋体"/>
                <w:color w:val="auto"/>
                <w:highlight w:val="none"/>
                <w:lang w:eastAsia="zh-CN"/>
              </w:rPr>
              <w:t>本项目准予</w:t>
            </w:r>
            <w:r>
              <w:rPr>
                <w:rFonts w:hint="eastAsia" w:ascii="宋体" w:hAnsi="宋体" w:eastAsia="宋体" w:cs="宋体"/>
                <w:color w:val="auto"/>
                <w:highlight w:val="none"/>
              </w:rPr>
              <w:t>注销电子投标保函。具体注销事宜由投标人与</w:t>
            </w:r>
            <w:r>
              <w:rPr>
                <w:rFonts w:hint="eastAsia" w:ascii="宋体" w:hAnsi="宋体" w:eastAsia="宋体" w:cs="宋体"/>
                <w:color w:val="auto"/>
                <w:highlight w:val="none"/>
                <w:lang w:eastAsia="zh-CN"/>
              </w:rPr>
              <w:t>保函出具机构</w:t>
            </w:r>
            <w:r>
              <w:rPr>
                <w:rFonts w:hint="eastAsia" w:ascii="宋体" w:hAnsi="宋体" w:eastAsia="宋体" w:cs="宋体"/>
                <w:color w:val="auto"/>
                <w:highlight w:val="none"/>
              </w:rPr>
              <w:t>协商</w:t>
            </w:r>
            <w:r>
              <w:rPr>
                <w:rFonts w:hint="eastAsia"/>
                <w:color w:val="auto"/>
                <w:highlight w:val="none"/>
              </w:rPr>
              <w:t>。</w:t>
            </w:r>
          </w:p>
          <w:p>
            <w:pPr>
              <w:snapToGrid w:val="0"/>
              <w:spacing w:line="400" w:lineRule="exact"/>
              <w:ind w:firstLine="420" w:firstLineChars="200"/>
              <w:rPr>
                <w:color w:val="auto"/>
                <w:highlight w:val="none"/>
              </w:rPr>
            </w:pPr>
            <w:r>
              <w:rPr>
                <w:rFonts w:hint="eastAsia"/>
                <w:color w:val="auto"/>
                <w:highlight w:val="none"/>
              </w:rPr>
              <w:t>方式二</w:t>
            </w:r>
          </w:p>
          <w:p>
            <w:pPr>
              <w:snapToGrid w:val="0"/>
              <w:spacing w:line="400" w:lineRule="exact"/>
              <w:ind w:firstLine="420" w:firstLineChars="200"/>
              <w:rPr>
                <w:color w:val="auto"/>
                <w:highlight w:val="none"/>
              </w:rPr>
            </w:pPr>
            <w:r>
              <w:rPr>
                <w:rFonts w:hint="eastAsia"/>
                <w:color w:val="auto"/>
                <w:highlight w:val="none"/>
              </w:rPr>
              <w:t>一、以转账支票或电汇形式交纳投标保证金</w:t>
            </w:r>
          </w:p>
          <w:p>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投标保证金交款形式及要求：投标人从企业的基本账户（开户行）在投标截止时间前通过转账支票直接划付或以电汇方式直接划付至指定的投标保证金账户。若投标截止时间延期，则投标保证金提交的截止时间和投标截止时间应当保持一致。</w:t>
            </w:r>
            <w:r>
              <w:rPr>
                <w:rFonts w:hint="eastAsia" w:ascii="宋体" w:hAnsi="宋体"/>
                <w:color w:val="auto"/>
                <w:kern w:val="0"/>
                <w:szCs w:val="21"/>
                <w:highlight w:val="none"/>
              </w:rPr>
              <w:t>不满足上述要求的投标保证金</w:t>
            </w:r>
            <w:r>
              <w:rPr>
                <w:rFonts w:hint="eastAsia" w:ascii="宋体" w:hAnsi="宋体"/>
                <w:color w:val="auto"/>
                <w:kern w:val="0"/>
                <w:szCs w:val="21"/>
                <w:highlight w:val="none"/>
                <w:lang w:eastAsia="zh-CN"/>
              </w:rPr>
              <w:t>视为</w:t>
            </w:r>
            <w:r>
              <w:rPr>
                <w:rFonts w:ascii="宋体" w:hAnsi="宋体"/>
                <w:color w:val="auto"/>
                <w:kern w:val="0"/>
                <w:szCs w:val="21"/>
                <w:highlight w:val="none"/>
              </w:rPr>
              <w:t>无效。</w:t>
            </w:r>
          </w:p>
          <w:p>
            <w:pPr>
              <w:snapToGrid w:val="0"/>
              <w:spacing w:line="400" w:lineRule="exact"/>
              <w:ind w:firstLine="420" w:firstLineChars="200"/>
              <w:rPr>
                <w:rFonts w:hint="eastAsia"/>
                <w:color w:val="auto"/>
                <w:highlight w:val="none"/>
              </w:rPr>
            </w:pPr>
            <w:r>
              <w:rPr>
                <w:rFonts w:hint="eastAsia"/>
                <w:color w:val="auto"/>
                <w:highlight w:val="none"/>
              </w:rPr>
              <w:t>投标人自行考虑汇入时间风险，如同城汇入、异地汇入、跨行汇入的时间要求。</w:t>
            </w:r>
          </w:p>
          <w:p>
            <w:pPr>
              <w:numPr>
                <w:ilvl w:val="-1"/>
                <w:numId w:val="0"/>
              </w:numPr>
              <w:snapToGrid w:val="0"/>
              <w:spacing w:line="400" w:lineRule="exact"/>
              <w:ind w:firstLine="420" w:firstLineChars="200"/>
              <w:rPr>
                <w:color w:val="auto"/>
                <w:highlight w:val="none"/>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以转账支票或电汇形式提交投标保证金的金额：1</w:t>
            </w:r>
            <w:r>
              <w:rPr>
                <w:color w:val="auto"/>
                <w:highlight w:val="none"/>
              </w:rPr>
              <w:t>万元整（人民币）</w:t>
            </w:r>
            <w:r>
              <w:rPr>
                <w:rFonts w:hint="eastAsia"/>
                <w:color w:val="auto"/>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3. 投标保证金账户及账号（任选其一）：</w:t>
            </w:r>
          </w:p>
          <w:p>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详见</w:t>
            </w:r>
            <w:r>
              <w:rPr>
                <w:rFonts w:hint="eastAsia"/>
                <w:color w:val="auto"/>
                <w:highlight w:val="none"/>
                <w:u w:val="single"/>
              </w:rPr>
              <w:t>重庆市公共资源交易网</w:t>
            </w:r>
            <w:r>
              <w:rPr>
                <w:rFonts w:hint="eastAsia"/>
                <w:color w:val="auto"/>
                <w:highlight w:val="none"/>
              </w:rPr>
              <w:t>对应本项目招标公告信息栏中的保证金信息。</w:t>
            </w:r>
          </w:p>
          <w:p>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投标保证金以</w:t>
            </w:r>
            <w:r>
              <w:rPr>
                <w:rFonts w:hint="eastAsia"/>
                <w:color w:val="auto"/>
                <w:highlight w:val="none"/>
                <w:u w:val="single"/>
              </w:rPr>
              <w:t>重庆市公共资源交易中心</w:t>
            </w:r>
            <w:r>
              <w:rPr>
                <w:rFonts w:hint="eastAsia"/>
                <w:color w:val="auto"/>
                <w:highlight w:val="none"/>
              </w:rPr>
              <w:t>开标现场展示的保证金交纳情况为准。投标人须在投标文件资格审查部分</w:t>
            </w:r>
            <w:r>
              <w:rPr>
                <w:rFonts w:hint="eastAsia" w:ascii="宋体" w:hAnsi="宋体"/>
                <w:color w:val="auto"/>
                <w:kern w:val="0"/>
                <w:szCs w:val="21"/>
                <w:highlight w:val="none"/>
              </w:rPr>
              <w:t>“其他资料”中</w:t>
            </w:r>
            <w:r>
              <w:rPr>
                <w:rFonts w:hint="eastAsia"/>
                <w:color w:val="auto"/>
                <w:highlight w:val="none"/>
              </w:rPr>
              <w:t>提供企业基本账户开户证明文件。</w:t>
            </w:r>
          </w:p>
          <w:p>
            <w:pPr>
              <w:snapToGrid w:val="0"/>
              <w:spacing w:line="400" w:lineRule="exact"/>
              <w:ind w:firstLine="420" w:firstLineChars="200"/>
              <w:rPr>
                <w:color w:val="auto"/>
                <w:highlight w:val="none"/>
                <w:u w:val="single"/>
              </w:rPr>
            </w:pPr>
            <w:r>
              <w:rPr>
                <w:rFonts w:hint="eastAsia"/>
                <w:color w:val="auto"/>
                <w:highlight w:val="none"/>
              </w:rPr>
              <w:t>4</w:t>
            </w:r>
            <w:r>
              <w:rPr>
                <w:rFonts w:hint="eastAsia"/>
                <w:color w:val="auto"/>
                <w:highlight w:val="none"/>
                <w:lang w:val="en-US" w:eastAsia="zh-CN"/>
              </w:rPr>
              <w:t xml:space="preserve">. </w:t>
            </w:r>
            <w:r>
              <w:rPr>
                <w:rFonts w:hint="eastAsia"/>
                <w:color w:val="auto"/>
                <w:highlight w:val="none"/>
              </w:rPr>
              <w:t>投标人必须在付款凭证备注栏中注明是“</w:t>
            </w:r>
            <w:r>
              <w:rPr>
                <w:rFonts w:hint="eastAsia"/>
                <w:color w:val="auto"/>
                <w:highlight w:val="none"/>
                <w:u w:val="single"/>
                <w:lang w:val="en-US" w:eastAsia="zh-CN"/>
              </w:rPr>
              <w:t xml:space="preserve">    项目</w:t>
            </w:r>
            <w:r>
              <w:rPr>
                <w:rFonts w:hint="eastAsia"/>
                <w:color w:val="auto"/>
                <w:highlight w:val="none"/>
              </w:rPr>
              <w:t>投标保证金”。</w:t>
            </w:r>
          </w:p>
          <w:p>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5. 投标保证金有效期与投标有效期一致。</w:t>
            </w:r>
          </w:p>
          <w:p>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u w:val="single"/>
              </w:rPr>
              <w:t>6</w:t>
            </w:r>
            <w:r>
              <w:rPr>
                <w:rFonts w:hint="eastAsia"/>
                <w:color w:val="auto"/>
                <w:highlight w:val="none"/>
                <w:u w:val="single"/>
                <w:lang w:val="en-US" w:eastAsia="zh-CN"/>
              </w:rPr>
              <w:t xml:space="preserve">. </w:t>
            </w:r>
            <w:r>
              <w:rPr>
                <w:rFonts w:hint="eastAsia"/>
                <w:color w:val="auto"/>
                <w:highlight w:val="none"/>
                <w:u w:val="single"/>
              </w:rPr>
              <w:t>根据重庆市公共资源交易中心《关于开展公共资源交易市场主体信息登记工作的公告》的要求，投标人在开标前需在重庆市公共资源交易网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pPr>
              <w:snapToGrid w:val="0"/>
              <w:spacing w:line="400" w:lineRule="exact"/>
              <w:ind w:firstLine="420" w:firstLineChars="200"/>
              <w:rPr>
                <w:color w:val="auto"/>
                <w:highlight w:val="none"/>
              </w:rPr>
            </w:pPr>
            <w:r>
              <w:rPr>
                <w:rFonts w:hint="eastAsia"/>
                <w:color w:val="auto"/>
                <w:highlight w:val="none"/>
              </w:rPr>
              <w:t>二、投标保证金的退还</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向除中标人以外的投标人，退还投标保证金及银行同期活期存款利息。</w:t>
            </w:r>
          </w:p>
          <w:p>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ascii="宋体" w:hAnsi="宋体" w:eastAsia="宋体" w:cs="宋体"/>
                <w:color w:val="auto"/>
                <w:highlight w:val="none"/>
              </w:rPr>
              <w:t>招标人应当在法定时间内和中标人签订合同。招标人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招标人与中标人签订</w:t>
            </w:r>
            <w:r>
              <w:rPr>
                <w:rFonts w:hint="eastAsia" w:ascii="宋体" w:hAnsi="宋体" w:eastAsia="宋体" w:cs="宋体"/>
                <w:color w:val="auto"/>
                <w:highlight w:val="none"/>
              </w:rPr>
              <w:t>合同后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日内，向中标人退还投标保证金及银行同期活期存款利息</w:t>
            </w:r>
            <w:r>
              <w:rPr>
                <w:rFonts w:hint="eastAsia"/>
                <w:color w:val="auto"/>
                <w:highlight w:val="none"/>
              </w:rPr>
              <w:t>。</w:t>
            </w:r>
          </w:p>
          <w:p>
            <w:pPr>
              <w:snapToGrid w:val="0"/>
              <w:spacing w:line="400" w:lineRule="exact"/>
              <w:ind w:firstLine="420" w:firstLineChars="200"/>
              <w:jc w:val="left"/>
              <w:rPr>
                <w:rFonts w:hint="eastAsia" w:ascii="宋体" w:hAnsi="宋体"/>
                <w:color w:val="auto"/>
                <w:kern w:val="0"/>
                <w:szCs w:val="21"/>
                <w:highlight w:val="none"/>
              </w:rPr>
            </w:pPr>
            <w:r>
              <w:rPr>
                <w:rFonts w:hint="eastAsia"/>
                <w:color w:val="auto"/>
                <w:highlight w:val="none"/>
              </w:rPr>
              <w:t>投标保证金专用账户由</w:t>
            </w:r>
            <w:r>
              <w:rPr>
                <w:rFonts w:hint="eastAsia"/>
                <w:color w:val="auto"/>
                <w:highlight w:val="none"/>
                <w:u w:val="single"/>
              </w:rPr>
              <w:t>重庆市公共资源交易中心</w:t>
            </w:r>
            <w:r>
              <w:rPr>
                <w:rFonts w:hint="eastAsia"/>
                <w:color w:val="auto"/>
                <w:highlight w:val="none"/>
                <w:lang w:val="en-US" w:eastAsia="zh-CN"/>
              </w:rPr>
              <w:t>指定</w:t>
            </w:r>
            <w:r>
              <w:rPr>
                <w:rFonts w:hint="eastAsia"/>
                <w:color w:val="auto"/>
                <w:highlight w:val="none"/>
              </w:rPr>
              <w:t>，关于保证金相关情况的问题请咨询</w:t>
            </w:r>
            <w:r>
              <w:rPr>
                <w:rFonts w:hint="eastAsia"/>
                <w:color w:val="auto"/>
                <w:highlight w:val="none"/>
                <w:u w:val="single"/>
              </w:rPr>
              <w:t>重庆市公共资源交易中心</w:t>
            </w:r>
            <w:r>
              <w:rPr>
                <w:rFonts w:hint="eastAsia"/>
                <w:color w:val="auto"/>
                <w:highlight w:val="none"/>
              </w:rPr>
              <w:t>，联系电话023-</w:t>
            </w:r>
            <w:r>
              <w:rPr>
                <w:rFonts w:hint="eastAsia"/>
                <w:color w:val="auto"/>
                <w:highlight w:val="none"/>
                <w:u w:val="single"/>
              </w:rPr>
              <w:t>63626436</w:t>
            </w:r>
            <w:r>
              <w:rPr>
                <w:rFonts w:hint="eastAsia"/>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是否允许递交</w:t>
            </w:r>
          </w:p>
          <w:p>
            <w:pPr>
              <w:snapToGrid w:val="0"/>
              <w:spacing w:after="93" w:afterLines="30" w:line="400" w:lineRule="exact"/>
              <w:jc w:val="center"/>
              <w:rPr>
                <w:rFonts w:hint="eastAsia"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pPr>
              <w:snapToGrid w:val="0"/>
              <w:spacing w:after="93" w:afterLines="30"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投标文件格式要求</w:t>
            </w:r>
          </w:p>
        </w:tc>
        <w:tc>
          <w:tcPr>
            <w:tcW w:w="6490" w:type="dxa"/>
            <w:vAlign w:val="center"/>
          </w:tcPr>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若投标单位为联合体，则除了</w:t>
            </w:r>
            <w:r>
              <w:rPr>
                <w:rFonts w:hint="eastAsia" w:ascii="宋体" w:hAnsi="宋体"/>
                <w:color w:val="auto"/>
                <w:highlight w:val="none"/>
                <w:lang w:val="en-US" w:eastAsia="zh-CN"/>
              </w:rPr>
              <w:t>共同投标协议</w:t>
            </w:r>
            <w:r>
              <w:rPr>
                <w:rFonts w:hint="eastAsia" w:ascii="宋体" w:hAnsi="宋体"/>
                <w:color w:val="auto"/>
                <w:szCs w:val="21"/>
                <w:highlight w:val="none"/>
              </w:rPr>
              <w:t>需要联合体各成员单位签名、盖章外，其他文件均由联合体牵头人的法定代表人或其委托代理人按规定签名或盖章、盖联合体牵头人单位法人章。</w:t>
            </w:r>
          </w:p>
          <w:p>
            <w:pPr>
              <w:snapToGrid w:val="0"/>
              <w:spacing w:line="400" w:lineRule="exact"/>
              <w:ind w:firstLine="420" w:firstLineChars="200"/>
              <w:rPr>
                <w:rFonts w:hint="eastAsia"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pPr>
              <w:snapToGrid w:val="0"/>
              <w:spacing w:line="400" w:lineRule="exact"/>
              <w:rPr>
                <w:rFonts w:hint="eastAsia" w:ascii="宋体" w:hAnsi="宋体"/>
                <w:color w:val="auto"/>
                <w:spacing w:val="-6"/>
                <w:kern w:val="0"/>
                <w:szCs w:val="21"/>
                <w:highlight w:val="none"/>
              </w:rPr>
            </w:pPr>
            <w:r>
              <w:rPr>
                <w:rFonts w:ascii="宋体" w:hAnsi="宋体"/>
                <w:color w:val="auto"/>
                <w:spacing w:val="-6"/>
                <w:kern w:val="0"/>
                <w:szCs w:val="21"/>
                <w:highlight w:val="none"/>
              </w:rPr>
              <w:t>投标文件的份数</w:t>
            </w:r>
          </w:p>
        </w:tc>
        <w:tc>
          <w:tcPr>
            <w:tcW w:w="6490" w:type="dxa"/>
            <w:vAlign w:val="center"/>
          </w:tcPr>
          <w:p>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投标文件正本</w:t>
            </w:r>
            <w:r>
              <w:rPr>
                <w:rFonts w:hint="eastAsia" w:ascii="宋体" w:hAnsi="宋体"/>
                <w:color w:val="auto"/>
                <w:kern w:val="0"/>
                <w:szCs w:val="21"/>
                <w:highlight w:val="none"/>
              </w:rPr>
              <w:t>1份、副本2份，电子版形式（光盘</w:t>
            </w:r>
            <w:r>
              <w:rPr>
                <w:rFonts w:hint="eastAsia" w:ascii="宋体" w:hAnsi="宋体"/>
                <w:color w:val="auto"/>
                <w:kern w:val="0"/>
                <w:szCs w:val="21"/>
                <w:highlight w:val="none"/>
                <w:lang w:val="en-US" w:eastAsia="zh-CN"/>
              </w:rPr>
              <w:t>或U盘</w:t>
            </w:r>
            <w:r>
              <w:rPr>
                <w:rFonts w:hint="eastAsia" w:ascii="宋体" w:hAnsi="宋体"/>
                <w:color w:val="auto"/>
                <w:kern w:val="0"/>
                <w:szCs w:val="21"/>
                <w:highlight w:val="none"/>
              </w:rPr>
              <w:t>）1份，</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w:t>
            </w:r>
            <w:r>
              <w:rPr>
                <w:rFonts w:hint="eastAsia" w:ascii="宋体" w:hAnsi="宋体"/>
                <w:color w:val="auto"/>
                <w:kern w:val="0"/>
                <w:szCs w:val="21"/>
                <w:highlight w:val="none"/>
              </w:rPr>
              <w:t>。当副本和正本不一致时，以正本为准。否则由评标委员会作否决投标处理。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pPr>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1、本工程技术部分采用暗标评审，应将投标函部分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含资格审查和商务部分</w:t>
            </w:r>
            <w:r>
              <w:rPr>
                <w:rFonts w:hint="eastAsia" w:ascii="宋体" w:hAnsi="宋体"/>
                <w:color w:val="auto"/>
                <w:szCs w:val="21"/>
                <w:highlight w:val="none"/>
                <w:lang w:eastAsia="zh-CN"/>
              </w:rPr>
              <w:t>）</w:t>
            </w:r>
            <w:r>
              <w:rPr>
                <w:rFonts w:ascii="宋体" w:hAnsi="宋体"/>
                <w:color w:val="auto"/>
                <w:szCs w:val="21"/>
                <w:highlight w:val="none"/>
              </w:rPr>
              <w:t>、技术部分各自分别装订成册。</w:t>
            </w:r>
          </w:p>
          <w:p>
            <w:pPr>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2、装订</w:t>
            </w:r>
          </w:p>
          <w:p>
            <w:pPr>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）投标函部分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含资格审查和商务部分</w:t>
            </w:r>
            <w:r>
              <w:rPr>
                <w:rFonts w:hint="eastAsia" w:ascii="宋体" w:hAnsi="宋体"/>
                <w:color w:val="auto"/>
                <w:szCs w:val="21"/>
                <w:highlight w:val="none"/>
                <w:lang w:eastAsia="zh-CN"/>
              </w:rPr>
              <w:t>）</w:t>
            </w:r>
            <w:r>
              <w:rPr>
                <w:rFonts w:ascii="宋体" w:hAnsi="宋体"/>
                <w:color w:val="auto"/>
                <w:szCs w:val="21"/>
                <w:highlight w:val="none"/>
              </w:rPr>
              <w:t>的装订要求</w:t>
            </w:r>
          </w:p>
          <w:p>
            <w:pPr>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color w:val="auto"/>
                <w:szCs w:val="21"/>
                <w:highlight w:val="none"/>
              </w:rPr>
              <w:t>可双面打印，</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pPr>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）技术部分的装订要求</w:t>
            </w:r>
          </w:p>
          <w:p>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技术方案</w:t>
            </w:r>
            <w:r>
              <w:rPr>
                <w:rFonts w:ascii="宋体" w:hAnsi="宋体"/>
                <w:color w:val="auto"/>
                <w:kern w:val="0"/>
                <w:szCs w:val="21"/>
                <w:highlight w:val="none"/>
              </w:rPr>
              <w:t>》面页使用A4厚型白纸面页，</w:t>
            </w:r>
            <w:r>
              <w:rPr>
                <w:rFonts w:hint="eastAsia" w:ascii="宋体" w:hAnsi="宋体"/>
                <w:color w:val="auto"/>
                <w:szCs w:val="21"/>
                <w:highlight w:val="none"/>
              </w:rPr>
              <w:t>可双面打印，</w:t>
            </w:r>
            <w:r>
              <w:rPr>
                <w:rFonts w:ascii="宋体" w:hAnsi="宋体"/>
                <w:color w:val="auto"/>
                <w:kern w:val="0"/>
                <w:szCs w:val="21"/>
                <w:highlight w:val="none"/>
              </w:rPr>
              <w:t>用初号仿宋字体居中标明 “</w:t>
            </w:r>
            <w:r>
              <w:rPr>
                <w:rFonts w:hint="eastAsia" w:ascii="宋体" w:hAnsi="宋体"/>
                <w:color w:val="auto"/>
                <w:kern w:val="0"/>
                <w:szCs w:val="21"/>
                <w:highlight w:val="none"/>
              </w:rPr>
              <w:t>技术方案</w:t>
            </w:r>
            <w:r>
              <w:rPr>
                <w:rFonts w:ascii="宋体" w:hAnsi="宋体"/>
                <w:color w:val="auto"/>
                <w:kern w:val="0"/>
                <w:szCs w:val="21"/>
                <w:highlight w:val="none"/>
              </w:rPr>
              <w:t>”；在页面右下角加盖投标单位章后沿密封线折叠成腰约10cm左右的等腰直角三角形密封；面页除了“</w:t>
            </w:r>
            <w:r>
              <w:rPr>
                <w:rFonts w:hint="eastAsia" w:ascii="宋体" w:hAnsi="宋体"/>
                <w:color w:val="auto"/>
                <w:kern w:val="0"/>
                <w:szCs w:val="21"/>
                <w:highlight w:val="none"/>
              </w:rPr>
              <w:t>技术方案</w:t>
            </w:r>
            <w:r>
              <w:rPr>
                <w:rFonts w:ascii="宋体" w:hAnsi="宋体"/>
                <w:color w:val="auto"/>
                <w:kern w:val="0"/>
                <w:szCs w:val="21"/>
                <w:highlight w:val="none"/>
              </w:rPr>
              <w:t>”</w:t>
            </w:r>
            <w:r>
              <w:rPr>
                <w:rFonts w:hint="eastAsia" w:ascii="宋体" w:hAnsi="宋体"/>
                <w:color w:val="auto"/>
                <w:kern w:val="0"/>
                <w:szCs w:val="21"/>
                <w:highlight w:val="none"/>
              </w:rPr>
              <w:t>四</w:t>
            </w:r>
            <w:r>
              <w:rPr>
                <w:rFonts w:ascii="宋体" w:hAnsi="宋体"/>
                <w:color w:val="auto"/>
                <w:kern w:val="0"/>
                <w:szCs w:val="21"/>
                <w:highlight w:val="none"/>
              </w:rPr>
              <w:t>字和右下角密封处印章外不得有其他印记；密封后的面页及整个《</w:t>
            </w:r>
            <w:r>
              <w:rPr>
                <w:rFonts w:hint="eastAsia" w:ascii="宋体" w:hAnsi="宋体"/>
                <w:color w:val="auto"/>
                <w:kern w:val="0"/>
                <w:szCs w:val="21"/>
                <w:highlight w:val="none"/>
              </w:rPr>
              <w:t>技术方案</w:t>
            </w:r>
            <w:r>
              <w:rPr>
                <w:rFonts w:ascii="宋体" w:hAnsi="宋体"/>
                <w:color w:val="auto"/>
                <w:kern w:val="0"/>
                <w:szCs w:val="21"/>
                <w:highlight w:val="none"/>
              </w:rPr>
              <w:t>》均不得</w:t>
            </w:r>
            <w:r>
              <w:rPr>
                <w:rFonts w:ascii="宋体" w:hAnsi="宋体"/>
                <w:color w:val="auto"/>
                <w:szCs w:val="21"/>
                <w:highlight w:val="none"/>
              </w:rPr>
              <w:t>出现白页、残页和倒页，不得</w:t>
            </w:r>
            <w:r>
              <w:rPr>
                <w:rFonts w:ascii="宋体" w:hAnsi="宋体"/>
                <w:color w:val="auto"/>
                <w:kern w:val="0"/>
                <w:szCs w:val="21"/>
                <w:highlight w:val="none"/>
              </w:rPr>
              <w:t>显示与投标人企业有关的任何信息</w:t>
            </w:r>
            <w:r>
              <w:rPr>
                <w:rFonts w:hint="eastAsia" w:ascii="宋体" w:hAnsi="宋体"/>
                <w:color w:val="auto"/>
                <w:kern w:val="0"/>
                <w:szCs w:val="21"/>
                <w:highlight w:val="none"/>
              </w:rPr>
              <w:t>及与本工程无关内容</w:t>
            </w:r>
            <w:r>
              <w:rPr>
                <w:rFonts w:ascii="宋体" w:hAnsi="宋体"/>
                <w:color w:val="auto"/>
                <w:kern w:val="0"/>
                <w:szCs w:val="21"/>
                <w:highlight w:val="none"/>
              </w:rPr>
              <w:t>（面页由投标人按招标文件中提供的电子文档格式用A4厚型白纸打印，加盖</w:t>
            </w:r>
            <w:r>
              <w:rPr>
                <w:rFonts w:hint="eastAsia" w:ascii="宋体" w:hAnsi="宋体"/>
                <w:color w:val="auto"/>
                <w:kern w:val="0"/>
                <w:szCs w:val="21"/>
                <w:highlight w:val="none"/>
              </w:rPr>
              <w:t>单位法人章</w:t>
            </w:r>
            <w:r>
              <w:rPr>
                <w:rFonts w:ascii="宋体" w:hAnsi="宋体"/>
                <w:color w:val="auto"/>
                <w:kern w:val="0"/>
                <w:szCs w:val="21"/>
                <w:highlight w:val="none"/>
              </w:rPr>
              <w:t>后其面页的反面以不得显示出</w:t>
            </w:r>
            <w:r>
              <w:rPr>
                <w:rFonts w:hint="eastAsia" w:ascii="宋体" w:hAnsi="宋体"/>
                <w:color w:val="auto"/>
                <w:kern w:val="0"/>
                <w:szCs w:val="21"/>
                <w:highlight w:val="none"/>
              </w:rPr>
              <w:t>单位</w:t>
            </w:r>
            <w:r>
              <w:rPr>
                <w:rFonts w:ascii="宋体" w:hAnsi="宋体"/>
                <w:color w:val="auto"/>
                <w:kern w:val="0"/>
                <w:szCs w:val="21"/>
                <w:highlight w:val="none"/>
              </w:rPr>
              <w:t>法人章单位名称为准）；</w:t>
            </w:r>
            <w:r>
              <w:rPr>
                <w:rFonts w:hint="eastAsia" w:ascii="宋体" w:hAnsi="宋体"/>
                <w:color w:val="auto"/>
                <w:kern w:val="0"/>
                <w:szCs w:val="21"/>
                <w:highlight w:val="none"/>
              </w:rPr>
              <w:t>《技术方案》文本部分的纸张采用A4白纸，文本部分的文字采用四号仿宋字体；图表部分的纸张采用A4或A3白纸，图表内的字体、字号大小不限；文字、图表不得使用彩色和不得编制页码。</w:t>
            </w:r>
            <w:r>
              <w:rPr>
                <w:rFonts w:ascii="宋体" w:hAnsi="宋体"/>
                <w:color w:val="auto"/>
                <w:kern w:val="0"/>
                <w:szCs w:val="21"/>
                <w:highlight w:val="none"/>
              </w:rPr>
              <w:t>违反上述任何一项，</w:t>
            </w:r>
            <w:r>
              <w:rPr>
                <w:rFonts w:hint="eastAsia" w:ascii="宋体" w:hAnsi="宋体"/>
                <w:color w:val="auto"/>
                <w:kern w:val="0"/>
                <w:szCs w:val="21"/>
                <w:highlight w:val="none"/>
              </w:rPr>
              <w:t>采用经评审的最低投标价法的</w:t>
            </w:r>
            <w:r>
              <w:rPr>
                <w:rFonts w:ascii="宋体" w:hAnsi="宋体"/>
                <w:color w:val="auto"/>
                <w:kern w:val="0"/>
                <w:szCs w:val="21"/>
                <w:highlight w:val="none"/>
              </w:rPr>
              <w:t>其投标文件《</w:t>
            </w:r>
            <w:r>
              <w:rPr>
                <w:rFonts w:hint="eastAsia" w:ascii="宋体" w:hAnsi="宋体"/>
                <w:color w:val="auto"/>
                <w:kern w:val="0"/>
                <w:szCs w:val="21"/>
                <w:highlight w:val="none"/>
              </w:rPr>
              <w:t>技术方案</w:t>
            </w:r>
            <w:r>
              <w:rPr>
                <w:rFonts w:ascii="宋体" w:hAnsi="宋体"/>
                <w:color w:val="auto"/>
                <w:kern w:val="0"/>
                <w:szCs w:val="21"/>
                <w:highlight w:val="none"/>
              </w:rPr>
              <w:t>》</w:t>
            </w:r>
            <w:r>
              <w:rPr>
                <w:rFonts w:hint="eastAsia" w:ascii="宋体" w:hAnsi="宋体"/>
                <w:color w:val="auto"/>
                <w:kern w:val="0"/>
                <w:szCs w:val="21"/>
                <w:highlight w:val="none"/>
              </w:rPr>
              <w:t>符合性</w:t>
            </w:r>
            <w:r>
              <w:rPr>
                <w:rFonts w:ascii="宋体" w:hAnsi="宋体"/>
                <w:color w:val="auto"/>
                <w:kern w:val="0"/>
                <w:szCs w:val="21"/>
                <w:highlight w:val="none"/>
              </w:rPr>
              <w:t>评审不合格</w:t>
            </w:r>
            <w:r>
              <w:rPr>
                <w:rFonts w:hint="eastAsia" w:ascii="宋体" w:hAnsi="宋体"/>
                <w:color w:val="auto"/>
                <w:kern w:val="0"/>
                <w:szCs w:val="21"/>
                <w:highlight w:val="none"/>
              </w:rPr>
              <w:t>；采用综合评估法的其投标文件《技术方案》部分为零分</w:t>
            </w:r>
            <w:r>
              <w:rPr>
                <w:rFonts w:ascii="宋体" w:hAnsi="宋体"/>
                <w:color w:val="auto"/>
                <w:kern w:val="0"/>
                <w:szCs w:val="21"/>
                <w:highlight w:val="none"/>
              </w:rPr>
              <w:t>。</w:t>
            </w:r>
          </w:p>
          <w:p>
            <w:pPr>
              <w:pStyle w:val="2"/>
              <w:ind w:firstLine="420" w:firstLineChars="200"/>
              <w:rPr>
                <w:rFonts w:hint="eastAsia" w:eastAsia="宋体"/>
                <w:color w:val="auto"/>
                <w:highlight w:val="none"/>
                <w:lang w:eastAsia="zh-CN"/>
              </w:rPr>
            </w:pPr>
            <w:r>
              <w:rPr>
                <w:rFonts w:hint="eastAsia" w:ascii="宋体" w:hAnsi="宋体"/>
                <w:color w:val="auto"/>
                <w:kern w:val="0"/>
                <w:szCs w:val="21"/>
                <w:highlight w:val="none"/>
              </w:rPr>
              <w:t>（技术方案原则上不超过</w:t>
            </w:r>
            <w:r>
              <w:rPr>
                <w:rFonts w:hint="eastAsia" w:ascii="宋体" w:hAnsi="宋体"/>
                <w:color w:val="auto"/>
                <w:kern w:val="0"/>
                <w:szCs w:val="21"/>
                <w:highlight w:val="none"/>
                <w:u w:val="single"/>
              </w:rPr>
              <w:t>200</w:t>
            </w:r>
            <w:r>
              <w:rPr>
                <w:rFonts w:hint="eastAsia" w:ascii="宋体" w:hAnsi="宋体"/>
                <w:color w:val="auto"/>
                <w:kern w:val="0"/>
                <w:szCs w:val="21"/>
                <w:highlight w:val="none"/>
              </w:rPr>
              <w:t>页</w:t>
            </w:r>
            <w:r>
              <w:rPr>
                <w:rFonts w:hint="eastAsia" w:asciiTheme="minorEastAsia" w:hAnsiTheme="minorEastAsia" w:eastAsiaTheme="minorEastAsia" w:cstheme="minorEastAsia"/>
                <w:color w:val="auto"/>
                <w:szCs w:val="21"/>
                <w:highlight w:val="none"/>
              </w:rPr>
              <w:t>，但不得将页数作为评审因素</w:t>
            </w:r>
            <w:r>
              <w:rPr>
                <w:rFonts w:hint="eastAsia"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pPr>
              <w:snapToGrid w:val="0"/>
              <w:spacing w:line="400" w:lineRule="exact"/>
              <w:jc w:val="center"/>
              <w:rPr>
                <w:rFonts w:hint="eastAsia" w:ascii="宋体" w:hAnsi="宋体"/>
                <w:color w:val="auto"/>
                <w:spacing w:val="-6"/>
                <w:kern w:val="0"/>
                <w:szCs w:val="21"/>
                <w:highlight w:val="none"/>
              </w:rPr>
            </w:pPr>
            <w:r>
              <w:rPr>
                <w:rFonts w:ascii="宋体" w:hAnsi="宋体"/>
                <w:color w:val="auto"/>
                <w:spacing w:val="-6"/>
                <w:kern w:val="0"/>
                <w:szCs w:val="21"/>
                <w:highlight w:val="none"/>
              </w:rPr>
              <w:t>投标文件的密封</w:t>
            </w:r>
          </w:p>
        </w:tc>
        <w:tc>
          <w:tcPr>
            <w:tcW w:w="6490" w:type="dxa"/>
            <w:vAlign w:val="center"/>
          </w:tcPr>
          <w:p>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投标文件袋使用“投标函部分”袋、“技术部分”袋</w:t>
            </w:r>
            <w:r>
              <w:rPr>
                <w:rFonts w:hint="eastAsia" w:ascii="宋体" w:hAnsi="宋体"/>
                <w:color w:val="auto"/>
                <w:szCs w:val="21"/>
                <w:highlight w:val="none"/>
              </w:rPr>
              <w:t>（如有）</w:t>
            </w:r>
            <w:r>
              <w:rPr>
                <w:rFonts w:ascii="宋体" w:hAnsi="宋体"/>
                <w:color w:val="auto"/>
                <w:szCs w:val="21"/>
                <w:highlight w:val="none"/>
              </w:rPr>
              <w:t>及“投标文件”大袋。</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 </w:t>
            </w:r>
            <w:r>
              <w:rPr>
                <w:rFonts w:ascii="宋体" w:hAnsi="宋体"/>
                <w:color w:val="auto"/>
                <w:szCs w:val="21"/>
                <w:highlight w:val="none"/>
              </w:rPr>
              <w:t>投标函部分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含资格审查和商务部分</w:t>
            </w:r>
            <w:r>
              <w:rPr>
                <w:rFonts w:hint="eastAsia" w:ascii="宋体" w:hAnsi="宋体"/>
                <w:color w:val="auto"/>
                <w:szCs w:val="21"/>
                <w:highlight w:val="none"/>
                <w:lang w:eastAsia="zh-CN"/>
              </w:rPr>
              <w:t>）</w:t>
            </w:r>
            <w:r>
              <w:rPr>
                <w:rFonts w:hint="eastAsia" w:ascii="宋体" w:hAnsi="宋体"/>
                <w:color w:val="auto"/>
                <w:szCs w:val="21"/>
                <w:highlight w:val="none"/>
              </w:rPr>
              <w:t>和电子版形式（光盘</w:t>
            </w:r>
            <w:r>
              <w:rPr>
                <w:rFonts w:hint="eastAsia" w:ascii="宋体" w:hAnsi="宋体"/>
                <w:color w:val="auto"/>
                <w:szCs w:val="21"/>
                <w:highlight w:val="none"/>
                <w:lang w:val="en-US" w:eastAsia="zh-CN"/>
              </w:rPr>
              <w:t>或U盘</w:t>
            </w:r>
            <w:r>
              <w:rPr>
                <w:rFonts w:hint="eastAsia" w:ascii="宋体" w:hAnsi="宋体"/>
                <w:color w:val="auto"/>
                <w:szCs w:val="21"/>
                <w:highlight w:val="none"/>
              </w:rPr>
              <w:t>）</w:t>
            </w:r>
            <w:r>
              <w:rPr>
                <w:rFonts w:ascii="宋体" w:hAnsi="宋体"/>
                <w:color w:val="auto"/>
                <w:szCs w:val="21"/>
                <w:highlight w:val="none"/>
              </w:rPr>
              <w:t>装入“投标函部分”袋中，密封并在袋上加盖投标人单位</w:t>
            </w:r>
            <w:r>
              <w:rPr>
                <w:rFonts w:hint="eastAsia" w:ascii="宋体" w:hAnsi="宋体"/>
                <w:color w:val="auto"/>
                <w:szCs w:val="21"/>
                <w:highlight w:val="none"/>
              </w:rPr>
              <w:t>法人</w:t>
            </w:r>
            <w:r>
              <w:rPr>
                <w:rFonts w:ascii="宋体" w:hAnsi="宋体"/>
                <w:color w:val="auto"/>
                <w:szCs w:val="21"/>
                <w:highlight w:val="none"/>
              </w:rPr>
              <w:t>章。</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本次招标技术部分采用暗标评审，技术部分装入“技术部分”袋中，密封不加盖任何印章。</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“投标函部分”“技术部分”等小袋装入“投标文件”大袋中，密封并在大袋上加盖投标人单位</w:t>
            </w:r>
            <w:r>
              <w:rPr>
                <w:rFonts w:hint="eastAsia" w:ascii="宋体" w:hAnsi="宋体"/>
                <w:color w:val="auto"/>
                <w:szCs w:val="21"/>
                <w:highlight w:val="none"/>
              </w:rPr>
              <w:t>法人</w:t>
            </w:r>
            <w:r>
              <w:rPr>
                <w:rFonts w:ascii="宋体" w:hAnsi="宋体"/>
                <w:color w:val="auto"/>
                <w:szCs w:val="21"/>
                <w:highlight w:val="none"/>
              </w:rPr>
              <w:t>章，同时“投标文件”大袋应按本表第4.1.2项的规定写明相应内容。</w:t>
            </w:r>
            <w:r>
              <w:rPr>
                <w:rFonts w:hint="eastAsia" w:ascii="宋体" w:hAnsi="宋体"/>
                <w:color w:val="auto"/>
                <w:szCs w:val="21"/>
                <w:highlight w:val="none"/>
              </w:rPr>
              <w:t>一个大袋装不下的，可使用多个大袋分册封装。大袋未按要求密封的，招标人或代理机构应该拒收。</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注：“投标函部分”袋、“技术部分”袋只为方便投标文件分装，不作为判定密封合格与否的条件。但为了方便开标，请各投标人主动配合，按要求分装。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应在“投标文件”大袋封套上写明如下内容：</w:t>
            </w:r>
          </w:p>
          <w:p>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招标人名称：</w:t>
            </w:r>
            <w:r>
              <w:rPr>
                <w:rFonts w:hint="eastAsia" w:ascii="宋体" w:hAnsi="宋体"/>
                <w:color w:val="auto"/>
                <w:kern w:val="0"/>
                <w:szCs w:val="21"/>
                <w:highlight w:val="none"/>
                <w:u w:val="single"/>
              </w:rPr>
              <w:t xml:space="preserve">            </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投标人名称：</w:t>
            </w:r>
            <w:r>
              <w:rPr>
                <w:rFonts w:hint="eastAsia" w:ascii="宋体" w:hAnsi="宋体"/>
                <w:color w:val="auto"/>
                <w:kern w:val="0"/>
                <w:szCs w:val="21"/>
                <w:highlight w:val="none"/>
                <w:u w:val="single"/>
              </w:rPr>
              <w:t xml:space="preserve">            </w:t>
            </w:r>
          </w:p>
          <w:p>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u w:val="single"/>
              </w:rPr>
              <w:t xml:space="preserve">                （项目名称）</w:t>
            </w:r>
            <w:r>
              <w:rPr>
                <w:rFonts w:ascii="宋体" w:hAnsi="宋体"/>
                <w:color w:val="auto"/>
                <w:kern w:val="0"/>
                <w:szCs w:val="21"/>
                <w:highlight w:val="none"/>
              </w:rPr>
              <w:t>投标文件</w:t>
            </w:r>
          </w:p>
          <w:p>
            <w:pPr>
              <w:snapToGrid w:val="0"/>
              <w:spacing w:line="400" w:lineRule="exact"/>
              <w:ind w:firstLine="420" w:firstLineChars="200"/>
              <w:rPr>
                <w:rFonts w:hint="eastAsia"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递交投标文件地点</w:t>
            </w:r>
          </w:p>
        </w:tc>
        <w:tc>
          <w:tcPr>
            <w:tcW w:w="6490" w:type="dxa"/>
            <w:vAlign w:val="center"/>
          </w:tcPr>
          <w:p>
            <w:pPr>
              <w:snapToGrid w:val="0"/>
              <w:spacing w:line="400" w:lineRule="exact"/>
              <w:ind w:firstLine="420" w:firstLineChars="200"/>
              <w:rPr>
                <w:rFonts w:hint="eastAsia" w:ascii="宋体" w:hAnsi="宋体"/>
                <w:bCs/>
                <w:i/>
                <w:color w:val="auto"/>
                <w:szCs w:val="21"/>
                <w:highlight w:val="none"/>
              </w:rPr>
            </w:pPr>
            <w:r>
              <w:rPr>
                <w:rFonts w:ascii="宋体" w:hAnsi="宋体"/>
                <w:bCs/>
                <w:color w:val="auto"/>
                <w:szCs w:val="21"/>
                <w:highlight w:val="none"/>
                <w:u w:val="single"/>
              </w:rPr>
              <w:t>重庆市</w:t>
            </w:r>
            <w:r>
              <w:rPr>
                <w:rFonts w:hint="eastAsia" w:ascii="宋体" w:hAnsi="宋体"/>
                <w:bCs/>
                <w:color w:val="auto"/>
                <w:szCs w:val="21"/>
                <w:highlight w:val="none"/>
                <w:u w:val="single"/>
              </w:rPr>
              <w:t>公共资源</w:t>
            </w:r>
            <w:r>
              <w:rPr>
                <w:rFonts w:ascii="宋体" w:hAnsi="宋体"/>
                <w:bCs/>
                <w:color w:val="auto"/>
                <w:szCs w:val="21"/>
                <w:highlight w:val="none"/>
                <w:u w:val="single"/>
              </w:rPr>
              <w:t>交易中心开标</w:t>
            </w:r>
            <w:r>
              <w:rPr>
                <w:rFonts w:hint="eastAsia" w:ascii="宋体" w:hAnsi="宋体"/>
                <w:bCs/>
                <w:color w:val="auto"/>
                <w:szCs w:val="21"/>
                <w:highlight w:val="none"/>
                <w:u w:val="single"/>
              </w:rPr>
              <w:t>区</w:t>
            </w:r>
            <w:r>
              <w:rPr>
                <w:rFonts w:ascii="宋体" w:hAnsi="宋体"/>
                <w:bCs/>
                <w:color w:val="auto"/>
                <w:szCs w:val="21"/>
                <w:highlight w:val="none"/>
              </w:rPr>
              <w:t>（具体请登陆</w:t>
            </w:r>
            <w:r>
              <w:rPr>
                <w:rFonts w:hint="eastAsia" w:ascii="宋体" w:hAnsi="宋体"/>
                <w:bCs/>
                <w:color w:val="auto"/>
                <w:szCs w:val="21"/>
                <w:highlight w:val="none"/>
                <w:u w:val="single"/>
              </w:rPr>
              <w:t>重庆市公共资源交易网（www.cqggzy.com）</w:t>
            </w:r>
            <w:r>
              <w:rPr>
                <w:rFonts w:ascii="宋体" w:hAnsi="宋体"/>
                <w:bCs/>
                <w:color w:val="auto"/>
                <w:szCs w:val="21"/>
                <w:highlight w:val="none"/>
              </w:rPr>
              <w:t>查询或递交文件当日见交易中心大厅电子显示屏）。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是否退还投标文件</w:t>
            </w:r>
          </w:p>
        </w:tc>
        <w:tc>
          <w:tcPr>
            <w:tcW w:w="6490" w:type="dxa"/>
            <w:vAlign w:val="center"/>
          </w:tcPr>
          <w:p>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开标时间和</w:t>
            </w:r>
          </w:p>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开标时间：同投标截止时间</w:t>
            </w:r>
          </w:p>
          <w:p>
            <w:pPr>
              <w:snapToGrid w:val="0"/>
              <w:spacing w:line="400" w:lineRule="exact"/>
              <w:ind w:firstLine="420" w:firstLineChars="200"/>
              <w:rPr>
                <w:rFonts w:hint="eastAsia" w:ascii="宋体" w:hAnsi="宋体"/>
                <w:bCs/>
                <w:i/>
                <w:color w:val="auto"/>
                <w:szCs w:val="21"/>
                <w:highlight w:val="none"/>
              </w:rPr>
            </w:pPr>
            <w:r>
              <w:rPr>
                <w:rFonts w:ascii="宋体" w:hAnsi="宋体"/>
                <w:color w:val="auto"/>
                <w:kern w:val="0"/>
                <w:szCs w:val="21"/>
                <w:highlight w:val="none"/>
              </w:rPr>
              <w:t>开标地点：</w:t>
            </w:r>
            <w:r>
              <w:rPr>
                <w:rFonts w:ascii="宋体" w:hAnsi="宋体"/>
                <w:bCs/>
                <w:color w:val="auto"/>
                <w:szCs w:val="21"/>
                <w:highlight w:val="none"/>
                <w:u w:val="single"/>
              </w:rPr>
              <w:t>重庆市</w:t>
            </w:r>
            <w:r>
              <w:rPr>
                <w:rFonts w:hint="eastAsia" w:ascii="宋体" w:hAnsi="宋体"/>
                <w:bCs/>
                <w:color w:val="auto"/>
                <w:szCs w:val="21"/>
                <w:highlight w:val="none"/>
                <w:u w:val="single"/>
              </w:rPr>
              <w:t>公共资源</w:t>
            </w:r>
            <w:r>
              <w:rPr>
                <w:rFonts w:ascii="宋体" w:hAnsi="宋体"/>
                <w:bCs/>
                <w:color w:val="auto"/>
                <w:szCs w:val="21"/>
                <w:highlight w:val="none"/>
                <w:u w:val="single"/>
              </w:rPr>
              <w:t>交易中心开标室</w:t>
            </w:r>
            <w:r>
              <w:rPr>
                <w:rFonts w:ascii="宋体" w:hAnsi="宋体"/>
                <w:bCs/>
                <w:color w:val="auto"/>
                <w:szCs w:val="21"/>
                <w:highlight w:val="none"/>
              </w:rPr>
              <w:t>（具体请登陆</w:t>
            </w:r>
            <w:r>
              <w:rPr>
                <w:rFonts w:hint="eastAsia" w:ascii="宋体" w:hAnsi="宋体"/>
                <w:bCs/>
                <w:color w:val="auto"/>
                <w:szCs w:val="21"/>
                <w:highlight w:val="none"/>
                <w:u w:val="single"/>
              </w:rPr>
              <w:t>重庆市公共资源交易网（www.cqggzy.com）</w:t>
            </w:r>
            <w:r>
              <w:rPr>
                <w:rFonts w:ascii="宋体" w:hAnsi="宋体"/>
                <w:bCs/>
                <w:color w:val="auto"/>
                <w:szCs w:val="21"/>
                <w:highlight w:val="none"/>
              </w:rPr>
              <w:t>查询或递交文件当日见交易中心大厅电子显示屏）。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5.2</w:t>
            </w:r>
          </w:p>
        </w:tc>
        <w:tc>
          <w:tcPr>
            <w:tcW w:w="1644" w:type="dxa"/>
            <w:vAlign w:val="center"/>
          </w:tcPr>
          <w:p>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开标程序</w:t>
            </w:r>
          </w:p>
        </w:tc>
        <w:tc>
          <w:tcPr>
            <w:tcW w:w="6490" w:type="dxa"/>
            <w:vAlign w:val="center"/>
          </w:tcPr>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主持人按下列程序进行开标：</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 宣布开标纪律</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 宣布开标人、唱标人、记录人、监标人等有关人员姓名</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 公布在投标截止时间前递交投标文件的投标人名称</w:t>
            </w:r>
            <w:r>
              <w:rPr>
                <w:rFonts w:hint="eastAsia" w:ascii="宋体" w:hAnsi="宋体"/>
                <w:color w:val="auto"/>
                <w:szCs w:val="21"/>
                <w:highlight w:val="none"/>
              </w:rPr>
              <w:t>。</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 xml:space="preserve">. </w:t>
            </w:r>
            <w:r>
              <w:rPr>
                <w:rFonts w:hint="eastAsia" w:ascii="宋体" w:hAnsi="宋体"/>
                <w:color w:val="auto"/>
                <w:szCs w:val="21"/>
                <w:highlight w:val="none"/>
              </w:rPr>
              <w:t>投标文件的密封检查：投标人可对自己的投标文件封装情况进行检查，以确认其投标文件密封完好。</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 汇总投标保证金交纳情况</w:t>
            </w:r>
          </w:p>
          <w:p>
            <w:pPr>
              <w:autoSpaceDE w:val="0"/>
              <w:autoSpaceDN w:val="0"/>
              <w:adjustRightInd w:val="0"/>
              <w:snapToGrid w:val="0"/>
              <w:spacing w:line="400" w:lineRule="exact"/>
              <w:ind w:firstLine="420" w:firstLineChars="200"/>
              <w:rPr>
                <w:color w:val="auto"/>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.1 展示以电子投标保函方式递交投标保证金的保证金交纳情况，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 展示以电子转账方式递交投标保证金的保证金交纳情况，应至少包含投标人名称、金额、投标保证金打入指定账户的时间等，异常情况在开标记录表“备注”栏中记录并交由评标委员会评审。保证金来款账户非基本账户的，交由评标委员会作否决投标处理。</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打印所有投标人的投标保证金交纳情况，并由招标人代表、监标人、记录人签名确认。</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ascii="宋体" w:hAnsi="宋体"/>
                <w:color w:val="auto"/>
                <w:szCs w:val="21"/>
                <w:highlight w:val="none"/>
              </w:rPr>
              <w:t>. 公布最高限价</w:t>
            </w:r>
            <w:r>
              <w:rPr>
                <w:rFonts w:hint="eastAsia" w:ascii="宋体" w:hAnsi="宋体"/>
                <w:color w:val="auto"/>
                <w:szCs w:val="21"/>
                <w:highlight w:val="none"/>
              </w:rPr>
              <w:t>。</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逐单位随机开启投标文件。开启投标文件大袋及投标函部分袋、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（如有）、商务</w:t>
            </w:r>
            <w:r>
              <w:rPr>
                <w:rFonts w:ascii="宋体" w:hAnsi="宋体"/>
                <w:color w:val="auto"/>
                <w:szCs w:val="21"/>
                <w:highlight w:val="none"/>
              </w:rPr>
              <w:t>部分袋</w:t>
            </w:r>
            <w:r>
              <w:rPr>
                <w:rFonts w:hint="eastAsia" w:ascii="宋体" w:hAnsi="宋体"/>
                <w:color w:val="auto"/>
                <w:szCs w:val="21"/>
                <w:highlight w:val="none"/>
              </w:rPr>
              <w:t>（如有）、资格审查部分袋</w:t>
            </w:r>
            <w:r>
              <w:rPr>
                <w:rFonts w:ascii="宋体" w:hAnsi="宋体"/>
                <w:color w:val="auto"/>
                <w:szCs w:val="21"/>
                <w:highlight w:val="none"/>
              </w:rPr>
              <w:t>；公布投标人名称、投标报价、质量要求、工期及其他内容并记录在案</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 投标人对开标有异议的，应当场提出，由招标人或代理机构当场答复，并记录到开标记录表中。异议处理完毕后，汇总开标情况，打印开标记录表。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 投标人代表、监标人、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ascii="宋体" w:hAnsi="宋体"/>
                <w:color w:val="auto"/>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pPr>
              <w:autoSpaceDE w:val="0"/>
              <w:autoSpaceDN w:val="0"/>
              <w:adjustRightInd w:val="0"/>
              <w:snapToGrid w:val="0"/>
              <w:spacing w:line="400" w:lineRule="exact"/>
              <w:ind w:firstLine="436" w:firstLineChars="200"/>
              <w:rPr>
                <w:rFonts w:hint="eastAsia" w:ascii="宋体" w:hAnsi="宋体"/>
                <w:color w:val="auto"/>
                <w:kern w:val="0"/>
                <w:szCs w:val="21"/>
                <w:highlight w:val="none"/>
              </w:rPr>
            </w:pPr>
            <w:r>
              <w:rPr>
                <w:rFonts w:hint="eastAsia" w:ascii="宋体" w:hAnsi="宋体"/>
                <w:color w:val="auto"/>
                <w:spacing w:val="4"/>
                <w:kern w:val="0"/>
                <w:szCs w:val="21"/>
                <w:highlight w:val="none"/>
              </w:rPr>
              <w:t>由招标人按法律法规及相关规定依法组建评标委员会</w:t>
            </w:r>
            <w:r>
              <w:rPr>
                <w:rFonts w:hint="eastAsia"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pPr>
              <w:snapToGrid w:val="0"/>
              <w:spacing w:after="62" w:afterLines="20" w:line="400" w:lineRule="exact"/>
              <w:jc w:val="center"/>
              <w:rPr>
                <w:rFonts w:hint="eastAsia"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pPr>
              <w:snapToGrid w:val="0"/>
              <w:spacing w:line="400" w:lineRule="exact"/>
              <w:ind w:firstLine="420" w:firstLineChars="200"/>
              <w:rPr>
                <w:rFonts w:hint="eastAsia"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35" w:type="dxa"/>
            <w:vMerge w:val="restart"/>
            <w:vAlign w:val="center"/>
          </w:tcPr>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pPr>
              <w:snapToGrid w:val="0"/>
              <w:spacing w:after="62" w:afterLines="20" w:line="400" w:lineRule="exact"/>
              <w:jc w:val="center"/>
              <w:rPr>
                <w:rFonts w:hint="eastAsia" w:ascii="宋体" w:hAnsi="宋体"/>
                <w:color w:val="auto"/>
                <w:kern w:val="0"/>
                <w:szCs w:val="21"/>
                <w:highlight w:val="none"/>
              </w:rPr>
            </w:pPr>
            <w:r>
              <w:rPr>
                <w:rFonts w:ascii="宋体" w:hAnsi="宋体"/>
                <w:color w:val="auto"/>
                <w:kern w:val="0"/>
                <w:szCs w:val="21"/>
                <w:highlight w:val="none"/>
              </w:rPr>
              <w:t>中标</w:t>
            </w:r>
            <w:r>
              <w:rPr>
                <w:rFonts w:hint="eastAsia" w:ascii="宋体" w:hAnsi="宋体"/>
                <w:color w:val="auto"/>
                <w:kern w:val="0"/>
                <w:szCs w:val="21"/>
                <w:highlight w:val="none"/>
                <w:lang w:val="en-US" w:eastAsia="zh-CN"/>
              </w:rPr>
              <w:t>候选人</w:t>
            </w:r>
            <w:r>
              <w:rPr>
                <w:rFonts w:ascii="宋体" w:hAnsi="宋体"/>
                <w:color w:val="auto"/>
                <w:kern w:val="0"/>
                <w:szCs w:val="21"/>
                <w:highlight w:val="none"/>
              </w:rPr>
              <w:t>公示</w:t>
            </w:r>
          </w:p>
        </w:tc>
        <w:tc>
          <w:tcPr>
            <w:tcW w:w="6490" w:type="dxa"/>
            <w:vAlign w:val="center"/>
          </w:tcPr>
          <w:p>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招标人在收到评标报告后3日内将评标结果在</w:t>
            </w:r>
            <w:r>
              <w:rPr>
                <w:rFonts w:hint="eastAsia" w:ascii="宋体" w:hAnsi="宋体"/>
                <w:snapToGrid w:val="0"/>
                <w:color w:val="auto"/>
                <w:kern w:val="0"/>
                <w:szCs w:val="21"/>
                <w:highlight w:val="none"/>
                <w:u w:val="single"/>
              </w:rPr>
              <w:t>重庆市公共资源交易网（www.cqggzy.com）</w:t>
            </w:r>
            <w:r>
              <w:rPr>
                <w:rFonts w:hint="eastAsia" w:ascii="宋体" w:hAnsi="宋体" w:cs="宋体"/>
                <w:color w:val="auto"/>
                <w:szCs w:val="21"/>
                <w:highlight w:val="none"/>
              </w:rPr>
              <w:t>上进行公示，公示期</w:t>
            </w:r>
            <w:r>
              <w:rPr>
                <w:rFonts w:hint="eastAsia" w:ascii="宋体" w:hAnsi="宋体" w:cs="宋体"/>
                <w:color w:val="auto"/>
                <w:szCs w:val="21"/>
                <w:highlight w:val="none"/>
                <w:lang w:eastAsia="zh-CN"/>
              </w:rPr>
              <w:t>不少于</w:t>
            </w:r>
            <w:r>
              <w:rPr>
                <w:rFonts w:hint="eastAsia" w:ascii="宋体" w:hAnsi="宋体" w:cs="宋体"/>
                <w:color w:val="auto"/>
                <w:szCs w:val="21"/>
                <w:highlight w:val="none"/>
              </w:rPr>
              <w:t>3日。为深化信息公开，接受社会监督，本项目将按照《招标公告和公示信息发布管理办法》（国家发改委令第10号）的要求，公示内容包括中标候选人名称、排序、投标报价、质量、工期；中标候选人资质、投标业绩名称，中标候选人项目经理姓名及其相关证书名称和编号、投标业绩名称；否决投标情况及理由；投标人撤销投标文件或者部分投标被否决导致有效投标人不足三个的竞争性论证结果（如有）；提出异议、投诉的渠道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335" w:type="dxa"/>
            <w:vMerge w:val="continue"/>
            <w:vAlign w:val="center"/>
          </w:tcPr>
          <w:p>
            <w:pPr>
              <w:snapToGrid w:val="0"/>
              <w:spacing w:line="400" w:lineRule="exact"/>
              <w:ind w:firstLine="420" w:firstLineChars="200"/>
              <w:rPr>
                <w:color w:val="auto"/>
                <w:highlight w:val="none"/>
              </w:rPr>
            </w:pP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color w:val="auto"/>
                <w:highlight w:val="none"/>
              </w:rPr>
            </w:pPr>
            <w:r>
              <w:rPr>
                <w:rFonts w:hint="eastAsia" w:ascii="宋体" w:hAnsi="宋体"/>
                <w:color w:val="auto"/>
                <w:kern w:val="0"/>
                <w:szCs w:val="21"/>
                <w:highlight w:val="none"/>
                <w:lang w:val="en-US" w:eastAsia="zh-CN"/>
              </w:rPr>
              <w:t>中标结果公告</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自中标通知书发出之日起三日内，在招标公告发布媒介上公告招标人及法定代表人名称，招标代理机构及法定代表人名称，中标人及法定代表人名称、中标价格等中标结果，评标委员会组建方式、成员名单、评标意见等信息</w:t>
            </w:r>
            <w:r>
              <w:rPr>
                <w:rFonts w:hint="eastAsia" w:ascii="宋体" w:hAnsi="宋体" w:cs="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pPr>
              <w:snapToGrid w:val="0"/>
              <w:spacing w:line="400" w:lineRule="exact"/>
              <w:ind w:firstLine="420" w:firstLineChars="200"/>
              <w:rPr>
                <w:rFonts w:hint="eastAsia" w:ascii="宋体" w:hAnsi="宋体"/>
                <w:color w:val="auto"/>
                <w:kern w:val="0"/>
                <w:szCs w:val="21"/>
                <w:highlight w:val="none"/>
              </w:rPr>
            </w:pPr>
            <w:r>
              <w:rPr>
                <w:rFonts w:hint="eastAsia"/>
                <w:color w:val="auto"/>
                <w:highlight w:val="none"/>
              </w:rPr>
              <w:t>联合体投标的</w:t>
            </w:r>
            <w:r>
              <w:rPr>
                <w:rFonts w:hint="eastAsia" w:ascii="宋体" w:hAnsi="宋体"/>
                <w:color w:val="auto"/>
                <w:kern w:val="0"/>
                <w:szCs w:val="21"/>
                <w:highlight w:val="none"/>
              </w:rPr>
              <w:t>，由联合体牵头人或按照</w:t>
            </w:r>
            <w:r>
              <w:rPr>
                <w:rFonts w:hint="eastAsia" w:ascii="宋体" w:hAnsi="宋体"/>
                <w:color w:val="auto"/>
                <w:highlight w:val="none"/>
                <w:lang w:val="en-US" w:eastAsia="zh-CN"/>
              </w:rPr>
              <w:t>共同投标协议</w:t>
            </w:r>
            <w:r>
              <w:rPr>
                <w:rFonts w:hint="eastAsia" w:ascii="宋体" w:hAnsi="宋体"/>
                <w:color w:val="auto"/>
                <w:kern w:val="0"/>
                <w:szCs w:val="21"/>
                <w:highlight w:val="none"/>
              </w:rPr>
              <w:t>的约定提交履约担保。</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kern w:val="0"/>
                <w:szCs w:val="21"/>
                <w:highlight w:val="none"/>
              </w:rPr>
              <w:t>（1）履约担保的形式：现金或</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保函或现金+</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保函的组合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其示范文本详见第四章合同条款及格式附件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szCs w:val="21"/>
                <w:highlight w:val="none"/>
              </w:rPr>
              <w:t>。</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（2）具体要求：</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中标人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中标人对所提交的履约保函的真实性、合法性、有效性负责</w:t>
            </w:r>
            <w:r>
              <w:rPr>
                <w:rFonts w:hint="eastAsia" w:ascii="宋体" w:hAnsi="宋体"/>
                <w:color w:val="auto"/>
                <w:kern w:val="0"/>
                <w:szCs w:val="21"/>
                <w:highlight w:val="none"/>
              </w:rPr>
              <w:t>。</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（3）履约担保的金额：</w:t>
            </w:r>
            <w:r>
              <w:rPr>
                <w:rFonts w:hint="eastAsia" w:ascii="宋体" w:hAnsi="宋体"/>
                <w:color w:val="auto"/>
                <w:kern w:val="0"/>
                <w:szCs w:val="21"/>
                <w:highlight w:val="none"/>
                <w:u w:val="single"/>
              </w:rPr>
              <w:t>合同金额的5%</w:t>
            </w:r>
            <w:r>
              <w:rPr>
                <w:rFonts w:hint="eastAsia" w:ascii="宋体" w:hAnsi="宋体"/>
                <w:color w:val="auto"/>
                <w:kern w:val="0"/>
                <w:szCs w:val="21"/>
                <w:highlight w:val="none"/>
              </w:rPr>
              <w:t>。</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（4）履约担保的提交时间：见专用合同条款。</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（5）履约担保的期限：见专用合同条款。</w:t>
            </w:r>
          </w:p>
          <w:p>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投标截止时间止，投标人少于 3 个的</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本款只适用于首次招标</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经评标委员会评审后否决所有投标的；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经评标委员会评审后部分投标被否决，因有效投标人不足三个使得投标明显缺乏竞争的</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本款只适用于首次招标</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w:t>
            </w:r>
          </w:p>
          <w:p>
            <w:pPr>
              <w:widowControl/>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法律法规规定的其他情形。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pPr>
              <w:snapToGrid w:val="0"/>
              <w:spacing w:line="400" w:lineRule="exact"/>
              <w:jc w:val="center"/>
              <w:rPr>
                <w:color w:val="auto"/>
                <w:highlight w:val="none"/>
              </w:rPr>
            </w:pPr>
            <w:bookmarkStart w:id="101" w:name="_Toc16930431"/>
            <w:bookmarkStart w:id="102" w:name="_Toc536628250"/>
            <w:bookmarkStart w:id="103" w:name="_Toc509218709"/>
            <w:bookmarkStart w:id="104" w:name="_Toc13210670"/>
            <w:bookmarkStart w:id="105" w:name="_Toc430530434"/>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01"/>
            <w:bookmarkEnd w:id="102"/>
            <w:bookmarkEnd w:id="103"/>
            <w:bookmarkEnd w:id="104"/>
            <w:bookmarkEnd w:id="105"/>
          </w:p>
        </w:tc>
        <w:tc>
          <w:tcPr>
            <w:tcW w:w="6490" w:type="dxa"/>
            <w:vAlign w:val="center"/>
          </w:tcPr>
          <w:p>
            <w:pPr>
              <w:autoSpaceDE w:val="0"/>
              <w:autoSpaceDN w:val="0"/>
              <w:adjustRightInd w:val="0"/>
              <w:snapToGrid w:val="0"/>
              <w:spacing w:after="62" w:afterLines="20" w:line="40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10.1</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支付担保</w:t>
            </w:r>
          </w:p>
        </w:tc>
        <w:tc>
          <w:tcPr>
            <w:tcW w:w="6490" w:type="dxa"/>
            <w:vAlign w:val="center"/>
          </w:tcPr>
          <w:p>
            <w:pPr>
              <w:snapToGrid w:val="0"/>
              <w:spacing w:after="124" w:afterLines="4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不提供</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490" w:type="dxa"/>
            <w:vAlign w:val="center"/>
          </w:tcPr>
          <w:p>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1</w:t>
            </w:r>
            <w:r>
              <w:rPr>
                <w:rFonts w:ascii="宋体" w:hAnsi="宋体"/>
                <w:color w:val="auto"/>
                <w:kern w:val="0"/>
                <w:szCs w:val="21"/>
                <w:highlight w:val="none"/>
              </w:rPr>
              <w:t>.</w:t>
            </w:r>
            <w:r>
              <w:rPr>
                <w:rFonts w:hint="eastAsia" w:ascii="宋体" w:hAnsi="宋体"/>
                <w:color w:val="auto"/>
                <w:kern w:val="0"/>
                <w:szCs w:val="21"/>
                <w:highlight w:val="none"/>
              </w:rPr>
              <w:t xml:space="preserve"> </w:t>
            </w:r>
            <w:r>
              <w:rPr>
                <w:rFonts w:ascii="宋体" w:hAnsi="宋体"/>
                <w:color w:val="auto"/>
                <w:kern w:val="0"/>
                <w:szCs w:val="21"/>
                <w:highlight w:val="none"/>
              </w:rPr>
              <w:t>投标人或者其他利害关系人就本项目的招标文件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评标结果等事项提出投诉</w:t>
            </w:r>
            <w:r>
              <w:rPr>
                <w:rFonts w:hint="eastAsia" w:ascii="宋体" w:hAnsi="宋体"/>
                <w:color w:val="auto"/>
                <w:kern w:val="0"/>
                <w:szCs w:val="21"/>
                <w:highlight w:val="none"/>
              </w:rPr>
              <w:t>的</w:t>
            </w:r>
            <w:r>
              <w:rPr>
                <w:rFonts w:ascii="宋体" w:hAnsi="宋体"/>
                <w:color w:val="auto"/>
                <w:kern w:val="0"/>
                <w:szCs w:val="21"/>
                <w:highlight w:val="none"/>
              </w:rPr>
              <w:t>，应当先向招标人提出异议；招标人应当在规定时间内答复；对招标人的答复不满意，可向行政监督部门投诉。</w:t>
            </w:r>
          </w:p>
          <w:p>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（1）异议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或投诉人的</w:t>
            </w:r>
            <w:r>
              <w:rPr>
                <w:rFonts w:hint="eastAsia" w:ascii="宋体" w:hAnsi="宋体"/>
                <w:color w:val="auto"/>
                <w:kern w:val="0"/>
                <w:szCs w:val="21"/>
                <w:highlight w:val="none"/>
                <w:lang w:eastAsia="zh-CN"/>
              </w:rPr>
              <w:t>姓名</w:t>
            </w:r>
            <w:r>
              <w:rPr>
                <w:rFonts w:hint="eastAsia" w:ascii="宋体" w:hAnsi="宋体"/>
                <w:color w:val="auto"/>
                <w:kern w:val="0"/>
                <w:szCs w:val="21"/>
                <w:highlight w:val="none"/>
                <w:lang w:val="en-US" w:eastAsia="zh-CN"/>
              </w:rPr>
              <w:t>/</w:t>
            </w:r>
            <w:r>
              <w:rPr>
                <w:rFonts w:hint="eastAsia" w:ascii="宋体" w:hAnsi="宋体"/>
                <w:color w:val="auto"/>
                <w:kern w:val="0"/>
                <w:szCs w:val="21"/>
                <w:highlight w:val="none"/>
              </w:rPr>
              <w:t>名称、地址及有效联系方式；</w:t>
            </w:r>
          </w:p>
          <w:p>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（2）被异议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w:t>
            </w:r>
            <w:r>
              <w:rPr>
                <w:rFonts w:hint="eastAsia" w:ascii="宋体" w:hAnsi="宋体"/>
                <w:color w:val="auto"/>
                <w:kern w:val="0"/>
                <w:szCs w:val="21"/>
                <w:highlight w:val="none"/>
                <w:lang w:val="en-US" w:eastAsia="zh-CN"/>
              </w:rPr>
              <w:t>被</w:t>
            </w:r>
            <w:r>
              <w:rPr>
                <w:rFonts w:hint="eastAsia" w:ascii="宋体" w:hAnsi="宋体"/>
                <w:color w:val="auto"/>
                <w:kern w:val="0"/>
                <w:szCs w:val="21"/>
                <w:highlight w:val="none"/>
              </w:rPr>
              <w:t>投诉人的名称、地址及有效联系方式；</w:t>
            </w:r>
          </w:p>
          <w:p>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（4）请求及主张；</w:t>
            </w:r>
          </w:p>
          <w:p>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w:t>
            </w:r>
            <w:r>
              <w:rPr>
                <w:rFonts w:hint="eastAsia" w:ascii="宋体" w:hAnsi="宋体"/>
                <w:color w:val="auto"/>
                <w:kern w:val="0"/>
                <w:szCs w:val="21"/>
                <w:highlight w:val="none"/>
                <w:lang w:val="en-US" w:eastAsia="zh-CN"/>
              </w:rPr>
              <w:t>法人</w:t>
            </w:r>
            <w:r>
              <w:rPr>
                <w:rFonts w:hint="eastAsia" w:ascii="宋体" w:hAnsi="宋体"/>
                <w:color w:val="auto"/>
                <w:kern w:val="0"/>
                <w:szCs w:val="21"/>
                <w:highlight w:val="none"/>
              </w:rPr>
              <w:t>章；异议人或投诉人是其他组织或者自然人的，异议书或投诉书必须由其主要负责人签名或者异议人（或投诉人）本人签名，并附有效身份证明。如有关材料是外文，应当同时提供中文译本。</w:t>
            </w:r>
          </w:p>
          <w:p>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lang w:val="en-US" w:eastAsia="zh-CN"/>
              </w:rPr>
              <w:t>相关</w:t>
            </w:r>
            <w:r>
              <w:rPr>
                <w:rFonts w:ascii="宋体" w:hAnsi="宋体"/>
                <w:color w:val="auto"/>
                <w:kern w:val="0"/>
                <w:szCs w:val="21"/>
                <w:highlight w:val="none"/>
              </w:rPr>
              <w:t>法律法规文件处理投诉。</w:t>
            </w:r>
          </w:p>
          <w:p>
            <w:pPr>
              <w:snapToGrid w:val="0"/>
              <w:spacing w:after="124" w:afterLines="4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3. 投标人</w:t>
            </w:r>
            <w:r>
              <w:rPr>
                <w:rFonts w:hint="eastAsia" w:ascii="宋体" w:hAnsi="宋体"/>
                <w:color w:val="auto"/>
                <w:kern w:val="0"/>
                <w:szCs w:val="21"/>
                <w:highlight w:val="none"/>
                <w:lang w:val="en-US" w:eastAsia="zh-CN"/>
              </w:rPr>
              <w:t>不得</w:t>
            </w:r>
            <w:r>
              <w:rPr>
                <w:rFonts w:hint="eastAsia" w:ascii="宋体" w:hAnsi="宋体"/>
                <w:color w:val="auto"/>
                <w:kern w:val="0"/>
                <w:szCs w:val="21"/>
                <w:highlight w:val="none"/>
              </w:rPr>
              <w:t>捏造事实、伪造材料，或者以非法手段获取证明材料进行</w:t>
            </w:r>
            <w:r>
              <w:rPr>
                <w:rFonts w:hint="eastAsia" w:ascii="宋体" w:hAnsi="宋体"/>
                <w:color w:val="auto"/>
                <w:kern w:val="0"/>
                <w:szCs w:val="21"/>
                <w:highlight w:val="none"/>
                <w:lang w:val="en-US" w:eastAsia="zh-CN"/>
              </w:rPr>
              <w:t>异议</w:t>
            </w:r>
            <w:r>
              <w:rPr>
                <w:rFonts w:hint="eastAsia" w:ascii="宋体" w:hAnsi="宋体"/>
                <w:color w:val="auto"/>
                <w:kern w:val="0"/>
                <w:szCs w:val="21"/>
                <w:highlight w:val="none"/>
              </w:rPr>
              <w:t>或者投诉；</w:t>
            </w:r>
            <w:r>
              <w:rPr>
                <w:rFonts w:ascii="宋体" w:hAnsi="宋体"/>
                <w:color w:val="auto"/>
                <w:kern w:val="0"/>
                <w:szCs w:val="21"/>
                <w:highlight w:val="none"/>
              </w:rPr>
              <w:t>给他人造成损失的，依法承担赔偿责任。</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异议受理单位：重庆三峡银行股份有限公司</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联系电话：023-88890381</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投诉受理部门：重庆三峡银行股份有限公司</w:t>
            </w:r>
          </w:p>
          <w:p>
            <w:pPr>
              <w:snapToGrid w:val="0"/>
              <w:spacing w:after="124" w:afterLines="4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联系电话：023-88890395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工程量清单</w:t>
            </w:r>
          </w:p>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编制说明</w:t>
            </w:r>
          </w:p>
        </w:tc>
        <w:tc>
          <w:tcPr>
            <w:tcW w:w="6490" w:type="dxa"/>
            <w:vAlign w:val="center"/>
          </w:tcPr>
          <w:p>
            <w:pPr>
              <w:widowControl/>
              <w:spacing w:line="400" w:lineRule="exact"/>
              <w:ind w:firstLine="420" w:firstLineChars="200"/>
              <w:rPr>
                <w:rFonts w:hint="eastAsia" w:ascii="宋体" w:hAnsi="宋体"/>
                <w:color w:val="auto"/>
                <w:kern w:val="0"/>
                <w:szCs w:val="21"/>
                <w:highlight w:val="none"/>
              </w:rPr>
            </w:pPr>
            <w:r>
              <w:rPr>
                <w:rFonts w:hint="eastAsia"/>
                <w:color w:val="auto"/>
                <w:highlight w:val="none"/>
              </w:rPr>
              <w:t>详见第五章工程量清单。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建筑</w:t>
            </w:r>
            <w:r>
              <w:rPr>
                <w:rFonts w:ascii="宋体" w:hAnsi="宋体"/>
                <w:color w:val="auto"/>
                <w:kern w:val="0"/>
                <w:szCs w:val="21"/>
                <w:highlight w:val="none"/>
              </w:rPr>
              <w:t>领域实施农民工工资专用账户相关</w:t>
            </w:r>
            <w:r>
              <w:rPr>
                <w:rFonts w:hint="eastAsia" w:ascii="宋体" w:hAnsi="宋体"/>
                <w:color w:val="auto"/>
                <w:kern w:val="0"/>
                <w:szCs w:val="21"/>
                <w:highlight w:val="none"/>
              </w:rPr>
              <w:t>要求</w:t>
            </w:r>
          </w:p>
        </w:tc>
        <w:tc>
          <w:tcPr>
            <w:tcW w:w="6490" w:type="dxa"/>
            <w:vAlign w:val="center"/>
          </w:tcPr>
          <w:p>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本项目在</w:t>
            </w:r>
            <w:r>
              <w:rPr>
                <w:rFonts w:ascii="宋体" w:hAnsi="宋体"/>
                <w:color w:val="auto"/>
                <w:kern w:val="0"/>
                <w:szCs w:val="21"/>
                <w:highlight w:val="none"/>
              </w:rPr>
              <w:t>实施过程中</w:t>
            </w:r>
            <w:r>
              <w:rPr>
                <w:rFonts w:hint="eastAsia" w:ascii="宋体" w:hAnsi="宋体"/>
                <w:color w:val="auto"/>
                <w:kern w:val="0"/>
                <w:szCs w:val="21"/>
                <w:highlight w:val="none"/>
              </w:rPr>
              <w:t>，中标人</w:t>
            </w:r>
            <w:r>
              <w:rPr>
                <w:rFonts w:ascii="宋体" w:hAnsi="宋体"/>
                <w:color w:val="auto"/>
                <w:kern w:val="0"/>
                <w:szCs w:val="21"/>
                <w:highlight w:val="none"/>
              </w:rPr>
              <w:t>必须执行</w:t>
            </w:r>
            <w:r>
              <w:rPr>
                <w:rFonts w:hint="eastAsia" w:ascii="宋体" w:hAnsi="宋体"/>
                <w:color w:val="auto"/>
                <w:kern w:val="0"/>
                <w:szCs w:val="21"/>
                <w:highlight w:val="none"/>
                <w:u w:val="single"/>
              </w:rPr>
              <w:t>《保障农民工工资支付条例》（中华人民共和国国务院令第724号）</w:t>
            </w:r>
            <w:r>
              <w:rPr>
                <w:rFonts w:hint="eastAsia" w:ascii="宋体" w:hAnsi="宋体"/>
                <w:color w:val="auto"/>
                <w:kern w:val="0"/>
                <w:szCs w:val="21"/>
                <w:highlight w:val="none"/>
                <w:u w:val="single"/>
                <w:lang w:val="en-US" w:eastAsia="zh-CN"/>
              </w:rPr>
              <w:t>及国家</w:t>
            </w:r>
            <w:r>
              <w:rPr>
                <w:rFonts w:ascii="宋体" w:hAnsi="宋体"/>
                <w:color w:val="auto"/>
                <w:szCs w:val="21"/>
                <w:highlight w:val="none"/>
                <w:u w:val="single"/>
              </w:rPr>
              <w:t>和重庆市现行有关</w:t>
            </w:r>
            <w:r>
              <w:rPr>
                <w:rFonts w:ascii="宋体" w:hAnsi="宋体"/>
                <w:color w:val="auto"/>
                <w:kern w:val="0"/>
                <w:szCs w:val="21"/>
                <w:highlight w:val="none"/>
              </w:rPr>
              <w:t>农民工工资</w:t>
            </w:r>
            <w:r>
              <w:rPr>
                <w:rFonts w:hint="eastAsia" w:ascii="宋体" w:hAnsi="宋体"/>
                <w:color w:val="auto"/>
                <w:kern w:val="0"/>
                <w:szCs w:val="21"/>
                <w:highlight w:val="none"/>
                <w:lang w:val="en-US" w:eastAsia="zh-CN"/>
              </w:rPr>
              <w:t>支付规定</w:t>
            </w:r>
            <w:r>
              <w:rPr>
                <w:rFonts w:hint="eastAsia" w:ascii="宋体" w:hAnsi="宋体"/>
                <w:color w:val="auto"/>
                <w:kern w:val="0"/>
                <w:szCs w:val="21"/>
                <w:highlight w:val="none"/>
              </w:rPr>
              <w:t>，明确农民工工资保证金、实名制、专用账户、银行代发等保障农民工工资支付内容以及违约责任，填报相应的网络管理系统。</w:t>
            </w:r>
          </w:p>
          <w:p>
            <w:pPr>
              <w:widowControl/>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投标人中标后，在与发包人签订的合同中，必须明确在</w:t>
            </w:r>
            <w:r>
              <w:rPr>
                <w:rFonts w:hint="eastAsia" w:ascii="宋体" w:hAnsi="宋体"/>
                <w:color w:val="auto"/>
                <w:kern w:val="0"/>
                <w:szCs w:val="21"/>
                <w:highlight w:val="none"/>
                <w:lang w:val="en-US" w:eastAsia="zh-CN"/>
              </w:rPr>
              <w:t>重庆市</w:t>
            </w:r>
            <w:r>
              <w:rPr>
                <w:rFonts w:hint="eastAsia" w:ascii="宋体" w:hAnsi="宋体"/>
                <w:color w:val="auto"/>
                <w:kern w:val="0"/>
                <w:szCs w:val="21"/>
                <w:highlight w:val="none"/>
              </w:rPr>
              <w:t>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644" w:type="dxa"/>
            <w:vAlign w:val="center"/>
          </w:tcPr>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关于对招标文件及投标争议的解释</w:t>
            </w:r>
          </w:p>
        </w:tc>
        <w:tc>
          <w:tcPr>
            <w:tcW w:w="6490" w:type="dxa"/>
            <w:vAlign w:val="center"/>
          </w:tcPr>
          <w:p>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对资格预审文件或者招标文件中的条款理解有争议的，应当作出不利于招标人的解释；对投标文件理解有争议的，应当作出不利于投标人的解释。但是，违背国家利益、社会公共利益的除外。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7</w:t>
            </w:r>
          </w:p>
        </w:tc>
        <w:tc>
          <w:tcPr>
            <w:tcW w:w="1644" w:type="dxa"/>
            <w:vAlign w:val="center"/>
          </w:tcPr>
          <w:p>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交易服务费及招标代理费</w:t>
            </w:r>
          </w:p>
        </w:tc>
        <w:tc>
          <w:tcPr>
            <w:tcW w:w="6490" w:type="dxa"/>
            <w:vAlign w:val="center"/>
          </w:tcPr>
          <w:p>
            <w:pPr>
              <w:autoSpaceDE w:val="0"/>
              <w:autoSpaceDN w:val="0"/>
              <w:adjustRightInd w:val="0"/>
              <w:snapToGrid w:val="0"/>
              <w:spacing w:line="400" w:lineRule="exact"/>
              <w:ind w:firstLine="420"/>
              <w:rPr>
                <w:color w:val="auto"/>
                <w:highlight w:val="none"/>
              </w:rPr>
            </w:pPr>
            <w:r>
              <w:rPr>
                <w:rFonts w:hint="eastAsia"/>
                <w:color w:val="auto"/>
                <w:highlight w:val="none"/>
              </w:rPr>
              <w:t>1.</w:t>
            </w:r>
            <w:r>
              <w:rPr>
                <w:rFonts w:hint="eastAsia" w:ascii="宋体" w:hAnsi="宋体" w:cs="宋体"/>
                <w:color w:val="auto"/>
                <w:kern w:val="0"/>
                <w:szCs w:val="21"/>
                <w:highlight w:val="none"/>
              </w:rPr>
              <w:t>交易服务费：</w:t>
            </w:r>
            <w:r>
              <w:rPr>
                <w:rFonts w:hint="eastAsia"/>
                <w:color w:val="auto"/>
                <w:highlight w:val="none"/>
              </w:rPr>
              <w:t>在重庆市公共资源交易中心进行招标的，</w:t>
            </w:r>
            <w:r>
              <w:rPr>
                <w:rFonts w:hint="eastAsia"/>
                <w:color w:val="auto"/>
                <w:highlight w:val="none"/>
                <w:lang w:val="en-US" w:eastAsia="zh-CN"/>
              </w:rPr>
              <w:t>各标段</w:t>
            </w:r>
            <w:r>
              <w:rPr>
                <w:rFonts w:hint="eastAsia"/>
                <w:color w:val="auto"/>
                <w:highlight w:val="none"/>
              </w:rPr>
              <w:t>中标人应向重庆联合产权交易所集团股份有限公司（交易中心）缴纳交易服务费，交易服务费的收取标准按照（渝发改收费【2023】115）文件执行。此费由中标人在领取中标通知书时向交易中心一次性交纳。投标人应将此费纳入投标报价中，不得单独列出。</w:t>
            </w:r>
          </w:p>
          <w:p>
            <w:pPr>
              <w:autoSpaceDE w:val="0"/>
              <w:autoSpaceDN w:val="0"/>
              <w:adjustRightInd w:val="0"/>
              <w:snapToGrid w:val="0"/>
              <w:spacing w:line="400" w:lineRule="exact"/>
              <w:ind w:firstLine="420"/>
              <w:rPr>
                <w:color w:val="auto"/>
                <w:highlight w:val="none"/>
              </w:rPr>
            </w:pPr>
            <w:r>
              <w:rPr>
                <w:rFonts w:hint="eastAsia"/>
                <w:color w:val="auto"/>
                <w:highlight w:val="none"/>
              </w:rPr>
              <w:t>2.本次招标代理费由</w:t>
            </w:r>
            <w:r>
              <w:rPr>
                <w:rFonts w:hint="eastAsia"/>
                <w:color w:val="auto"/>
                <w:highlight w:val="none"/>
                <w:lang w:val="en-US" w:eastAsia="zh-CN"/>
              </w:rPr>
              <w:t>各标段</w:t>
            </w:r>
            <w:r>
              <w:rPr>
                <w:rFonts w:hint="eastAsia"/>
                <w:color w:val="auto"/>
                <w:highlight w:val="none"/>
              </w:rPr>
              <w:t>中标人支付。按照以下计算方式中的工程招标的计费方式以差额定率累计法计算后按80%进行收费：</w:t>
            </w:r>
          </w:p>
          <w:p>
            <w:pPr>
              <w:autoSpaceDE w:val="0"/>
              <w:autoSpaceDN w:val="0"/>
              <w:adjustRightInd w:val="0"/>
              <w:snapToGrid w:val="0"/>
              <w:spacing w:line="400" w:lineRule="exact"/>
              <w:ind w:firstLine="420"/>
              <w:jc w:val="center"/>
              <w:rPr>
                <w:color w:val="auto"/>
                <w:highlight w:val="none"/>
              </w:rPr>
            </w:pPr>
            <w:r>
              <w:rPr>
                <w:rFonts w:hint="eastAsia"/>
                <w:color w:val="auto"/>
                <w:highlight w:val="none"/>
              </w:rPr>
              <w:t>招标代理服务收费方式(费率)</w:t>
            </w:r>
          </w:p>
          <w:p>
            <w:pPr>
              <w:autoSpaceDE w:val="0"/>
              <w:autoSpaceDN w:val="0"/>
              <w:adjustRightInd w:val="0"/>
              <w:snapToGrid w:val="0"/>
              <w:spacing w:line="400" w:lineRule="exact"/>
              <w:ind w:firstLine="420"/>
              <w:rPr>
                <w:rFonts w:hint="eastAsia" w:ascii="宋体" w:hAnsi="宋体"/>
                <w:i/>
                <w:color w:val="auto"/>
                <w:kern w:val="0"/>
                <w:szCs w:val="21"/>
                <w:highlight w:val="none"/>
              </w:rPr>
            </w:pPr>
            <w:r>
              <w:rPr>
                <w:rFonts w:hint="eastAsia"/>
                <w:color w:val="auto"/>
                <w:highlight w:val="none"/>
              </w:rPr>
              <w:drawing>
                <wp:anchor distT="0" distB="0" distL="114300" distR="114300" simplePos="0" relativeHeight="251662336" behindDoc="1" locked="0" layoutInCell="1" allowOverlap="1">
                  <wp:simplePos x="0" y="0"/>
                  <wp:positionH relativeFrom="column">
                    <wp:posOffset>24765</wp:posOffset>
                  </wp:positionH>
                  <wp:positionV relativeFrom="paragraph">
                    <wp:posOffset>57785</wp:posOffset>
                  </wp:positionV>
                  <wp:extent cx="3982085" cy="2580005"/>
                  <wp:effectExtent l="0" t="0" r="18415" b="10795"/>
                  <wp:wrapTight wrapText="bothSides">
                    <wp:wrapPolygon>
                      <wp:start x="0" y="0"/>
                      <wp:lineTo x="0" y="21371"/>
                      <wp:lineTo x="21493" y="21371"/>
                      <wp:lineTo x="21493" y="0"/>
                      <wp:lineTo x="0" y="0"/>
                    </wp:wrapPolygon>
                  </wp:wrapTight>
                  <wp:docPr id="3" name="图片 3" descr="173027787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0277874214"/>
                          <pic:cNvPicPr>
                            <a:picLocks noChangeAspect="1"/>
                          </pic:cNvPicPr>
                        </pic:nvPicPr>
                        <pic:blipFill>
                          <a:blip r:embed="rId13"/>
                          <a:stretch>
                            <a:fillRect/>
                          </a:stretch>
                        </pic:blipFill>
                        <pic:spPr>
                          <a:xfrm>
                            <a:off x="0" y="0"/>
                            <a:ext cx="3982085" cy="2580005"/>
                          </a:xfrm>
                          <a:prstGeom prst="rect">
                            <a:avLst/>
                          </a:prstGeom>
                        </pic:spPr>
                      </pic:pic>
                    </a:graphicData>
                  </a:graphic>
                </wp:anchor>
              </w:drawing>
            </w:r>
            <w:r>
              <w:rPr>
                <w:rFonts w:hint="eastAsia"/>
                <w:color w:val="auto"/>
                <w:highlight w:val="none"/>
              </w:rPr>
              <w:t>由中标人领取中标通知书时一次性支付给代理人。招标代理费不足1.5万元，按1.5万元计取。投标人应将此费纳入投标报价中，不得单独列出。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default" w:ascii="宋体" w:hAnsi="宋体" w:eastAsia="宋体"/>
                <w:color w:val="auto"/>
                <w:kern w:val="0"/>
                <w:szCs w:val="21"/>
                <w:highlight w:val="none"/>
                <w:lang w:val="en-US" w:eastAsia="zh-CN"/>
              </w:rPr>
            </w:pPr>
            <w:bookmarkStart w:id="106" w:name="_Toc200513126"/>
            <w:bookmarkStart w:id="107" w:name="_Toc287607746"/>
            <w:bookmarkStart w:id="108" w:name="_Toc430530435"/>
            <w:bookmarkStart w:id="109" w:name="_Toc287620685"/>
            <w:bookmarkStart w:id="110" w:name="_Toc224103317"/>
            <w:bookmarkStart w:id="111" w:name="_Toc277082552"/>
            <w:r>
              <w:rPr>
                <w:rFonts w:hint="eastAsia" w:ascii="宋体" w:hAnsi="宋体"/>
                <w:color w:val="auto"/>
                <w:kern w:val="0"/>
                <w:szCs w:val="21"/>
                <w:highlight w:val="none"/>
                <w:lang w:val="en-US" w:eastAsia="zh-CN"/>
              </w:rPr>
              <w:t>10.8</w:t>
            </w:r>
          </w:p>
        </w:tc>
        <w:tc>
          <w:tcPr>
            <w:tcW w:w="1644" w:type="dxa"/>
            <w:vAlign w:val="center"/>
          </w:tcPr>
          <w:p>
            <w:pPr>
              <w:snapToGrid w:val="0"/>
              <w:spacing w:line="400" w:lineRule="exact"/>
              <w:jc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其他</w:t>
            </w:r>
          </w:p>
        </w:tc>
        <w:tc>
          <w:tcPr>
            <w:tcW w:w="6490" w:type="dxa"/>
            <w:vAlign w:val="center"/>
          </w:tcPr>
          <w:p>
            <w:pPr>
              <w:autoSpaceDE w:val="0"/>
              <w:autoSpaceDN w:val="0"/>
              <w:adjustRightInd w:val="0"/>
              <w:snapToGrid w:val="0"/>
              <w:spacing w:line="400" w:lineRule="exact"/>
              <w:ind w:firstLine="420"/>
              <w:rPr>
                <w:rFonts w:hint="eastAsia"/>
                <w:color w:val="auto"/>
                <w:highlight w:val="none"/>
              </w:rPr>
            </w:pPr>
            <w:r>
              <w:rPr>
                <w:rFonts w:hint="eastAsia" w:ascii="宋体" w:hAnsi="宋体"/>
                <w:color w:val="auto"/>
                <w:highlight w:val="none"/>
                <w:lang w:val="en-US" w:eastAsia="zh-CN"/>
              </w:rPr>
              <w:t>各投标人在制作投标文件时，在招标文件第八章投标文件格式中所有要求填写项目名称的地方，均填写为项目名称+投标标段。</w:t>
            </w:r>
          </w:p>
        </w:tc>
      </w:tr>
    </w:tbl>
    <w:p>
      <w:pPr>
        <w:spacing w:before="0" w:after="0"/>
        <w:rPr>
          <w:rFonts w:hint="eastAsia"/>
          <w:color w:val="auto"/>
          <w:highlight w:val="none"/>
        </w:rPr>
      </w:pPr>
    </w:p>
    <w:p>
      <w:pPr>
        <w:spacing w:before="0" w:after="0"/>
        <w:rPr>
          <w:rFonts w:hint="eastAsia"/>
          <w:color w:val="auto"/>
          <w:highlight w:val="none"/>
        </w:rPr>
      </w:pPr>
      <w:r>
        <w:rPr>
          <w:color w:val="auto"/>
          <w:highlight w:val="none"/>
        </w:rPr>
        <w:br w:type="page"/>
      </w:r>
    </w:p>
    <w:p>
      <w:pPr>
        <w:pStyle w:val="4"/>
        <w:spacing w:before="0" w:after="0" w:line="360" w:lineRule="auto"/>
        <w:rPr>
          <w:rFonts w:hint="eastAsia" w:ascii="宋体" w:hAnsi="宋体"/>
          <w:b w:val="0"/>
          <w:snapToGrid w:val="0"/>
          <w:color w:val="auto"/>
          <w:highlight w:val="none"/>
        </w:rPr>
      </w:pPr>
      <w:bookmarkStart w:id="112" w:name="_Toc840"/>
      <w:bookmarkStart w:id="113" w:name="_Toc509218710"/>
      <w:bookmarkStart w:id="114" w:name="_Toc15481"/>
      <w:r>
        <w:rPr>
          <w:rFonts w:ascii="宋体" w:hAnsi="宋体"/>
          <w:b w:val="0"/>
          <w:snapToGrid w:val="0"/>
          <w:color w:val="auto"/>
          <w:highlight w:val="none"/>
        </w:rPr>
        <w:t>1.  总则</w:t>
      </w:r>
      <w:bookmarkEnd w:id="106"/>
      <w:bookmarkEnd w:id="107"/>
      <w:bookmarkEnd w:id="108"/>
      <w:bookmarkEnd w:id="109"/>
      <w:bookmarkEnd w:id="110"/>
      <w:bookmarkEnd w:id="111"/>
      <w:bookmarkEnd w:id="112"/>
      <w:bookmarkEnd w:id="113"/>
      <w:bookmarkEnd w:id="114"/>
    </w:p>
    <w:p>
      <w:pPr>
        <w:pStyle w:val="5"/>
        <w:snapToGrid w:val="0"/>
        <w:spacing w:before="0" w:after="0" w:line="360" w:lineRule="auto"/>
        <w:rPr>
          <w:rFonts w:hint="eastAsia" w:ascii="宋体" w:hAnsi="宋体"/>
          <w:b w:val="0"/>
          <w:snapToGrid w:val="0"/>
          <w:color w:val="auto"/>
          <w:sz w:val="24"/>
          <w:szCs w:val="24"/>
          <w:highlight w:val="none"/>
        </w:rPr>
      </w:pPr>
      <w:bookmarkStart w:id="115" w:name="_Toc277082553"/>
      <w:bookmarkStart w:id="116" w:name="_Toc32232"/>
      <w:bookmarkStart w:id="117" w:name="_Toc7166"/>
      <w:bookmarkStart w:id="118" w:name="_Toc509218711"/>
      <w:bookmarkStart w:id="119" w:name="_Toc224103318"/>
      <w:bookmarkStart w:id="120" w:name="_Toc200513127"/>
      <w:bookmarkStart w:id="121" w:name="_Toc430530436"/>
      <w:bookmarkStart w:id="122" w:name="_Toc287607747"/>
      <w:bookmarkStart w:id="123" w:name="_Toc287620686"/>
      <w:r>
        <w:rPr>
          <w:rFonts w:ascii="宋体" w:hAnsi="宋体"/>
          <w:b w:val="0"/>
          <w:snapToGrid w:val="0"/>
          <w:color w:val="auto"/>
          <w:sz w:val="24"/>
          <w:szCs w:val="24"/>
          <w:highlight w:val="none"/>
        </w:rPr>
        <w:t>1.1  项目概况</w:t>
      </w:r>
      <w:bookmarkEnd w:id="115"/>
      <w:bookmarkEnd w:id="116"/>
      <w:bookmarkEnd w:id="117"/>
      <w:bookmarkEnd w:id="118"/>
      <w:bookmarkEnd w:id="119"/>
      <w:bookmarkEnd w:id="120"/>
      <w:bookmarkEnd w:id="121"/>
      <w:bookmarkEnd w:id="122"/>
      <w:bookmarkEnd w:id="123"/>
    </w:p>
    <w:p>
      <w:pPr>
        <w:autoSpaceDE w:val="0"/>
        <w:autoSpaceDN w:val="0"/>
        <w:adjustRightInd w:val="0"/>
        <w:snapToGrid w:val="0"/>
        <w:spacing w:line="360" w:lineRule="auto"/>
        <w:ind w:firstLine="357" w:firstLineChars="170"/>
        <w:rPr>
          <w:rFonts w:hint="eastAsia"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根据《中华人民共和国招标投标法》等有关法律、法规和规章的规定，本招标项目已具备招标条件，现对本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施工进行招标。</w:t>
      </w:r>
    </w:p>
    <w:p>
      <w:pPr>
        <w:autoSpaceDE w:val="0"/>
        <w:autoSpaceDN w:val="0"/>
        <w:adjustRightInd w:val="0"/>
        <w:snapToGrid w:val="0"/>
        <w:spacing w:line="360" w:lineRule="auto"/>
        <w:ind w:firstLine="357" w:firstLineChars="170"/>
        <w:rPr>
          <w:rFonts w:hint="eastAsia" w:ascii="宋体" w:hAnsi="宋体"/>
          <w:snapToGrid w:val="0"/>
          <w:color w:val="auto"/>
          <w:kern w:val="0"/>
          <w:szCs w:val="21"/>
          <w:highlight w:val="none"/>
        </w:rPr>
      </w:pPr>
      <w:r>
        <w:rPr>
          <w:rFonts w:ascii="宋体" w:hAnsi="宋体"/>
          <w:snapToGrid w:val="0"/>
          <w:color w:val="auto"/>
          <w:kern w:val="0"/>
          <w:szCs w:val="21"/>
          <w:highlight w:val="none"/>
        </w:rPr>
        <w:t>1.1.2  本招标项目招标人：见投标人须知前附表。</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1.1.3  本招标项目招标代理机构：见投标人须知前附表。</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本招标项目名称：见投标人须知前附表。</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1.1.5  本招标项目建设地点：见投标人须知前附表。</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1.1.6  本招标项目建设规模：见投标人须知前附表。</w:t>
      </w:r>
    </w:p>
    <w:p>
      <w:pPr>
        <w:pStyle w:val="5"/>
        <w:snapToGrid w:val="0"/>
        <w:spacing w:before="0" w:after="0" w:line="360" w:lineRule="auto"/>
        <w:rPr>
          <w:rFonts w:hint="eastAsia" w:ascii="宋体" w:hAnsi="宋体"/>
          <w:b w:val="0"/>
          <w:snapToGrid w:val="0"/>
          <w:color w:val="auto"/>
          <w:sz w:val="24"/>
          <w:szCs w:val="24"/>
          <w:highlight w:val="none"/>
        </w:rPr>
      </w:pPr>
      <w:bookmarkStart w:id="124" w:name="_Toc17634"/>
      <w:bookmarkStart w:id="125" w:name="_Toc21567"/>
      <w:bookmarkStart w:id="126" w:name="_Toc277082554"/>
      <w:bookmarkStart w:id="127" w:name="_Toc509218712"/>
      <w:bookmarkStart w:id="128" w:name="_Toc430530437"/>
      <w:bookmarkStart w:id="129" w:name="_Toc224103319"/>
      <w:bookmarkStart w:id="130" w:name="_Toc200513128"/>
      <w:bookmarkStart w:id="131" w:name="_Toc287620687"/>
      <w:bookmarkStart w:id="132" w:name="_Toc287607748"/>
      <w:r>
        <w:rPr>
          <w:rFonts w:ascii="宋体" w:hAnsi="宋体"/>
          <w:b w:val="0"/>
          <w:snapToGrid w:val="0"/>
          <w:color w:val="auto"/>
          <w:sz w:val="24"/>
          <w:szCs w:val="24"/>
          <w:highlight w:val="none"/>
        </w:rPr>
        <w:t>1.2  资金来源和落实情况</w:t>
      </w:r>
      <w:bookmarkEnd w:id="124"/>
      <w:bookmarkEnd w:id="125"/>
      <w:bookmarkEnd w:id="126"/>
      <w:bookmarkEnd w:id="127"/>
      <w:bookmarkEnd w:id="128"/>
      <w:bookmarkEnd w:id="129"/>
      <w:bookmarkEnd w:id="130"/>
      <w:bookmarkEnd w:id="131"/>
      <w:bookmarkEnd w:id="132"/>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1.2.1  本招标项目的资金来源：见投标人须知前附表。</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1.2.2  本招标项目的出资比例：见投标人须知前附表。</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1.2.3  本招标项目的资金落实情况：见投标人须知前附表。</w:t>
      </w:r>
    </w:p>
    <w:p>
      <w:pPr>
        <w:pStyle w:val="5"/>
        <w:snapToGrid w:val="0"/>
        <w:spacing w:before="0" w:after="0" w:line="360" w:lineRule="auto"/>
        <w:rPr>
          <w:rFonts w:hint="eastAsia" w:ascii="宋体" w:hAnsi="宋体"/>
          <w:b w:val="0"/>
          <w:snapToGrid w:val="0"/>
          <w:color w:val="auto"/>
          <w:sz w:val="24"/>
          <w:szCs w:val="24"/>
          <w:highlight w:val="none"/>
        </w:rPr>
      </w:pPr>
      <w:bookmarkStart w:id="133" w:name="_Toc200513129"/>
      <w:bookmarkStart w:id="134" w:name="_Toc287607749"/>
      <w:bookmarkStart w:id="135" w:name="_Toc287620688"/>
      <w:bookmarkStart w:id="136" w:name="_Toc509218713"/>
      <w:bookmarkStart w:id="137" w:name="_Toc224103320"/>
      <w:bookmarkStart w:id="138" w:name="_Toc26060"/>
      <w:bookmarkStart w:id="139" w:name="_Toc4104"/>
      <w:bookmarkStart w:id="140" w:name="_Toc430530438"/>
      <w:bookmarkStart w:id="141" w:name="_Toc277082555"/>
      <w:r>
        <w:rPr>
          <w:rFonts w:ascii="宋体" w:hAnsi="宋体"/>
          <w:b w:val="0"/>
          <w:snapToGrid w:val="0"/>
          <w:color w:val="auto"/>
          <w:sz w:val="24"/>
          <w:szCs w:val="24"/>
          <w:highlight w:val="none"/>
        </w:rPr>
        <w:t>1.3  招标范围、计划工期和质量要求</w:t>
      </w:r>
      <w:bookmarkEnd w:id="133"/>
      <w:bookmarkEnd w:id="134"/>
      <w:bookmarkEnd w:id="135"/>
      <w:bookmarkEnd w:id="136"/>
      <w:bookmarkEnd w:id="137"/>
      <w:bookmarkEnd w:id="138"/>
      <w:bookmarkEnd w:id="139"/>
      <w:bookmarkEnd w:id="140"/>
      <w:bookmarkEnd w:id="141"/>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1.3.1  招标范围：见投标人须知前附表。</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1.3.2  计划工期：见投标人须知前附表。</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1.3.3  质量要求：见投标人须知前附表。</w:t>
      </w:r>
    </w:p>
    <w:p>
      <w:pPr>
        <w:pStyle w:val="5"/>
        <w:snapToGrid w:val="0"/>
        <w:spacing w:before="0" w:after="0" w:line="360" w:lineRule="auto"/>
        <w:rPr>
          <w:rFonts w:hint="eastAsia" w:ascii="宋体" w:hAnsi="宋体"/>
          <w:b w:val="0"/>
          <w:snapToGrid w:val="0"/>
          <w:color w:val="auto"/>
          <w:sz w:val="24"/>
          <w:szCs w:val="24"/>
          <w:highlight w:val="none"/>
        </w:rPr>
      </w:pPr>
      <w:bookmarkStart w:id="142" w:name="_Toc1894"/>
      <w:bookmarkStart w:id="143" w:name="_Toc287607751"/>
      <w:bookmarkStart w:id="144" w:name="_Toc509218715"/>
      <w:bookmarkStart w:id="145" w:name="_Toc224103322"/>
      <w:bookmarkStart w:id="146" w:name="_Toc277082557"/>
      <w:bookmarkStart w:id="147" w:name="_Toc430530440"/>
      <w:bookmarkStart w:id="148" w:name="_Toc287620690"/>
      <w:bookmarkStart w:id="149" w:name="_Toc200513131"/>
      <w:bookmarkStart w:id="150" w:name="_Toc6782"/>
      <w:r>
        <w:rPr>
          <w:rFonts w:ascii="宋体" w:hAnsi="宋体"/>
          <w:b w:val="0"/>
          <w:snapToGrid w:val="0"/>
          <w:color w:val="auto"/>
          <w:sz w:val="24"/>
          <w:szCs w:val="24"/>
          <w:highlight w:val="none"/>
        </w:rPr>
        <w:t>1.4  投标人资格要求</w:t>
      </w:r>
      <w:bookmarkEnd w:id="142"/>
      <w:bookmarkEnd w:id="143"/>
      <w:bookmarkEnd w:id="144"/>
      <w:bookmarkEnd w:id="145"/>
      <w:bookmarkEnd w:id="146"/>
      <w:bookmarkEnd w:id="147"/>
      <w:bookmarkEnd w:id="148"/>
      <w:bookmarkEnd w:id="149"/>
      <w:bookmarkEnd w:id="150"/>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1.4.1 投标人应具备承担本标段施工的资质条件、能力和信誉。</w:t>
      </w:r>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w:t>
      </w:r>
      <w:r>
        <w:rPr>
          <w:rFonts w:hint="eastAsia" w:ascii="宋体" w:hAnsi="宋体"/>
          <w:color w:val="auto"/>
          <w:szCs w:val="21"/>
          <w:highlight w:val="none"/>
          <w:lang w:eastAsia="zh-CN"/>
        </w:rPr>
        <w:t>独立法人资格</w:t>
      </w:r>
      <w:r>
        <w:rPr>
          <w:rFonts w:ascii="宋体" w:hAnsi="宋体"/>
          <w:color w:val="auto"/>
          <w:szCs w:val="21"/>
          <w:highlight w:val="none"/>
        </w:rPr>
        <w:t>及安全生产条件</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（2）财务要求：见投标人须知前附表；</w:t>
      </w:r>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（3）业绩要求：见投标人须知前附表；</w:t>
      </w:r>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（5）项目经理资格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（6）其他要求：见投标人须知前附表。</w:t>
      </w:r>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（1）联合体各方应按招标文件提供的格式签订</w:t>
      </w:r>
      <w:r>
        <w:rPr>
          <w:rFonts w:hint="eastAsia" w:ascii="宋体" w:hAnsi="宋体"/>
          <w:color w:val="auto"/>
          <w:highlight w:val="none"/>
          <w:lang w:val="en-US" w:eastAsia="zh-CN"/>
        </w:rPr>
        <w:t>共同投标协议</w:t>
      </w:r>
      <w:r>
        <w:rPr>
          <w:rFonts w:ascii="宋体" w:hAnsi="宋体"/>
          <w:snapToGrid w:val="0"/>
          <w:color w:val="auto"/>
          <w:kern w:val="0"/>
          <w:szCs w:val="21"/>
          <w:highlight w:val="none"/>
        </w:rPr>
        <w:t>，明确联合体牵头人和各方权利义务</w:t>
      </w:r>
      <w:r>
        <w:rPr>
          <w:rFonts w:hint="eastAsia" w:ascii="宋体" w:hAnsi="宋体"/>
          <w:snapToGrid w:val="0"/>
          <w:color w:val="auto"/>
          <w:kern w:val="0"/>
          <w:szCs w:val="21"/>
          <w:highlight w:val="none"/>
          <w:lang w:eastAsia="zh-CN"/>
        </w:rPr>
        <w:t>，</w:t>
      </w:r>
      <w:r>
        <w:rPr>
          <w:rFonts w:asciiTheme="minorEastAsia" w:hAnsiTheme="minorEastAsia" w:eastAsiaTheme="minorEastAsia"/>
          <w:color w:val="auto"/>
          <w:highlight w:val="none"/>
        </w:rPr>
        <w:t>并承诺就中标项目向招标人承担连带责任</w:t>
      </w:r>
      <w:r>
        <w:rPr>
          <w:rFonts w:ascii="宋体" w:hAnsi="宋体"/>
          <w:snapToGrid w:val="0"/>
          <w:color w:val="auto"/>
          <w:kern w:val="0"/>
          <w:szCs w:val="21"/>
          <w:highlight w:val="none"/>
        </w:rPr>
        <w:t>；</w:t>
      </w:r>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（2）联合体各方均应当具备承担招标项目的相应能力；</w:t>
      </w:r>
      <w:r>
        <w:rPr>
          <w:rFonts w:hint="eastAsia" w:ascii="宋体" w:hAnsi="宋体"/>
          <w:snapToGrid w:val="0"/>
          <w:color w:val="auto"/>
          <w:kern w:val="0"/>
          <w:szCs w:val="21"/>
          <w:highlight w:val="none"/>
          <w:lang w:val="en-US" w:eastAsia="zh-CN"/>
        </w:rPr>
        <w:t>共同投标协议</w:t>
      </w:r>
      <w:r>
        <w:rPr>
          <w:rFonts w:ascii="宋体" w:hAnsi="宋体"/>
          <w:snapToGrid w:val="0"/>
          <w:color w:val="auto"/>
          <w:kern w:val="0"/>
          <w:szCs w:val="21"/>
          <w:highlight w:val="none"/>
        </w:rPr>
        <w:t>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w:t>
      </w:r>
      <w:r>
        <w:rPr>
          <w:rFonts w:hint="eastAsia" w:ascii="宋体" w:hAnsi="宋体"/>
          <w:snapToGrid w:val="0"/>
          <w:color w:val="auto"/>
          <w:kern w:val="0"/>
          <w:szCs w:val="21"/>
          <w:highlight w:val="none"/>
          <w:lang w:val="en-US" w:eastAsia="zh-CN"/>
        </w:rPr>
        <w:t>本招标项目</w:t>
      </w:r>
      <w:r>
        <w:rPr>
          <w:rFonts w:ascii="宋体" w:hAnsi="宋体"/>
          <w:snapToGrid w:val="0"/>
          <w:color w:val="auto"/>
          <w:kern w:val="0"/>
          <w:szCs w:val="21"/>
          <w:highlight w:val="none"/>
        </w:rPr>
        <w:t>同一标段中投标</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否则各相关投标均无效</w:t>
      </w:r>
      <w:r>
        <w:rPr>
          <w:rFonts w:ascii="宋体" w:hAnsi="宋体"/>
          <w:snapToGrid w:val="0"/>
          <w:color w:val="auto"/>
          <w:kern w:val="0"/>
          <w:szCs w:val="21"/>
          <w:highlight w:val="none"/>
        </w:rPr>
        <w:t>。</w:t>
      </w:r>
    </w:p>
    <w:p>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1.4.3  投标人不得存在下列情形之一：</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（1）与招标人存在利害关系可能影响招标公正性的法人、其他组织或者个人；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（6）与本标段的监理人或代建人或招标代理机构同为一个法定代表人的；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（7）与本标段的监理人或代建人或招标代理机构</w:t>
      </w:r>
      <w:r>
        <w:rPr>
          <w:rFonts w:hint="eastAsia" w:ascii="宋体" w:hAnsi="宋体"/>
          <w:snapToGrid w:val="0"/>
          <w:color w:val="auto"/>
          <w:kern w:val="0"/>
          <w:szCs w:val="21"/>
          <w:highlight w:val="none"/>
          <w:lang w:eastAsia="zh-CN"/>
        </w:rPr>
        <w:t>存在</w:t>
      </w:r>
      <w:r>
        <w:rPr>
          <w:rFonts w:ascii="宋体" w:hAnsi="宋体"/>
          <w:snapToGrid w:val="0"/>
          <w:color w:val="auto"/>
          <w:kern w:val="0"/>
          <w:szCs w:val="21"/>
          <w:highlight w:val="none"/>
        </w:rPr>
        <w:t>控股或参股的；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（8）与本标段的监理人或代建人或招标代理机构相互任职或工作的；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）被市场监督管理机关在全国企业信用信息公示系统中列入严重违法失信企业名单</w:t>
      </w:r>
      <w:r>
        <w:rPr>
          <w:rFonts w:hint="eastAsia" w:ascii="宋体" w:hAnsi="宋体"/>
          <w:snapToGrid w:val="0"/>
          <w:color w:val="auto"/>
          <w:kern w:val="0"/>
          <w:szCs w:val="21"/>
          <w:highlight w:val="none"/>
          <w:lang w:eastAsia="zh-CN"/>
        </w:rPr>
        <w:t>；</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lang w:eastAsia="zh-CN"/>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13</w:t>
      </w:r>
      <w:r>
        <w:rPr>
          <w:rFonts w:ascii="宋体" w:hAnsi="宋体"/>
          <w:snapToGrid w:val="0"/>
          <w:color w:val="auto"/>
          <w:kern w:val="0"/>
          <w:szCs w:val="21"/>
          <w:highlight w:val="none"/>
        </w:rPr>
        <w:t>）</w:t>
      </w:r>
      <w:r>
        <w:rPr>
          <w:rFonts w:ascii="宋体" w:hAnsi="宋体"/>
          <w:color w:val="auto"/>
          <w:szCs w:val="21"/>
          <w:highlight w:val="none"/>
        </w:rPr>
        <w:t>单位负责人为同一人或者存在控股、管理关系的不同单位，不得在同一标段中同时投标</w:t>
      </w:r>
      <w:r>
        <w:rPr>
          <w:rFonts w:hint="eastAsia" w:ascii="宋体" w:hAnsi="宋体"/>
          <w:snapToGrid w:val="0"/>
          <w:color w:val="auto"/>
          <w:kern w:val="0"/>
          <w:szCs w:val="21"/>
          <w:highlight w:val="none"/>
          <w:lang w:eastAsia="zh-CN"/>
        </w:rPr>
        <w:t>；</w:t>
      </w:r>
    </w:p>
    <w:p>
      <w:pPr>
        <w:autoSpaceDE w:val="0"/>
        <w:autoSpaceDN w:val="0"/>
        <w:adjustRightInd w:val="0"/>
        <w:snapToGrid w:val="0"/>
        <w:spacing w:line="360" w:lineRule="auto"/>
        <w:ind w:left="459" w:leftChars="190" w:hanging="60" w:hangingChars="2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14</w:t>
      </w:r>
      <w:r>
        <w:rPr>
          <w:rFonts w:hint="eastAsia" w:ascii="宋体" w:hAnsi="宋体"/>
          <w:snapToGrid w:val="0"/>
          <w:color w:val="auto"/>
          <w:kern w:val="0"/>
          <w:szCs w:val="21"/>
          <w:highlight w:val="none"/>
          <w:lang w:eastAsia="zh-CN"/>
        </w:rPr>
        <w:t>）法律法规或投标人须知前附表规定的其他情形</w:t>
      </w:r>
      <w:r>
        <w:rPr>
          <w:rFonts w:hint="eastAsia" w:ascii="宋体" w:hAnsi="宋体"/>
          <w:color w:val="auto"/>
          <w:sz w:val="22"/>
          <w:szCs w:val="22"/>
          <w:highlight w:val="none"/>
        </w:rPr>
        <w:t>。</w:t>
      </w:r>
    </w:p>
    <w:p>
      <w:pPr>
        <w:pStyle w:val="5"/>
        <w:snapToGrid w:val="0"/>
        <w:spacing w:before="0" w:after="0" w:line="360" w:lineRule="auto"/>
        <w:rPr>
          <w:rFonts w:hint="eastAsia" w:ascii="宋体" w:hAnsi="宋体"/>
          <w:b w:val="0"/>
          <w:snapToGrid w:val="0"/>
          <w:color w:val="auto"/>
          <w:sz w:val="24"/>
          <w:szCs w:val="24"/>
          <w:highlight w:val="none"/>
        </w:rPr>
      </w:pPr>
      <w:bookmarkStart w:id="151" w:name="_Toc200513132"/>
      <w:bookmarkStart w:id="152" w:name="_Toc509218716"/>
      <w:bookmarkStart w:id="153" w:name="_Toc224103323"/>
      <w:bookmarkStart w:id="154" w:name="_Toc287620691"/>
      <w:bookmarkStart w:id="155" w:name="_Toc20662"/>
      <w:bookmarkStart w:id="156" w:name="_Toc277082558"/>
      <w:bookmarkStart w:id="157" w:name="_Toc430530441"/>
      <w:bookmarkStart w:id="158" w:name="_Toc14212"/>
      <w:bookmarkStart w:id="159" w:name="_Toc287607752"/>
      <w:r>
        <w:rPr>
          <w:rFonts w:ascii="宋体" w:hAnsi="宋体"/>
          <w:b w:val="0"/>
          <w:snapToGrid w:val="0"/>
          <w:color w:val="auto"/>
          <w:sz w:val="24"/>
          <w:szCs w:val="24"/>
          <w:highlight w:val="none"/>
        </w:rPr>
        <w:t>1.5  费用承担</w:t>
      </w:r>
      <w:bookmarkEnd w:id="151"/>
      <w:bookmarkEnd w:id="152"/>
      <w:bookmarkEnd w:id="153"/>
      <w:bookmarkEnd w:id="154"/>
      <w:bookmarkEnd w:id="155"/>
      <w:bookmarkEnd w:id="156"/>
      <w:bookmarkEnd w:id="157"/>
      <w:bookmarkEnd w:id="158"/>
      <w:bookmarkEnd w:id="159"/>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投标人准备和参加投标活动发生的费用自理。</w:t>
      </w:r>
    </w:p>
    <w:p>
      <w:pPr>
        <w:pStyle w:val="5"/>
        <w:snapToGrid w:val="0"/>
        <w:spacing w:before="0" w:after="0" w:line="360" w:lineRule="auto"/>
        <w:rPr>
          <w:rFonts w:hint="eastAsia" w:ascii="宋体" w:hAnsi="宋体"/>
          <w:b w:val="0"/>
          <w:snapToGrid w:val="0"/>
          <w:color w:val="auto"/>
          <w:sz w:val="24"/>
          <w:szCs w:val="24"/>
          <w:highlight w:val="none"/>
        </w:rPr>
      </w:pPr>
      <w:bookmarkStart w:id="160" w:name="_Toc224103324"/>
      <w:bookmarkStart w:id="161" w:name="_Toc27345"/>
      <w:bookmarkStart w:id="162" w:name="_Toc430530442"/>
      <w:bookmarkStart w:id="163" w:name="_Toc26130"/>
      <w:bookmarkStart w:id="164" w:name="_Toc509218717"/>
      <w:bookmarkStart w:id="165" w:name="_Toc277082559"/>
      <w:bookmarkStart w:id="166" w:name="_Toc200513133"/>
      <w:bookmarkStart w:id="167" w:name="_Toc287620692"/>
      <w:bookmarkStart w:id="168" w:name="_Toc287607753"/>
      <w:r>
        <w:rPr>
          <w:rFonts w:ascii="宋体" w:hAnsi="宋体"/>
          <w:b w:val="0"/>
          <w:snapToGrid w:val="0"/>
          <w:color w:val="auto"/>
          <w:sz w:val="24"/>
          <w:szCs w:val="24"/>
          <w:highlight w:val="none"/>
        </w:rPr>
        <w:t>1.6  保密</w:t>
      </w:r>
      <w:bookmarkEnd w:id="160"/>
      <w:bookmarkEnd w:id="161"/>
      <w:bookmarkEnd w:id="162"/>
      <w:bookmarkEnd w:id="163"/>
      <w:bookmarkEnd w:id="164"/>
      <w:bookmarkEnd w:id="165"/>
      <w:bookmarkEnd w:id="166"/>
      <w:bookmarkEnd w:id="167"/>
      <w:bookmarkEnd w:id="168"/>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参与招标投标活动的各方应对招标文件和投标文件中的商业和技术等秘密保密，违者应对由此造成的后果承担法律责任。</w:t>
      </w:r>
    </w:p>
    <w:p>
      <w:pPr>
        <w:pStyle w:val="5"/>
        <w:snapToGrid w:val="0"/>
        <w:spacing w:before="0" w:after="0" w:line="360" w:lineRule="auto"/>
        <w:rPr>
          <w:rFonts w:hint="eastAsia" w:ascii="宋体" w:hAnsi="宋体"/>
          <w:b w:val="0"/>
          <w:snapToGrid w:val="0"/>
          <w:color w:val="auto"/>
          <w:sz w:val="24"/>
          <w:szCs w:val="24"/>
          <w:highlight w:val="none"/>
        </w:rPr>
      </w:pPr>
      <w:bookmarkStart w:id="169" w:name="_Toc1222"/>
      <w:bookmarkStart w:id="170" w:name="_Toc287620693"/>
      <w:bookmarkStart w:id="171" w:name="_Toc287607754"/>
      <w:bookmarkStart w:id="172" w:name="_Toc430530443"/>
      <w:bookmarkStart w:id="173" w:name="_Toc200513134"/>
      <w:bookmarkStart w:id="174" w:name="_Toc224103325"/>
      <w:bookmarkStart w:id="175" w:name="_Toc16061"/>
      <w:bookmarkStart w:id="176" w:name="_Toc509218718"/>
      <w:bookmarkStart w:id="177" w:name="_Toc277082560"/>
      <w:r>
        <w:rPr>
          <w:rFonts w:ascii="宋体" w:hAnsi="宋体"/>
          <w:b w:val="0"/>
          <w:snapToGrid w:val="0"/>
          <w:color w:val="auto"/>
          <w:sz w:val="24"/>
          <w:szCs w:val="24"/>
          <w:highlight w:val="none"/>
        </w:rPr>
        <w:t>1.7  语言文字</w:t>
      </w:r>
      <w:bookmarkEnd w:id="169"/>
      <w:bookmarkEnd w:id="170"/>
      <w:bookmarkEnd w:id="171"/>
      <w:bookmarkEnd w:id="172"/>
      <w:bookmarkEnd w:id="173"/>
      <w:bookmarkEnd w:id="174"/>
      <w:bookmarkEnd w:id="175"/>
      <w:bookmarkEnd w:id="176"/>
      <w:bookmarkEnd w:id="177"/>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pPr>
        <w:pStyle w:val="5"/>
        <w:snapToGrid w:val="0"/>
        <w:spacing w:before="0" w:after="0" w:line="360" w:lineRule="auto"/>
        <w:rPr>
          <w:rFonts w:hint="eastAsia" w:ascii="宋体" w:hAnsi="宋体"/>
          <w:b w:val="0"/>
          <w:snapToGrid w:val="0"/>
          <w:color w:val="auto"/>
          <w:sz w:val="24"/>
          <w:szCs w:val="24"/>
          <w:highlight w:val="none"/>
        </w:rPr>
      </w:pPr>
      <w:bookmarkStart w:id="178" w:name="_Toc430530444"/>
      <w:bookmarkStart w:id="179" w:name="_Toc287620694"/>
      <w:bookmarkStart w:id="180" w:name="_Toc200513135"/>
      <w:bookmarkStart w:id="181" w:name="_Toc224103326"/>
      <w:bookmarkStart w:id="182" w:name="_Toc4779"/>
      <w:bookmarkStart w:id="183" w:name="_Toc277082561"/>
      <w:bookmarkStart w:id="184" w:name="_Toc509218719"/>
      <w:bookmarkStart w:id="185" w:name="_Toc13374"/>
      <w:bookmarkStart w:id="186" w:name="_Toc287607755"/>
      <w:r>
        <w:rPr>
          <w:rFonts w:ascii="宋体" w:hAnsi="宋体"/>
          <w:b w:val="0"/>
          <w:snapToGrid w:val="0"/>
          <w:color w:val="auto"/>
          <w:sz w:val="24"/>
          <w:szCs w:val="24"/>
          <w:highlight w:val="none"/>
        </w:rPr>
        <w:t>1.8  计量单位</w:t>
      </w:r>
      <w:bookmarkEnd w:id="178"/>
      <w:bookmarkEnd w:id="179"/>
      <w:bookmarkEnd w:id="180"/>
      <w:bookmarkEnd w:id="181"/>
      <w:bookmarkEnd w:id="182"/>
      <w:bookmarkEnd w:id="183"/>
      <w:bookmarkEnd w:id="184"/>
      <w:bookmarkEnd w:id="185"/>
      <w:bookmarkEnd w:id="186"/>
    </w:p>
    <w:p>
      <w:pPr>
        <w:autoSpaceDE w:val="0"/>
        <w:autoSpaceDN w:val="0"/>
        <w:adjustRightInd w:val="0"/>
        <w:snapToGrid w:val="0"/>
        <w:spacing w:line="360" w:lineRule="auto"/>
        <w:ind w:firstLine="424" w:firstLineChars="202"/>
        <w:rPr>
          <w:rFonts w:hint="eastAsia"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pPr>
        <w:pStyle w:val="5"/>
        <w:snapToGrid w:val="0"/>
        <w:spacing w:before="0" w:after="0" w:line="360" w:lineRule="auto"/>
        <w:rPr>
          <w:rFonts w:hint="eastAsia" w:ascii="宋体" w:hAnsi="宋体"/>
          <w:b w:val="0"/>
          <w:snapToGrid w:val="0"/>
          <w:color w:val="auto"/>
          <w:sz w:val="24"/>
          <w:szCs w:val="24"/>
          <w:highlight w:val="none"/>
        </w:rPr>
      </w:pPr>
      <w:bookmarkStart w:id="187" w:name="_Toc7227"/>
      <w:bookmarkStart w:id="188" w:name="_Toc200513136"/>
      <w:bookmarkStart w:id="189" w:name="_Toc277082562"/>
      <w:bookmarkStart w:id="190" w:name="_Toc224103327"/>
      <w:bookmarkStart w:id="191" w:name="_Toc287607756"/>
      <w:bookmarkStart w:id="192" w:name="_Toc430530445"/>
      <w:bookmarkStart w:id="193" w:name="_Toc287620695"/>
      <w:bookmarkStart w:id="194" w:name="_Toc509218720"/>
      <w:bookmarkStart w:id="195" w:name="_Toc19275"/>
      <w:r>
        <w:rPr>
          <w:rFonts w:ascii="宋体" w:hAnsi="宋体"/>
          <w:b w:val="0"/>
          <w:snapToGrid w:val="0"/>
          <w:color w:val="auto"/>
          <w:sz w:val="24"/>
          <w:szCs w:val="24"/>
          <w:highlight w:val="none"/>
        </w:rPr>
        <w:t>1.9  踏勘现场</w:t>
      </w:r>
      <w:bookmarkEnd w:id="187"/>
      <w:bookmarkEnd w:id="188"/>
      <w:bookmarkEnd w:id="189"/>
      <w:bookmarkEnd w:id="190"/>
      <w:bookmarkEnd w:id="191"/>
      <w:bookmarkEnd w:id="192"/>
      <w:bookmarkEnd w:id="193"/>
      <w:bookmarkEnd w:id="194"/>
      <w:bookmarkEnd w:id="195"/>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1.9.1  投标人须知前附表规定组织踏勘现场的，招标人按投标人须知前附表规定的时间、 地点组织投标人踏勘项目现场。</w:t>
      </w:r>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1.9.2  投标人踏勘现场发生的费用自理。</w:t>
      </w:r>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1.9.3  除招标人的原因外，投标人自行负责在踏勘现场中所发生的人员伤亡和财产损失。</w:t>
      </w:r>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1.9.4  招标人在踏勘现场中介绍的工程场地和相关的周边环境情况，供投标人在编制投标文件时参考，招标人不对投标人据此做出的判断和决策负责。</w:t>
      </w:r>
    </w:p>
    <w:p>
      <w:pPr>
        <w:pStyle w:val="5"/>
        <w:snapToGrid w:val="0"/>
        <w:spacing w:before="0" w:after="0" w:line="360" w:lineRule="auto"/>
        <w:rPr>
          <w:rFonts w:hint="eastAsia" w:ascii="宋体" w:hAnsi="宋体"/>
          <w:b w:val="0"/>
          <w:snapToGrid w:val="0"/>
          <w:color w:val="auto"/>
          <w:sz w:val="24"/>
          <w:szCs w:val="24"/>
          <w:highlight w:val="none"/>
        </w:rPr>
      </w:pPr>
      <w:bookmarkStart w:id="196" w:name="_Toc32057"/>
      <w:bookmarkStart w:id="197" w:name="_Toc21041"/>
      <w:bookmarkStart w:id="198" w:name="_Toc509218721"/>
      <w:bookmarkStart w:id="199" w:name="_Toc200513137"/>
      <w:bookmarkStart w:id="200" w:name="_Toc277082563"/>
      <w:bookmarkStart w:id="201" w:name="_Toc430530446"/>
      <w:bookmarkStart w:id="202" w:name="_Toc287607757"/>
      <w:bookmarkStart w:id="203" w:name="_Toc287620696"/>
      <w:bookmarkStart w:id="204" w:name="_Toc224103328"/>
      <w:r>
        <w:rPr>
          <w:rFonts w:ascii="宋体" w:hAnsi="宋体"/>
          <w:b w:val="0"/>
          <w:snapToGrid w:val="0"/>
          <w:color w:val="auto"/>
          <w:sz w:val="24"/>
          <w:szCs w:val="24"/>
          <w:highlight w:val="none"/>
        </w:rPr>
        <w:t>1.10  投标预备会</w:t>
      </w:r>
      <w:bookmarkEnd w:id="196"/>
      <w:bookmarkEnd w:id="197"/>
      <w:bookmarkEnd w:id="198"/>
      <w:bookmarkEnd w:id="199"/>
      <w:bookmarkEnd w:id="200"/>
      <w:bookmarkEnd w:id="201"/>
      <w:bookmarkEnd w:id="202"/>
      <w:bookmarkEnd w:id="203"/>
      <w:bookmarkEnd w:id="204"/>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1.10.2  投标人应在投标人须知前附表</w:t>
      </w:r>
      <w:r>
        <w:rPr>
          <w:rFonts w:hint="eastAsia" w:ascii="宋体" w:hAnsi="宋体"/>
          <w:snapToGrid w:val="0"/>
          <w:color w:val="auto"/>
          <w:kern w:val="0"/>
          <w:szCs w:val="21"/>
          <w:highlight w:val="none"/>
        </w:rPr>
        <w:t>第</w:t>
      </w:r>
      <w:r>
        <w:rPr>
          <w:rFonts w:ascii="宋体" w:hAnsi="宋体"/>
          <w:color w:val="auto"/>
          <w:kern w:val="0"/>
          <w:szCs w:val="21"/>
          <w:highlight w:val="none"/>
        </w:rPr>
        <w:t>2.2.4</w:t>
      </w:r>
      <w:r>
        <w:rPr>
          <w:rFonts w:hint="eastAsia" w:ascii="宋体" w:hAnsi="宋体"/>
          <w:color w:val="auto"/>
          <w:kern w:val="0"/>
          <w:szCs w:val="21"/>
          <w:highlight w:val="none"/>
        </w:rPr>
        <w:t>项</w:t>
      </w:r>
      <w:r>
        <w:rPr>
          <w:rFonts w:ascii="宋体" w:hAnsi="宋体"/>
          <w:snapToGrid w:val="0"/>
          <w:color w:val="auto"/>
          <w:kern w:val="0"/>
          <w:szCs w:val="21"/>
          <w:highlight w:val="none"/>
        </w:rPr>
        <w:t>规定的时间前，以书面形式将提出的问题送达招标人，以便招标人澄清。</w:t>
      </w:r>
    </w:p>
    <w:p>
      <w:pPr>
        <w:autoSpaceDE w:val="0"/>
        <w:autoSpaceDN w:val="0"/>
        <w:adjustRightInd w:val="0"/>
        <w:snapToGrid w:val="0"/>
        <w:spacing w:line="360" w:lineRule="auto"/>
        <w:ind w:firstLine="424" w:firstLineChars="202"/>
        <w:rPr>
          <w:rFonts w:hint="eastAsia" w:ascii="宋体" w:hAnsi="宋体"/>
          <w:snapToGrid w:val="0"/>
          <w:color w:val="auto"/>
          <w:kern w:val="0"/>
          <w:szCs w:val="21"/>
          <w:highlight w:val="none"/>
        </w:rPr>
      </w:pPr>
      <w:r>
        <w:rPr>
          <w:rFonts w:ascii="宋体" w:hAnsi="宋体"/>
          <w:snapToGrid w:val="0"/>
          <w:color w:val="auto"/>
          <w:kern w:val="0"/>
          <w:szCs w:val="21"/>
          <w:highlight w:val="none"/>
        </w:rPr>
        <w:t>1.10.3  招标人在投标人须知前附表规定的时间内，将对投标人所提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进行澄清。该澄清内容为招标文件的组成部分。</w:t>
      </w:r>
    </w:p>
    <w:p>
      <w:pPr>
        <w:pStyle w:val="5"/>
        <w:snapToGrid w:val="0"/>
        <w:spacing w:before="0" w:after="0" w:line="360" w:lineRule="auto"/>
        <w:rPr>
          <w:rFonts w:hint="eastAsia" w:ascii="宋体" w:hAnsi="宋体"/>
          <w:b w:val="0"/>
          <w:snapToGrid w:val="0"/>
          <w:color w:val="auto"/>
          <w:sz w:val="24"/>
          <w:szCs w:val="24"/>
          <w:highlight w:val="none"/>
        </w:rPr>
      </w:pPr>
      <w:bookmarkStart w:id="205" w:name="_Toc509218722"/>
      <w:bookmarkStart w:id="206" w:name="_Toc3036"/>
      <w:bookmarkStart w:id="207" w:name="_Toc287620697"/>
      <w:bookmarkStart w:id="208" w:name="_Toc224103329"/>
      <w:bookmarkStart w:id="209" w:name="_Toc20558"/>
      <w:bookmarkStart w:id="210" w:name="_Toc200513138"/>
      <w:bookmarkStart w:id="211" w:name="_Toc287607758"/>
      <w:bookmarkStart w:id="212" w:name="_Toc430530447"/>
      <w:bookmarkStart w:id="213" w:name="_Toc277082564"/>
      <w:r>
        <w:rPr>
          <w:rFonts w:ascii="宋体" w:hAnsi="宋体"/>
          <w:b w:val="0"/>
          <w:snapToGrid w:val="0"/>
          <w:color w:val="auto"/>
          <w:sz w:val="24"/>
          <w:szCs w:val="24"/>
          <w:highlight w:val="none"/>
        </w:rPr>
        <w:t>1.11  分包</w:t>
      </w:r>
      <w:bookmarkEnd w:id="205"/>
      <w:bookmarkEnd w:id="206"/>
      <w:bookmarkEnd w:id="207"/>
      <w:bookmarkEnd w:id="208"/>
      <w:bookmarkEnd w:id="209"/>
      <w:bookmarkEnd w:id="210"/>
      <w:bookmarkEnd w:id="211"/>
      <w:bookmarkEnd w:id="212"/>
      <w:bookmarkEnd w:id="213"/>
    </w:p>
    <w:p>
      <w:pPr>
        <w:autoSpaceDE w:val="0"/>
        <w:autoSpaceDN w:val="0"/>
        <w:adjustRightInd w:val="0"/>
        <w:snapToGrid w:val="0"/>
        <w:spacing w:line="360" w:lineRule="auto"/>
        <w:ind w:firstLine="426"/>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投标人拟在中标后将中标项目的部分非主体、非关键性工作进行分包的，应符合投标人须知前附表规定的分包内容、分包金额和接受分包的第三人资质要求等限制性条件。</w:t>
      </w:r>
    </w:p>
    <w:p>
      <w:pPr>
        <w:pStyle w:val="5"/>
        <w:snapToGrid w:val="0"/>
        <w:spacing w:before="0" w:after="0" w:line="360" w:lineRule="auto"/>
        <w:rPr>
          <w:rFonts w:hint="eastAsia" w:ascii="宋体" w:hAnsi="宋体"/>
          <w:b w:val="0"/>
          <w:snapToGrid w:val="0"/>
          <w:color w:val="auto"/>
          <w:sz w:val="24"/>
          <w:szCs w:val="24"/>
          <w:highlight w:val="none"/>
        </w:rPr>
      </w:pPr>
      <w:bookmarkStart w:id="214" w:name="_Toc509218723"/>
      <w:bookmarkStart w:id="215" w:name="_Toc224103330"/>
      <w:bookmarkStart w:id="216" w:name="_Toc200513139"/>
      <w:bookmarkStart w:id="217" w:name="_Toc5536"/>
      <w:bookmarkStart w:id="218" w:name="_Toc287607759"/>
      <w:bookmarkStart w:id="219" w:name="_Toc287620698"/>
      <w:bookmarkStart w:id="220" w:name="_Toc28199"/>
      <w:bookmarkStart w:id="221" w:name="_Toc430530448"/>
      <w:bookmarkStart w:id="222" w:name="_Toc277082565"/>
      <w:r>
        <w:rPr>
          <w:rFonts w:ascii="宋体" w:hAnsi="宋体"/>
          <w:b w:val="0"/>
          <w:snapToGrid w:val="0"/>
          <w:color w:val="auto"/>
          <w:sz w:val="24"/>
          <w:szCs w:val="24"/>
          <w:highlight w:val="none"/>
        </w:rPr>
        <w:t>1.12  偏离</w:t>
      </w:r>
      <w:bookmarkEnd w:id="214"/>
      <w:bookmarkEnd w:id="215"/>
      <w:bookmarkEnd w:id="216"/>
      <w:bookmarkEnd w:id="217"/>
      <w:bookmarkEnd w:id="218"/>
      <w:bookmarkEnd w:id="219"/>
      <w:bookmarkEnd w:id="220"/>
      <w:bookmarkEnd w:id="221"/>
      <w:bookmarkEnd w:id="222"/>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投标人须知前附表允许投标文件偏离招标文件某些要求的，偏离应当符合招标文件规定 的偏离范围和幅度。</w:t>
      </w:r>
    </w:p>
    <w:p>
      <w:pPr>
        <w:pStyle w:val="4"/>
        <w:spacing w:before="0" w:after="0" w:line="360" w:lineRule="auto"/>
        <w:rPr>
          <w:rFonts w:hint="eastAsia" w:ascii="宋体" w:hAnsi="宋体"/>
          <w:b w:val="0"/>
          <w:snapToGrid w:val="0"/>
          <w:color w:val="auto"/>
          <w:highlight w:val="none"/>
        </w:rPr>
      </w:pPr>
      <w:bookmarkStart w:id="223" w:name="_Toc287620699"/>
      <w:bookmarkStart w:id="224" w:name="_Toc509218724"/>
      <w:bookmarkStart w:id="225" w:name="_Toc224103331"/>
      <w:bookmarkStart w:id="226" w:name="_Toc287607760"/>
      <w:bookmarkStart w:id="227" w:name="_Toc200513140"/>
      <w:bookmarkStart w:id="228" w:name="_Toc277082566"/>
      <w:bookmarkStart w:id="229" w:name="_Toc430530449"/>
      <w:bookmarkStart w:id="230" w:name="_Toc11902"/>
      <w:bookmarkStart w:id="231" w:name="_Toc9086"/>
      <w:r>
        <w:rPr>
          <w:rFonts w:ascii="宋体" w:hAnsi="宋体"/>
          <w:b w:val="0"/>
          <w:snapToGrid w:val="0"/>
          <w:color w:val="auto"/>
          <w:highlight w:val="none"/>
        </w:rPr>
        <w:t>2.  招标文件</w:t>
      </w:r>
      <w:bookmarkEnd w:id="223"/>
      <w:bookmarkEnd w:id="224"/>
      <w:bookmarkEnd w:id="225"/>
      <w:bookmarkEnd w:id="226"/>
      <w:bookmarkEnd w:id="227"/>
      <w:bookmarkEnd w:id="228"/>
      <w:bookmarkEnd w:id="229"/>
      <w:bookmarkEnd w:id="230"/>
      <w:bookmarkEnd w:id="231"/>
    </w:p>
    <w:p>
      <w:pPr>
        <w:pStyle w:val="5"/>
        <w:snapToGrid w:val="0"/>
        <w:spacing w:before="0" w:after="0" w:line="360" w:lineRule="auto"/>
        <w:rPr>
          <w:rFonts w:hint="eastAsia" w:ascii="宋体" w:hAnsi="宋体"/>
          <w:b w:val="0"/>
          <w:snapToGrid w:val="0"/>
          <w:color w:val="auto"/>
          <w:sz w:val="24"/>
          <w:szCs w:val="24"/>
          <w:highlight w:val="none"/>
        </w:rPr>
      </w:pPr>
      <w:bookmarkStart w:id="232" w:name="_Toc509218725"/>
      <w:bookmarkStart w:id="233" w:name="_Toc430530450"/>
      <w:bookmarkStart w:id="234" w:name="_Toc287620700"/>
      <w:bookmarkStart w:id="235" w:name="_Toc224103332"/>
      <w:bookmarkStart w:id="236" w:name="_Toc287607761"/>
      <w:bookmarkStart w:id="237" w:name="_Toc200513141"/>
      <w:bookmarkStart w:id="238" w:name="_Toc4225"/>
      <w:bookmarkStart w:id="239" w:name="_Toc31696"/>
      <w:bookmarkStart w:id="240" w:name="_Toc277082567"/>
      <w:r>
        <w:rPr>
          <w:rFonts w:ascii="宋体" w:hAnsi="宋体"/>
          <w:b w:val="0"/>
          <w:snapToGrid w:val="0"/>
          <w:color w:val="auto"/>
          <w:sz w:val="24"/>
          <w:szCs w:val="24"/>
          <w:highlight w:val="none"/>
        </w:rPr>
        <w:t>2.1  招标文件的组成</w:t>
      </w:r>
      <w:bookmarkEnd w:id="232"/>
      <w:bookmarkEnd w:id="233"/>
      <w:bookmarkEnd w:id="234"/>
      <w:bookmarkEnd w:id="235"/>
      <w:bookmarkEnd w:id="236"/>
      <w:bookmarkEnd w:id="237"/>
      <w:bookmarkEnd w:id="238"/>
      <w:bookmarkEnd w:id="239"/>
      <w:bookmarkEnd w:id="240"/>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本招标文件包括：</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（1）招标公告（或投标邀请书）；</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（2）投标人须知；</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（3）评标办法；</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（4）合同条款及格式；</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（5）工程量清单；</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（6）图纸；</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（7）技术标准和要求；</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（8）投标文件格式；</w:t>
      </w:r>
    </w:p>
    <w:p>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（9）投标人须知前附表规定的其他材料。</w:t>
      </w:r>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根据本章第1.10款、第2.2款和第2.3款对招标文件所作的澄清、修改，构成招标文件的组成部分。</w:t>
      </w:r>
    </w:p>
    <w:p>
      <w:pPr>
        <w:pStyle w:val="5"/>
        <w:snapToGrid w:val="0"/>
        <w:spacing w:before="0" w:after="0" w:line="360" w:lineRule="auto"/>
        <w:rPr>
          <w:rFonts w:hint="eastAsia" w:ascii="宋体" w:hAnsi="宋体"/>
          <w:b w:val="0"/>
          <w:snapToGrid w:val="0"/>
          <w:color w:val="auto"/>
          <w:sz w:val="24"/>
          <w:szCs w:val="24"/>
          <w:highlight w:val="none"/>
        </w:rPr>
      </w:pPr>
      <w:bookmarkStart w:id="241" w:name="_Toc23750"/>
      <w:bookmarkStart w:id="242" w:name="_Toc430530451"/>
      <w:bookmarkStart w:id="243" w:name="_Toc509218726"/>
      <w:bookmarkStart w:id="244" w:name="_Toc13650"/>
      <w:r>
        <w:rPr>
          <w:rFonts w:ascii="宋体" w:hAnsi="宋体"/>
          <w:b w:val="0"/>
          <w:snapToGrid w:val="0"/>
          <w:color w:val="auto"/>
          <w:sz w:val="24"/>
          <w:szCs w:val="24"/>
          <w:highlight w:val="none"/>
        </w:rPr>
        <w:t>2.2  招标文件的澄清</w:t>
      </w:r>
      <w:bookmarkEnd w:id="241"/>
      <w:bookmarkEnd w:id="242"/>
      <w:bookmarkEnd w:id="243"/>
      <w:bookmarkEnd w:id="244"/>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2.2.1  投标人应仔细阅读和检查招标文件的全部内容。如发现缺页或附件不全，应及时向招标人提出，以便补齐。如有疑问，应在投标人须知前附表规定的时间前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，要求招标人对招标文件予以澄清。</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2.2.2  招标文件的澄清将在投标人须知前附表规定的投标截止时间15天前</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但不指明澄清问题的来源。如果澄清发出的时间距投标截止时间不足15天，相应延长投标截止时间。</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ascii="宋体" w:hAnsi="宋体"/>
          <w:color w:val="auto"/>
          <w:kern w:val="0"/>
          <w:szCs w:val="21"/>
          <w:highlight w:val="none"/>
        </w:rPr>
        <w:t>招标人对招标文件的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position w:val="-2"/>
          <w:szCs w:val="21"/>
          <w:highlight w:val="none"/>
        </w:rPr>
        <w:t>2.2.4  投标人对招标文件和</w:t>
      </w:r>
      <w:r>
        <w:rPr>
          <w:rFonts w:hint="eastAsia" w:ascii="宋体" w:hAnsi="宋体"/>
          <w:snapToGrid w:val="0"/>
          <w:color w:val="auto"/>
          <w:kern w:val="0"/>
          <w:position w:val="-2"/>
          <w:szCs w:val="21"/>
          <w:highlight w:val="none"/>
        </w:rPr>
        <w:t>澄清</w:t>
      </w:r>
      <w:r>
        <w:rPr>
          <w:rFonts w:ascii="宋体" w:hAnsi="宋体"/>
          <w:snapToGrid w:val="0"/>
          <w:color w:val="auto"/>
          <w:kern w:val="0"/>
          <w:position w:val="-2"/>
          <w:szCs w:val="21"/>
          <w:highlight w:val="none"/>
        </w:rPr>
        <w:t>修改仍有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的，可于投标截止时间10日前，</w:t>
      </w:r>
      <w:bookmarkStart w:id="245" w:name="OLE_LINK8"/>
      <w:r>
        <w:rPr>
          <w:rFonts w:hint="eastAsia" w:ascii="宋体" w:hAnsi="宋体"/>
          <w:snapToGrid w:val="0"/>
          <w:color w:val="auto"/>
          <w:kern w:val="0"/>
          <w:szCs w:val="21"/>
          <w:highlight w:val="none"/>
        </w:rPr>
        <w:t>以书面形式</w:t>
      </w:r>
      <w:r>
        <w:rPr>
          <w:rFonts w:hint="eastAsia" w:ascii="宋体" w:hAnsi="宋体"/>
          <w:snapToGrid w:val="0"/>
          <w:color w:val="auto"/>
          <w:kern w:val="0"/>
          <w:szCs w:val="21"/>
          <w:highlight w:val="none"/>
          <w:lang w:val="en-US" w:eastAsia="zh-CN"/>
        </w:rPr>
        <w:t>向</w:t>
      </w:r>
      <w:r>
        <w:rPr>
          <w:rFonts w:hint="eastAsia" w:ascii="宋体" w:hAnsi="宋体"/>
          <w:snapToGrid w:val="0"/>
          <w:color w:val="auto"/>
          <w:kern w:val="0"/>
          <w:szCs w:val="21"/>
          <w:highlight w:val="none"/>
        </w:rPr>
        <w:t>招标人或招标代理机构</w:t>
      </w:r>
      <w:r>
        <w:rPr>
          <w:rFonts w:hint="eastAsia" w:ascii="宋体" w:hAnsi="宋体"/>
          <w:snapToGrid w:val="0"/>
          <w:color w:val="auto"/>
          <w:kern w:val="0"/>
          <w:szCs w:val="21"/>
          <w:highlight w:val="none"/>
          <w:lang w:val="en-US" w:eastAsia="zh-CN"/>
        </w:rPr>
        <w:t>提出</w:t>
      </w:r>
      <w:bookmarkEnd w:id="245"/>
      <w:r>
        <w:rPr>
          <w:rFonts w:ascii="宋体" w:hAnsi="宋体"/>
          <w:snapToGrid w:val="0"/>
          <w:color w:val="auto"/>
          <w:kern w:val="0"/>
          <w:szCs w:val="21"/>
          <w:highlight w:val="none"/>
        </w:rPr>
        <w:t>。招标人应将答复以</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的形式在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pPr>
        <w:pStyle w:val="5"/>
        <w:snapToGrid w:val="0"/>
        <w:spacing w:before="0" w:after="0" w:line="360" w:lineRule="auto"/>
        <w:rPr>
          <w:rFonts w:hint="eastAsia" w:ascii="宋体" w:hAnsi="宋体"/>
          <w:b w:val="0"/>
          <w:snapToGrid w:val="0"/>
          <w:color w:val="auto"/>
          <w:sz w:val="24"/>
          <w:szCs w:val="24"/>
          <w:highlight w:val="none"/>
        </w:rPr>
      </w:pPr>
      <w:bookmarkStart w:id="246" w:name="_Toc2693"/>
      <w:bookmarkStart w:id="247" w:name="_Toc287620702"/>
      <w:bookmarkStart w:id="248" w:name="_Toc509218727"/>
      <w:bookmarkStart w:id="249" w:name="_Toc200513143"/>
      <w:bookmarkStart w:id="250" w:name="_Toc287607763"/>
      <w:bookmarkStart w:id="251" w:name="_Toc224103334"/>
      <w:bookmarkStart w:id="252" w:name="_Toc430530452"/>
      <w:bookmarkStart w:id="253" w:name="_Toc277082569"/>
      <w:bookmarkStart w:id="254" w:name="_Toc27922"/>
      <w:r>
        <w:rPr>
          <w:rFonts w:ascii="宋体" w:hAnsi="宋体"/>
          <w:b w:val="0"/>
          <w:snapToGrid w:val="0"/>
          <w:color w:val="auto"/>
          <w:sz w:val="24"/>
          <w:szCs w:val="24"/>
          <w:highlight w:val="none"/>
        </w:rPr>
        <w:t>2.3  招标文件的修改</w:t>
      </w:r>
      <w:bookmarkEnd w:id="246"/>
      <w:bookmarkEnd w:id="247"/>
      <w:bookmarkEnd w:id="248"/>
      <w:bookmarkEnd w:id="249"/>
      <w:bookmarkEnd w:id="250"/>
      <w:bookmarkEnd w:id="251"/>
      <w:bookmarkEnd w:id="252"/>
      <w:bookmarkEnd w:id="253"/>
      <w:bookmarkEnd w:id="254"/>
    </w:p>
    <w:p>
      <w:pPr>
        <w:autoSpaceDE w:val="0"/>
        <w:autoSpaceDN w:val="0"/>
        <w:adjustRightInd w:val="0"/>
        <w:snapToGrid w:val="0"/>
        <w:spacing w:line="360" w:lineRule="auto"/>
        <w:ind w:firstLine="420"/>
        <w:rPr>
          <w:rFonts w:hint="eastAsia" w:ascii="宋体" w:hAnsi="宋体"/>
          <w:snapToGrid w:val="0"/>
          <w:color w:val="auto"/>
          <w:highlight w:val="none"/>
        </w:rPr>
      </w:pPr>
      <w:bookmarkStart w:id="255" w:name="_Toc287620703"/>
      <w:bookmarkStart w:id="256" w:name="_Toc277082570"/>
      <w:bookmarkStart w:id="257" w:name="_Toc224103335"/>
      <w:bookmarkStart w:id="258" w:name="_Toc287607764"/>
      <w:bookmarkStart w:id="259" w:name="_Toc200513144"/>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w:t>
      </w:r>
      <w:r>
        <w:rPr>
          <w:rFonts w:ascii="宋体" w:hAnsi="宋体"/>
          <w:snapToGrid w:val="0"/>
          <w:color w:val="auto"/>
          <w:highlight w:val="none"/>
        </w:rPr>
        <w:t>招标文件的澄清相关内容及方式执行。</w:t>
      </w:r>
    </w:p>
    <w:p>
      <w:pPr>
        <w:pStyle w:val="4"/>
        <w:spacing w:before="0" w:after="0" w:line="360" w:lineRule="auto"/>
        <w:rPr>
          <w:rFonts w:hint="eastAsia" w:ascii="宋体" w:hAnsi="宋体"/>
          <w:b w:val="0"/>
          <w:snapToGrid w:val="0"/>
          <w:color w:val="auto"/>
          <w:highlight w:val="none"/>
        </w:rPr>
      </w:pPr>
      <w:bookmarkStart w:id="260" w:name="_Toc27237"/>
      <w:bookmarkStart w:id="261" w:name="_Toc14543"/>
      <w:bookmarkStart w:id="262" w:name="_Toc430530453"/>
      <w:bookmarkStart w:id="263" w:name="_Toc509218728"/>
      <w:r>
        <w:rPr>
          <w:rFonts w:ascii="宋体" w:hAnsi="宋体"/>
          <w:b w:val="0"/>
          <w:snapToGrid w:val="0"/>
          <w:color w:val="auto"/>
          <w:highlight w:val="none"/>
        </w:rPr>
        <w:t>3.  投标文件</w:t>
      </w:r>
      <w:bookmarkEnd w:id="255"/>
      <w:bookmarkEnd w:id="256"/>
      <w:bookmarkEnd w:id="257"/>
      <w:bookmarkEnd w:id="258"/>
      <w:bookmarkEnd w:id="259"/>
      <w:bookmarkEnd w:id="260"/>
      <w:bookmarkEnd w:id="261"/>
      <w:bookmarkEnd w:id="262"/>
      <w:bookmarkEnd w:id="263"/>
    </w:p>
    <w:p>
      <w:pPr>
        <w:pStyle w:val="5"/>
        <w:snapToGrid w:val="0"/>
        <w:spacing w:before="0" w:after="0" w:line="360" w:lineRule="auto"/>
        <w:rPr>
          <w:rFonts w:hint="eastAsia" w:ascii="宋体" w:hAnsi="宋体"/>
          <w:b w:val="0"/>
          <w:snapToGrid w:val="0"/>
          <w:color w:val="auto"/>
          <w:sz w:val="24"/>
          <w:szCs w:val="24"/>
          <w:highlight w:val="none"/>
        </w:rPr>
      </w:pPr>
      <w:bookmarkStart w:id="264" w:name="_Toc430530454"/>
      <w:bookmarkStart w:id="265" w:name="_Toc8482"/>
      <w:bookmarkStart w:id="266" w:name="_Toc277082571"/>
      <w:bookmarkStart w:id="267" w:name="_Toc200513145"/>
      <w:bookmarkStart w:id="268" w:name="_Toc287620704"/>
      <w:bookmarkStart w:id="269" w:name="_Toc287607765"/>
      <w:bookmarkStart w:id="270" w:name="_Toc224103336"/>
      <w:bookmarkStart w:id="271" w:name="_Toc27916"/>
      <w:bookmarkStart w:id="272" w:name="_Toc509218729"/>
      <w:r>
        <w:rPr>
          <w:rFonts w:ascii="宋体" w:hAnsi="宋体"/>
          <w:b w:val="0"/>
          <w:snapToGrid w:val="0"/>
          <w:color w:val="auto"/>
          <w:sz w:val="24"/>
          <w:szCs w:val="24"/>
          <w:highlight w:val="none"/>
        </w:rPr>
        <w:t>3.1  投标文件的组成</w:t>
      </w:r>
      <w:bookmarkEnd w:id="264"/>
      <w:bookmarkEnd w:id="265"/>
      <w:bookmarkEnd w:id="266"/>
      <w:bookmarkEnd w:id="267"/>
      <w:bookmarkEnd w:id="268"/>
      <w:bookmarkEnd w:id="269"/>
      <w:bookmarkEnd w:id="270"/>
      <w:bookmarkEnd w:id="271"/>
      <w:bookmarkEnd w:id="272"/>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3.1.1 投标文件应包括下列内容：</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3.1.1.1投标保函部分（适用于投标保证金采用纸质投标保函形式的）</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3.1.1.2投标函部分</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（1）投标函</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（2）投标函附录</w:t>
      </w:r>
    </w:p>
    <w:p>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）投标报价合理性说明（如有）</w:t>
      </w:r>
    </w:p>
    <w:p>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）法定代表人身份证明或授权委托书</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3.1.1.3经济部分</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（1）已标价工程量清单</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3.1.1.4技术部分</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3.1.1.5商务部分</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3.1.1.6资格审查部分</w:t>
      </w:r>
    </w:p>
    <w:p>
      <w:pPr>
        <w:spacing w:line="360" w:lineRule="auto"/>
        <w:ind w:firstLine="420" w:firstLineChars="200"/>
        <w:rPr>
          <w:rFonts w:ascii="宋体" w:hAnsi="宋体"/>
          <w:color w:val="auto"/>
          <w:highlight w:val="none"/>
        </w:rPr>
      </w:pPr>
      <w:r>
        <w:rPr>
          <w:rFonts w:hint="eastAsia" w:ascii="宋体" w:hAnsi="宋体"/>
          <w:color w:val="auto"/>
          <w:highlight w:val="none"/>
        </w:rPr>
        <w:t>（1）法定代表人身份证明或授权委托书</w:t>
      </w:r>
    </w:p>
    <w:p>
      <w:pPr>
        <w:spacing w:line="360" w:lineRule="auto"/>
        <w:ind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共同投标协议</w:t>
      </w:r>
      <w:r>
        <w:rPr>
          <w:rFonts w:hint="eastAsia" w:ascii="宋体" w:hAnsi="宋体"/>
          <w:color w:val="auto"/>
          <w:highlight w:val="none"/>
        </w:rPr>
        <w:t>（如有）</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w:t>
      </w:r>
      <w:r>
        <w:rPr>
          <w:rFonts w:ascii="宋体" w:hAnsi="宋体"/>
          <w:color w:val="auto"/>
          <w:highlight w:val="none"/>
        </w:rPr>
        <w:t>投标人基本情况表</w:t>
      </w:r>
    </w:p>
    <w:p>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4</w:t>
      </w:r>
      <w:r>
        <w:rPr>
          <w:rFonts w:ascii="宋体" w:hAnsi="宋体"/>
          <w:color w:val="auto"/>
          <w:highlight w:val="none"/>
        </w:rPr>
        <w:t>）项目管理机构</w:t>
      </w:r>
    </w:p>
    <w:p>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5</w:t>
      </w:r>
      <w:r>
        <w:rPr>
          <w:rFonts w:ascii="宋体" w:hAnsi="宋体"/>
          <w:color w:val="auto"/>
          <w:highlight w:val="none"/>
        </w:rPr>
        <w:t>）近年财务状况表</w:t>
      </w:r>
    </w:p>
    <w:p>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6</w:t>
      </w:r>
      <w:r>
        <w:rPr>
          <w:rFonts w:ascii="宋体" w:hAnsi="宋体"/>
          <w:color w:val="auto"/>
          <w:highlight w:val="none"/>
        </w:rPr>
        <w:t>）类似项目情况表</w:t>
      </w:r>
    </w:p>
    <w:p>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7</w:t>
      </w:r>
      <w:r>
        <w:rPr>
          <w:rFonts w:ascii="宋体" w:hAnsi="宋体"/>
          <w:color w:val="auto"/>
          <w:highlight w:val="none"/>
        </w:rPr>
        <w:t>）</w:t>
      </w:r>
      <w:r>
        <w:rPr>
          <w:rFonts w:hint="eastAsia" w:ascii="宋体" w:hAnsi="宋体"/>
          <w:color w:val="auto"/>
          <w:highlight w:val="none"/>
        </w:rPr>
        <w:t>承诺</w:t>
      </w:r>
    </w:p>
    <w:p>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8</w:t>
      </w:r>
      <w:r>
        <w:rPr>
          <w:rFonts w:ascii="宋体" w:hAnsi="宋体"/>
          <w:color w:val="auto"/>
          <w:highlight w:val="none"/>
        </w:rPr>
        <w:t>）其他资料</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3.1.2  投标人须知前附表规定不接受联合体投标的，或投标人没有组成联合体的，投标文件不包括</w:t>
      </w:r>
      <w:r>
        <w:rPr>
          <w:rFonts w:hint="eastAsia" w:ascii="宋体" w:hAnsi="宋体"/>
          <w:color w:val="auto"/>
          <w:highlight w:val="none"/>
          <w:lang w:val="en-US" w:eastAsia="zh-CN"/>
        </w:rPr>
        <w:t>共同投标协议</w:t>
      </w:r>
      <w:r>
        <w:rPr>
          <w:rFonts w:ascii="宋体" w:hAnsi="宋体"/>
          <w:snapToGrid w:val="0"/>
          <w:color w:val="auto"/>
          <w:kern w:val="0"/>
          <w:szCs w:val="21"/>
          <w:highlight w:val="none"/>
        </w:rPr>
        <w:t>。</w:t>
      </w:r>
    </w:p>
    <w:p>
      <w:pPr>
        <w:pStyle w:val="5"/>
        <w:snapToGrid w:val="0"/>
        <w:spacing w:before="0" w:after="0" w:line="360" w:lineRule="auto"/>
        <w:rPr>
          <w:rFonts w:hint="eastAsia" w:ascii="宋体" w:hAnsi="宋体"/>
          <w:b w:val="0"/>
          <w:snapToGrid w:val="0"/>
          <w:color w:val="auto"/>
          <w:sz w:val="24"/>
          <w:szCs w:val="24"/>
          <w:highlight w:val="none"/>
        </w:rPr>
      </w:pPr>
      <w:bookmarkStart w:id="273" w:name="_Toc224103337"/>
      <w:bookmarkStart w:id="274" w:name="_Toc277082572"/>
      <w:bookmarkStart w:id="275" w:name="_Toc200513146"/>
      <w:bookmarkStart w:id="276" w:name="_Toc31796"/>
      <w:bookmarkStart w:id="277" w:name="_Toc430530455"/>
      <w:bookmarkStart w:id="278" w:name="_Toc11028"/>
      <w:bookmarkStart w:id="279" w:name="_Toc509218730"/>
      <w:bookmarkStart w:id="280" w:name="_Toc287607766"/>
      <w:bookmarkStart w:id="281" w:name="_Toc287620705"/>
      <w:r>
        <w:rPr>
          <w:rFonts w:ascii="宋体" w:hAnsi="宋体"/>
          <w:b w:val="0"/>
          <w:snapToGrid w:val="0"/>
          <w:color w:val="auto"/>
          <w:sz w:val="24"/>
          <w:szCs w:val="24"/>
          <w:highlight w:val="none"/>
        </w:rPr>
        <w:t>3.2  投标报价</w:t>
      </w:r>
      <w:bookmarkEnd w:id="273"/>
      <w:bookmarkEnd w:id="274"/>
      <w:bookmarkEnd w:id="275"/>
      <w:bookmarkEnd w:id="276"/>
      <w:bookmarkEnd w:id="277"/>
      <w:bookmarkEnd w:id="278"/>
      <w:bookmarkEnd w:id="279"/>
      <w:bookmarkEnd w:id="280"/>
      <w:bookmarkEnd w:id="281"/>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3.2.1  投标人应按第五章“工程量清单”的要求填写相应表格。</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投标人在投标截止时间前修改投标函中的投标总报价，应同时修改第五章“工程量清单”中的相应报价。此修改须符合本章第 4.3 款的有关要求。</w:t>
      </w:r>
    </w:p>
    <w:p>
      <w:pPr>
        <w:pStyle w:val="5"/>
        <w:snapToGrid w:val="0"/>
        <w:spacing w:before="0" w:after="0" w:line="360" w:lineRule="auto"/>
        <w:rPr>
          <w:rFonts w:hint="eastAsia" w:ascii="宋体" w:hAnsi="宋体"/>
          <w:b w:val="0"/>
          <w:snapToGrid w:val="0"/>
          <w:color w:val="auto"/>
          <w:sz w:val="24"/>
          <w:szCs w:val="24"/>
          <w:highlight w:val="none"/>
        </w:rPr>
      </w:pPr>
      <w:bookmarkStart w:id="282" w:name="_Toc224103338"/>
      <w:bookmarkStart w:id="283" w:name="_Toc287607767"/>
      <w:bookmarkStart w:id="284" w:name="_Toc277082573"/>
      <w:bookmarkStart w:id="285" w:name="_Toc200513147"/>
      <w:bookmarkStart w:id="286" w:name="_Toc20376"/>
      <w:bookmarkStart w:id="287" w:name="_Toc4304"/>
      <w:bookmarkStart w:id="288" w:name="_Toc509218731"/>
      <w:bookmarkStart w:id="289" w:name="_Toc287620706"/>
      <w:bookmarkStart w:id="290" w:name="_Toc430530456"/>
      <w:r>
        <w:rPr>
          <w:rFonts w:ascii="宋体" w:hAnsi="宋体"/>
          <w:b w:val="0"/>
          <w:snapToGrid w:val="0"/>
          <w:color w:val="auto"/>
          <w:sz w:val="24"/>
          <w:szCs w:val="24"/>
          <w:highlight w:val="none"/>
        </w:rPr>
        <w:t>3.3  投标有效期</w:t>
      </w:r>
      <w:bookmarkEnd w:id="282"/>
      <w:bookmarkEnd w:id="283"/>
      <w:bookmarkEnd w:id="284"/>
      <w:bookmarkEnd w:id="285"/>
      <w:bookmarkEnd w:id="286"/>
      <w:bookmarkEnd w:id="287"/>
      <w:bookmarkEnd w:id="288"/>
      <w:bookmarkEnd w:id="289"/>
      <w:bookmarkEnd w:id="290"/>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3.3.1  在投标人须知前附表规定的投标有效期内，投标人不得要求撤销或修改其投标文件。</w:t>
      </w:r>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highlight w:val="none"/>
        </w:rPr>
        <w:t>（适用于投标保证金采用投标保函形式的）</w:t>
      </w:r>
    </w:p>
    <w:p>
      <w:pPr>
        <w:autoSpaceDE w:val="0"/>
        <w:autoSpaceDN w:val="0"/>
        <w:adjustRightInd w:val="0"/>
        <w:snapToGrid w:val="0"/>
        <w:spacing w:line="360" w:lineRule="auto"/>
        <w:ind w:firstLine="420"/>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291" w:name="_Toc287607768"/>
      <w:bookmarkStart w:id="292" w:name="_Toc224103339"/>
      <w:bookmarkStart w:id="293" w:name="_Toc287620707"/>
      <w:bookmarkStart w:id="294" w:name="_Toc277082574"/>
      <w:bookmarkStart w:id="295" w:name="_Toc430530457"/>
      <w:bookmarkStart w:id="296" w:name="_Toc509218732"/>
      <w:bookmarkStart w:id="297" w:name="_Toc200513148"/>
      <w:bookmarkStart w:id="298" w:name="_Toc1366"/>
      <w:bookmarkStart w:id="299" w:name="_Toc16452"/>
      <w:r>
        <w:rPr>
          <w:rFonts w:ascii="宋体" w:hAnsi="宋体"/>
          <w:b w:val="0"/>
          <w:snapToGrid w:val="0"/>
          <w:color w:val="auto"/>
          <w:sz w:val="24"/>
          <w:szCs w:val="24"/>
          <w:highlight w:val="none"/>
        </w:rPr>
        <w:t xml:space="preserve">3.4  </w:t>
      </w:r>
      <w:bookmarkEnd w:id="291"/>
      <w:bookmarkEnd w:id="292"/>
      <w:bookmarkEnd w:id="293"/>
      <w:bookmarkEnd w:id="294"/>
      <w:bookmarkEnd w:id="295"/>
      <w:bookmarkEnd w:id="296"/>
      <w:bookmarkEnd w:id="297"/>
      <w:r>
        <w:rPr>
          <w:rFonts w:ascii="宋体" w:hAnsi="宋体"/>
          <w:b w:val="0"/>
          <w:snapToGrid w:val="0"/>
          <w:color w:val="auto"/>
          <w:sz w:val="24"/>
          <w:szCs w:val="24"/>
          <w:highlight w:val="none"/>
        </w:rPr>
        <w:t>投标</w:t>
      </w:r>
      <w:bookmarkEnd w:id="298"/>
      <w:r>
        <w:rPr>
          <w:rFonts w:hint="eastAsia" w:ascii="宋体" w:hAnsi="宋体"/>
          <w:b w:val="0"/>
          <w:snapToGrid w:val="0"/>
          <w:color w:val="auto"/>
          <w:sz w:val="24"/>
          <w:szCs w:val="24"/>
          <w:highlight w:val="none"/>
        </w:rPr>
        <w:t>保证金</w:t>
      </w:r>
      <w:bookmarkEnd w:id="299"/>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3.4.1  投标人在递交投标文件的同时，应按投标人须知前附表的规定递交投标保证金，并作为其投标文件的组成部分。联合体投标的，其投标保证金由牵头人递交，并应符合投标人须知前附表的规定。</w:t>
      </w:r>
    </w:p>
    <w:p>
      <w:pPr>
        <w:autoSpaceDE w:val="0"/>
        <w:autoSpaceDN w:val="0"/>
        <w:adjustRightInd w:val="0"/>
        <w:snapToGrid w:val="0"/>
        <w:spacing w:line="360" w:lineRule="auto"/>
        <w:ind w:left="13" w:leftChars="6" w:firstLine="405" w:firstLineChars="193"/>
        <w:rPr>
          <w:rFonts w:hint="eastAsia" w:ascii="宋体" w:hAnsi="宋体"/>
          <w:snapToGrid w:val="0"/>
          <w:color w:val="auto"/>
          <w:kern w:val="0"/>
          <w:szCs w:val="21"/>
          <w:highlight w:val="none"/>
        </w:rPr>
      </w:pPr>
      <w:r>
        <w:rPr>
          <w:rFonts w:ascii="宋体" w:hAnsi="宋体"/>
          <w:snapToGrid w:val="0"/>
          <w:color w:val="auto"/>
          <w:kern w:val="0"/>
          <w:szCs w:val="21"/>
          <w:highlight w:val="none"/>
        </w:rPr>
        <w:t>3.4.2  投标人不按本章第 3.4.1 项要求提交投标保证金的，其投标文件作否决投标处理。</w:t>
      </w:r>
    </w:p>
    <w:p>
      <w:pPr>
        <w:autoSpaceDE w:val="0"/>
        <w:autoSpaceDN w:val="0"/>
        <w:adjustRightInd w:val="0"/>
        <w:snapToGrid w:val="0"/>
        <w:spacing w:line="360" w:lineRule="auto"/>
        <w:ind w:left="13" w:leftChars="6" w:firstLine="405" w:firstLineChars="193"/>
        <w:rPr>
          <w:rFonts w:hint="eastAsia"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退还：见投标人须知前附表</w:t>
      </w:r>
      <w:r>
        <w:rPr>
          <w:rFonts w:ascii="宋体" w:hAnsi="宋体"/>
          <w:snapToGrid w:val="0"/>
          <w:color w:val="auto"/>
          <w:kern w:val="0"/>
          <w:position w:val="-2"/>
          <w:szCs w:val="21"/>
          <w:highlight w:val="none"/>
        </w:rPr>
        <w:t>。</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w:t>
      </w:r>
      <w:r>
        <w:rPr>
          <w:rFonts w:hint="eastAsia" w:asciiTheme="minorEastAsia" w:hAnsiTheme="minorEastAsia" w:eastAsiaTheme="minorEastAsia"/>
          <w:color w:val="auto"/>
          <w:highlight w:val="none"/>
          <w:lang w:val="en-US" w:eastAsia="zh-CN"/>
        </w:rPr>
        <w:t>以现金形式交纳的</w:t>
      </w:r>
      <w:r>
        <w:rPr>
          <w:rFonts w:ascii="宋体" w:hAnsi="宋体"/>
          <w:snapToGrid w:val="0"/>
          <w:color w:val="auto"/>
          <w:kern w:val="0"/>
          <w:szCs w:val="21"/>
          <w:highlight w:val="none"/>
        </w:rPr>
        <w:t>将不予退还</w:t>
      </w:r>
      <w:r>
        <w:rPr>
          <w:rFonts w:hint="eastAsia" w:asciiTheme="minorEastAsia" w:hAnsiTheme="minorEastAsia" w:eastAsiaTheme="minorEastAsia"/>
          <w:color w:val="auto"/>
          <w:highlight w:val="none"/>
          <w:lang w:eastAsia="zh-CN"/>
        </w:rPr>
        <w:t>，以保函形式交纳的由保函开立人支付保函担保的与投标保证金等额的款项</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（1）投标人在规定的投标有效期内撤销或修改其投标文件；</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中标人在收到中标通知书后，无正当理由不与招标人订立合同，在签订合同时向招标人提出附加条件，或者不按照招标文件要求提交履约保证金</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）违反本章第9.2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对投标人的纪律要求的；</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）法律法规规定的其他情形。</w:t>
      </w:r>
    </w:p>
    <w:p>
      <w:pPr>
        <w:tabs>
          <w:tab w:val="left" w:pos="611"/>
          <w:tab w:val="left" w:pos="669"/>
        </w:tabs>
        <w:snapToGrid w:val="0"/>
        <w:spacing w:line="360" w:lineRule="auto"/>
        <w:ind w:firstLine="420" w:firstLineChars="200"/>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3.4.5</w:t>
      </w:r>
      <w:r>
        <w:rPr>
          <w:rFonts w:hint="eastAsia" w:ascii="宋体" w:hAnsi="宋体" w:eastAsia="宋体" w:cs="宋体"/>
          <w:color w:val="auto"/>
          <w:highlight w:val="none"/>
        </w:rPr>
        <w:t>投标保证金的其他要求：</w:t>
      </w:r>
    </w:p>
    <w:p>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color w:val="auto"/>
          <w:kern w:val="0"/>
          <w:highlight w:val="none"/>
        </w:rPr>
        <w:t>（1）投标保证金为无条件担保；</w:t>
      </w:r>
    </w:p>
    <w:p>
      <w:pPr>
        <w:tabs>
          <w:tab w:val="left" w:pos="611"/>
          <w:tab w:val="left" w:pos="669"/>
        </w:tabs>
        <w:snapToGrid w:val="0"/>
        <w:spacing w:line="360" w:lineRule="auto"/>
        <w:ind w:firstLine="420" w:firstLineChars="200"/>
        <w:rPr>
          <w:rFonts w:hint="eastAsia" w:ascii="宋体" w:hAnsi="宋体"/>
          <w:color w:val="auto"/>
          <w:kern w:val="0"/>
          <w:highlight w:val="none"/>
        </w:rPr>
      </w:pPr>
      <w:r>
        <w:rPr>
          <w:rFonts w:ascii="宋体" w:hAnsi="宋体"/>
          <w:color w:val="auto"/>
          <w:kern w:val="0"/>
          <w:highlight w:val="none"/>
        </w:rPr>
        <w:t>（2）投标保证金的受益人为招标人</w:t>
      </w:r>
      <w:r>
        <w:rPr>
          <w:rFonts w:hint="eastAsia" w:ascii="宋体" w:hAnsi="宋体"/>
          <w:color w:val="auto"/>
          <w:kern w:val="0"/>
          <w:highlight w:val="none"/>
        </w:rPr>
        <w:t>。</w:t>
      </w:r>
    </w:p>
    <w:p>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00" w:name="_Toc287607770"/>
      <w:bookmarkStart w:id="301" w:name="_Toc287620709"/>
      <w:bookmarkStart w:id="302" w:name="_Toc9570"/>
      <w:bookmarkStart w:id="303" w:name="_Toc224103341"/>
      <w:bookmarkStart w:id="304" w:name="_Toc277082576"/>
      <w:bookmarkStart w:id="305" w:name="_Toc16639"/>
      <w:bookmarkStart w:id="306" w:name="_Toc430530459"/>
      <w:bookmarkStart w:id="307" w:name="_Toc509218734"/>
      <w:bookmarkStart w:id="308" w:name="_Toc200513150"/>
      <w:r>
        <w:rPr>
          <w:rFonts w:ascii="宋体" w:hAnsi="宋体"/>
          <w:b w:val="0"/>
          <w:snapToGrid w:val="0"/>
          <w:color w:val="auto"/>
          <w:sz w:val="24"/>
          <w:szCs w:val="24"/>
          <w:highlight w:val="none"/>
        </w:rPr>
        <w:t>3.5  资格审查资料</w:t>
      </w:r>
      <w:bookmarkEnd w:id="300"/>
      <w:bookmarkEnd w:id="301"/>
      <w:bookmarkEnd w:id="302"/>
      <w:bookmarkEnd w:id="303"/>
      <w:bookmarkEnd w:id="304"/>
      <w:bookmarkEnd w:id="305"/>
      <w:bookmarkEnd w:id="306"/>
      <w:bookmarkEnd w:id="307"/>
      <w:bookmarkEnd w:id="308"/>
    </w:p>
    <w:p>
      <w:pPr>
        <w:autoSpaceDE w:val="0"/>
        <w:autoSpaceDN w:val="0"/>
        <w:adjustRightInd w:val="0"/>
        <w:snapToGrid w:val="0"/>
        <w:spacing w:line="360" w:lineRule="auto"/>
        <w:ind w:left="103" w:leftChars="49" w:right="37" w:firstLine="420" w:firstLineChars="200"/>
        <w:rPr>
          <w:rFonts w:hint="eastAsia"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应附</w:t>
      </w:r>
      <w:r>
        <w:rPr>
          <w:rFonts w:hint="eastAsia" w:ascii="宋体" w:hAnsi="宋体"/>
          <w:color w:val="auto"/>
          <w:kern w:val="0"/>
          <w:szCs w:val="21"/>
          <w:highlight w:val="none"/>
        </w:rPr>
        <w:t>投标人须知前附表第1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pPr>
        <w:autoSpaceDE w:val="0"/>
        <w:autoSpaceDN w:val="0"/>
        <w:adjustRightInd w:val="0"/>
        <w:snapToGrid w:val="0"/>
        <w:spacing w:line="360" w:lineRule="auto"/>
        <w:ind w:left="103" w:leftChars="49" w:right="37"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投标人须知前附表规定接受联合体投标的，详见投标人须知前附表联合体投标相关内容。</w:t>
      </w:r>
    </w:p>
    <w:p>
      <w:pPr>
        <w:pStyle w:val="5"/>
        <w:snapToGrid w:val="0"/>
        <w:spacing w:before="0" w:after="0" w:line="360" w:lineRule="auto"/>
        <w:rPr>
          <w:rFonts w:hint="eastAsia" w:ascii="宋体" w:hAnsi="宋体"/>
          <w:b w:val="0"/>
          <w:snapToGrid w:val="0"/>
          <w:color w:val="auto"/>
          <w:sz w:val="24"/>
          <w:szCs w:val="24"/>
          <w:highlight w:val="none"/>
        </w:rPr>
      </w:pPr>
      <w:bookmarkStart w:id="309" w:name="_Toc10645"/>
      <w:bookmarkStart w:id="310" w:name="_Toc430530460"/>
      <w:bookmarkStart w:id="311" w:name="_Toc24446"/>
      <w:bookmarkStart w:id="312" w:name="_Toc509218735"/>
      <w:bookmarkStart w:id="313" w:name="_Toc200513151"/>
      <w:bookmarkStart w:id="314" w:name="_Toc277082577"/>
      <w:bookmarkStart w:id="315" w:name="_Toc224103342"/>
      <w:bookmarkStart w:id="316" w:name="_Toc287620710"/>
      <w:bookmarkStart w:id="317" w:name="_Toc287607771"/>
      <w:r>
        <w:rPr>
          <w:rFonts w:ascii="宋体" w:hAnsi="宋体"/>
          <w:b w:val="0"/>
          <w:snapToGrid w:val="0"/>
          <w:color w:val="auto"/>
          <w:sz w:val="24"/>
          <w:szCs w:val="24"/>
          <w:highlight w:val="none"/>
        </w:rPr>
        <w:t>3.6  备选投标方案</w:t>
      </w:r>
      <w:bookmarkEnd w:id="309"/>
      <w:bookmarkEnd w:id="310"/>
      <w:bookmarkEnd w:id="311"/>
      <w:bookmarkEnd w:id="312"/>
      <w:bookmarkEnd w:id="313"/>
      <w:bookmarkEnd w:id="314"/>
      <w:bookmarkEnd w:id="315"/>
      <w:bookmarkEnd w:id="316"/>
      <w:bookmarkEnd w:id="317"/>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pPr>
        <w:pStyle w:val="5"/>
        <w:snapToGrid w:val="0"/>
        <w:spacing w:before="0" w:after="0" w:line="360" w:lineRule="auto"/>
        <w:rPr>
          <w:rFonts w:hint="eastAsia" w:ascii="宋体" w:hAnsi="宋体"/>
          <w:b w:val="0"/>
          <w:snapToGrid w:val="0"/>
          <w:color w:val="auto"/>
          <w:sz w:val="24"/>
          <w:szCs w:val="24"/>
          <w:highlight w:val="none"/>
        </w:rPr>
      </w:pPr>
      <w:bookmarkStart w:id="318" w:name="_Toc200513152"/>
      <w:bookmarkStart w:id="319" w:name="_Toc430530461"/>
      <w:bookmarkStart w:id="320" w:name="_Toc16951"/>
      <w:bookmarkStart w:id="321" w:name="_Toc287620711"/>
      <w:bookmarkStart w:id="322" w:name="_Toc509218736"/>
      <w:bookmarkStart w:id="323" w:name="_Toc277082578"/>
      <w:bookmarkStart w:id="324" w:name="_Toc287607772"/>
      <w:bookmarkStart w:id="325" w:name="_Toc224103343"/>
      <w:bookmarkStart w:id="326" w:name="_Toc14217"/>
      <w:r>
        <w:rPr>
          <w:rFonts w:ascii="宋体" w:hAnsi="宋体"/>
          <w:b w:val="0"/>
          <w:snapToGrid w:val="0"/>
          <w:color w:val="auto"/>
          <w:sz w:val="24"/>
          <w:szCs w:val="24"/>
          <w:highlight w:val="none"/>
        </w:rPr>
        <w:t>3.7  投标文件的编制</w:t>
      </w:r>
      <w:bookmarkEnd w:id="318"/>
      <w:bookmarkEnd w:id="319"/>
      <w:bookmarkEnd w:id="320"/>
      <w:bookmarkEnd w:id="321"/>
      <w:bookmarkEnd w:id="322"/>
      <w:bookmarkEnd w:id="323"/>
      <w:bookmarkEnd w:id="324"/>
      <w:bookmarkEnd w:id="325"/>
      <w:bookmarkEnd w:id="326"/>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3.7.2  投标文件应当对招标文件有关工期、投标有效期、质量要求、技术标准和要求、招标范围等实质性内容做出响应。</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投标文件的签名盖章要求：按本章投标人须知前附表第3.7.3项执行。</w:t>
      </w:r>
    </w:p>
    <w:p>
      <w:pPr>
        <w:autoSpaceDE w:val="0"/>
        <w:autoSpaceDN w:val="0"/>
        <w:adjustRightInd w:val="0"/>
        <w:snapToGrid w:val="0"/>
        <w:spacing w:line="360" w:lineRule="auto"/>
        <w:ind w:right="-164" w:firstLine="420" w:firstLineChars="200"/>
        <w:rPr>
          <w:rFonts w:hint="eastAsia" w:ascii="宋体" w:hAnsi="宋体"/>
          <w:i/>
          <w:snapToGrid w:val="0"/>
          <w:color w:val="auto"/>
          <w:kern w:val="0"/>
          <w:szCs w:val="21"/>
          <w:highlight w:val="none"/>
        </w:rPr>
      </w:pPr>
      <w:r>
        <w:rPr>
          <w:rFonts w:ascii="宋体" w:hAnsi="宋体"/>
          <w:snapToGrid w:val="0"/>
          <w:color w:val="auto"/>
          <w:kern w:val="0"/>
          <w:szCs w:val="21"/>
          <w:highlight w:val="none"/>
        </w:rPr>
        <w:t>3.7.4  投标文件的份数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p>
    <w:p>
      <w:pPr>
        <w:autoSpaceDE w:val="0"/>
        <w:autoSpaceDN w:val="0"/>
        <w:adjustRightInd w:val="0"/>
        <w:snapToGrid w:val="0"/>
        <w:spacing w:line="360" w:lineRule="auto"/>
        <w:ind w:right="-109"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3.7.5  投标文件的正本与副本应分别装订成册，并编制目录，具体装订要求见投标人须知前附表规定。</w:t>
      </w:r>
    </w:p>
    <w:p>
      <w:pPr>
        <w:pStyle w:val="4"/>
        <w:keepNext w:val="0"/>
        <w:keepLines w:val="0"/>
        <w:spacing w:before="0" w:after="0" w:line="360" w:lineRule="auto"/>
        <w:rPr>
          <w:rFonts w:hint="eastAsia" w:ascii="宋体" w:hAnsi="宋体"/>
          <w:b w:val="0"/>
          <w:snapToGrid w:val="0"/>
          <w:color w:val="auto"/>
          <w:highlight w:val="none"/>
        </w:rPr>
      </w:pPr>
      <w:bookmarkStart w:id="327" w:name="_Toc509218737"/>
      <w:bookmarkStart w:id="328" w:name="_Toc200513153"/>
      <w:bookmarkStart w:id="329" w:name="_Toc277082579"/>
      <w:bookmarkStart w:id="330" w:name="_Toc9499"/>
      <w:bookmarkStart w:id="331" w:name="_Toc24181"/>
      <w:bookmarkStart w:id="332" w:name="_Toc224103344"/>
      <w:bookmarkStart w:id="333" w:name="_Toc287620712"/>
      <w:bookmarkStart w:id="334" w:name="_Toc430530462"/>
      <w:bookmarkStart w:id="335" w:name="_Toc287607773"/>
      <w:r>
        <w:rPr>
          <w:rFonts w:ascii="宋体" w:hAnsi="宋体"/>
          <w:b w:val="0"/>
          <w:snapToGrid w:val="0"/>
          <w:color w:val="auto"/>
          <w:highlight w:val="none"/>
        </w:rPr>
        <w:t>4.  投标</w:t>
      </w:r>
      <w:bookmarkEnd w:id="327"/>
      <w:bookmarkEnd w:id="328"/>
      <w:bookmarkEnd w:id="329"/>
      <w:bookmarkEnd w:id="330"/>
      <w:bookmarkEnd w:id="331"/>
      <w:bookmarkEnd w:id="332"/>
      <w:bookmarkEnd w:id="333"/>
      <w:bookmarkEnd w:id="334"/>
      <w:bookmarkEnd w:id="335"/>
    </w:p>
    <w:p>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36" w:name="_Toc509218738"/>
      <w:bookmarkStart w:id="337" w:name="_Toc200513154"/>
      <w:bookmarkStart w:id="338" w:name="_Toc287607774"/>
      <w:bookmarkStart w:id="339" w:name="_Toc277082580"/>
      <w:bookmarkStart w:id="340" w:name="_Toc224103345"/>
      <w:bookmarkStart w:id="341" w:name="_Toc18995"/>
      <w:bookmarkStart w:id="342" w:name="_Toc430530463"/>
      <w:bookmarkStart w:id="343" w:name="_Toc22024"/>
      <w:bookmarkStart w:id="344" w:name="_Toc287620713"/>
      <w:r>
        <w:rPr>
          <w:rFonts w:ascii="宋体" w:hAnsi="宋体"/>
          <w:b w:val="0"/>
          <w:snapToGrid w:val="0"/>
          <w:color w:val="auto"/>
          <w:sz w:val="24"/>
          <w:szCs w:val="24"/>
          <w:highlight w:val="none"/>
        </w:rPr>
        <w:t>4.1  投标文件的密封和标记</w:t>
      </w:r>
      <w:bookmarkEnd w:id="336"/>
      <w:bookmarkEnd w:id="337"/>
      <w:bookmarkEnd w:id="338"/>
      <w:bookmarkEnd w:id="339"/>
      <w:bookmarkEnd w:id="340"/>
      <w:bookmarkEnd w:id="341"/>
      <w:bookmarkEnd w:id="342"/>
      <w:bookmarkEnd w:id="343"/>
      <w:bookmarkEnd w:id="344"/>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bookmarkStart w:id="345" w:name="_Toc200513155"/>
      <w:r>
        <w:rPr>
          <w:rFonts w:ascii="宋体" w:hAnsi="宋体"/>
          <w:snapToGrid w:val="0"/>
          <w:color w:val="auto"/>
          <w:kern w:val="0"/>
          <w:szCs w:val="21"/>
          <w:highlight w:val="none"/>
        </w:rPr>
        <w:t>4.1.1  投标文件的正本与副本密封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4.1.2  投标文件的封套上应写明的内容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46" w:name="_Toc224103346"/>
      <w:bookmarkStart w:id="347" w:name="_Toc25809"/>
      <w:bookmarkStart w:id="348" w:name="_Toc277082581"/>
      <w:bookmarkStart w:id="349" w:name="_Toc509218739"/>
      <w:bookmarkStart w:id="350" w:name="_Toc287607775"/>
      <w:bookmarkStart w:id="351" w:name="_Toc20022"/>
      <w:bookmarkStart w:id="352" w:name="_Toc287620714"/>
      <w:bookmarkStart w:id="353" w:name="_Toc430530464"/>
      <w:r>
        <w:rPr>
          <w:rFonts w:ascii="宋体" w:hAnsi="宋体"/>
          <w:b w:val="0"/>
          <w:snapToGrid w:val="0"/>
          <w:color w:val="auto"/>
          <w:sz w:val="24"/>
          <w:szCs w:val="24"/>
          <w:highlight w:val="none"/>
        </w:rPr>
        <w:t>4.2  投标文件的递交</w:t>
      </w:r>
      <w:bookmarkEnd w:id="345"/>
      <w:bookmarkEnd w:id="346"/>
      <w:bookmarkEnd w:id="347"/>
      <w:bookmarkEnd w:id="348"/>
      <w:bookmarkEnd w:id="349"/>
      <w:bookmarkEnd w:id="350"/>
      <w:bookmarkEnd w:id="351"/>
      <w:bookmarkEnd w:id="352"/>
      <w:bookmarkEnd w:id="353"/>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4.2.2  投标人递交投标文件的地点：见投标人须知前附表。</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4.2.3  除投标人须知前附表另有规定外，投标人所递交的投标文件不予退还。</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4.2.4  招标人收到投标文件后，向投标人出具签收凭证。</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逾期送达的或者未送达指定地点的投标文件，招标人不予受理。</w:t>
      </w:r>
    </w:p>
    <w:p>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54" w:name="_Toc509218740"/>
      <w:bookmarkStart w:id="355" w:name="_Toc287607776"/>
      <w:bookmarkStart w:id="356" w:name="_Toc23986"/>
      <w:bookmarkStart w:id="357" w:name="_Toc430530465"/>
      <w:bookmarkStart w:id="358" w:name="_Toc7462"/>
      <w:bookmarkStart w:id="359" w:name="_Toc287620715"/>
      <w:bookmarkStart w:id="360" w:name="_Toc224103347"/>
      <w:bookmarkStart w:id="361" w:name="_Toc277082582"/>
      <w:bookmarkStart w:id="362" w:name="_Toc200513156"/>
      <w:r>
        <w:rPr>
          <w:rFonts w:ascii="宋体" w:hAnsi="宋体"/>
          <w:b w:val="0"/>
          <w:snapToGrid w:val="0"/>
          <w:color w:val="auto"/>
          <w:sz w:val="24"/>
          <w:szCs w:val="24"/>
          <w:highlight w:val="none"/>
        </w:rPr>
        <w:t>4.3  投标文件的修改与撤回</w:t>
      </w:r>
      <w:bookmarkEnd w:id="354"/>
      <w:bookmarkEnd w:id="355"/>
      <w:bookmarkEnd w:id="356"/>
      <w:bookmarkEnd w:id="357"/>
      <w:bookmarkEnd w:id="358"/>
      <w:bookmarkEnd w:id="359"/>
      <w:bookmarkEnd w:id="360"/>
      <w:bookmarkEnd w:id="361"/>
      <w:bookmarkEnd w:id="362"/>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在投标人须知前附表第2.2.2项规定的投标截止时间前，投标人可以修改或撤回已递交的投标文件，但应以书面形式通知招标人。</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4.3.2  投标人修改或撤回已递交投标文件的书面通知应按照本章第3.7.3项的要求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或盖章。招标人收到书面通知后，向投标人出具签收凭证。</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4.3.3  修改的内容为投标文件的组成部分。修改的投标文件应按照本章第3条、第4条规定进行编制、密封、标记和递交，并标明“修改”字样。</w:t>
      </w:r>
    </w:p>
    <w:p>
      <w:pPr>
        <w:pStyle w:val="4"/>
        <w:keepNext w:val="0"/>
        <w:keepLines w:val="0"/>
        <w:spacing w:before="0" w:after="0" w:line="360" w:lineRule="auto"/>
        <w:rPr>
          <w:rFonts w:hint="eastAsia" w:ascii="宋体" w:hAnsi="宋体"/>
          <w:b w:val="0"/>
          <w:snapToGrid w:val="0"/>
          <w:color w:val="auto"/>
          <w:highlight w:val="none"/>
        </w:rPr>
      </w:pPr>
      <w:bookmarkStart w:id="363" w:name="_Toc430530466"/>
      <w:bookmarkStart w:id="364" w:name="_Toc9614"/>
      <w:bookmarkStart w:id="365" w:name="_Toc200513157"/>
      <w:bookmarkStart w:id="366" w:name="_Toc509218741"/>
      <w:bookmarkStart w:id="367" w:name="_Toc277082583"/>
      <w:bookmarkStart w:id="368" w:name="_Toc287620716"/>
      <w:bookmarkStart w:id="369" w:name="_Toc287607777"/>
      <w:bookmarkStart w:id="370" w:name="_Toc19800"/>
      <w:bookmarkStart w:id="371" w:name="_Toc224103348"/>
      <w:r>
        <w:rPr>
          <w:rFonts w:ascii="宋体" w:hAnsi="宋体"/>
          <w:b w:val="0"/>
          <w:snapToGrid w:val="0"/>
          <w:color w:val="auto"/>
          <w:highlight w:val="none"/>
        </w:rPr>
        <w:t>5.  开标</w:t>
      </w:r>
      <w:bookmarkEnd w:id="363"/>
      <w:bookmarkEnd w:id="364"/>
      <w:bookmarkEnd w:id="365"/>
      <w:bookmarkEnd w:id="366"/>
      <w:bookmarkEnd w:id="367"/>
      <w:bookmarkEnd w:id="368"/>
      <w:bookmarkEnd w:id="369"/>
      <w:bookmarkEnd w:id="370"/>
      <w:bookmarkEnd w:id="371"/>
    </w:p>
    <w:p>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72" w:name="_Toc277082584"/>
      <w:bookmarkStart w:id="373" w:name="_Toc287607778"/>
      <w:bookmarkStart w:id="374" w:name="_Toc20593"/>
      <w:bookmarkStart w:id="375" w:name="_Toc430530467"/>
      <w:bookmarkStart w:id="376" w:name="_Toc509218742"/>
      <w:bookmarkStart w:id="377" w:name="_Toc23407"/>
      <w:bookmarkStart w:id="378" w:name="_Toc200513158"/>
      <w:bookmarkStart w:id="379" w:name="_Toc287620717"/>
      <w:bookmarkStart w:id="380" w:name="_Toc224103349"/>
      <w:r>
        <w:rPr>
          <w:rFonts w:ascii="宋体" w:hAnsi="宋体"/>
          <w:b w:val="0"/>
          <w:snapToGrid w:val="0"/>
          <w:color w:val="auto"/>
          <w:sz w:val="24"/>
          <w:szCs w:val="24"/>
          <w:highlight w:val="none"/>
        </w:rPr>
        <w:t>5.1  开标时间和地点</w:t>
      </w:r>
      <w:bookmarkEnd w:id="372"/>
      <w:bookmarkEnd w:id="373"/>
      <w:bookmarkEnd w:id="374"/>
      <w:bookmarkEnd w:id="375"/>
      <w:bookmarkEnd w:id="376"/>
      <w:bookmarkEnd w:id="377"/>
      <w:bookmarkEnd w:id="378"/>
      <w:bookmarkEnd w:id="379"/>
      <w:bookmarkEnd w:id="380"/>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81" w:name="_Toc277082585"/>
      <w:bookmarkStart w:id="382" w:name="_Toc287607779"/>
      <w:bookmarkStart w:id="383" w:name="_Toc224103350"/>
      <w:bookmarkStart w:id="384" w:name="_Toc200513159"/>
      <w:bookmarkStart w:id="385" w:name="_Toc509218743"/>
      <w:bookmarkStart w:id="386" w:name="_Toc430530468"/>
      <w:bookmarkStart w:id="387" w:name="_Toc13337"/>
      <w:bookmarkStart w:id="388" w:name="_Toc287620718"/>
      <w:bookmarkStart w:id="389" w:name="_Toc14994"/>
      <w:r>
        <w:rPr>
          <w:rFonts w:ascii="宋体" w:hAnsi="宋体"/>
          <w:b w:val="0"/>
          <w:snapToGrid w:val="0"/>
          <w:color w:val="auto"/>
          <w:sz w:val="24"/>
          <w:szCs w:val="24"/>
          <w:highlight w:val="none"/>
        </w:rPr>
        <w:t>5.2  开标程序</w:t>
      </w:r>
      <w:bookmarkEnd w:id="381"/>
      <w:bookmarkEnd w:id="382"/>
      <w:bookmarkEnd w:id="383"/>
      <w:bookmarkEnd w:id="384"/>
      <w:bookmarkEnd w:id="385"/>
      <w:bookmarkEnd w:id="386"/>
      <w:bookmarkEnd w:id="387"/>
      <w:bookmarkEnd w:id="388"/>
      <w:bookmarkEnd w:id="389"/>
    </w:p>
    <w:p>
      <w:pPr>
        <w:autoSpaceDE w:val="0"/>
        <w:autoSpaceDN w:val="0"/>
        <w:adjustRightInd w:val="0"/>
        <w:snapToGrid w:val="0"/>
        <w:spacing w:line="360" w:lineRule="auto"/>
        <w:ind w:firstLine="420" w:firstLineChars="200"/>
        <w:rPr>
          <w:rFonts w:hint="eastAsia" w:ascii="宋体" w:hAnsi="宋体"/>
          <w:color w:val="auto"/>
          <w:szCs w:val="21"/>
          <w:highlight w:val="none"/>
        </w:rPr>
      </w:pPr>
      <w:bookmarkStart w:id="390" w:name="_Toc287607780"/>
      <w:bookmarkStart w:id="391" w:name="_Toc224103351"/>
      <w:bookmarkStart w:id="392" w:name="_Toc287620719"/>
      <w:bookmarkStart w:id="393" w:name="_Toc277082586"/>
      <w:bookmarkStart w:id="394" w:name="_Toc200513160"/>
      <w:r>
        <w:rPr>
          <w:rFonts w:ascii="宋体" w:hAnsi="宋体"/>
          <w:color w:val="auto"/>
          <w:szCs w:val="21"/>
          <w:highlight w:val="none"/>
        </w:rPr>
        <w:t>详见投标人须知前附表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95" w:name="_Toc17533"/>
      <w:bookmarkStart w:id="396" w:name="_Toc57820594"/>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395"/>
      <w:bookmarkEnd w:id="396"/>
    </w:p>
    <w:p>
      <w:pPr>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color w:val="auto"/>
          <w:szCs w:val="21"/>
          <w:highlight w:val="none"/>
        </w:rPr>
        <w:t>。</w:t>
      </w:r>
    </w:p>
    <w:p>
      <w:pPr>
        <w:pStyle w:val="4"/>
        <w:keepNext w:val="0"/>
        <w:keepLines w:val="0"/>
        <w:spacing w:before="0" w:after="0" w:line="360" w:lineRule="auto"/>
        <w:rPr>
          <w:rFonts w:hint="eastAsia" w:ascii="宋体" w:hAnsi="宋体"/>
          <w:b w:val="0"/>
          <w:snapToGrid w:val="0"/>
          <w:color w:val="auto"/>
          <w:highlight w:val="none"/>
        </w:rPr>
      </w:pPr>
      <w:bookmarkStart w:id="397" w:name="_Toc9533"/>
      <w:bookmarkStart w:id="398" w:name="_Toc6807"/>
      <w:bookmarkStart w:id="399" w:name="_Toc430530469"/>
      <w:bookmarkStart w:id="400" w:name="_Toc509218744"/>
      <w:r>
        <w:rPr>
          <w:rFonts w:ascii="宋体" w:hAnsi="宋体"/>
          <w:b w:val="0"/>
          <w:snapToGrid w:val="0"/>
          <w:color w:val="auto"/>
          <w:highlight w:val="none"/>
        </w:rPr>
        <w:t>6.  评标</w:t>
      </w:r>
      <w:bookmarkEnd w:id="390"/>
      <w:bookmarkEnd w:id="391"/>
      <w:bookmarkEnd w:id="392"/>
      <w:bookmarkEnd w:id="393"/>
      <w:bookmarkEnd w:id="394"/>
      <w:bookmarkEnd w:id="397"/>
      <w:bookmarkEnd w:id="398"/>
      <w:bookmarkEnd w:id="399"/>
      <w:bookmarkEnd w:id="400"/>
    </w:p>
    <w:p>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401" w:name="_Toc224103352"/>
      <w:bookmarkStart w:id="402" w:name="_Toc277082587"/>
      <w:bookmarkStart w:id="403" w:name="_Toc16163"/>
      <w:bookmarkStart w:id="404" w:name="_Toc28100"/>
      <w:bookmarkStart w:id="405" w:name="_Toc430530470"/>
      <w:bookmarkStart w:id="406" w:name="_Toc287620720"/>
      <w:bookmarkStart w:id="407" w:name="_Toc287607781"/>
      <w:bookmarkStart w:id="408" w:name="_Toc200513161"/>
      <w:bookmarkStart w:id="409" w:name="_Toc509218745"/>
      <w:r>
        <w:rPr>
          <w:rFonts w:ascii="宋体" w:hAnsi="宋体"/>
          <w:b w:val="0"/>
          <w:snapToGrid w:val="0"/>
          <w:color w:val="auto"/>
          <w:sz w:val="24"/>
          <w:szCs w:val="24"/>
          <w:highlight w:val="none"/>
        </w:rPr>
        <w:t>6.1  评标委员会</w:t>
      </w:r>
      <w:bookmarkEnd w:id="401"/>
      <w:bookmarkEnd w:id="402"/>
      <w:bookmarkEnd w:id="403"/>
      <w:bookmarkEnd w:id="404"/>
      <w:bookmarkEnd w:id="405"/>
      <w:bookmarkEnd w:id="406"/>
      <w:bookmarkEnd w:id="407"/>
      <w:bookmarkEnd w:id="408"/>
      <w:bookmarkEnd w:id="409"/>
    </w:p>
    <w:p>
      <w:pPr>
        <w:autoSpaceDE w:val="0"/>
        <w:autoSpaceDN w:val="0"/>
        <w:adjustRightInd w:val="0"/>
        <w:snapToGrid w:val="0"/>
        <w:spacing w:line="360" w:lineRule="auto"/>
        <w:ind w:firstLine="420" w:firstLineChars="200"/>
        <w:rPr>
          <w:rFonts w:hint="eastAsia" w:ascii="宋体" w:hAnsi="宋体"/>
          <w:b/>
          <w:snapToGrid w:val="0"/>
          <w:color w:val="auto"/>
          <w:kern w:val="0"/>
          <w:szCs w:val="21"/>
          <w:highlight w:val="none"/>
        </w:rPr>
      </w:pPr>
      <w:r>
        <w:rPr>
          <w:rFonts w:ascii="宋体" w:hAnsi="宋体"/>
          <w:snapToGrid w:val="0"/>
          <w:color w:val="auto"/>
          <w:kern w:val="0"/>
          <w:szCs w:val="21"/>
          <w:highlight w:val="none"/>
        </w:rPr>
        <w:t>6.1.1  评标由招标人依据法律法规和相关规范性文件组建的评标委员会负责。</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（1）投标人或投标人的主要负责人的近亲属；</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（3）与投标人有利害关系，可能影响对投标公正评审的；</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snapToGrid w:val="0"/>
        <w:spacing w:before="0" w:after="0" w:line="360" w:lineRule="auto"/>
        <w:rPr>
          <w:rFonts w:hint="eastAsia" w:ascii="宋体" w:hAnsi="宋体"/>
          <w:b w:val="0"/>
          <w:snapToGrid w:val="0"/>
          <w:color w:val="auto"/>
          <w:sz w:val="24"/>
          <w:szCs w:val="24"/>
          <w:highlight w:val="none"/>
        </w:rPr>
      </w:pPr>
      <w:bookmarkStart w:id="410" w:name="_Toc26339"/>
      <w:bookmarkStart w:id="411" w:name="_Toc287607782"/>
      <w:bookmarkStart w:id="412" w:name="_Toc430530471"/>
      <w:bookmarkStart w:id="413" w:name="_Toc12166"/>
      <w:bookmarkStart w:id="414" w:name="_Toc287620721"/>
      <w:bookmarkStart w:id="415" w:name="_Toc509218746"/>
      <w:bookmarkStart w:id="416" w:name="_Toc200513162"/>
      <w:bookmarkStart w:id="417" w:name="_Toc224103353"/>
      <w:bookmarkStart w:id="418" w:name="_Toc277082588"/>
      <w:r>
        <w:rPr>
          <w:rFonts w:ascii="宋体" w:hAnsi="宋体"/>
          <w:b w:val="0"/>
          <w:snapToGrid w:val="0"/>
          <w:color w:val="auto"/>
          <w:sz w:val="24"/>
          <w:szCs w:val="24"/>
          <w:highlight w:val="none"/>
        </w:rPr>
        <w:t>6.2  评标原则</w:t>
      </w:r>
      <w:bookmarkEnd w:id="410"/>
      <w:bookmarkEnd w:id="411"/>
      <w:bookmarkEnd w:id="412"/>
      <w:bookmarkEnd w:id="413"/>
      <w:bookmarkEnd w:id="414"/>
      <w:bookmarkEnd w:id="415"/>
      <w:bookmarkEnd w:id="416"/>
      <w:bookmarkEnd w:id="417"/>
      <w:bookmarkEnd w:id="418"/>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pPr>
        <w:pStyle w:val="5"/>
        <w:snapToGrid w:val="0"/>
        <w:spacing w:before="0" w:after="0" w:line="360" w:lineRule="auto"/>
        <w:rPr>
          <w:rFonts w:hint="eastAsia" w:ascii="宋体" w:hAnsi="宋体"/>
          <w:b w:val="0"/>
          <w:snapToGrid w:val="0"/>
          <w:color w:val="auto"/>
          <w:sz w:val="24"/>
          <w:szCs w:val="24"/>
          <w:highlight w:val="none"/>
        </w:rPr>
      </w:pPr>
      <w:bookmarkStart w:id="419" w:name="_Toc20906"/>
      <w:bookmarkStart w:id="420" w:name="_Toc14701"/>
      <w:bookmarkStart w:id="421" w:name="_Toc287620722"/>
      <w:bookmarkStart w:id="422" w:name="_Toc277082589"/>
      <w:bookmarkStart w:id="423" w:name="_Toc509218747"/>
      <w:bookmarkStart w:id="424" w:name="_Toc430530472"/>
      <w:bookmarkStart w:id="425" w:name="_Toc287607783"/>
      <w:bookmarkStart w:id="426" w:name="_Toc200513163"/>
      <w:bookmarkStart w:id="427" w:name="_Toc224103354"/>
      <w:r>
        <w:rPr>
          <w:rFonts w:ascii="宋体" w:hAnsi="宋体"/>
          <w:b w:val="0"/>
          <w:snapToGrid w:val="0"/>
          <w:color w:val="auto"/>
          <w:sz w:val="24"/>
          <w:szCs w:val="24"/>
          <w:highlight w:val="none"/>
        </w:rPr>
        <w:t>6.3  评标</w:t>
      </w:r>
      <w:bookmarkEnd w:id="419"/>
      <w:bookmarkEnd w:id="420"/>
      <w:bookmarkEnd w:id="421"/>
      <w:bookmarkEnd w:id="422"/>
      <w:bookmarkEnd w:id="423"/>
      <w:bookmarkEnd w:id="424"/>
      <w:bookmarkEnd w:id="425"/>
      <w:bookmarkEnd w:id="426"/>
      <w:bookmarkEnd w:id="427"/>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pPr>
        <w:pStyle w:val="4"/>
        <w:spacing w:before="0" w:after="0" w:line="360" w:lineRule="auto"/>
        <w:rPr>
          <w:rFonts w:hint="eastAsia" w:ascii="宋体" w:hAnsi="宋体"/>
          <w:b w:val="0"/>
          <w:snapToGrid w:val="0"/>
          <w:color w:val="auto"/>
          <w:highlight w:val="none"/>
        </w:rPr>
      </w:pPr>
      <w:bookmarkStart w:id="428" w:name="_Toc430530473"/>
      <w:bookmarkStart w:id="429" w:name="_Toc287607784"/>
      <w:bookmarkStart w:id="430" w:name="_Toc509218748"/>
      <w:bookmarkStart w:id="431" w:name="_Toc224103355"/>
      <w:bookmarkStart w:id="432" w:name="_Toc17583"/>
      <w:bookmarkStart w:id="433" w:name="_Toc200513164"/>
      <w:bookmarkStart w:id="434" w:name="_Toc2723"/>
      <w:bookmarkStart w:id="435" w:name="_Toc277082590"/>
      <w:bookmarkStart w:id="436" w:name="_Toc287620723"/>
      <w:r>
        <w:rPr>
          <w:rFonts w:ascii="宋体" w:hAnsi="宋体"/>
          <w:b w:val="0"/>
          <w:snapToGrid w:val="0"/>
          <w:color w:val="auto"/>
          <w:highlight w:val="none"/>
        </w:rPr>
        <w:t>7.  合同授予</w:t>
      </w:r>
      <w:bookmarkEnd w:id="428"/>
      <w:bookmarkEnd w:id="429"/>
      <w:bookmarkEnd w:id="430"/>
      <w:bookmarkEnd w:id="431"/>
      <w:bookmarkEnd w:id="432"/>
      <w:bookmarkEnd w:id="433"/>
      <w:bookmarkEnd w:id="434"/>
      <w:bookmarkEnd w:id="435"/>
      <w:bookmarkEnd w:id="436"/>
    </w:p>
    <w:p>
      <w:pPr>
        <w:pStyle w:val="5"/>
        <w:snapToGrid w:val="0"/>
        <w:spacing w:before="0" w:after="0" w:line="360" w:lineRule="auto"/>
        <w:rPr>
          <w:rFonts w:hint="eastAsia" w:ascii="宋体" w:hAnsi="宋体"/>
          <w:b w:val="0"/>
          <w:snapToGrid w:val="0"/>
          <w:color w:val="auto"/>
          <w:sz w:val="24"/>
          <w:szCs w:val="24"/>
          <w:highlight w:val="none"/>
        </w:rPr>
      </w:pPr>
      <w:bookmarkStart w:id="437" w:name="_Toc430530474"/>
      <w:bookmarkStart w:id="438" w:name="_Toc224103356"/>
      <w:bookmarkStart w:id="439" w:name="_Toc1349"/>
      <w:bookmarkStart w:id="440" w:name="_Toc277082591"/>
      <w:bookmarkStart w:id="441" w:name="_Toc200513165"/>
      <w:bookmarkStart w:id="442" w:name="_Toc287607785"/>
      <w:bookmarkStart w:id="443" w:name="_Toc287620724"/>
      <w:bookmarkStart w:id="444" w:name="_Toc509218749"/>
      <w:bookmarkStart w:id="445" w:name="_Toc29937"/>
      <w:r>
        <w:rPr>
          <w:rFonts w:ascii="宋体" w:hAnsi="宋体"/>
          <w:b w:val="0"/>
          <w:snapToGrid w:val="0"/>
          <w:color w:val="auto"/>
          <w:sz w:val="24"/>
          <w:szCs w:val="24"/>
          <w:highlight w:val="none"/>
        </w:rPr>
        <w:t>7.1  定标方式</w:t>
      </w:r>
      <w:bookmarkEnd w:id="437"/>
      <w:bookmarkEnd w:id="438"/>
      <w:bookmarkEnd w:id="439"/>
      <w:bookmarkEnd w:id="440"/>
      <w:bookmarkEnd w:id="441"/>
      <w:bookmarkEnd w:id="442"/>
      <w:bookmarkEnd w:id="443"/>
      <w:bookmarkEnd w:id="444"/>
      <w:bookmarkEnd w:id="445"/>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20" w:firstLineChars="200"/>
        <w:rPr>
          <w:rFonts w:hint="eastAsia"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pStyle w:val="5"/>
        <w:snapToGrid w:val="0"/>
        <w:spacing w:before="0" w:after="0" w:line="360" w:lineRule="auto"/>
        <w:rPr>
          <w:rFonts w:hint="eastAsia" w:ascii="宋体" w:hAnsi="宋体"/>
          <w:b w:val="0"/>
          <w:snapToGrid w:val="0"/>
          <w:color w:val="auto"/>
          <w:sz w:val="24"/>
          <w:szCs w:val="24"/>
          <w:highlight w:val="none"/>
        </w:rPr>
      </w:pPr>
      <w:bookmarkStart w:id="446" w:name="_Toc23594"/>
      <w:bookmarkStart w:id="447" w:name="_Toc7045"/>
      <w:bookmarkStart w:id="448" w:name="_Toc509218750"/>
      <w:bookmarkStart w:id="449" w:name="_Toc430530475"/>
      <w:r>
        <w:rPr>
          <w:rFonts w:ascii="宋体" w:hAnsi="宋体"/>
          <w:b w:val="0"/>
          <w:snapToGrid w:val="0"/>
          <w:color w:val="auto"/>
          <w:sz w:val="24"/>
          <w:szCs w:val="24"/>
          <w:highlight w:val="none"/>
        </w:rPr>
        <w:t>7.2  中标公示及中标通知</w:t>
      </w:r>
      <w:bookmarkEnd w:id="446"/>
      <w:bookmarkEnd w:id="447"/>
      <w:bookmarkEnd w:id="448"/>
      <w:bookmarkEnd w:id="449"/>
    </w:p>
    <w:p>
      <w:pPr>
        <w:autoSpaceDE w:val="0"/>
        <w:autoSpaceDN w:val="0"/>
        <w:adjustRightInd w:val="0"/>
        <w:snapToGrid w:val="0"/>
        <w:spacing w:line="360" w:lineRule="auto"/>
        <w:ind w:firstLine="420" w:firstLineChars="200"/>
        <w:rPr>
          <w:rFonts w:hint="eastAsia" w:ascii="宋体" w:hAnsi="宋体"/>
          <w:color w:val="auto"/>
          <w:szCs w:val="21"/>
          <w:highlight w:val="none"/>
        </w:rPr>
      </w:pPr>
      <w:r>
        <w:rPr>
          <w:rFonts w:ascii="宋体" w:hAnsi="宋体"/>
          <w:snapToGrid w:val="0"/>
          <w:color w:val="auto"/>
          <w:kern w:val="0"/>
          <w:szCs w:val="21"/>
          <w:highlight w:val="none"/>
        </w:rPr>
        <w:t>招标人在收到评标报告之日起3日内公示中标候选人，公示期不得少于3日</w:t>
      </w:r>
      <w:r>
        <w:rPr>
          <w:rFonts w:hint="eastAsia" w:ascii="宋体" w:hAnsi="宋体"/>
          <w:color w:val="auto"/>
          <w:szCs w:val="21"/>
          <w:highlight w:val="none"/>
        </w:rPr>
        <w:t>。</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款规定的投标有效期内，且未有投标人的异议与投诉，招标人以书面形式向中标人发出中标通知书。</w:t>
      </w:r>
    </w:p>
    <w:p>
      <w:pPr>
        <w:pStyle w:val="5"/>
        <w:snapToGrid w:val="0"/>
        <w:spacing w:before="0" w:after="0" w:line="360" w:lineRule="auto"/>
        <w:rPr>
          <w:rFonts w:hint="eastAsia" w:ascii="宋体" w:hAnsi="宋体"/>
          <w:b w:val="0"/>
          <w:snapToGrid w:val="0"/>
          <w:color w:val="auto"/>
          <w:sz w:val="24"/>
          <w:szCs w:val="24"/>
          <w:highlight w:val="none"/>
        </w:rPr>
      </w:pPr>
      <w:bookmarkStart w:id="450" w:name="_Toc277082593"/>
      <w:bookmarkStart w:id="451" w:name="_Toc287620726"/>
      <w:bookmarkStart w:id="452" w:name="_Toc287607787"/>
      <w:bookmarkStart w:id="453" w:name="_Toc13383"/>
      <w:bookmarkStart w:id="454" w:name="_Toc430530476"/>
      <w:bookmarkStart w:id="455" w:name="_Toc224103358"/>
      <w:bookmarkStart w:id="456" w:name="_Toc8685"/>
      <w:bookmarkStart w:id="457" w:name="_Toc200513167"/>
      <w:bookmarkStart w:id="458" w:name="_Toc509218751"/>
      <w:r>
        <w:rPr>
          <w:rFonts w:ascii="宋体" w:hAnsi="宋体"/>
          <w:b w:val="0"/>
          <w:snapToGrid w:val="0"/>
          <w:color w:val="auto"/>
          <w:sz w:val="24"/>
          <w:szCs w:val="24"/>
          <w:highlight w:val="none"/>
        </w:rPr>
        <w:t>7.3  履约担保</w:t>
      </w:r>
      <w:bookmarkEnd w:id="450"/>
      <w:bookmarkEnd w:id="451"/>
      <w:bookmarkEnd w:id="452"/>
      <w:bookmarkEnd w:id="453"/>
      <w:bookmarkEnd w:id="454"/>
      <w:bookmarkEnd w:id="455"/>
      <w:bookmarkEnd w:id="456"/>
      <w:bookmarkEnd w:id="457"/>
      <w:bookmarkEnd w:id="458"/>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7.3.2  中标人不能按本章第 7.3.1 项要求提交履约担保的，视为放弃中标，其投标保证金</w:t>
      </w:r>
      <w:r>
        <w:rPr>
          <w:rFonts w:hint="eastAsia" w:asciiTheme="minorEastAsia" w:hAnsiTheme="minorEastAsia" w:eastAsiaTheme="minorEastAsia"/>
          <w:color w:val="auto"/>
          <w:highlight w:val="none"/>
        </w:rPr>
        <w:t>以现金形式交纳的</w:t>
      </w:r>
      <w:r>
        <w:rPr>
          <w:rFonts w:ascii="宋体" w:hAnsi="宋体"/>
          <w:snapToGrid w:val="0"/>
          <w:color w:val="auto"/>
          <w:kern w:val="0"/>
          <w:szCs w:val="21"/>
          <w:highlight w:val="none"/>
        </w:rPr>
        <w:t>不予退还</w:t>
      </w:r>
      <w:r>
        <w:rPr>
          <w:rFonts w:hint="eastAsia" w:asciiTheme="minorEastAsia" w:hAnsiTheme="minorEastAsia" w:eastAsiaTheme="minorEastAsia"/>
          <w:color w:val="auto"/>
          <w:highlight w:val="none"/>
        </w:rPr>
        <w:t>，以保函形式交纳的由保函开立人支付保函担保的与投标保证金等额的款项</w:t>
      </w:r>
      <w:r>
        <w:rPr>
          <w:rFonts w:ascii="宋体" w:hAnsi="宋体"/>
          <w:snapToGrid w:val="0"/>
          <w:color w:val="auto"/>
          <w:kern w:val="0"/>
          <w:szCs w:val="21"/>
          <w:highlight w:val="none"/>
        </w:rPr>
        <w:t>，给招标人造成的损失超过投标保证金数额的，中标人还应当对超过部分予以赔偿。</w:t>
      </w:r>
    </w:p>
    <w:p>
      <w:pPr>
        <w:pStyle w:val="5"/>
        <w:snapToGrid w:val="0"/>
        <w:spacing w:before="0" w:after="0" w:line="360" w:lineRule="auto"/>
        <w:rPr>
          <w:rFonts w:hint="eastAsia" w:ascii="宋体" w:hAnsi="宋体"/>
          <w:b w:val="0"/>
          <w:snapToGrid w:val="0"/>
          <w:color w:val="auto"/>
          <w:sz w:val="24"/>
          <w:szCs w:val="24"/>
          <w:highlight w:val="none"/>
        </w:rPr>
      </w:pPr>
      <w:bookmarkStart w:id="459" w:name="_Toc287620727"/>
      <w:bookmarkStart w:id="460" w:name="_Toc32684"/>
      <w:bookmarkStart w:id="461" w:name="_Toc277082594"/>
      <w:bookmarkStart w:id="462" w:name="_Toc200513168"/>
      <w:bookmarkStart w:id="463" w:name="_Toc430530477"/>
      <w:bookmarkStart w:id="464" w:name="_Toc16900"/>
      <w:bookmarkStart w:id="465" w:name="_Toc224103359"/>
      <w:bookmarkStart w:id="466" w:name="_Toc287607788"/>
      <w:bookmarkStart w:id="467" w:name="_Toc509218752"/>
      <w:r>
        <w:rPr>
          <w:rFonts w:ascii="宋体" w:hAnsi="宋体"/>
          <w:b w:val="0"/>
          <w:snapToGrid w:val="0"/>
          <w:color w:val="auto"/>
          <w:sz w:val="24"/>
          <w:szCs w:val="24"/>
          <w:highlight w:val="none"/>
        </w:rPr>
        <w:t>7.4  签订合同</w:t>
      </w:r>
      <w:bookmarkEnd w:id="459"/>
      <w:bookmarkEnd w:id="460"/>
      <w:bookmarkEnd w:id="461"/>
      <w:bookmarkEnd w:id="462"/>
      <w:bookmarkEnd w:id="463"/>
      <w:bookmarkEnd w:id="464"/>
      <w:bookmarkEnd w:id="465"/>
      <w:bookmarkEnd w:id="466"/>
      <w:bookmarkEnd w:id="467"/>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7.4.1 招标人和中标人应当自中标通知书发出之日起 30 天内，根据招标文件和中标人的投标文件订立书面合同。中标人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不与招标人签订合同，在签订合同时向招标人提出附加条件或者更改合同实质性内容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或不按照招标文件要求提交履约保证金的，</w:t>
      </w:r>
      <w:r>
        <w:rPr>
          <w:rFonts w:ascii="宋体" w:hAnsi="宋体"/>
          <w:snapToGrid w:val="0"/>
          <w:color w:val="auto"/>
          <w:kern w:val="0"/>
          <w:szCs w:val="21"/>
          <w:highlight w:val="none"/>
        </w:rPr>
        <w:t>招标人取消其中标资格，其投标保证金</w:t>
      </w:r>
      <w:r>
        <w:rPr>
          <w:rFonts w:hint="eastAsia" w:ascii="宋体" w:hAnsi="宋体"/>
          <w:snapToGrid w:val="0"/>
          <w:color w:val="auto"/>
          <w:kern w:val="0"/>
          <w:szCs w:val="21"/>
          <w:highlight w:val="none"/>
        </w:rPr>
        <w:t>以现金形式</w:t>
      </w:r>
      <w:r>
        <w:rPr>
          <w:rFonts w:hint="eastAsia" w:ascii="宋体" w:hAnsi="宋体"/>
          <w:snapToGrid w:val="0"/>
          <w:color w:val="auto"/>
          <w:kern w:val="0"/>
          <w:szCs w:val="21"/>
          <w:highlight w:val="none"/>
          <w:lang w:eastAsia="zh-CN"/>
        </w:rPr>
        <w:t>交纳</w:t>
      </w:r>
      <w:r>
        <w:rPr>
          <w:rFonts w:hint="eastAsia" w:ascii="宋体" w:hAnsi="宋体"/>
          <w:snapToGrid w:val="0"/>
          <w:color w:val="auto"/>
          <w:kern w:val="0"/>
          <w:szCs w:val="21"/>
          <w:highlight w:val="none"/>
        </w:rPr>
        <w:t>的</w:t>
      </w:r>
      <w:r>
        <w:rPr>
          <w:rFonts w:ascii="宋体" w:hAnsi="宋体"/>
          <w:snapToGrid w:val="0"/>
          <w:color w:val="auto"/>
          <w:kern w:val="0"/>
          <w:szCs w:val="21"/>
          <w:highlight w:val="none"/>
        </w:rPr>
        <w:t>不予退还</w:t>
      </w:r>
      <w:r>
        <w:rPr>
          <w:rFonts w:hint="eastAsia" w:ascii="宋体" w:hAnsi="宋体"/>
          <w:snapToGrid w:val="0"/>
          <w:color w:val="auto"/>
          <w:kern w:val="0"/>
          <w:szCs w:val="21"/>
          <w:highlight w:val="none"/>
        </w:rPr>
        <w:t>，以保函形式</w:t>
      </w:r>
      <w:r>
        <w:rPr>
          <w:rFonts w:hint="eastAsia" w:ascii="宋体" w:hAnsi="宋体"/>
          <w:snapToGrid w:val="0"/>
          <w:color w:val="auto"/>
          <w:kern w:val="0"/>
          <w:szCs w:val="21"/>
          <w:highlight w:val="none"/>
          <w:lang w:eastAsia="zh-CN"/>
        </w:rPr>
        <w:t>交纳</w:t>
      </w:r>
      <w:r>
        <w:rPr>
          <w:rFonts w:hint="eastAsia" w:ascii="宋体" w:hAnsi="宋体"/>
          <w:snapToGrid w:val="0"/>
          <w:color w:val="auto"/>
          <w:kern w:val="0"/>
          <w:szCs w:val="21"/>
          <w:highlight w:val="none"/>
        </w:rPr>
        <w:t>的由保函开立人支付保函担保的与投标保证金等额的款项</w:t>
      </w:r>
      <w:r>
        <w:rPr>
          <w:rFonts w:ascii="宋体" w:hAnsi="宋体"/>
          <w:snapToGrid w:val="0"/>
          <w:color w:val="auto"/>
          <w:kern w:val="0"/>
          <w:szCs w:val="21"/>
          <w:highlight w:val="none"/>
        </w:rPr>
        <w:t>；给招标人造成的损失超过投标保证金数额的，中标人还应当对超过部分予以赔偿。</w:t>
      </w:r>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7.4.2  发出中标通知书后，招标人无正当理由拒签合同的，招标人向中标人退还投标保证金；给中标人造成损失的，还应当赔偿损失。</w:t>
      </w:r>
    </w:p>
    <w:p>
      <w:pPr>
        <w:pStyle w:val="4"/>
        <w:spacing w:before="0" w:after="0" w:line="360" w:lineRule="auto"/>
        <w:rPr>
          <w:rFonts w:hint="eastAsia" w:ascii="宋体" w:hAnsi="宋体"/>
          <w:b w:val="0"/>
          <w:snapToGrid w:val="0"/>
          <w:color w:val="auto"/>
          <w:highlight w:val="none"/>
        </w:rPr>
      </w:pPr>
      <w:bookmarkStart w:id="468" w:name="_Toc200513169"/>
      <w:bookmarkStart w:id="469" w:name="_Toc287607789"/>
      <w:bookmarkStart w:id="470" w:name="_Toc287620728"/>
      <w:bookmarkStart w:id="471" w:name="_Toc224103360"/>
      <w:bookmarkStart w:id="472" w:name="_Toc277082595"/>
      <w:bookmarkStart w:id="473" w:name="_Toc28219"/>
      <w:bookmarkStart w:id="474" w:name="_Toc509218753"/>
      <w:bookmarkStart w:id="475" w:name="_Toc430530478"/>
      <w:bookmarkStart w:id="476" w:name="_Toc22591"/>
      <w:r>
        <w:rPr>
          <w:rFonts w:ascii="宋体" w:hAnsi="宋体"/>
          <w:b w:val="0"/>
          <w:snapToGrid w:val="0"/>
          <w:color w:val="auto"/>
          <w:highlight w:val="none"/>
        </w:rPr>
        <w:t>8.  重新招标和不再招标</w:t>
      </w:r>
      <w:bookmarkEnd w:id="468"/>
      <w:bookmarkEnd w:id="469"/>
      <w:bookmarkEnd w:id="470"/>
      <w:bookmarkEnd w:id="471"/>
      <w:bookmarkEnd w:id="472"/>
      <w:bookmarkEnd w:id="473"/>
      <w:bookmarkEnd w:id="474"/>
      <w:bookmarkEnd w:id="475"/>
      <w:bookmarkEnd w:id="476"/>
    </w:p>
    <w:p>
      <w:pPr>
        <w:pStyle w:val="5"/>
        <w:snapToGrid w:val="0"/>
        <w:spacing w:before="0" w:after="0" w:line="360" w:lineRule="auto"/>
        <w:rPr>
          <w:rFonts w:hint="eastAsia" w:ascii="宋体" w:hAnsi="宋体"/>
          <w:b w:val="0"/>
          <w:snapToGrid w:val="0"/>
          <w:color w:val="auto"/>
          <w:sz w:val="24"/>
          <w:szCs w:val="24"/>
          <w:highlight w:val="none"/>
        </w:rPr>
      </w:pPr>
      <w:bookmarkStart w:id="477" w:name="_Toc430530479"/>
      <w:bookmarkStart w:id="478" w:name="_Toc509218754"/>
      <w:bookmarkStart w:id="479" w:name="_Toc287607790"/>
      <w:bookmarkStart w:id="480" w:name="_Toc224103361"/>
      <w:bookmarkStart w:id="481" w:name="_Toc287620729"/>
      <w:bookmarkStart w:id="482" w:name="_Toc277082596"/>
      <w:bookmarkStart w:id="483" w:name="_Toc200513170"/>
      <w:bookmarkStart w:id="484" w:name="_Toc4647"/>
      <w:bookmarkStart w:id="485" w:name="_Toc15131"/>
      <w:r>
        <w:rPr>
          <w:rFonts w:ascii="宋体" w:hAnsi="宋体"/>
          <w:b w:val="0"/>
          <w:snapToGrid w:val="0"/>
          <w:color w:val="auto"/>
          <w:sz w:val="24"/>
          <w:szCs w:val="24"/>
          <w:highlight w:val="none"/>
        </w:rPr>
        <w:t>8.1  重新招标</w:t>
      </w:r>
      <w:bookmarkEnd w:id="477"/>
      <w:bookmarkEnd w:id="478"/>
      <w:bookmarkEnd w:id="479"/>
      <w:bookmarkEnd w:id="480"/>
      <w:bookmarkEnd w:id="481"/>
      <w:bookmarkEnd w:id="482"/>
      <w:bookmarkEnd w:id="483"/>
      <w:bookmarkEnd w:id="484"/>
      <w:r>
        <w:rPr>
          <w:rFonts w:hint="eastAsia" w:ascii="宋体" w:hAnsi="宋体"/>
          <w:b w:val="0"/>
          <w:snapToGrid w:val="0"/>
          <w:color w:val="auto"/>
          <w:sz w:val="24"/>
          <w:szCs w:val="24"/>
          <w:highlight w:val="none"/>
        </w:rPr>
        <w:t>的情形</w:t>
      </w:r>
      <w:bookmarkEnd w:id="485"/>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重新招标的情形：</w:t>
      </w:r>
      <w:r>
        <w:rPr>
          <w:rFonts w:ascii="宋体" w:hAnsi="宋体"/>
          <w:snapToGrid w:val="0"/>
          <w:color w:val="auto"/>
          <w:kern w:val="0"/>
          <w:szCs w:val="21"/>
          <w:highlight w:val="none"/>
        </w:rPr>
        <w:t>见投标人须知前附表。</w:t>
      </w:r>
    </w:p>
    <w:p>
      <w:pPr>
        <w:pStyle w:val="5"/>
        <w:snapToGrid w:val="0"/>
        <w:spacing w:before="0" w:after="0" w:line="360" w:lineRule="auto"/>
        <w:rPr>
          <w:rFonts w:hint="eastAsia" w:ascii="宋体" w:hAnsi="宋体"/>
          <w:b w:val="0"/>
          <w:snapToGrid w:val="0"/>
          <w:color w:val="auto"/>
          <w:sz w:val="24"/>
          <w:szCs w:val="24"/>
          <w:highlight w:val="none"/>
        </w:rPr>
      </w:pPr>
      <w:bookmarkStart w:id="486" w:name="_Toc224103362"/>
      <w:bookmarkStart w:id="487" w:name="_Toc277082597"/>
      <w:bookmarkStart w:id="488" w:name="_Toc287620730"/>
      <w:bookmarkStart w:id="489" w:name="_Toc32210"/>
      <w:bookmarkStart w:id="490" w:name="_Toc200513171"/>
      <w:bookmarkStart w:id="491" w:name="_Toc287607791"/>
      <w:bookmarkStart w:id="492" w:name="_Toc15104"/>
      <w:bookmarkStart w:id="493" w:name="_Toc509218755"/>
      <w:bookmarkStart w:id="494" w:name="_Toc430530480"/>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ascii="宋体" w:hAnsi="宋体"/>
          <w:b w:val="0"/>
          <w:snapToGrid w:val="0"/>
          <w:color w:val="auto"/>
          <w:sz w:val="24"/>
          <w:szCs w:val="24"/>
          <w:highlight w:val="none"/>
        </w:rPr>
        <w:t>招标和不再招标</w:t>
      </w:r>
      <w:bookmarkEnd w:id="486"/>
      <w:bookmarkEnd w:id="487"/>
      <w:bookmarkEnd w:id="488"/>
      <w:bookmarkEnd w:id="489"/>
      <w:bookmarkEnd w:id="490"/>
      <w:bookmarkEnd w:id="491"/>
      <w:bookmarkEnd w:id="492"/>
      <w:bookmarkEnd w:id="493"/>
      <w:bookmarkEnd w:id="494"/>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color w:val="auto"/>
          <w:kern w:val="0"/>
          <w:szCs w:val="21"/>
          <w:highlight w:val="none"/>
        </w:rPr>
        <w:t>。</w:t>
      </w:r>
    </w:p>
    <w:p>
      <w:pPr>
        <w:pStyle w:val="4"/>
        <w:spacing w:before="0" w:after="0" w:line="360" w:lineRule="auto"/>
        <w:rPr>
          <w:rFonts w:hint="eastAsia" w:ascii="宋体" w:hAnsi="宋体"/>
          <w:b w:val="0"/>
          <w:snapToGrid w:val="0"/>
          <w:color w:val="auto"/>
          <w:highlight w:val="none"/>
        </w:rPr>
      </w:pPr>
      <w:bookmarkStart w:id="495" w:name="_Toc277082598"/>
      <w:bookmarkStart w:id="496" w:name="_Toc430530481"/>
      <w:bookmarkStart w:id="497" w:name="_Toc509218756"/>
      <w:bookmarkStart w:id="498" w:name="_Toc287607792"/>
      <w:bookmarkStart w:id="499" w:name="_Toc200513172"/>
      <w:bookmarkStart w:id="500" w:name="_Toc14131"/>
      <w:bookmarkStart w:id="501" w:name="_Toc287620731"/>
      <w:bookmarkStart w:id="502" w:name="_Toc285"/>
      <w:bookmarkStart w:id="503" w:name="_Toc224103363"/>
      <w:r>
        <w:rPr>
          <w:rFonts w:ascii="宋体" w:hAnsi="宋体"/>
          <w:b w:val="0"/>
          <w:snapToGrid w:val="0"/>
          <w:color w:val="auto"/>
          <w:highlight w:val="none"/>
        </w:rPr>
        <w:t>9.  纪律和监督</w:t>
      </w:r>
      <w:bookmarkEnd w:id="495"/>
      <w:bookmarkEnd w:id="496"/>
      <w:bookmarkEnd w:id="497"/>
      <w:bookmarkEnd w:id="498"/>
      <w:bookmarkEnd w:id="499"/>
      <w:bookmarkEnd w:id="500"/>
      <w:bookmarkEnd w:id="501"/>
      <w:bookmarkEnd w:id="502"/>
      <w:bookmarkEnd w:id="503"/>
    </w:p>
    <w:p>
      <w:pPr>
        <w:pStyle w:val="5"/>
        <w:snapToGrid w:val="0"/>
        <w:spacing w:before="0" w:after="0" w:line="360" w:lineRule="auto"/>
        <w:rPr>
          <w:rFonts w:hint="eastAsia" w:ascii="宋体" w:hAnsi="宋体"/>
          <w:b w:val="0"/>
          <w:snapToGrid w:val="0"/>
          <w:color w:val="auto"/>
          <w:sz w:val="24"/>
          <w:szCs w:val="24"/>
          <w:highlight w:val="none"/>
        </w:rPr>
      </w:pPr>
      <w:bookmarkStart w:id="504" w:name="_Toc166"/>
      <w:bookmarkStart w:id="505" w:name="_Toc430530482"/>
      <w:bookmarkStart w:id="506" w:name="_Toc509218757"/>
      <w:bookmarkStart w:id="507" w:name="_Toc277082599"/>
      <w:bookmarkStart w:id="508" w:name="_Toc11532"/>
      <w:bookmarkStart w:id="509" w:name="_Toc287607793"/>
      <w:bookmarkStart w:id="510" w:name="_Toc287620732"/>
      <w:bookmarkStart w:id="511" w:name="_Toc224103364"/>
      <w:bookmarkStart w:id="512" w:name="_Toc200513173"/>
      <w:r>
        <w:rPr>
          <w:rFonts w:ascii="宋体" w:hAnsi="宋体"/>
          <w:b w:val="0"/>
          <w:snapToGrid w:val="0"/>
          <w:color w:val="auto"/>
          <w:sz w:val="24"/>
          <w:szCs w:val="24"/>
          <w:highlight w:val="none"/>
        </w:rPr>
        <w:t>9.1  对招标人的纪律要求</w:t>
      </w:r>
      <w:bookmarkEnd w:id="504"/>
      <w:bookmarkEnd w:id="505"/>
      <w:bookmarkEnd w:id="506"/>
      <w:bookmarkEnd w:id="507"/>
      <w:bookmarkEnd w:id="508"/>
      <w:bookmarkEnd w:id="509"/>
      <w:bookmarkEnd w:id="510"/>
      <w:bookmarkEnd w:id="511"/>
      <w:bookmarkEnd w:id="512"/>
    </w:p>
    <w:p>
      <w:pPr>
        <w:autoSpaceDE w:val="0"/>
        <w:autoSpaceDN w:val="0"/>
        <w:adjustRightInd w:val="0"/>
        <w:snapToGrid w:val="0"/>
        <w:spacing w:line="360" w:lineRule="auto"/>
        <w:ind w:firstLine="420"/>
        <w:rPr>
          <w:rFonts w:hint="eastAsia" w:ascii="宋体" w:hAnsi="宋体"/>
          <w:color w:val="auto"/>
          <w:highlight w:val="none"/>
        </w:rPr>
      </w:pPr>
      <w:r>
        <w:rPr>
          <w:rFonts w:ascii="宋体" w:hAnsi="宋体"/>
          <w:snapToGrid w:val="0"/>
          <w:color w:val="auto"/>
          <w:kern w:val="0"/>
          <w:szCs w:val="21"/>
          <w:highlight w:val="none"/>
        </w:rPr>
        <w:t>招标人不得泄漏招标投标活动中应当保密的情况和资料，不得与投标人串通损害国家利 益、社会公共利益或者他人合法权益，</w:t>
      </w:r>
      <w:r>
        <w:rPr>
          <w:rFonts w:ascii="宋体" w:hAnsi="宋体"/>
          <w:color w:val="auto"/>
          <w:highlight w:val="none"/>
        </w:rPr>
        <w:t>禁止招标人与投标人串通投标。</w:t>
      </w:r>
    </w:p>
    <w:p>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有下列情形之一的，属于招标人与投标人串通投标：</w:t>
      </w:r>
    </w:p>
    <w:p>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（1）招标人在开标前开启投标文件并将有关信息泄露给其他投标人</w:t>
      </w:r>
      <w:r>
        <w:rPr>
          <w:rFonts w:hint="eastAsia" w:ascii="宋体" w:hAnsi="宋体"/>
          <w:color w:val="auto"/>
          <w:highlight w:val="none"/>
        </w:rPr>
        <w:t>；</w:t>
      </w:r>
    </w:p>
    <w:p>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（2）招标人直接或者间接向投标人泄露标底、评标委员会成员等信息；</w:t>
      </w:r>
    </w:p>
    <w:p>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（3）招标人明示或者暗示投标人压低或者抬高投标报价；</w:t>
      </w:r>
    </w:p>
    <w:p>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（4）招标人授意投标人撤换、修改投标文件；</w:t>
      </w:r>
    </w:p>
    <w:p>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（5）招标人明示或者暗示投标人为特定投标人中标提供方便；</w:t>
      </w:r>
    </w:p>
    <w:p>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color w:val="auto"/>
          <w:highlight w:val="none"/>
        </w:rPr>
        <w:t>（6）招标人与投标人为谋求特定投标人中标而采取的其他串通行为。</w:t>
      </w:r>
    </w:p>
    <w:p>
      <w:pPr>
        <w:pStyle w:val="5"/>
        <w:snapToGrid w:val="0"/>
        <w:spacing w:before="0" w:after="0" w:line="360" w:lineRule="auto"/>
        <w:rPr>
          <w:rFonts w:hint="eastAsia" w:ascii="宋体" w:hAnsi="宋体"/>
          <w:b w:val="0"/>
          <w:snapToGrid w:val="0"/>
          <w:color w:val="auto"/>
          <w:sz w:val="24"/>
          <w:szCs w:val="24"/>
          <w:highlight w:val="none"/>
        </w:rPr>
      </w:pPr>
      <w:bookmarkStart w:id="513" w:name="_Toc509218758"/>
      <w:bookmarkStart w:id="514" w:name="_Toc5396"/>
      <w:bookmarkStart w:id="515" w:name="_Toc224103365"/>
      <w:bookmarkStart w:id="516" w:name="_Toc287607794"/>
      <w:bookmarkStart w:id="517" w:name="_Toc11710"/>
      <w:bookmarkStart w:id="518" w:name="_Toc287620733"/>
      <w:bookmarkStart w:id="519" w:name="_Toc430530483"/>
      <w:bookmarkStart w:id="520" w:name="_Toc277082600"/>
      <w:bookmarkStart w:id="521" w:name="_Toc200513174"/>
      <w:r>
        <w:rPr>
          <w:rFonts w:ascii="宋体" w:hAnsi="宋体"/>
          <w:b w:val="0"/>
          <w:snapToGrid w:val="0"/>
          <w:color w:val="auto"/>
          <w:sz w:val="24"/>
          <w:szCs w:val="24"/>
          <w:highlight w:val="none"/>
        </w:rPr>
        <w:t>9.2  对投标人的纪律要求</w:t>
      </w:r>
      <w:bookmarkEnd w:id="513"/>
      <w:bookmarkEnd w:id="514"/>
      <w:bookmarkEnd w:id="515"/>
      <w:bookmarkEnd w:id="516"/>
      <w:bookmarkEnd w:id="517"/>
      <w:bookmarkEnd w:id="518"/>
      <w:bookmarkEnd w:id="519"/>
      <w:bookmarkEnd w:id="520"/>
      <w:bookmarkEnd w:id="521"/>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有下列情形之一的，属于投标人相互串通投标：</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（1）投标人之间协商投标报价等投标文件的实质性内容；</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（2）投标人之间约定中标人；</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（3）投标人之间约定部分投标人放弃投标或者中标；</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（4）属于同一集团、协会、商会等组织成员的投标人按照该组织要求协同投标；</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（5）投标人之间为谋取中标或者排斥特定投标人而采取的其他联合行动。</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有下列情形之一的，视为投标人相互串通投标：</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（1）不同投标人的投标文件由同一单位或者个人编制；</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（2）不同投标人委托同一单位或者个人办理投标事宜；</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（3）不同投标人的投标文件载明的项目管理成员为同一人；</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（4）不同投标人的投标文件异常一致或者投标报价呈规律性差异；</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（5）不同投标人的投标文件相互混装；</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（6）不同投标人的投标保证金从同一单位或者个人的账户转出。</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9.2.4  </w:t>
      </w:r>
      <w:r>
        <w:rPr>
          <w:rFonts w:ascii="宋体" w:hAnsi="宋体"/>
          <w:color w:val="auto"/>
          <w:highlight w:val="none"/>
        </w:rPr>
        <w:t>投标人有下列情形之一的，属于以其他方式弄虚作假的行为：</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pPr>
        <w:pStyle w:val="5"/>
        <w:snapToGrid w:val="0"/>
        <w:spacing w:before="0" w:after="0" w:line="360" w:lineRule="auto"/>
        <w:rPr>
          <w:rFonts w:hint="eastAsia" w:ascii="宋体" w:hAnsi="宋体"/>
          <w:b w:val="0"/>
          <w:snapToGrid w:val="0"/>
          <w:color w:val="auto"/>
          <w:sz w:val="24"/>
          <w:szCs w:val="24"/>
          <w:highlight w:val="none"/>
        </w:rPr>
      </w:pPr>
      <w:bookmarkStart w:id="522" w:name="_Toc277082601"/>
      <w:bookmarkStart w:id="523" w:name="_Toc200513175"/>
      <w:bookmarkStart w:id="524" w:name="_Toc27742"/>
      <w:bookmarkStart w:id="525" w:name="_Toc17575"/>
      <w:bookmarkStart w:id="526" w:name="_Toc287620734"/>
      <w:bookmarkStart w:id="527" w:name="_Toc224103366"/>
      <w:bookmarkStart w:id="528" w:name="_Toc287607795"/>
      <w:bookmarkStart w:id="529" w:name="_Toc430530484"/>
      <w:bookmarkStart w:id="530" w:name="_Toc509218759"/>
      <w:r>
        <w:rPr>
          <w:rFonts w:ascii="宋体" w:hAnsi="宋体"/>
          <w:b w:val="0"/>
          <w:snapToGrid w:val="0"/>
          <w:color w:val="auto"/>
          <w:sz w:val="24"/>
          <w:szCs w:val="24"/>
          <w:highlight w:val="none"/>
        </w:rPr>
        <w:t>9.3  对评标委员会成员的纪律要求</w:t>
      </w:r>
      <w:bookmarkEnd w:id="522"/>
      <w:bookmarkEnd w:id="523"/>
      <w:bookmarkEnd w:id="524"/>
      <w:bookmarkEnd w:id="525"/>
      <w:bookmarkEnd w:id="526"/>
      <w:bookmarkEnd w:id="527"/>
      <w:bookmarkEnd w:id="528"/>
      <w:bookmarkEnd w:id="529"/>
      <w:bookmarkEnd w:id="530"/>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，不得对招标文件中《否决投标情况一览表》以外的内容予以否决投标，否则对评标委员会成员按《重庆市综合评标专家库和评标专家管理暂行办法》进行处理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pPr>
        <w:pStyle w:val="5"/>
        <w:snapToGrid w:val="0"/>
        <w:spacing w:before="0" w:after="0" w:line="360" w:lineRule="auto"/>
        <w:rPr>
          <w:rFonts w:hint="eastAsia" w:ascii="宋体" w:hAnsi="宋体"/>
          <w:b w:val="0"/>
          <w:snapToGrid w:val="0"/>
          <w:color w:val="auto"/>
          <w:sz w:val="24"/>
          <w:szCs w:val="24"/>
          <w:highlight w:val="none"/>
        </w:rPr>
      </w:pPr>
      <w:bookmarkStart w:id="531" w:name="_Toc277082602"/>
      <w:bookmarkStart w:id="532" w:name="_Toc17353"/>
      <w:bookmarkStart w:id="533" w:name="_Toc430530485"/>
      <w:bookmarkStart w:id="534" w:name="_Toc287607796"/>
      <w:bookmarkStart w:id="535" w:name="_Toc224103367"/>
      <w:bookmarkStart w:id="536" w:name="_Toc287620735"/>
      <w:bookmarkStart w:id="537" w:name="_Toc200513176"/>
      <w:bookmarkStart w:id="538" w:name="_Toc509218760"/>
      <w:bookmarkStart w:id="539" w:name="_Toc29126"/>
      <w:r>
        <w:rPr>
          <w:rFonts w:ascii="宋体" w:hAnsi="宋体"/>
          <w:b w:val="0"/>
          <w:snapToGrid w:val="0"/>
          <w:color w:val="auto"/>
          <w:sz w:val="24"/>
          <w:szCs w:val="24"/>
          <w:highlight w:val="none"/>
        </w:rPr>
        <w:t>9.4  对与评标活动有关的工作人员的纪律要求</w:t>
      </w:r>
      <w:bookmarkEnd w:id="531"/>
      <w:bookmarkEnd w:id="532"/>
      <w:bookmarkEnd w:id="533"/>
      <w:bookmarkEnd w:id="534"/>
      <w:bookmarkEnd w:id="535"/>
      <w:bookmarkEnd w:id="536"/>
      <w:bookmarkEnd w:id="537"/>
      <w:bookmarkEnd w:id="538"/>
      <w:bookmarkEnd w:id="539"/>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snapToGrid w:val="0"/>
        <w:spacing w:before="0" w:after="0" w:line="360" w:lineRule="auto"/>
        <w:rPr>
          <w:rFonts w:hint="eastAsia" w:ascii="宋体" w:hAnsi="宋体"/>
          <w:b w:val="0"/>
          <w:snapToGrid w:val="0"/>
          <w:color w:val="auto"/>
          <w:sz w:val="24"/>
          <w:szCs w:val="24"/>
          <w:highlight w:val="none"/>
        </w:rPr>
      </w:pPr>
      <w:bookmarkStart w:id="540" w:name="_Toc430530486"/>
      <w:bookmarkStart w:id="541" w:name="_Toc287607797"/>
      <w:bookmarkStart w:id="542" w:name="_Toc509218761"/>
      <w:bookmarkStart w:id="543" w:name="_Toc17234"/>
      <w:bookmarkStart w:id="544" w:name="_Toc200513177"/>
      <w:bookmarkStart w:id="545" w:name="_Toc287620736"/>
      <w:bookmarkStart w:id="546" w:name="_Toc224103368"/>
      <w:bookmarkStart w:id="547" w:name="_Toc28564"/>
      <w:bookmarkStart w:id="548" w:name="_Toc277082603"/>
      <w:r>
        <w:rPr>
          <w:rFonts w:ascii="宋体" w:hAnsi="宋体"/>
          <w:b w:val="0"/>
          <w:snapToGrid w:val="0"/>
          <w:color w:val="auto"/>
          <w:sz w:val="24"/>
          <w:szCs w:val="24"/>
          <w:highlight w:val="none"/>
        </w:rPr>
        <w:t>9.5  投诉</w:t>
      </w:r>
      <w:bookmarkEnd w:id="540"/>
      <w:bookmarkEnd w:id="541"/>
      <w:bookmarkEnd w:id="542"/>
      <w:bookmarkEnd w:id="543"/>
      <w:bookmarkEnd w:id="544"/>
      <w:bookmarkEnd w:id="545"/>
      <w:bookmarkEnd w:id="546"/>
      <w:bookmarkEnd w:id="547"/>
      <w:bookmarkEnd w:id="548"/>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投标人和其他利害关系人认为本次招标活动违反法律、法规和规章规定的，有权向有关行政监督部门投诉。</w:t>
      </w:r>
    </w:p>
    <w:p>
      <w:pPr>
        <w:pStyle w:val="4"/>
        <w:spacing w:before="0" w:after="0" w:line="360" w:lineRule="auto"/>
        <w:rPr>
          <w:rFonts w:hint="eastAsia" w:ascii="宋体" w:hAnsi="宋体"/>
          <w:b w:val="0"/>
          <w:snapToGrid w:val="0"/>
          <w:color w:val="auto"/>
          <w:highlight w:val="none"/>
        </w:rPr>
      </w:pPr>
      <w:bookmarkStart w:id="549" w:name="_Toc287620737"/>
      <w:bookmarkStart w:id="550" w:name="_Toc224103369"/>
      <w:bookmarkStart w:id="551" w:name="_Toc287607798"/>
      <w:bookmarkStart w:id="552" w:name="_Toc200513178"/>
      <w:bookmarkStart w:id="553" w:name="_Toc13382"/>
      <w:bookmarkStart w:id="554" w:name="_Toc277082604"/>
      <w:bookmarkStart w:id="555" w:name="_Toc430530487"/>
      <w:bookmarkStart w:id="556" w:name="_Toc509218762"/>
      <w:bookmarkStart w:id="557" w:name="_Toc31892"/>
      <w:r>
        <w:rPr>
          <w:rFonts w:ascii="宋体" w:hAnsi="宋体"/>
          <w:b w:val="0"/>
          <w:snapToGrid w:val="0"/>
          <w:color w:val="auto"/>
          <w:highlight w:val="none"/>
        </w:rPr>
        <w:t>10. 需要补充的其他内容</w:t>
      </w:r>
      <w:bookmarkEnd w:id="549"/>
      <w:bookmarkEnd w:id="550"/>
      <w:bookmarkEnd w:id="551"/>
      <w:bookmarkEnd w:id="552"/>
      <w:bookmarkEnd w:id="553"/>
      <w:bookmarkEnd w:id="554"/>
      <w:bookmarkEnd w:id="555"/>
      <w:bookmarkEnd w:id="556"/>
      <w:bookmarkEnd w:id="557"/>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sectPr>
          <w:footerReference r:id="rId8" w:type="default"/>
          <w:footerReference r:id="rId9" w:type="even"/>
          <w:pgSz w:w="11906" w:h="16838"/>
          <w:pgMar w:top="1304" w:right="1134" w:bottom="1304" w:left="1304" w:header="851" w:footer="992" w:gutter="0"/>
          <w:pgNumType w:fmt="decimal"/>
          <w:cols w:space="720" w:num="1"/>
          <w:docGrid w:type="lines" w:linePitch="312" w:charSpace="0"/>
        </w:sectPr>
      </w:pPr>
      <w:r>
        <w:rPr>
          <w:rFonts w:ascii="宋体" w:hAnsi="宋体"/>
          <w:snapToGrid w:val="0"/>
          <w:color w:val="auto"/>
          <w:kern w:val="0"/>
          <w:szCs w:val="21"/>
          <w:highlight w:val="none"/>
        </w:rPr>
        <w:t>需要补充的其他内容：见投标人须知前附表。</w:t>
      </w: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附表一：开标记录表</w:t>
      </w:r>
    </w:p>
    <w:p>
      <w:pPr>
        <w:autoSpaceDE w:val="0"/>
        <w:autoSpaceDN w:val="0"/>
        <w:adjustRightInd w:val="0"/>
        <w:snapToGrid w:val="0"/>
        <w:spacing w:line="360" w:lineRule="auto"/>
        <w:jc w:val="left"/>
        <w:rPr>
          <w:rFonts w:ascii="宋体" w:hAnsi="宋体"/>
          <w:b/>
          <w:snapToGrid w:val="0"/>
          <w:color w:val="auto"/>
          <w:kern w:val="0"/>
          <w:highlight w:val="none"/>
        </w:rPr>
      </w:pPr>
    </w:p>
    <w:p>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w:t>
      </w:r>
      <w:r>
        <w:rPr>
          <w:rFonts w:ascii="宋体" w:hAnsi="宋体"/>
          <w:b/>
          <w:snapToGrid w:val="0"/>
          <w:color w:val="auto"/>
          <w:w w:val="99"/>
          <w:kern w:val="0"/>
          <w:sz w:val="28"/>
          <w:szCs w:val="28"/>
          <w:highlight w:val="none"/>
        </w:rPr>
        <w:t>开标记录表</w:t>
      </w:r>
    </w:p>
    <w:p>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w:t>
            </w: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解密情况</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投标总报价</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元</w:t>
            </w:r>
            <w:r>
              <w:rPr>
                <w:rFonts w:hint="eastAsia" w:ascii="宋体" w:hAnsi="宋体"/>
                <w:snapToGrid w:val="0"/>
                <w:color w:val="auto"/>
                <w:kern w:val="0"/>
                <w:szCs w:val="21"/>
                <w:highlight w:val="none"/>
                <w:lang w:eastAsia="zh-CN"/>
              </w:rPr>
              <w:t>）</w:t>
            </w: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安全文明施工费暂定金额</w:t>
            </w: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质量目标</w:t>
            </w: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693" w:type="dxa"/>
            <w:gridSpan w:val="2"/>
            <w:vAlign w:val="center"/>
          </w:tcPr>
          <w:p>
            <w:pPr>
              <w:autoSpaceDE w:val="0"/>
              <w:autoSpaceDN w:val="0"/>
              <w:adjustRightInd w:val="0"/>
              <w:snapToGrid w:val="0"/>
              <w:spacing w:line="400" w:lineRule="exact"/>
              <w:jc w:val="center"/>
              <w:rPr>
                <w:rFonts w:ascii="宋体" w:hAnsi="宋体"/>
                <w:snapToGrid w:val="0"/>
                <w:color w:val="auto"/>
                <w:kern w:val="0"/>
                <w:sz w:val="28"/>
                <w:szCs w:val="28"/>
                <w:highlight w:val="none"/>
              </w:rPr>
            </w:pPr>
            <w:r>
              <w:rPr>
                <w:rFonts w:ascii="宋体" w:hAnsi="宋体"/>
                <w:snapToGrid w:val="0"/>
                <w:color w:val="auto"/>
                <w:kern w:val="0"/>
                <w:szCs w:val="21"/>
                <w:highlight w:val="none"/>
              </w:rPr>
              <w:t>最高限价</w:t>
            </w:r>
          </w:p>
        </w:tc>
        <w:tc>
          <w:tcPr>
            <w:tcW w:w="10064" w:type="dxa"/>
            <w:gridSpan w:val="8"/>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hint="eastAsia" w:ascii="宋体" w:hAnsi="宋体" w:cs="宋体"/>
                <w:snapToGrid w:val="0"/>
                <w:color w:val="auto"/>
                <w:kern w:val="0"/>
                <w:szCs w:val="21"/>
                <w:highlight w:val="none"/>
                <w:lang w:eastAsia="zh-CN"/>
              </w:rPr>
              <w:t>相关选项抽取情况</w:t>
            </w:r>
          </w:p>
        </w:tc>
        <w:tc>
          <w:tcPr>
            <w:tcW w:w="10064" w:type="dxa"/>
            <w:gridSpan w:val="8"/>
            <w:tcBorders>
              <w:bottom w:val="single" w:color="auto" w:sz="4" w:space="0"/>
            </w:tcBorders>
            <w:vAlign w:val="center"/>
          </w:tcPr>
          <w:p>
            <w:pPr>
              <w:autoSpaceDE w:val="0"/>
              <w:autoSpaceDN w:val="0"/>
              <w:adjustRightInd w:val="0"/>
              <w:snapToGrid w:val="0"/>
              <w:spacing w:line="400" w:lineRule="exact"/>
              <w:ind w:firstLine="420" w:firstLineChars="200"/>
              <w:jc w:val="left"/>
              <w:rPr>
                <w:rFonts w:ascii="宋体" w:hAnsi="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抽取的</w:t>
            </w:r>
            <w:r>
              <w:rPr>
                <w:rFonts w:hint="eastAsia" w:ascii="宋体" w:hAnsi="宋体" w:cs="宋体"/>
                <w:snapToGrid w:val="0"/>
                <w:color w:val="auto"/>
                <w:kern w:val="0"/>
                <w:szCs w:val="21"/>
                <w:highlight w:val="none"/>
              </w:rPr>
              <w:t>评标基准价计算方式</w:t>
            </w:r>
            <w:r>
              <w:rPr>
                <w:rFonts w:hint="eastAsia" w:ascii="宋体" w:hAnsi="宋体" w:cs="宋体"/>
                <w:snapToGrid w:val="0"/>
                <w:color w:val="auto"/>
                <w:kern w:val="0"/>
                <w:szCs w:val="21"/>
                <w:highlight w:val="none"/>
                <w:lang w:eastAsia="zh-CN"/>
              </w:rPr>
              <w:t>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none"/>
                <w:lang w:val="en-US" w:eastAsia="zh-CN"/>
              </w:rPr>
              <w:t>抽取的</w:t>
            </w:r>
            <w:r>
              <w:rPr>
                <w:rFonts w:hint="eastAsia" w:ascii="宋体" w:hAnsi="宋体" w:cs="宋体"/>
                <w:snapToGrid w:val="0"/>
                <w:color w:val="auto"/>
                <w:kern w:val="0"/>
                <w:szCs w:val="21"/>
                <w:highlight w:val="none"/>
              </w:rPr>
              <w:t>下浮系数N</w:t>
            </w:r>
            <w:r>
              <w:rPr>
                <w:rFonts w:hint="eastAsia" w:ascii="宋体" w:hAnsi="宋体" w:cs="宋体"/>
                <w:snapToGrid w:val="0"/>
                <w:color w:val="auto"/>
                <w:kern w:val="0"/>
                <w:szCs w:val="21"/>
                <w:highlight w:val="none"/>
                <w:lang w:eastAsia="zh-CN"/>
              </w:rPr>
              <w:t>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抽取的</w:t>
            </w:r>
            <w:r>
              <w:rPr>
                <w:rFonts w:hint="eastAsia" w:ascii="宋体" w:hAnsi="宋体" w:cs="宋体"/>
                <w:snapToGrid w:val="0"/>
                <w:color w:val="auto"/>
                <w:kern w:val="0"/>
                <w:szCs w:val="21"/>
                <w:highlight w:val="none"/>
              </w:rPr>
              <w:t>权重M</w:t>
            </w:r>
            <w:r>
              <w:rPr>
                <w:rFonts w:hint="eastAsia" w:ascii="宋体" w:hAnsi="宋体" w:cs="宋体"/>
                <w:snapToGrid w:val="0"/>
                <w:color w:val="auto"/>
                <w:kern w:val="0"/>
                <w:szCs w:val="21"/>
                <w:highlight w:val="none"/>
                <w:lang w:eastAsia="zh-CN"/>
              </w:rPr>
              <w:t>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color w:val="auto"/>
                <w:szCs w:val="21"/>
                <w:highlight w:val="none"/>
              </w:rPr>
            </w:pPr>
            <w:r>
              <w:rPr>
                <w:rFonts w:hint="eastAsia"/>
                <w:color w:val="auto"/>
                <w:szCs w:val="21"/>
                <w:highlight w:val="none"/>
              </w:rPr>
              <w:t>异常情况</w:t>
            </w:r>
          </w:p>
        </w:tc>
        <w:tc>
          <w:tcPr>
            <w:tcW w:w="10064" w:type="dxa"/>
            <w:gridSpan w:val="8"/>
            <w:tcBorders>
              <w:top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i/>
                <w:color w:val="auto"/>
                <w:kern w:val="0"/>
                <w:szCs w:val="21"/>
                <w:highlight w:val="none"/>
              </w:rPr>
            </w:pPr>
          </w:p>
        </w:tc>
      </w:tr>
    </w:tbl>
    <w:p>
      <w:pPr>
        <w:tabs>
          <w:tab w:val="left" w:pos="2740"/>
          <w:tab w:val="left" w:pos="4940"/>
          <w:tab w:val="left" w:pos="7140"/>
        </w:tabs>
        <w:autoSpaceDE w:val="0"/>
        <w:autoSpaceDN w:val="0"/>
        <w:adjustRightInd w:val="0"/>
        <w:snapToGrid w:val="0"/>
        <w:spacing w:beforeLines="0" w:after="0" w:line="360" w:lineRule="auto"/>
        <w:ind w:firstLine="48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 w:val="24"/>
          <w:highlight w:val="none"/>
          <w:lang w:val="en-US" w:eastAsia="zh-CN"/>
        </w:rPr>
        <w:t>（注：</w:t>
      </w:r>
      <w:r>
        <w:rPr>
          <w:rFonts w:hint="eastAsia" w:ascii="宋体" w:hAnsi="宋体" w:cs="宋体"/>
          <w:snapToGrid w:val="0"/>
          <w:color w:val="auto"/>
          <w:kern w:val="0"/>
          <w:szCs w:val="21"/>
          <w:highlight w:val="none"/>
        </w:rPr>
        <w:t>招标人</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w w:val="100"/>
          <w:kern w:val="0"/>
          <w:szCs w:val="21"/>
          <w:highlight w:val="none"/>
          <w:lang w:eastAsia="zh-CN"/>
        </w:rPr>
        <w:t>招标代理机构、</w:t>
      </w:r>
      <w:r>
        <w:rPr>
          <w:rFonts w:hint="eastAsia" w:ascii="宋体" w:hAnsi="宋体" w:cs="宋体"/>
          <w:snapToGrid w:val="0"/>
          <w:color w:val="auto"/>
          <w:kern w:val="0"/>
          <w:szCs w:val="21"/>
          <w:highlight w:val="none"/>
          <w:lang w:eastAsia="zh-CN"/>
        </w:rPr>
        <w:t>监标人</w:t>
      </w:r>
      <w:r>
        <w:rPr>
          <w:rFonts w:hint="eastAsia" w:ascii="宋体" w:hAnsi="宋体" w:cs="宋体"/>
          <w:snapToGrid w:val="0"/>
          <w:color w:val="auto"/>
          <w:kern w:val="0"/>
          <w:szCs w:val="21"/>
          <w:highlight w:val="none"/>
          <w:lang w:val="en-US" w:eastAsia="zh-CN"/>
        </w:rPr>
        <w:t>栏显示单位名称，</w:t>
      </w:r>
      <w:r>
        <w:rPr>
          <w:rFonts w:hint="eastAsia" w:ascii="宋体" w:hAnsi="宋体" w:cs="宋体"/>
          <w:snapToGrid w:val="0"/>
          <w:color w:val="auto"/>
          <w:kern w:val="0"/>
          <w:szCs w:val="21"/>
          <w:highlight w:val="none"/>
        </w:rPr>
        <w:t>主持人</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记录人</w:t>
      </w:r>
      <w:r>
        <w:rPr>
          <w:rFonts w:hint="eastAsia" w:ascii="宋体" w:hAnsi="宋体" w:cs="宋体"/>
          <w:snapToGrid w:val="0"/>
          <w:color w:val="auto"/>
          <w:kern w:val="0"/>
          <w:szCs w:val="21"/>
          <w:highlight w:val="none"/>
          <w:lang w:val="en-US" w:eastAsia="zh-CN"/>
        </w:rPr>
        <w:t>栏显示人名。</w:t>
      </w:r>
      <w:r>
        <w:rPr>
          <w:rFonts w:hint="eastAsia" w:ascii="宋体" w:hAnsi="宋体" w:cs="宋体"/>
          <w:snapToGrid w:val="0"/>
          <w:color w:val="auto"/>
          <w:kern w:val="0"/>
          <w:sz w:val="24"/>
          <w:highlight w:val="none"/>
          <w:lang w:val="en-US" w:eastAsia="zh-CN"/>
        </w:rPr>
        <w:t>）</w:t>
      </w:r>
    </w:p>
    <w:p>
      <w:pPr>
        <w:tabs>
          <w:tab w:val="left" w:pos="2740"/>
          <w:tab w:val="left" w:pos="4940"/>
          <w:tab w:val="left" w:pos="6930"/>
        </w:tabs>
        <w:autoSpaceDE w:val="0"/>
        <w:autoSpaceDN w:val="0"/>
        <w:adjustRightInd w:val="0"/>
        <w:snapToGrid w:val="0"/>
        <w:spacing w:beforeLines="0" w:after="0" w:line="360" w:lineRule="auto"/>
        <w:ind w:firstLine="420" w:firstLineChars="200"/>
        <w:jc w:val="left"/>
        <w:rPr>
          <w:rFonts w:hint="eastAsia" w:ascii="宋体" w:hAnsi="宋体" w:cs="宋体"/>
          <w:snapToGrid w:val="0"/>
          <w:color w:val="auto"/>
          <w:w w:val="200"/>
          <w:kern w:val="0"/>
          <w:szCs w:val="21"/>
          <w:highlight w:val="none"/>
        </w:rPr>
      </w:pPr>
      <w:r>
        <w:rPr>
          <w:rFonts w:hint="eastAsia" w:ascii="宋体" w:hAnsi="宋体" w:cs="宋体"/>
          <w:snapToGrid w:val="0"/>
          <w:color w:val="auto"/>
          <w:kern w:val="0"/>
          <w:szCs w:val="21"/>
          <w:highlight w:val="none"/>
        </w:rPr>
        <w:t>招标人：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lang w:val="en-US" w:eastAsia="zh-CN"/>
        </w:rPr>
        <w:t>招标代理机构</w:t>
      </w:r>
      <w:r>
        <w:rPr>
          <w:rFonts w:hint="eastAsia" w:ascii="宋体" w:hAnsi="宋体" w:cs="宋体"/>
          <w:snapToGrid w:val="0"/>
          <w:color w:val="auto"/>
          <w:kern w:val="0"/>
          <w:szCs w:val="21"/>
          <w:highlight w:val="none"/>
        </w:rPr>
        <w:t>：</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lang w:val="en-US" w:eastAsia="zh-CN"/>
        </w:rPr>
        <w:t>监标人</w:t>
      </w:r>
      <w:r>
        <w:rPr>
          <w:rFonts w:hint="eastAsia" w:ascii="宋体" w:hAnsi="宋体" w:cs="宋体"/>
          <w:snapToGrid w:val="0"/>
          <w:color w:val="auto"/>
          <w:kern w:val="0"/>
          <w:szCs w:val="21"/>
          <w:highlight w:val="none"/>
        </w:rPr>
        <w:t>：</w:t>
      </w:r>
      <w:r>
        <w:rPr>
          <w:rFonts w:hint="eastAsia" w:ascii="宋体" w:hAnsi="宋体" w:cs="宋体"/>
          <w:snapToGrid w:val="0"/>
          <w:color w:val="auto"/>
          <w:w w:val="200"/>
          <w:kern w:val="0"/>
          <w:szCs w:val="21"/>
          <w:highlight w:val="none"/>
          <w:u w:val="single"/>
        </w:rPr>
        <w:t xml:space="preserve">      </w:t>
      </w:r>
    </w:p>
    <w:p>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cs="宋体"/>
          <w:snapToGrid w:val="0"/>
          <w:color w:val="auto"/>
          <w:kern w:val="0"/>
          <w:szCs w:val="21"/>
          <w:highlight w:val="none"/>
        </w:rPr>
        <w:t>主持人：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p>
    <w:p>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pPr>
        <w:autoSpaceDE w:val="0"/>
        <w:autoSpaceDN w:val="0"/>
        <w:adjustRightInd w:val="0"/>
        <w:snapToGrid w:val="0"/>
        <w:spacing w:before="62" w:beforeLines="20" w:line="360" w:lineRule="auto"/>
        <w:rPr>
          <w:rFonts w:ascii="宋体" w:hAnsi="宋体"/>
          <w:snapToGrid w:val="0"/>
          <w:color w:val="auto"/>
          <w:kern w:val="0"/>
          <w:sz w:val="24"/>
          <w:highlight w:val="none"/>
        </w:rPr>
        <w:sectPr>
          <w:pgSz w:w="16838" w:h="11906" w:orient="landscape"/>
          <w:pgMar w:top="1304" w:right="1304" w:bottom="1134" w:left="1304" w:header="851" w:footer="992" w:gutter="0"/>
          <w:pgNumType w:fmt="decimal"/>
          <w:cols w:space="720" w:num="1"/>
          <w:docGrid w:type="lines" w:linePitch="312" w:charSpace="0"/>
        </w:sectPr>
      </w:pPr>
    </w:p>
    <w:p>
      <w:pPr>
        <w:autoSpaceDE w:val="0"/>
        <w:autoSpaceDN w:val="0"/>
        <w:adjustRightInd w:val="0"/>
        <w:snapToGrid w:val="0"/>
        <w:spacing w:before="62" w:beforeLines="20" w:line="360" w:lineRule="auto"/>
        <w:rPr>
          <w:rFonts w:ascii="宋体" w:hAnsi="宋体"/>
          <w:snapToGrid w:val="0"/>
          <w:color w:val="auto"/>
          <w:kern w:val="0"/>
          <w:sz w:val="24"/>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二</w:t>
      </w:r>
      <w:r>
        <w:rPr>
          <w:rFonts w:ascii="宋体" w:hAnsi="宋体"/>
          <w:b/>
          <w:snapToGrid w:val="0"/>
          <w:color w:val="auto"/>
          <w:kern w:val="0"/>
          <w:highlight w:val="none"/>
        </w:rPr>
        <w:t>：纸质投标保函递交情况一览表（如有）</w:t>
      </w:r>
    </w:p>
    <w:p>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（项目名称）纸质投标保函</w:t>
      </w:r>
      <w:r>
        <w:rPr>
          <w:rFonts w:hint="eastAsia" w:ascii="宋体" w:hAnsi="宋体"/>
          <w:b/>
          <w:snapToGrid w:val="0"/>
          <w:color w:val="auto"/>
          <w:w w:val="99"/>
          <w:kern w:val="0"/>
          <w:sz w:val="28"/>
          <w:szCs w:val="28"/>
          <w:highlight w:val="none"/>
          <w:u w:val="single"/>
        </w:rPr>
        <w:t>递交</w:t>
      </w:r>
      <w:r>
        <w:rPr>
          <w:rFonts w:ascii="宋体" w:hAnsi="宋体"/>
          <w:b/>
          <w:snapToGrid w:val="0"/>
          <w:color w:val="auto"/>
          <w:w w:val="99"/>
          <w:kern w:val="0"/>
          <w:sz w:val="28"/>
          <w:szCs w:val="28"/>
          <w:highlight w:val="none"/>
          <w:u w:val="single"/>
        </w:rPr>
        <w:t>情况一览表</w:t>
      </w:r>
    </w:p>
    <w:p>
      <w:pPr>
        <w:autoSpaceDE w:val="0"/>
        <w:autoSpaceDN w:val="0"/>
        <w:adjustRightInd w:val="0"/>
        <w:snapToGrid w:val="0"/>
        <w:spacing w:before="62" w:beforeLines="20" w:line="360" w:lineRule="auto"/>
        <w:ind w:firstLine="8610" w:firstLineChars="4100"/>
        <w:rPr>
          <w:rFonts w:ascii="宋体" w:hAnsi="宋体"/>
          <w:color w:val="auto"/>
          <w:szCs w:val="21"/>
          <w:highlight w:val="none"/>
        </w:rPr>
      </w:pPr>
      <w:r>
        <w:rPr>
          <w:rFonts w:hint="eastAsia" w:ascii="宋体" w:hAnsi="宋体"/>
          <w:snapToGrid w:val="0"/>
          <w:color w:val="auto"/>
          <w:kern w:val="0"/>
          <w:szCs w:val="21"/>
          <w:highlight w:val="none"/>
        </w:rPr>
        <w:t>投标截止时间</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264"/>
        <w:gridCol w:w="2881"/>
        <w:gridCol w:w="2103"/>
        <w:gridCol w:w="2987"/>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投标人</w:t>
            </w:r>
          </w:p>
        </w:tc>
        <w:tc>
          <w:tcPr>
            <w:tcW w:w="2881" w:type="dxa"/>
            <w:vAlign w:val="center"/>
          </w:tcPr>
          <w:p>
            <w:pPr>
              <w:autoSpaceDE w:val="0"/>
              <w:autoSpaceDN w:val="0"/>
              <w:adjustRightInd w:val="0"/>
              <w:snapToGrid w:val="0"/>
              <w:spacing w:before="0" w:beforeLines="0"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保函开具机构</w:t>
            </w: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金额（元）</w:t>
            </w: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递交时间</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lang w:val="en-US" w:eastAsia="zh-CN"/>
              </w:rPr>
              <w:t>投标截止时间前</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bl>
    <w:p>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 w:val="24"/>
          <w:highlight w:val="none"/>
          <w:lang w:val="en-US" w:eastAsia="zh-CN"/>
        </w:rPr>
        <w:t>（注：</w:t>
      </w:r>
      <w:r>
        <w:rPr>
          <w:rFonts w:hint="eastAsia" w:ascii="宋体" w:hAnsi="宋体" w:cs="宋体"/>
          <w:snapToGrid w:val="0"/>
          <w:color w:val="auto"/>
          <w:kern w:val="0"/>
          <w:szCs w:val="21"/>
          <w:highlight w:val="none"/>
        </w:rPr>
        <w:t>招标人</w:t>
      </w:r>
      <w:r>
        <w:rPr>
          <w:rFonts w:hint="eastAsia" w:ascii="宋体" w:hAnsi="宋体" w:cs="宋体"/>
          <w:snapToGrid w:val="0"/>
          <w:color w:val="auto"/>
          <w:kern w:val="0"/>
          <w:szCs w:val="21"/>
          <w:highlight w:val="none"/>
          <w:lang w:eastAsia="zh-CN"/>
        </w:rPr>
        <w:t>、监标人</w:t>
      </w:r>
      <w:r>
        <w:rPr>
          <w:rFonts w:hint="eastAsia" w:ascii="宋体" w:hAnsi="宋体" w:cs="宋体"/>
          <w:snapToGrid w:val="0"/>
          <w:color w:val="auto"/>
          <w:kern w:val="0"/>
          <w:szCs w:val="21"/>
          <w:highlight w:val="none"/>
          <w:lang w:val="en-US" w:eastAsia="zh-CN"/>
        </w:rPr>
        <w:t>栏显示单位名称，</w:t>
      </w:r>
      <w:r>
        <w:rPr>
          <w:rFonts w:hint="eastAsia" w:ascii="宋体" w:hAnsi="宋体" w:cs="宋体"/>
          <w:snapToGrid w:val="0"/>
          <w:color w:val="auto"/>
          <w:kern w:val="0"/>
          <w:szCs w:val="21"/>
          <w:highlight w:val="none"/>
        </w:rPr>
        <w:t>记录人</w:t>
      </w:r>
      <w:r>
        <w:rPr>
          <w:rFonts w:hint="eastAsia" w:ascii="宋体" w:hAnsi="宋体" w:cs="宋体"/>
          <w:snapToGrid w:val="0"/>
          <w:color w:val="auto"/>
          <w:kern w:val="0"/>
          <w:szCs w:val="21"/>
          <w:highlight w:val="none"/>
          <w:lang w:val="en-US" w:eastAsia="zh-CN"/>
        </w:rPr>
        <w:t>栏显示人名。</w:t>
      </w:r>
      <w:r>
        <w:rPr>
          <w:rFonts w:hint="eastAsia" w:ascii="宋体" w:hAnsi="宋体" w:cs="宋体"/>
          <w:snapToGrid w:val="0"/>
          <w:color w:val="auto"/>
          <w:kern w:val="0"/>
          <w:sz w:val="24"/>
          <w:highlight w:val="none"/>
          <w:lang w:val="en-US" w:eastAsia="zh-CN"/>
        </w:rPr>
        <w:t>）</w:t>
      </w:r>
    </w:p>
    <w:p>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cs="MingLiU"/>
          <w:snapToGrid w:val="0"/>
          <w:color w:val="auto"/>
          <w:w w:val="200"/>
          <w:kern w:val="0"/>
          <w:szCs w:val="21"/>
          <w:highlight w:val="none"/>
          <w:u w:val="single"/>
        </w:rPr>
      </w:pPr>
      <w:r>
        <w:rPr>
          <w:rFonts w:hint="eastAsia" w:ascii="宋体" w:hAnsi="宋体" w:cs="宋体"/>
          <w:snapToGrid w:val="0"/>
          <w:color w:val="auto"/>
          <w:kern w:val="0"/>
          <w:szCs w:val="21"/>
          <w:highlight w:val="none"/>
        </w:rPr>
        <w:t>招标人：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rPr>
        <w:t>监标人：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p>
    <w:p>
      <w:pPr>
        <w:pStyle w:val="2"/>
        <w:jc w:val="right"/>
        <w:rPr>
          <w:color w:val="auto"/>
          <w:highlight w:val="none"/>
        </w:rPr>
      </w:pP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pPr>
        <w:tabs>
          <w:tab w:val="left" w:pos="2740"/>
          <w:tab w:val="left" w:pos="4940"/>
          <w:tab w:val="left" w:pos="6930"/>
        </w:tabs>
        <w:autoSpaceDE w:val="0"/>
        <w:autoSpaceDN w:val="0"/>
        <w:adjustRightInd w:val="0"/>
        <w:snapToGrid w:val="0"/>
        <w:spacing w:line="360" w:lineRule="auto"/>
        <w:ind w:firstLine="0"/>
        <w:jc w:val="left"/>
        <w:rPr>
          <w:rFonts w:hint="eastAsia" w:ascii="宋体" w:hAnsi="宋体" w:cs="MingLiU"/>
          <w:snapToGrid w:val="0"/>
          <w:color w:val="auto"/>
          <w:w w:val="200"/>
          <w:kern w:val="0"/>
          <w:szCs w:val="21"/>
          <w:highlight w:val="none"/>
          <w:u w:val="single"/>
        </w:rPr>
        <w:sectPr>
          <w:pgSz w:w="16838" w:h="11906" w:orient="landscape"/>
          <w:pgMar w:top="1304" w:right="1304" w:bottom="1134" w:left="1304" w:header="851" w:footer="992" w:gutter="0"/>
          <w:pgNumType w:fmt="decimal"/>
          <w:cols w:space="720" w:num="1"/>
          <w:docGrid w:type="lines" w:linePitch="312" w:charSpace="0"/>
        </w:sectPr>
      </w:pPr>
      <w:r>
        <w:rPr>
          <w:rFonts w:ascii="宋体" w:hAnsi="宋体"/>
          <w:snapToGrid w:val="0"/>
          <w:color w:val="auto"/>
          <w:kern w:val="0"/>
          <w:sz w:val="24"/>
          <w:highlight w:val="none"/>
        </w:rPr>
        <w:br w:type="page"/>
      </w:r>
    </w:p>
    <w:p>
      <w:pPr>
        <w:autoSpaceDE w:val="0"/>
        <w:autoSpaceDN w:val="0"/>
        <w:adjustRightInd w:val="0"/>
        <w:snapToGrid w:val="0"/>
        <w:spacing w:line="360" w:lineRule="auto"/>
        <w:jc w:val="left"/>
        <w:rPr>
          <w:rFonts w:hint="eastAsia" w:ascii="宋体" w:hAnsi="宋体"/>
          <w:b/>
          <w:snapToGrid w:val="0"/>
          <w:color w:val="auto"/>
          <w:kern w:val="0"/>
          <w:highlight w:val="none"/>
        </w:rPr>
      </w:pPr>
    </w:p>
    <w:p>
      <w:pPr>
        <w:autoSpaceDE w:val="0"/>
        <w:autoSpaceDN w:val="0"/>
        <w:adjustRightInd w:val="0"/>
        <w:snapToGrid w:val="0"/>
        <w:spacing w:line="360" w:lineRule="auto"/>
        <w:jc w:val="left"/>
        <w:rPr>
          <w:rFonts w:hint="eastAsia"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三</w:t>
      </w:r>
      <w:r>
        <w:rPr>
          <w:rFonts w:ascii="宋体" w:hAnsi="宋体"/>
          <w:b/>
          <w:snapToGrid w:val="0"/>
          <w:color w:val="auto"/>
          <w:kern w:val="0"/>
          <w:highlight w:val="none"/>
        </w:rPr>
        <w:t>：问题澄清通知</w:t>
      </w:r>
    </w:p>
    <w:p>
      <w:pPr>
        <w:autoSpaceDE w:val="0"/>
        <w:autoSpaceDN w:val="0"/>
        <w:adjustRightInd w:val="0"/>
        <w:snapToGrid w:val="0"/>
        <w:spacing w:line="360" w:lineRule="auto"/>
        <w:jc w:val="left"/>
        <w:rPr>
          <w:rFonts w:hint="eastAsia" w:ascii="宋体" w:hAnsi="宋体"/>
          <w:b/>
          <w:snapToGrid w:val="0"/>
          <w:color w:val="auto"/>
          <w:kern w:val="0"/>
          <w:sz w:val="24"/>
          <w:highlight w:val="none"/>
        </w:rPr>
      </w:pPr>
    </w:p>
    <w:p>
      <w:pPr>
        <w:autoSpaceDE w:val="0"/>
        <w:autoSpaceDN w:val="0"/>
        <w:adjustRightInd w:val="0"/>
        <w:snapToGrid w:val="0"/>
        <w:spacing w:line="360" w:lineRule="auto"/>
        <w:jc w:val="center"/>
        <w:rPr>
          <w:rFonts w:hint="eastAsia"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pPr>
        <w:autoSpaceDE w:val="0"/>
        <w:autoSpaceDN w:val="0"/>
        <w:adjustRightInd w:val="0"/>
        <w:snapToGrid w:val="0"/>
        <w:spacing w:line="360" w:lineRule="auto"/>
        <w:jc w:val="left"/>
        <w:rPr>
          <w:rFonts w:hint="eastAsia" w:ascii="宋体" w:hAnsi="宋体"/>
          <w:b/>
          <w:snapToGrid w:val="0"/>
          <w:color w:val="auto"/>
          <w:kern w:val="0"/>
          <w:sz w:val="24"/>
          <w:highlight w:val="none"/>
        </w:rPr>
      </w:pPr>
    </w:p>
    <w:p>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jc w:val="left"/>
        <w:rPr>
          <w:rFonts w:hint="eastAsia" w:ascii="宋体" w:hAnsi="宋体"/>
          <w:b/>
          <w:snapToGrid w:val="0"/>
          <w:color w:val="auto"/>
          <w:kern w:val="0"/>
          <w:sz w:val="24"/>
          <w:highlight w:val="none"/>
        </w:rPr>
      </w:pPr>
    </w:p>
    <w:p>
      <w:pPr>
        <w:autoSpaceDE w:val="0"/>
        <w:autoSpaceDN w:val="0"/>
        <w:adjustRightInd w:val="0"/>
        <w:snapToGrid w:val="0"/>
        <w:spacing w:line="360" w:lineRule="auto"/>
        <w:rPr>
          <w:rFonts w:hint="eastAsia" w:ascii="宋体" w:hAnsi="宋体"/>
          <w:snapToGrid w:val="0"/>
          <w:color w:val="auto"/>
          <w:kern w:val="0"/>
          <w:sz w:val="28"/>
          <w:szCs w:val="28"/>
          <w:highlight w:val="none"/>
        </w:rPr>
      </w:pPr>
    </w:p>
    <w:p>
      <w:pPr>
        <w:tabs>
          <w:tab w:val="left" w:pos="1580"/>
        </w:tabs>
        <w:autoSpaceDE w:val="0"/>
        <w:autoSpaceDN w:val="0"/>
        <w:adjustRightInd w:val="0"/>
        <w:snapToGrid w:val="0"/>
        <w:spacing w:line="480" w:lineRule="auto"/>
        <w:jc w:val="left"/>
        <w:rPr>
          <w:rFonts w:hint="eastAsia"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（投标人名称）：</w:t>
      </w:r>
    </w:p>
    <w:p>
      <w:pPr>
        <w:tabs>
          <w:tab w:val="left" w:pos="2320"/>
          <w:tab w:val="left" w:pos="4460"/>
        </w:tabs>
        <w:autoSpaceDE w:val="0"/>
        <w:autoSpaceDN w:val="0"/>
        <w:adjustRightInd w:val="0"/>
        <w:snapToGrid w:val="0"/>
        <w:spacing w:line="480" w:lineRule="auto"/>
        <w:ind w:firstLine="424" w:firstLineChars="101"/>
        <w:jc w:val="left"/>
        <w:rPr>
          <w:rFonts w:hint="eastAsia"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的评标委员会，对你方的投标文件进行了仔细的审查，现需你方对下列问题以书面形式予以澄清：</w:t>
      </w:r>
    </w:p>
    <w:p>
      <w:pPr>
        <w:autoSpaceDE w:val="0"/>
        <w:autoSpaceDN w:val="0"/>
        <w:adjustRightInd w:val="0"/>
        <w:snapToGrid w:val="0"/>
        <w:spacing w:line="360" w:lineRule="auto"/>
        <w:jc w:val="left"/>
        <w:rPr>
          <w:rFonts w:hint="eastAsia" w:ascii="宋体" w:hAnsi="宋体"/>
          <w:snapToGrid w:val="0"/>
          <w:color w:val="auto"/>
          <w:kern w:val="0"/>
          <w:sz w:val="24"/>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时前递交至</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（详细地址）或传真至</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（传真号码）。采用传真方式的，应在</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时前将原件递交至</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（详细地址）。</w:t>
      </w:r>
    </w:p>
    <w:p>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snapToGrid w:val="0"/>
          <w:color w:val="auto"/>
          <w:kern w:val="0"/>
          <w:sz w:val="28"/>
          <w:szCs w:val="28"/>
          <w:highlight w:val="none"/>
        </w:rPr>
      </w:pPr>
    </w:p>
    <w:p>
      <w:pPr>
        <w:tabs>
          <w:tab w:val="left" w:pos="6400"/>
        </w:tabs>
        <w:autoSpaceDE w:val="0"/>
        <w:autoSpaceDN w:val="0"/>
        <w:adjustRightInd w:val="0"/>
        <w:snapToGrid w:val="0"/>
        <w:spacing w:line="360" w:lineRule="auto"/>
        <w:jc w:val="right"/>
        <w:rPr>
          <w:rFonts w:hint="eastAsia" w:ascii="宋体" w:hAnsi="宋体"/>
          <w:snapToGrid w:val="0"/>
          <w:color w:val="auto"/>
          <w:kern w:val="0"/>
          <w:sz w:val="24"/>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r>
        <w:rPr>
          <w:rFonts w:ascii="宋体" w:hAnsi="宋体"/>
          <w:snapToGrid w:val="0"/>
          <w:color w:val="auto"/>
          <w:kern w:val="0"/>
          <w:sz w:val="24"/>
          <w:highlight w:val="none"/>
        </w:rPr>
        <w:t xml:space="preserve"> </w:t>
      </w:r>
    </w:p>
    <w:p>
      <w:pPr>
        <w:autoSpaceDE w:val="0"/>
        <w:autoSpaceDN w:val="0"/>
        <w:adjustRightInd w:val="0"/>
        <w:snapToGrid w:val="0"/>
        <w:spacing w:line="360" w:lineRule="auto"/>
        <w:ind w:firstLine="315" w:firstLineChars="150"/>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                            </w:t>
      </w:r>
    </w:p>
    <w:p>
      <w:pPr>
        <w:wordWrap w:val="0"/>
        <w:autoSpaceDE w:val="0"/>
        <w:autoSpaceDN w:val="0"/>
        <w:adjustRightInd w:val="0"/>
        <w:snapToGrid w:val="0"/>
        <w:spacing w:line="360" w:lineRule="auto"/>
        <w:ind w:firstLine="850" w:firstLineChars="405"/>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hint="eastAsia"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rPr>
        <w:t>四</w:t>
      </w:r>
      <w:r>
        <w:rPr>
          <w:rFonts w:ascii="宋体" w:hAnsi="宋体"/>
          <w:b/>
          <w:snapToGrid w:val="0"/>
          <w:color w:val="auto"/>
          <w:kern w:val="0"/>
          <w:highlight w:val="none"/>
        </w:rPr>
        <w:t>：问题的澄清</w:t>
      </w:r>
    </w:p>
    <w:p>
      <w:pPr>
        <w:autoSpaceDE w:val="0"/>
        <w:autoSpaceDN w:val="0"/>
        <w:adjustRightInd w:val="0"/>
        <w:snapToGrid w:val="0"/>
        <w:spacing w:line="360" w:lineRule="auto"/>
        <w:jc w:val="left"/>
        <w:rPr>
          <w:rFonts w:hint="eastAsia" w:ascii="宋体" w:hAnsi="宋体"/>
          <w:b/>
          <w:snapToGrid w:val="0"/>
          <w:color w:val="auto"/>
          <w:kern w:val="0"/>
          <w:sz w:val="10"/>
          <w:szCs w:val="10"/>
          <w:highlight w:val="none"/>
        </w:rPr>
      </w:pPr>
    </w:p>
    <w:p>
      <w:pPr>
        <w:autoSpaceDE w:val="0"/>
        <w:autoSpaceDN w:val="0"/>
        <w:adjustRightInd w:val="0"/>
        <w:snapToGrid w:val="0"/>
        <w:spacing w:line="360" w:lineRule="auto"/>
        <w:jc w:val="center"/>
        <w:rPr>
          <w:rFonts w:hint="eastAsia"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rPr>
      </w:pPr>
    </w:p>
    <w:p>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ind w:firstLine="3150" w:firstLineChars="1500"/>
        <w:rPr>
          <w:rFonts w:hint="eastAsia" w:ascii="宋体" w:hAnsi="宋体"/>
          <w:snapToGrid w:val="0"/>
          <w:color w:val="auto"/>
          <w:kern w:val="0"/>
          <w:szCs w:val="21"/>
          <w:highlight w:val="none"/>
        </w:rPr>
      </w:pPr>
    </w:p>
    <w:p>
      <w:pPr>
        <w:autoSpaceDE w:val="0"/>
        <w:autoSpaceDN w:val="0"/>
        <w:adjustRightInd w:val="0"/>
        <w:snapToGrid w:val="0"/>
        <w:spacing w:line="360" w:lineRule="auto"/>
        <w:ind w:firstLine="3150" w:firstLineChars="1500"/>
        <w:rPr>
          <w:rFonts w:hint="eastAsia" w:ascii="宋体" w:hAnsi="宋体"/>
          <w:snapToGrid w:val="0"/>
          <w:color w:val="auto"/>
          <w:kern w:val="0"/>
          <w:szCs w:val="21"/>
          <w:highlight w:val="none"/>
        </w:rPr>
      </w:pPr>
    </w:p>
    <w:p>
      <w:pPr>
        <w:tabs>
          <w:tab w:val="left" w:pos="2415"/>
          <w:tab w:val="left" w:pos="3480"/>
          <w:tab w:val="left" w:pos="4200"/>
        </w:tabs>
        <w:autoSpaceDE w:val="0"/>
        <w:autoSpaceDN w:val="0"/>
        <w:adjustRightInd w:val="0"/>
        <w:snapToGrid w:val="0"/>
        <w:spacing w:line="480" w:lineRule="auto"/>
        <w:ind w:firstLine="840" w:firstLineChars="200"/>
        <w:jc w:val="left"/>
        <w:rPr>
          <w:rFonts w:hint="eastAsia"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评标委员会：</w:t>
      </w:r>
    </w:p>
    <w:p>
      <w:pPr>
        <w:tabs>
          <w:tab w:val="left" w:pos="2000"/>
          <w:tab w:val="left" w:pos="3480"/>
          <w:tab w:val="left" w:pos="4200"/>
        </w:tabs>
        <w:autoSpaceDE w:val="0"/>
        <w:autoSpaceDN w:val="0"/>
        <w:adjustRightInd w:val="0"/>
        <w:snapToGrid w:val="0"/>
        <w:spacing w:line="48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color w:val="auto"/>
          <w:kern w:val="0"/>
          <w:szCs w:val="21"/>
          <w:highlight w:val="none"/>
        </w:rPr>
      </w:pPr>
    </w:p>
    <w:p>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snapToGrid w:val="0"/>
          <w:color w:val="auto"/>
          <w:kern w:val="0"/>
          <w:sz w:val="22"/>
          <w:szCs w:val="22"/>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pPr>
        <w:tabs>
          <w:tab w:val="left" w:pos="7035"/>
        </w:tabs>
        <w:autoSpaceDE w:val="0"/>
        <w:autoSpaceDN w:val="0"/>
        <w:adjustRightInd w:val="0"/>
        <w:snapToGrid w:val="0"/>
        <w:spacing w:line="480" w:lineRule="auto"/>
        <w:ind w:firstLine="2551" w:firstLineChars="1215"/>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autoSpaceDE w:val="0"/>
        <w:autoSpaceDN w:val="0"/>
        <w:adjustRightInd w:val="0"/>
        <w:snapToGrid w:val="0"/>
        <w:spacing w:line="360" w:lineRule="auto"/>
        <w:jc w:val="right"/>
        <w:rPr>
          <w:rFonts w:hint="eastAsia" w:ascii="宋体" w:hAnsi="宋体"/>
          <w:snapToGrid w:val="0"/>
          <w:color w:val="auto"/>
          <w:kern w:val="0"/>
          <w:sz w:val="20"/>
          <w:szCs w:val="20"/>
          <w:highlight w:val="none"/>
        </w:rPr>
      </w:pPr>
    </w:p>
    <w:p>
      <w:pPr>
        <w:wordWrap w:val="0"/>
        <w:autoSpaceDE w:val="0"/>
        <w:autoSpaceDN w:val="0"/>
        <w:adjustRightInd w:val="0"/>
        <w:snapToGrid w:val="0"/>
        <w:spacing w:line="360" w:lineRule="auto"/>
        <w:ind w:firstLine="315" w:firstLineChars="150"/>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hint="eastAsia" w:ascii="宋体" w:hAnsi="宋体"/>
          <w:b/>
          <w:snapToGrid w:val="0"/>
          <w:color w:val="auto"/>
          <w:kern w:val="0"/>
          <w:sz w:val="24"/>
          <w:highlight w:val="none"/>
        </w:rPr>
      </w:pPr>
    </w:p>
    <w:p>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五</w:t>
      </w:r>
      <w:r>
        <w:rPr>
          <w:rFonts w:ascii="宋体" w:hAnsi="宋体"/>
          <w:b/>
          <w:snapToGrid w:val="0"/>
          <w:color w:val="auto"/>
          <w:kern w:val="0"/>
          <w:highlight w:val="none"/>
        </w:rPr>
        <w:t>：中标通知书</w:t>
      </w:r>
    </w:p>
    <w:p>
      <w:pPr>
        <w:autoSpaceDE w:val="0"/>
        <w:autoSpaceDN w:val="0"/>
        <w:adjustRightInd w:val="0"/>
        <w:spacing w:line="360" w:lineRule="auto"/>
        <w:jc w:val="left"/>
        <w:rPr>
          <w:rFonts w:hint="eastAsia" w:ascii="宋体" w:hAnsi="宋体"/>
          <w:snapToGrid w:val="0"/>
          <w:color w:val="auto"/>
          <w:kern w:val="0"/>
          <w:sz w:val="20"/>
          <w:szCs w:val="20"/>
          <w:highlight w:val="none"/>
        </w:rPr>
      </w:pPr>
    </w:p>
    <w:p>
      <w:pPr>
        <w:autoSpaceDE w:val="0"/>
        <w:autoSpaceDN w:val="0"/>
        <w:adjustRightInd w:val="0"/>
        <w:spacing w:line="360" w:lineRule="auto"/>
        <w:jc w:val="left"/>
        <w:rPr>
          <w:rFonts w:hint="eastAsia" w:ascii="宋体" w:hAnsi="宋体"/>
          <w:snapToGrid w:val="0"/>
          <w:color w:val="auto"/>
          <w:kern w:val="0"/>
          <w:sz w:val="20"/>
          <w:szCs w:val="20"/>
          <w:highlight w:val="none"/>
        </w:rPr>
      </w:pPr>
    </w:p>
    <w:p>
      <w:pPr>
        <w:autoSpaceDE w:val="0"/>
        <w:autoSpaceDN w:val="0"/>
        <w:adjustRightInd w:val="0"/>
        <w:spacing w:line="360" w:lineRule="auto"/>
        <w:jc w:val="left"/>
        <w:rPr>
          <w:rFonts w:hint="eastAsia" w:ascii="宋体" w:hAnsi="宋体"/>
          <w:snapToGrid w:val="0"/>
          <w:color w:val="auto"/>
          <w:kern w:val="0"/>
          <w:sz w:val="20"/>
          <w:szCs w:val="20"/>
          <w:highlight w:val="none"/>
        </w:rPr>
      </w:pPr>
    </w:p>
    <w:p>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重庆市建设工程中标通知书</w:t>
      </w:r>
    </w:p>
    <w:p>
      <w:pPr>
        <w:spacing w:line="360" w:lineRule="auto"/>
        <w:rPr>
          <w:rFonts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ascii="宋体" w:hAnsi="宋体"/>
          <w:color w:val="auto"/>
          <w:kern w:val="0"/>
          <w:szCs w:val="21"/>
          <w:highlight w:val="none"/>
          <w:u w:val="single"/>
        </w:rPr>
        <w:t>中标单位</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我单位拟建的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（项目名称）</w:t>
      </w:r>
      <w:r>
        <w:rPr>
          <w:rFonts w:ascii="宋体" w:hAnsi="宋体"/>
          <w:bCs/>
          <w:color w:val="auto"/>
          <w:kern w:val="0"/>
          <w:szCs w:val="21"/>
          <w:highlight w:val="none"/>
          <w:u w:val="single"/>
        </w:rPr>
        <w:t xml:space="preserve">    </w:t>
      </w:r>
      <w:r>
        <w:rPr>
          <w:rFonts w:ascii="宋体" w:hAnsi="宋体"/>
          <w:color w:val="auto"/>
          <w:kern w:val="0"/>
          <w:szCs w:val="21"/>
          <w:highlight w:val="none"/>
        </w:rPr>
        <w:t>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日开标，经评标委员会评定，确定你单位为中标人，中标额为</w:t>
      </w:r>
      <w:r>
        <w:rPr>
          <w:rFonts w:hint="eastAsia" w:ascii="宋体" w:hAnsi="宋体"/>
          <w:color w:val="auto"/>
          <w:kern w:val="0"/>
          <w:szCs w:val="21"/>
          <w:highlight w:val="none"/>
        </w:rPr>
        <w:t>（大写）</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（其中含安全文明施工费 </w:t>
      </w:r>
      <w:r>
        <w:rPr>
          <w:rFonts w:ascii="宋体" w:hAnsi="宋体"/>
          <w:bCs/>
          <w:color w:val="auto"/>
          <w:kern w:val="0"/>
          <w:szCs w:val="21"/>
          <w:highlight w:val="none"/>
          <w:u w:val="single"/>
        </w:rPr>
        <w:t xml:space="preserve">￥    </w:t>
      </w:r>
      <w:r>
        <w:rPr>
          <w:rFonts w:ascii="宋体" w:hAnsi="宋体"/>
          <w:color w:val="auto"/>
          <w:kern w:val="0"/>
          <w:szCs w:val="21"/>
          <w:highlight w:val="none"/>
        </w:rPr>
        <w:t>）。中标工程范围：</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，工程规模为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，中标工期 </w:t>
      </w:r>
      <w:r>
        <w:rPr>
          <w:rFonts w:ascii="宋体" w:hAnsi="宋体"/>
          <w:bCs/>
          <w:color w:val="auto"/>
          <w:kern w:val="0"/>
          <w:szCs w:val="21"/>
          <w:highlight w:val="none"/>
          <w:u w:val="single"/>
        </w:rPr>
        <w:t xml:space="preserve">   </w:t>
      </w:r>
      <w:r>
        <w:rPr>
          <w:rFonts w:ascii="宋体" w:hAnsi="宋体"/>
          <w:color w:val="auto"/>
          <w:kern w:val="0"/>
          <w:szCs w:val="21"/>
          <w:highlight w:val="none"/>
          <w:u w:val="single"/>
        </w:rPr>
        <w:t>日历天</w:t>
      </w:r>
      <w:r>
        <w:rPr>
          <w:rFonts w:ascii="宋体" w:hAnsi="宋体"/>
          <w:color w:val="auto"/>
          <w:kern w:val="0"/>
          <w:szCs w:val="21"/>
          <w:highlight w:val="none"/>
        </w:rPr>
        <w:t>，工程质量达到国家施工验收规范标准。 项目经理由</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担任。</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你单位收到中标通知书后，在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日内到我单位签订承发包合同。</w:t>
      </w:r>
      <w:r>
        <w:rPr>
          <w:color w:val="auto"/>
          <w:szCs w:val="21"/>
          <w:highlight w:val="none"/>
        </w:rPr>
        <w:t>在此之前按招标文件第二章</w:t>
      </w:r>
      <w:r>
        <w:rPr>
          <w:rFonts w:hint="eastAsia"/>
          <w:color w:val="auto"/>
          <w:szCs w:val="21"/>
          <w:highlight w:val="none"/>
        </w:rPr>
        <w:t>“</w:t>
      </w:r>
      <w:r>
        <w:rPr>
          <w:color w:val="auto"/>
          <w:szCs w:val="21"/>
          <w:highlight w:val="none"/>
        </w:rPr>
        <w:t>投标人须知</w:t>
      </w:r>
      <w:r>
        <w:rPr>
          <w:rFonts w:hint="eastAsia"/>
          <w:color w:val="auto"/>
          <w:szCs w:val="21"/>
          <w:highlight w:val="none"/>
        </w:rPr>
        <w:t>”</w:t>
      </w:r>
      <w:r>
        <w:rPr>
          <w:color w:val="auto"/>
          <w:szCs w:val="21"/>
          <w:highlight w:val="none"/>
        </w:rPr>
        <w:t>第7.</w:t>
      </w:r>
      <w:r>
        <w:rPr>
          <w:rFonts w:hint="eastAsia"/>
          <w:color w:val="auto"/>
          <w:szCs w:val="21"/>
          <w:highlight w:val="none"/>
        </w:rPr>
        <w:t>3</w:t>
      </w:r>
      <w:r>
        <w:rPr>
          <w:color w:val="auto"/>
          <w:szCs w:val="21"/>
          <w:highlight w:val="none"/>
        </w:rPr>
        <w:t>款规定向我方提交履约担保。</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特此通知。</w:t>
      </w: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jc w:val="left"/>
        <w:rPr>
          <w:rFonts w:ascii="宋体" w:hAnsi="宋体"/>
          <w:color w:val="auto"/>
          <w:kern w:val="0"/>
          <w:szCs w:val="21"/>
          <w:highlight w:val="none"/>
        </w:rPr>
      </w:pPr>
      <w:r>
        <w:rPr>
          <w:rFonts w:ascii="宋体" w:hAnsi="宋体"/>
          <w:color w:val="auto"/>
          <w:kern w:val="0"/>
          <w:sz w:val="24"/>
          <w:highlight w:val="none"/>
        </w:rPr>
        <w:t xml:space="preserve">                                </w:t>
      </w:r>
      <w:r>
        <w:rPr>
          <w:rFonts w:ascii="宋体" w:hAnsi="宋体"/>
          <w:color w:val="auto"/>
          <w:kern w:val="0"/>
          <w:szCs w:val="21"/>
          <w:highlight w:val="none"/>
        </w:rPr>
        <w:t>招标人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snapToGrid w:val="0"/>
          <w:color w:val="auto"/>
          <w:kern w:val="0"/>
          <w:szCs w:val="21"/>
          <w:highlight w:val="none"/>
        </w:rPr>
        <w:t>盖单位法人章</w:t>
      </w:r>
      <w:r>
        <w:rPr>
          <w:rFonts w:ascii="宋体" w:hAnsi="宋体"/>
          <w:color w:val="auto"/>
          <w:kern w:val="0"/>
          <w:szCs w:val="21"/>
          <w:highlight w:val="none"/>
        </w:rPr>
        <w:t>）</w:t>
      </w:r>
    </w:p>
    <w:p>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法定代表人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spacing w:line="480" w:lineRule="auto"/>
        <w:jc w:val="left"/>
        <w:rPr>
          <w:rFonts w:ascii="宋体" w:hAnsi="宋体"/>
          <w:color w:val="auto"/>
          <w:kern w:val="0"/>
          <w:szCs w:val="21"/>
          <w:highlight w:val="none"/>
          <w:u w:val="singl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联系电话</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pPr>
        <w:spacing w:line="480" w:lineRule="auto"/>
        <w:jc w:val="right"/>
        <w:rPr>
          <w:rFonts w:ascii="宋体" w:hAnsi="宋体"/>
          <w:color w:val="auto"/>
          <w:kern w:val="0"/>
          <w:szCs w:val="21"/>
          <w:highlight w:val="none"/>
        </w:rPr>
      </w:pPr>
    </w:p>
    <w:p>
      <w:pPr>
        <w:spacing w:line="480" w:lineRule="auto"/>
        <w:jc w:val="right"/>
        <w:rPr>
          <w:rFonts w:ascii="宋体" w:hAnsi="宋体"/>
          <w:color w:val="auto"/>
          <w:kern w:val="0"/>
          <w:szCs w:val="21"/>
          <w:highlight w:val="none"/>
        </w:rPr>
      </w:pPr>
    </w:p>
    <w:p>
      <w:pPr>
        <w:spacing w:line="480" w:lineRule="auto"/>
        <w:jc w:val="right"/>
        <w:rPr>
          <w:rFonts w:ascii="宋体" w:hAnsi="宋体"/>
          <w:color w:val="auto"/>
          <w:kern w:val="0"/>
          <w:sz w:val="24"/>
          <w:highlight w:val="none"/>
        </w:rPr>
      </w:pPr>
      <w:r>
        <w:rPr>
          <w:rFonts w:ascii="宋体" w:hAnsi="宋体"/>
          <w:color w:val="auto"/>
          <w:kern w:val="0"/>
          <w:szCs w:val="21"/>
          <w:highlight w:val="none"/>
        </w:rPr>
        <w:t xml:space="preserve">                   签发日期</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spacing w:line="200" w:lineRule="exact"/>
        <w:rPr>
          <w:rFonts w:hint="eastAsia" w:ascii="宋体" w:hAnsi="宋体"/>
          <w:color w:val="auto"/>
          <w:kern w:val="0"/>
          <w:highlight w:val="none"/>
        </w:rPr>
      </w:pPr>
      <w:r>
        <w:rPr>
          <w:rFonts w:ascii="宋体" w:hAnsi="宋体"/>
          <w:color w:val="auto"/>
          <w:kern w:val="0"/>
          <w:sz w:val="24"/>
          <w:highlight w:val="none"/>
        </w:rPr>
        <w:br w:type="page"/>
      </w:r>
      <w:bookmarkStart w:id="558" w:name="招标文件03章02评标办法综合评估法00"/>
      <w:bookmarkEnd w:id="558"/>
      <w:bookmarkStart w:id="559" w:name="招标文件03章02评标办法综合评估法"/>
      <w:bookmarkEnd w:id="559"/>
      <w:bookmarkStart w:id="560" w:name="_Toc224103384"/>
      <w:bookmarkStart w:id="561" w:name="_Toc287620751"/>
      <w:bookmarkStart w:id="562" w:name="_Toc200513198"/>
      <w:bookmarkStart w:id="563" w:name="_Toc287607812"/>
      <w:bookmarkStart w:id="564" w:name="_Toc430530500"/>
      <w:bookmarkStart w:id="565" w:name="_Toc277082618"/>
    </w:p>
    <w:p>
      <w:pPr>
        <w:pStyle w:val="3"/>
        <w:spacing w:line="360" w:lineRule="auto"/>
        <w:ind w:firstLine="883" w:firstLineChars="200"/>
        <w:jc w:val="center"/>
        <w:rPr>
          <w:rFonts w:hint="eastAsia" w:ascii="宋体" w:hAnsi="宋体"/>
          <w:color w:val="auto"/>
          <w:highlight w:val="none"/>
        </w:rPr>
      </w:pPr>
      <w:bookmarkStart w:id="566" w:name="_Toc509218774"/>
      <w:bookmarkStart w:id="567" w:name="_Toc6128"/>
      <w:bookmarkStart w:id="568" w:name="_Toc16520"/>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bookmarkEnd w:id="566"/>
      <w:bookmarkEnd w:id="567"/>
      <w:bookmarkEnd w:id="568"/>
      <w:bookmarkStart w:id="569" w:name="_Toc224103383"/>
      <w:bookmarkStart w:id="570" w:name="_Toc277082617"/>
      <w:bookmarkStart w:id="571" w:name="_Toc287620750"/>
      <w:bookmarkStart w:id="572" w:name="_Toc287607811"/>
      <w:bookmarkStart w:id="573" w:name="_Toc430530499"/>
    </w:p>
    <w:p>
      <w:pPr>
        <w:pStyle w:val="4"/>
        <w:spacing w:before="100" w:after="100" w:line="360" w:lineRule="auto"/>
        <w:rPr>
          <w:rFonts w:hint="eastAsia" w:ascii="宋体" w:hAnsi="宋体"/>
          <w:color w:val="auto"/>
          <w:highlight w:val="none"/>
        </w:rPr>
      </w:pPr>
      <w:bookmarkStart w:id="574" w:name="_Toc509218775"/>
      <w:bookmarkStart w:id="575" w:name="_Toc14663"/>
      <w:bookmarkStart w:id="576" w:name="_Toc31044"/>
      <w:r>
        <w:rPr>
          <w:rFonts w:hint="eastAsia" w:ascii="宋体" w:hAnsi="宋体"/>
          <w:color w:val="auto"/>
          <w:highlight w:val="none"/>
        </w:rPr>
        <w:t>评标办法前附表</w:t>
      </w:r>
      <w:bookmarkEnd w:id="574"/>
      <w:bookmarkEnd w:id="575"/>
      <w:bookmarkEnd w:id="576"/>
    </w:p>
    <w:p>
      <w:pPr>
        <w:spacing w:line="360" w:lineRule="auto"/>
        <w:ind w:firstLine="420" w:firstLineChars="200"/>
        <w:rPr>
          <w:color w:val="auto"/>
          <w:szCs w:val="21"/>
          <w:highlight w:val="none"/>
        </w:rPr>
      </w:pPr>
      <w:r>
        <w:rPr>
          <w:color w:val="auto"/>
          <w:szCs w:val="21"/>
          <w:highlight w:val="none"/>
        </w:rPr>
        <w:t>评标办法中的评审内容必须和投标人须知中的对应内容一致，若投标人须知中未作要求的内容，不得列入评标办法作为评定依据。</w:t>
      </w:r>
    </w:p>
    <w:p>
      <w:pPr>
        <w:spacing w:line="360" w:lineRule="auto"/>
        <w:ind w:firstLine="420" w:firstLineChars="200"/>
        <w:rPr>
          <w:rFonts w:hint="default" w:eastAsia="宋体"/>
          <w:color w:val="auto"/>
          <w:szCs w:val="21"/>
          <w:highlight w:val="none"/>
          <w:lang w:val="en-US" w:eastAsia="zh-CN"/>
        </w:rPr>
      </w:pPr>
      <w:r>
        <w:rPr>
          <w:rFonts w:hint="eastAsia"/>
          <w:color w:val="auto"/>
          <w:szCs w:val="21"/>
          <w:highlight w:val="none"/>
          <w:lang w:val="en-US" w:eastAsia="zh-CN"/>
        </w:rPr>
        <w:t>注：标段1和标段2均采用以下评审标准：</w:t>
      </w:r>
    </w:p>
    <w:bookmarkEnd w:id="569"/>
    <w:bookmarkEnd w:id="570"/>
    <w:bookmarkEnd w:id="571"/>
    <w:bookmarkEnd w:id="572"/>
    <w:bookmarkEnd w:id="573"/>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577"/>
        <w:gridCol w:w="573"/>
        <w:gridCol w:w="1969"/>
        <w:gridCol w:w="55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gridSpan w:val="2"/>
            <w:vAlign w:val="center"/>
          </w:tcPr>
          <w:p>
            <w:pPr>
              <w:spacing w:line="400" w:lineRule="exact"/>
              <w:jc w:val="center"/>
              <w:rPr>
                <w:rFonts w:hint="eastAsia" w:ascii="宋体" w:hAnsi="宋体"/>
                <w:b/>
                <w:color w:val="auto"/>
                <w:kern w:val="0"/>
                <w:highlight w:val="none"/>
              </w:rPr>
            </w:pPr>
            <w:bookmarkStart w:id="577" w:name="_Toc509218776"/>
            <w:r>
              <w:rPr>
                <w:rFonts w:ascii="宋体" w:hAnsi="宋体"/>
                <w:b/>
                <w:color w:val="auto"/>
                <w:kern w:val="0"/>
                <w:highlight w:val="none"/>
              </w:rPr>
              <w:t>条款号</w:t>
            </w:r>
          </w:p>
        </w:tc>
        <w:tc>
          <w:tcPr>
            <w:tcW w:w="2542" w:type="dxa"/>
            <w:gridSpan w:val="2"/>
            <w:vAlign w:val="center"/>
          </w:tcPr>
          <w:p>
            <w:pPr>
              <w:spacing w:line="400" w:lineRule="exact"/>
              <w:jc w:val="center"/>
              <w:rPr>
                <w:rFonts w:hint="eastAsia" w:ascii="宋体" w:hAnsi="宋体"/>
                <w:b/>
                <w:color w:val="auto"/>
                <w:kern w:val="0"/>
                <w:highlight w:val="none"/>
              </w:rPr>
            </w:pPr>
            <w:r>
              <w:rPr>
                <w:rFonts w:ascii="宋体" w:hAnsi="宋体"/>
                <w:b/>
                <w:color w:val="auto"/>
                <w:kern w:val="0"/>
                <w:highlight w:val="none"/>
              </w:rPr>
              <w:t>评审因素</w:t>
            </w:r>
          </w:p>
        </w:tc>
        <w:tc>
          <w:tcPr>
            <w:tcW w:w="5511" w:type="dxa"/>
            <w:vAlign w:val="center"/>
          </w:tcPr>
          <w:p>
            <w:pPr>
              <w:spacing w:line="400" w:lineRule="exact"/>
              <w:jc w:val="center"/>
              <w:rPr>
                <w:rFonts w:hint="eastAsia" w:ascii="宋体" w:hAnsi="宋体"/>
                <w:b/>
                <w:color w:val="auto"/>
                <w:kern w:val="0"/>
                <w:highlight w:val="none"/>
              </w:rPr>
            </w:pPr>
            <w:r>
              <w:rPr>
                <w:rFonts w:ascii="宋体" w:hAnsi="宋体"/>
                <w:b/>
                <w:color w:val="auto"/>
                <w:kern w:val="0"/>
                <w:highlight w:val="none"/>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pPr>
              <w:spacing w:line="400" w:lineRule="exact"/>
              <w:jc w:val="center"/>
              <w:rPr>
                <w:rFonts w:hint="eastAsia"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577" w:type="dxa"/>
            <w:vMerge w:val="restart"/>
            <w:vAlign w:val="center"/>
          </w:tcPr>
          <w:p>
            <w:pPr>
              <w:spacing w:line="400" w:lineRule="exact"/>
              <w:jc w:val="center"/>
              <w:rPr>
                <w:rFonts w:hint="eastAsia" w:ascii="宋体" w:hAnsi="宋体"/>
                <w:color w:val="auto"/>
                <w:kern w:val="0"/>
                <w:highlight w:val="none"/>
              </w:rPr>
            </w:pPr>
            <w:r>
              <w:rPr>
                <w:rFonts w:ascii="宋体" w:hAnsi="宋体"/>
                <w:color w:val="auto"/>
                <w:kern w:val="0"/>
                <w:highlight w:val="none"/>
              </w:rPr>
              <w:t>资格评审标准</w:t>
            </w:r>
          </w:p>
        </w:tc>
        <w:tc>
          <w:tcPr>
            <w:tcW w:w="2542" w:type="dxa"/>
            <w:gridSpan w:val="2"/>
            <w:tcBorders>
              <w:bottom w:val="single" w:color="auto" w:sz="4" w:space="0"/>
            </w:tcBorders>
            <w:vAlign w:val="center"/>
          </w:tcPr>
          <w:p>
            <w:pPr>
              <w:spacing w:line="400" w:lineRule="exact"/>
              <w:jc w:val="left"/>
              <w:rPr>
                <w:rFonts w:hint="eastAsia" w:ascii="宋体" w:hAnsi="宋体"/>
                <w:color w:val="auto"/>
                <w:kern w:val="0"/>
                <w:highlight w:val="none"/>
              </w:rPr>
            </w:pPr>
            <w:r>
              <w:rPr>
                <w:rFonts w:hint="eastAsia" w:ascii="宋体" w:hAnsi="宋体"/>
                <w:color w:val="auto"/>
                <w:kern w:val="0"/>
                <w:highlight w:val="none"/>
              </w:rPr>
              <w:t>资质条件</w:t>
            </w:r>
          </w:p>
        </w:tc>
        <w:tc>
          <w:tcPr>
            <w:tcW w:w="5511" w:type="dxa"/>
            <w:vAlign w:val="center"/>
          </w:tcPr>
          <w:p>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color w:val="auto"/>
                <w:kern w:val="0"/>
                <w:highlight w:val="none"/>
              </w:rPr>
            </w:pPr>
            <w:r>
              <w:rPr>
                <w:rFonts w:hint="eastAsia" w:ascii="宋体" w:hAnsi="宋体"/>
                <w:color w:val="auto"/>
                <w:kern w:val="0"/>
                <w:highlight w:val="none"/>
                <w:lang w:eastAsia="zh-CN"/>
              </w:rPr>
              <w:t>独立法人资格</w:t>
            </w:r>
          </w:p>
        </w:tc>
        <w:tc>
          <w:tcPr>
            <w:tcW w:w="5511" w:type="dxa"/>
            <w:vAlign w:val="center"/>
          </w:tcPr>
          <w:p>
            <w:pPr>
              <w:autoSpaceDE w:val="0"/>
              <w:autoSpaceDN w:val="0"/>
              <w:adjustRightInd w:val="0"/>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top w:val="single" w:color="auto" w:sz="4" w:space="0"/>
            </w:tcBorders>
          </w:tcPr>
          <w:p>
            <w:pPr>
              <w:spacing w:line="400" w:lineRule="exact"/>
              <w:jc w:val="left"/>
              <w:rPr>
                <w:rFonts w:hint="eastAsia" w:ascii="宋体" w:hAnsi="宋体"/>
                <w:color w:val="auto"/>
                <w:kern w:val="0"/>
                <w:highlight w:val="none"/>
              </w:rPr>
            </w:pPr>
            <w:r>
              <w:rPr>
                <w:rFonts w:hint="eastAsia" w:ascii="宋体" w:hAnsi="宋体"/>
                <w:color w:val="auto"/>
                <w:kern w:val="0"/>
                <w:highlight w:val="none"/>
              </w:rPr>
              <w:t>安全生产条件</w:t>
            </w:r>
          </w:p>
        </w:tc>
        <w:tc>
          <w:tcPr>
            <w:tcW w:w="5511" w:type="dxa"/>
            <w:vAlign w:val="center"/>
          </w:tcPr>
          <w:p>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bottom w:val="single" w:color="auto" w:sz="4" w:space="0"/>
            </w:tcBorders>
            <w:vAlign w:val="center"/>
          </w:tcPr>
          <w:p>
            <w:pPr>
              <w:spacing w:line="400" w:lineRule="exact"/>
              <w:jc w:val="left"/>
              <w:rPr>
                <w:rFonts w:hint="eastAsia" w:ascii="宋体" w:hAnsi="宋体"/>
                <w:color w:val="auto"/>
                <w:kern w:val="0"/>
                <w:highlight w:val="none"/>
              </w:rPr>
            </w:pPr>
            <w:r>
              <w:rPr>
                <w:rFonts w:ascii="宋体" w:hAnsi="宋体"/>
                <w:color w:val="auto"/>
                <w:kern w:val="0"/>
                <w:highlight w:val="none"/>
              </w:rPr>
              <w:t>财务</w:t>
            </w:r>
            <w:r>
              <w:rPr>
                <w:rFonts w:hint="eastAsia" w:ascii="宋体" w:hAnsi="宋体"/>
                <w:color w:val="auto"/>
                <w:kern w:val="0"/>
                <w:highlight w:val="none"/>
              </w:rPr>
              <w:t>要求</w:t>
            </w:r>
          </w:p>
        </w:tc>
        <w:tc>
          <w:tcPr>
            <w:tcW w:w="5511" w:type="dxa"/>
            <w:vAlign w:val="center"/>
          </w:tcPr>
          <w:p>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color w:val="auto"/>
                <w:kern w:val="0"/>
                <w:highlight w:val="none"/>
              </w:rPr>
            </w:pPr>
            <w:r>
              <w:rPr>
                <w:rFonts w:hint="eastAsia" w:ascii="宋体" w:hAnsi="宋体"/>
                <w:color w:val="auto"/>
                <w:kern w:val="0"/>
                <w:highlight w:val="none"/>
              </w:rPr>
              <w:t>业绩要求</w:t>
            </w:r>
          </w:p>
        </w:tc>
        <w:tc>
          <w:tcPr>
            <w:tcW w:w="5511" w:type="dxa"/>
            <w:vAlign w:val="center"/>
          </w:tcPr>
          <w:p>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color w:val="auto"/>
                <w:kern w:val="0"/>
                <w:highlight w:val="none"/>
              </w:rPr>
            </w:pPr>
            <w:r>
              <w:rPr>
                <w:rFonts w:ascii="宋体" w:hAnsi="宋体"/>
                <w:color w:val="auto"/>
                <w:szCs w:val="21"/>
                <w:highlight w:val="none"/>
              </w:rPr>
              <w:t>投标截止日投标资格情况</w:t>
            </w:r>
          </w:p>
        </w:tc>
        <w:tc>
          <w:tcPr>
            <w:tcW w:w="5511" w:type="dxa"/>
            <w:vAlign w:val="center"/>
          </w:tcPr>
          <w:p>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color w:val="auto"/>
                <w:szCs w:val="21"/>
                <w:highlight w:val="none"/>
              </w:rPr>
            </w:pPr>
            <w:r>
              <w:rPr>
                <w:rFonts w:ascii="宋体" w:hAnsi="宋体"/>
                <w:color w:val="auto"/>
                <w:kern w:val="0"/>
                <w:highlight w:val="none"/>
              </w:rPr>
              <w:t>项目经理资格</w:t>
            </w:r>
            <w:r>
              <w:rPr>
                <w:rFonts w:hint="eastAsia" w:ascii="宋体" w:hAnsi="宋体"/>
                <w:color w:val="auto"/>
                <w:kern w:val="0"/>
                <w:highlight w:val="none"/>
              </w:rPr>
              <w:t>要求</w:t>
            </w:r>
          </w:p>
        </w:tc>
        <w:tc>
          <w:tcPr>
            <w:tcW w:w="5511" w:type="dxa"/>
            <w:vAlign w:val="center"/>
          </w:tcPr>
          <w:p>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color w:val="auto"/>
                <w:kern w:val="0"/>
                <w:highlight w:val="none"/>
              </w:rPr>
            </w:pPr>
            <w:r>
              <w:rPr>
                <w:rFonts w:ascii="宋体" w:hAnsi="宋体"/>
                <w:color w:val="auto"/>
                <w:kern w:val="0"/>
                <w:highlight w:val="none"/>
              </w:rPr>
              <w:t>其他要求</w:t>
            </w:r>
          </w:p>
        </w:tc>
        <w:tc>
          <w:tcPr>
            <w:tcW w:w="5511" w:type="dxa"/>
            <w:vAlign w:val="center"/>
          </w:tcPr>
          <w:p>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color w:val="auto"/>
                <w:kern w:val="0"/>
                <w:highlight w:val="none"/>
              </w:rPr>
            </w:pPr>
            <w:r>
              <w:rPr>
                <w:rFonts w:ascii="宋体" w:hAnsi="宋体"/>
                <w:color w:val="auto"/>
                <w:kern w:val="0"/>
                <w:highlight w:val="none"/>
              </w:rPr>
              <w:t>联合体投标人</w:t>
            </w:r>
          </w:p>
        </w:tc>
        <w:tc>
          <w:tcPr>
            <w:tcW w:w="5511" w:type="dxa"/>
            <w:vAlign w:val="center"/>
          </w:tcPr>
          <w:p>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pPr>
              <w:spacing w:line="400" w:lineRule="exact"/>
              <w:jc w:val="center"/>
              <w:rPr>
                <w:rFonts w:hint="eastAsia"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577" w:type="dxa"/>
            <w:vMerge w:val="restart"/>
            <w:vAlign w:val="center"/>
          </w:tcPr>
          <w:p>
            <w:pPr>
              <w:spacing w:line="400" w:lineRule="exact"/>
              <w:jc w:val="center"/>
              <w:rPr>
                <w:rFonts w:hint="eastAsia" w:ascii="宋体" w:hAnsi="宋体"/>
                <w:color w:val="auto"/>
                <w:highlight w:val="none"/>
              </w:rPr>
            </w:pPr>
            <w:r>
              <w:rPr>
                <w:rFonts w:ascii="宋体" w:hAnsi="宋体"/>
                <w:color w:val="auto"/>
                <w:kern w:val="0"/>
                <w:highlight w:val="none"/>
              </w:rPr>
              <w:t>形式评审标准</w:t>
            </w:r>
          </w:p>
        </w:tc>
        <w:tc>
          <w:tcPr>
            <w:tcW w:w="2542" w:type="dxa"/>
            <w:gridSpan w:val="2"/>
            <w:tcBorders>
              <w:top w:val="single" w:color="auto" w:sz="4" w:space="0"/>
              <w:bottom w:val="single" w:color="auto" w:sz="4" w:space="0"/>
            </w:tcBorders>
            <w:vAlign w:val="center"/>
          </w:tcPr>
          <w:p>
            <w:pPr>
              <w:spacing w:line="400" w:lineRule="exact"/>
              <w:jc w:val="left"/>
              <w:rPr>
                <w:rFonts w:hint="eastAsia" w:ascii="宋体" w:hAnsi="宋体"/>
                <w:color w:val="auto"/>
                <w:kern w:val="0"/>
                <w:highlight w:val="none"/>
              </w:rPr>
            </w:pPr>
            <w:r>
              <w:rPr>
                <w:rFonts w:ascii="宋体" w:hAnsi="宋体"/>
                <w:color w:val="auto"/>
                <w:kern w:val="0"/>
                <w:highlight w:val="none"/>
              </w:rPr>
              <w:t>投标人名称</w:t>
            </w:r>
          </w:p>
        </w:tc>
        <w:tc>
          <w:tcPr>
            <w:tcW w:w="5511" w:type="dxa"/>
            <w:vAlign w:val="center"/>
          </w:tcPr>
          <w:p>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与营业执照、资质证书、安全生产许可证一致。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shd w:val="clear" w:color="auto" w:fill="auto"/>
            <w:vAlign w:val="center"/>
          </w:tcPr>
          <w:p>
            <w:pPr>
              <w:spacing w:line="400" w:lineRule="exact"/>
              <w:jc w:val="left"/>
              <w:rPr>
                <w:rFonts w:hint="eastAsia"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投标文件格式</w:t>
            </w:r>
          </w:p>
        </w:tc>
        <w:tc>
          <w:tcPr>
            <w:tcW w:w="5511" w:type="dxa"/>
            <w:shd w:val="clear" w:color="auto" w:fill="auto"/>
            <w:vAlign w:val="center"/>
          </w:tcPr>
          <w:p>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w:t>
            </w:r>
            <w:r>
              <w:rPr>
                <w:rFonts w:hint="eastAsia" w:ascii="宋体" w:hAnsi="宋体"/>
                <w:color w:val="auto"/>
                <w:kern w:val="0"/>
                <w:highlight w:val="none"/>
              </w:rPr>
              <w:t>二</w:t>
            </w:r>
            <w:r>
              <w:rPr>
                <w:rFonts w:ascii="宋体" w:hAnsi="宋体"/>
                <w:color w:val="auto"/>
                <w:kern w:val="0"/>
                <w:highlight w:val="none"/>
              </w:rPr>
              <w:t>章“投标</w:t>
            </w:r>
            <w:r>
              <w:rPr>
                <w:rFonts w:hint="eastAsia" w:ascii="宋体" w:hAnsi="宋体"/>
                <w:color w:val="auto"/>
                <w:kern w:val="0"/>
                <w:highlight w:val="none"/>
              </w:rPr>
              <w:t>人须知</w:t>
            </w:r>
            <w:r>
              <w:rPr>
                <w:rFonts w:ascii="宋体" w:hAnsi="宋体"/>
                <w:color w:val="auto"/>
                <w:kern w:val="0"/>
                <w:highlight w:val="none"/>
              </w:rPr>
              <w:t>”</w:t>
            </w:r>
            <w:r>
              <w:rPr>
                <w:rFonts w:hint="eastAsia" w:ascii="宋体" w:hAnsi="宋体"/>
                <w:color w:val="auto"/>
                <w:kern w:val="0"/>
                <w:highlight w:val="none"/>
              </w:rPr>
              <w:t>第3.7款</w:t>
            </w:r>
            <w:r>
              <w:rPr>
                <w:rFonts w:ascii="宋体" w:hAnsi="宋体"/>
                <w:color w:val="auto"/>
                <w:kern w:val="0"/>
                <w:highlight w:val="none"/>
              </w:rPr>
              <w:t>的要求。</w:t>
            </w:r>
          </w:p>
          <w:p>
            <w:pPr>
              <w:spacing w:line="400" w:lineRule="exact"/>
              <w:ind w:firstLine="420" w:firstLineChars="200"/>
              <w:rPr>
                <w:rFonts w:hint="eastAsia" w:ascii="宋体" w:hAnsi="宋体" w:eastAsia="宋体" w:cs="Times New Roman"/>
                <w:color w:val="auto"/>
                <w:kern w:val="0"/>
                <w:sz w:val="21"/>
                <w:szCs w:val="24"/>
                <w:highlight w:val="none"/>
                <w:lang w:val="en-US" w:eastAsia="zh-CN" w:bidi="ar-SA"/>
              </w:rPr>
            </w:pPr>
            <w:r>
              <w:rPr>
                <w:rFonts w:hint="eastAsia" w:ascii="宋体" w:hAnsi="宋体" w:cs="宋体"/>
                <w:color w:val="auto"/>
                <w:szCs w:val="21"/>
                <w:highlight w:val="none"/>
              </w:rPr>
              <w:t>编制投标文件时</w:t>
            </w:r>
            <w:r>
              <w:rPr>
                <w:rFonts w:hint="eastAsia" w:ascii="宋体" w:hAnsi="宋体" w:cs="宋体"/>
                <w:color w:val="auto"/>
                <w:szCs w:val="21"/>
                <w:highlight w:val="none"/>
                <w:lang w:val="en-US" w:eastAsia="zh-CN"/>
              </w:rPr>
              <w:t>不得</w:t>
            </w:r>
            <w:r>
              <w:rPr>
                <w:rFonts w:hint="eastAsia" w:ascii="宋体" w:hAnsi="宋体" w:cs="宋体"/>
                <w:color w:val="auto"/>
                <w:szCs w:val="21"/>
                <w:highlight w:val="none"/>
              </w:rPr>
              <w:t>对第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章“投标文件格式”的相应要素作实质性修改</w:t>
            </w:r>
            <w:r>
              <w:rPr>
                <w:rFonts w:ascii="宋体" w:hAnsi="宋体"/>
                <w:color w:val="auto"/>
                <w:kern w:val="0"/>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shd w:val="clear" w:color="auto" w:fill="auto"/>
            <w:vAlign w:val="center"/>
          </w:tcPr>
          <w:p>
            <w:pPr>
              <w:spacing w:line="400" w:lineRule="exact"/>
              <w:jc w:val="left"/>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kern w:val="0"/>
                <w:highlight w:val="none"/>
              </w:rPr>
              <w:t>投标文件份数</w:t>
            </w:r>
          </w:p>
        </w:tc>
        <w:tc>
          <w:tcPr>
            <w:tcW w:w="5511" w:type="dxa"/>
            <w:shd w:val="clear" w:color="auto" w:fill="auto"/>
            <w:vAlign w:val="center"/>
          </w:tcPr>
          <w:p>
            <w:pPr>
              <w:spacing w:line="400" w:lineRule="exact"/>
              <w:ind w:firstLine="420" w:firstLineChars="200"/>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kern w:val="0"/>
                <w:highlight w:val="none"/>
              </w:rPr>
              <w:t>符合第二章“投标人须知”第3.7.4项规定。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vAlign w:val="center"/>
          </w:tcPr>
          <w:p>
            <w:pPr>
              <w:spacing w:line="400" w:lineRule="exact"/>
              <w:jc w:val="left"/>
              <w:rPr>
                <w:rFonts w:hint="eastAsia" w:ascii="宋体" w:hAnsi="宋体"/>
                <w:color w:val="auto"/>
                <w:kern w:val="0"/>
                <w:highlight w:val="none"/>
              </w:rPr>
            </w:pPr>
            <w:r>
              <w:rPr>
                <w:rFonts w:ascii="宋体" w:hAnsi="宋体"/>
                <w:color w:val="auto"/>
                <w:kern w:val="0"/>
                <w:highlight w:val="none"/>
              </w:rPr>
              <w:t>投标文件的签署</w:t>
            </w:r>
          </w:p>
        </w:tc>
        <w:tc>
          <w:tcPr>
            <w:tcW w:w="5511" w:type="dxa"/>
            <w:vAlign w:val="center"/>
          </w:tcPr>
          <w:p>
            <w:pPr>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 xml:space="preserve">第八章 </w:t>
            </w:r>
            <w:r>
              <w:rPr>
                <w:rFonts w:ascii="宋体" w:hAnsi="宋体"/>
                <w:color w:val="auto"/>
                <w:kern w:val="0"/>
                <w:highlight w:val="none"/>
              </w:rPr>
              <w:t>投标文件</w:t>
            </w:r>
            <w:r>
              <w:rPr>
                <w:rFonts w:hint="eastAsia" w:ascii="宋体" w:hAnsi="宋体"/>
                <w:color w:val="auto"/>
                <w:kern w:val="0"/>
                <w:highlight w:val="none"/>
              </w:rPr>
              <w:t>格式要求</w:t>
            </w:r>
            <w:r>
              <w:rPr>
                <w:rFonts w:ascii="宋体" w:hAnsi="宋体"/>
                <w:color w:val="auto"/>
                <w:kern w:val="0"/>
                <w:highlight w:val="none"/>
              </w:rPr>
              <w:t>法定代表人或其委托代理人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p>
            <w:pPr>
              <w:autoSpaceDE w:val="0"/>
              <w:autoSpaceDN w:val="0"/>
              <w:adjustRightInd w:val="0"/>
              <w:snapToGrid w:val="0"/>
              <w:spacing w:line="400" w:lineRule="exact"/>
              <w:ind w:firstLine="420" w:firstLineChars="200"/>
              <w:rPr>
                <w:rFonts w:hint="eastAsia" w:ascii="宋体" w:hAnsi="宋体"/>
                <w:color w:val="auto"/>
                <w:kern w:val="0"/>
                <w:highlight w:val="none"/>
              </w:rPr>
            </w:pPr>
            <w:r>
              <w:rPr>
                <w:rFonts w:hint="eastAsia" w:ascii="宋体" w:hAnsi="宋体"/>
                <w:snapToGrid w:val="0"/>
                <w:color w:val="auto"/>
                <w:kern w:val="0"/>
                <w:szCs w:val="21"/>
                <w:highlight w:val="none"/>
              </w:rPr>
              <w:t>若投标单位为联合体，则</w:t>
            </w:r>
            <w:r>
              <w:rPr>
                <w:rFonts w:hint="eastAsia" w:ascii="宋体" w:hAnsi="宋体"/>
                <w:color w:val="auto"/>
                <w:highlight w:val="none"/>
                <w:lang w:val="en-US" w:eastAsia="zh-CN"/>
              </w:rPr>
              <w:t>共同投标协议</w:t>
            </w:r>
            <w:r>
              <w:rPr>
                <w:rFonts w:hint="eastAsia" w:ascii="宋体" w:hAnsi="宋体"/>
                <w:snapToGrid w:val="0"/>
                <w:color w:val="auto"/>
                <w:kern w:val="0"/>
                <w:szCs w:val="21"/>
                <w:highlight w:val="none"/>
              </w:rPr>
              <w:t>各联合体成员单位签名（或盖章）须齐全，</w:t>
            </w:r>
            <w:r>
              <w:rPr>
                <w:rFonts w:hint="eastAsia" w:ascii="宋体" w:hAnsi="宋体"/>
                <w:color w:val="auto"/>
                <w:highlight w:val="none"/>
                <w:lang w:val="en-US" w:eastAsia="zh-CN"/>
              </w:rPr>
              <w:t>共同投标协议</w:t>
            </w:r>
            <w:r>
              <w:rPr>
                <w:rFonts w:hint="eastAsia" w:ascii="宋体" w:hAnsi="宋体"/>
                <w:snapToGrid w:val="0"/>
                <w:color w:val="auto"/>
                <w:kern w:val="0"/>
                <w:szCs w:val="21"/>
                <w:highlight w:val="none"/>
              </w:rPr>
              <w:t>以外的</w:t>
            </w:r>
            <w:r>
              <w:rPr>
                <w:rFonts w:ascii="宋体" w:hAnsi="宋体"/>
                <w:color w:val="auto"/>
                <w:kern w:val="0"/>
                <w:highlight w:val="none"/>
              </w:rPr>
              <w:t>投标文件</w:t>
            </w:r>
            <w:r>
              <w:rPr>
                <w:rFonts w:hint="eastAsia" w:ascii="宋体" w:hAnsi="宋体"/>
                <w:color w:val="auto"/>
                <w:kern w:val="0"/>
                <w:highlight w:val="none"/>
              </w:rPr>
              <w:t>格式中，要求</w:t>
            </w:r>
            <w:r>
              <w:rPr>
                <w:rFonts w:hint="eastAsia" w:ascii="宋体" w:hAnsi="宋体"/>
                <w:snapToGrid w:val="0"/>
                <w:color w:val="auto"/>
                <w:kern w:val="0"/>
                <w:szCs w:val="21"/>
                <w:highlight w:val="none"/>
              </w:rPr>
              <w:t>联合体牵头人</w:t>
            </w:r>
            <w:r>
              <w:rPr>
                <w:rFonts w:ascii="宋体" w:hAnsi="宋体"/>
                <w:color w:val="auto"/>
                <w:kern w:val="0"/>
                <w:highlight w:val="none"/>
              </w:rPr>
              <w:t>法定代表人或其委托代理人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vAlign w:val="center"/>
          </w:tcPr>
          <w:p>
            <w:pPr>
              <w:spacing w:line="400" w:lineRule="exact"/>
              <w:jc w:val="left"/>
              <w:rPr>
                <w:rFonts w:hint="eastAsia" w:ascii="宋体" w:hAnsi="宋体"/>
                <w:color w:val="auto"/>
                <w:kern w:val="0"/>
                <w:highlight w:val="none"/>
              </w:rPr>
            </w:pPr>
            <w:r>
              <w:rPr>
                <w:rFonts w:ascii="宋体" w:hAnsi="宋体"/>
                <w:color w:val="auto"/>
                <w:kern w:val="0"/>
                <w:highlight w:val="none"/>
              </w:rPr>
              <w:t>委托代理人</w:t>
            </w:r>
          </w:p>
        </w:tc>
        <w:tc>
          <w:tcPr>
            <w:tcW w:w="5511" w:type="dxa"/>
            <w:vAlign w:val="center"/>
          </w:tcPr>
          <w:p>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投标人法定代表人的委托代理人有法定代表人签署的授权委托书</w:t>
            </w:r>
            <w:r>
              <w:rPr>
                <w:rFonts w:hint="eastAsia" w:ascii="宋体" w:hAnsi="宋体"/>
                <w:color w:val="auto"/>
                <w:kern w:val="0"/>
                <w:highlight w:val="none"/>
              </w:rPr>
              <w:t>和投标人为其缴纳的养老保险</w:t>
            </w:r>
            <w:r>
              <w:rPr>
                <w:rFonts w:hint="eastAsia" w:ascii="宋体" w:hAnsi="宋体"/>
                <w:color w:val="auto"/>
                <w:kern w:val="0"/>
                <w:highlight w:val="none"/>
                <w:lang w:val="en-US" w:eastAsia="zh-CN"/>
              </w:rPr>
              <w:t>证明材料</w:t>
            </w:r>
            <w:r>
              <w:rPr>
                <w:rFonts w:hint="eastAsia" w:ascii="宋体" w:hAnsi="宋体"/>
                <w:color w:val="auto"/>
                <w:kern w:val="0"/>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00" w:hRule="atLeast"/>
          <w:jc w:val="center"/>
        </w:trPr>
        <w:tc>
          <w:tcPr>
            <w:tcW w:w="840" w:type="dxa"/>
            <w:vMerge w:val="restart"/>
            <w:vAlign w:val="center"/>
          </w:tcPr>
          <w:p>
            <w:pPr>
              <w:spacing w:line="400" w:lineRule="exact"/>
              <w:jc w:val="center"/>
              <w:rPr>
                <w:rFonts w:hint="eastAsia" w:ascii="宋体" w:hAnsi="宋体"/>
                <w:color w:val="auto"/>
                <w:highlight w:val="none"/>
              </w:rPr>
            </w:pPr>
            <w:r>
              <w:rPr>
                <w:rFonts w:ascii="宋体" w:hAnsi="宋体"/>
                <w:color w:val="auto"/>
                <w:kern w:val="0"/>
                <w:highlight w:val="none"/>
              </w:rPr>
              <w:t>2.1.3</w:t>
            </w:r>
          </w:p>
        </w:tc>
        <w:tc>
          <w:tcPr>
            <w:tcW w:w="577" w:type="dxa"/>
            <w:vMerge w:val="restart"/>
            <w:vAlign w:val="center"/>
          </w:tcPr>
          <w:p>
            <w:pPr>
              <w:spacing w:line="400" w:lineRule="exact"/>
              <w:jc w:val="center"/>
              <w:rPr>
                <w:rFonts w:hint="eastAsia" w:ascii="宋体" w:hAnsi="宋体"/>
                <w:color w:val="auto"/>
                <w:highlight w:val="none"/>
              </w:rPr>
            </w:pPr>
            <w:r>
              <w:rPr>
                <w:rFonts w:ascii="宋体" w:hAnsi="宋体"/>
                <w:color w:val="auto"/>
                <w:kern w:val="0"/>
                <w:highlight w:val="none"/>
              </w:rPr>
              <w:t>响应性评审标准</w:t>
            </w:r>
          </w:p>
        </w:tc>
        <w:tc>
          <w:tcPr>
            <w:tcW w:w="2542" w:type="dxa"/>
            <w:gridSpan w:val="2"/>
            <w:shd w:val="clear" w:color="auto" w:fill="auto"/>
            <w:vAlign w:val="center"/>
          </w:tcPr>
          <w:p>
            <w:pPr>
              <w:spacing w:line="400" w:lineRule="exact"/>
              <w:jc w:val="left"/>
              <w:rPr>
                <w:rFonts w:hint="eastAsia"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投标内容</w:t>
            </w:r>
          </w:p>
        </w:tc>
        <w:tc>
          <w:tcPr>
            <w:tcW w:w="5511" w:type="dxa"/>
            <w:shd w:val="clear" w:color="auto" w:fill="auto"/>
            <w:vAlign w:val="center"/>
          </w:tcPr>
          <w:p>
            <w:pPr>
              <w:spacing w:line="400" w:lineRule="exact"/>
              <w:ind w:firstLine="420" w:firstLineChars="200"/>
              <w:jc w:val="left"/>
              <w:rPr>
                <w:rFonts w:hint="eastAsia"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符合第二章“投标人须知”第1.3.1项规定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jc w:val="center"/>
              <w:rPr>
                <w:rFonts w:hint="eastAsia" w:ascii="宋体" w:hAnsi="宋体"/>
                <w:color w:val="auto"/>
                <w:highlight w:val="none"/>
              </w:rPr>
            </w:pPr>
          </w:p>
        </w:tc>
        <w:tc>
          <w:tcPr>
            <w:tcW w:w="577" w:type="dxa"/>
            <w:vMerge w:val="continue"/>
          </w:tcPr>
          <w:p>
            <w:pPr>
              <w:spacing w:line="400" w:lineRule="exact"/>
              <w:jc w:val="center"/>
              <w:rPr>
                <w:rFonts w:hint="eastAsia" w:ascii="宋体" w:hAnsi="宋体"/>
                <w:color w:val="auto"/>
                <w:highlight w:val="none"/>
              </w:rPr>
            </w:pPr>
          </w:p>
        </w:tc>
        <w:tc>
          <w:tcPr>
            <w:tcW w:w="2542" w:type="dxa"/>
            <w:gridSpan w:val="2"/>
            <w:vAlign w:val="center"/>
          </w:tcPr>
          <w:p>
            <w:pPr>
              <w:spacing w:line="400" w:lineRule="exact"/>
              <w:jc w:val="left"/>
              <w:rPr>
                <w:rFonts w:hint="eastAsia" w:ascii="宋体" w:hAnsi="宋体"/>
                <w:color w:val="auto"/>
                <w:kern w:val="0"/>
                <w:highlight w:val="none"/>
              </w:rPr>
            </w:pPr>
            <w:r>
              <w:rPr>
                <w:rFonts w:ascii="宋体" w:hAnsi="宋体"/>
                <w:color w:val="auto"/>
                <w:kern w:val="0"/>
                <w:highlight w:val="none"/>
              </w:rPr>
              <w:t>投标保证金</w:t>
            </w:r>
          </w:p>
        </w:tc>
        <w:tc>
          <w:tcPr>
            <w:tcW w:w="5511" w:type="dxa"/>
            <w:vAlign w:val="center"/>
          </w:tcPr>
          <w:p>
            <w:pPr>
              <w:tabs>
                <w:tab w:val="left" w:pos="601"/>
                <w:tab w:val="left" w:pos="669"/>
              </w:tabs>
              <w:snapToGrid w:val="0"/>
              <w:spacing w:line="400" w:lineRule="exact"/>
              <w:ind w:firstLine="420" w:firstLineChars="200"/>
              <w:rPr>
                <w:rFonts w:hint="eastAsia" w:ascii="宋体" w:hAnsi="宋体"/>
                <w:color w:val="auto"/>
                <w:kern w:val="0"/>
                <w:highlight w:val="none"/>
              </w:rPr>
            </w:pPr>
            <w:r>
              <w:rPr>
                <w:rFonts w:hint="eastAsia" w:ascii="宋体" w:hAnsi="宋体" w:cs="宋体"/>
                <w:color w:val="auto"/>
                <w:kern w:val="0"/>
                <w:highlight w:val="none"/>
              </w:rPr>
              <w:t>符合第二章“投标人须知前附表”第3.4款规定。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jc w:val="center"/>
              <w:rPr>
                <w:rFonts w:hint="eastAsia" w:ascii="宋体" w:hAnsi="宋体"/>
                <w:color w:val="auto"/>
                <w:highlight w:val="none"/>
              </w:rPr>
            </w:pPr>
          </w:p>
        </w:tc>
        <w:tc>
          <w:tcPr>
            <w:tcW w:w="577" w:type="dxa"/>
            <w:vMerge w:val="continue"/>
          </w:tcPr>
          <w:p>
            <w:pPr>
              <w:spacing w:line="400" w:lineRule="exact"/>
              <w:jc w:val="center"/>
              <w:rPr>
                <w:rFonts w:hint="eastAsia" w:ascii="宋体" w:hAnsi="宋体"/>
                <w:color w:val="auto"/>
                <w:highlight w:val="none"/>
              </w:rPr>
            </w:pPr>
          </w:p>
        </w:tc>
        <w:tc>
          <w:tcPr>
            <w:tcW w:w="2542" w:type="dxa"/>
            <w:gridSpan w:val="2"/>
            <w:vAlign w:val="center"/>
          </w:tcPr>
          <w:p>
            <w:pPr>
              <w:spacing w:line="400" w:lineRule="exact"/>
              <w:jc w:val="left"/>
              <w:rPr>
                <w:rFonts w:hint="eastAsia" w:ascii="宋体" w:hAnsi="宋体"/>
                <w:color w:val="auto"/>
                <w:kern w:val="0"/>
                <w:highlight w:val="none"/>
              </w:rPr>
            </w:pPr>
            <w:r>
              <w:rPr>
                <w:rFonts w:ascii="宋体" w:hAnsi="宋体"/>
                <w:color w:val="auto"/>
                <w:kern w:val="0"/>
                <w:highlight w:val="none"/>
              </w:rPr>
              <w:t>权利义务</w:t>
            </w:r>
          </w:p>
        </w:tc>
        <w:tc>
          <w:tcPr>
            <w:tcW w:w="5511" w:type="dxa"/>
            <w:vAlign w:val="center"/>
          </w:tcPr>
          <w:p>
            <w:pPr>
              <w:spacing w:after="62" w:afterLines="20"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符合第四章“合同条款及格式”规定，投标文件不应附有招标人不能接受的条件。</w:t>
            </w:r>
            <w:r>
              <w:rPr>
                <w:rFonts w:hint="eastAsia" w:ascii="宋体" w:hAnsi="宋体" w:cs="宋体"/>
                <w:color w:val="auto"/>
                <w:kern w:val="0"/>
                <w:highlight w:val="none"/>
              </w:rPr>
              <w:t>（由投标人承诺，承诺书格式详见第八章投标文件格式。）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jc w:val="center"/>
              <w:rPr>
                <w:rFonts w:hint="eastAsia" w:ascii="宋体" w:hAnsi="宋体"/>
                <w:color w:val="auto"/>
                <w:highlight w:val="none"/>
              </w:rPr>
            </w:pPr>
          </w:p>
        </w:tc>
        <w:tc>
          <w:tcPr>
            <w:tcW w:w="577" w:type="dxa"/>
            <w:vMerge w:val="continue"/>
          </w:tcPr>
          <w:p>
            <w:pPr>
              <w:spacing w:line="400" w:lineRule="exact"/>
              <w:jc w:val="center"/>
              <w:rPr>
                <w:rFonts w:hint="eastAsia" w:ascii="宋体" w:hAnsi="宋体"/>
                <w:color w:val="auto"/>
                <w:highlight w:val="none"/>
              </w:rPr>
            </w:pPr>
          </w:p>
        </w:tc>
        <w:tc>
          <w:tcPr>
            <w:tcW w:w="2542" w:type="dxa"/>
            <w:gridSpan w:val="2"/>
            <w:vAlign w:val="center"/>
          </w:tcPr>
          <w:p>
            <w:pPr>
              <w:spacing w:line="400" w:lineRule="exact"/>
              <w:jc w:val="left"/>
              <w:rPr>
                <w:rFonts w:hint="eastAsia" w:ascii="宋体" w:hAnsi="宋体"/>
                <w:color w:val="auto"/>
                <w:kern w:val="0"/>
                <w:highlight w:val="none"/>
              </w:rPr>
            </w:pPr>
            <w:r>
              <w:rPr>
                <w:rFonts w:ascii="宋体" w:hAnsi="宋体"/>
                <w:color w:val="auto"/>
                <w:kern w:val="0"/>
                <w:highlight w:val="none"/>
              </w:rPr>
              <w:t>技术标准和要求</w:t>
            </w:r>
          </w:p>
        </w:tc>
        <w:tc>
          <w:tcPr>
            <w:tcW w:w="5511" w:type="dxa"/>
            <w:vAlign w:val="center"/>
          </w:tcPr>
          <w:p>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符合第七章“技术标准和要求”规定</w:t>
            </w:r>
            <w:r>
              <w:rPr>
                <w:rFonts w:hint="eastAsia" w:ascii="宋体" w:hAnsi="宋体"/>
                <w:color w:val="auto"/>
                <w:kern w:val="0"/>
                <w:highlight w:val="none"/>
              </w:rPr>
              <w:t>。</w:t>
            </w:r>
            <w:r>
              <w:rPr>
                <w:rFonts w:hint="eastAsia" w:ascii="宋体" w:hAnsi="宋体" w:cs="宋体"/>
                <w:color w:val="auto"/>
                <w:kern w:val="0"/>
                <w:highlight w:val="none"/>
              </w:rPr>
              <w:t>（由投标人承诺，承诺书格式详见第八章投标文件格式。）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color w:val="auto"/>
                <w:highlight w:val="none"/>
              </w:rPr>
            </w:pPr>
          </w:p>
        </w:tc>
        <w:tc>
          <w:tcPr>
            <w:tcW w:w="577" w:type="dxa"/>
            <w:vMerge w:val="continue"/>
          </w:tcPr>
          <w:p>
            <w:pPr>
              <w:spacing w:line="400" w:lineRule="exact"/>
              <w:rPr>
                <w:rFonts w:hint="eastAsia" w:ascii="宋体" w:hAnsi="宋体"/>
                <w:color w:val="auto"/>
                <w:highlight w:val="none"/>
              </w:rPr>
            </w:pPr>
          </w:p>
        </w:tc>
        <w:tc>
          <w:tcPr>
            <w:tcW w:w="2542" w:type="dxa"/>
            <w:gridSpan w:val="2"/>
            <w:vAlign w:val="center"/>
          </w:tcPr>
          <w:p>
            <w:pPr>
              <w:spacing w:line="400" w:lineRule="exact"/>
              <w:jc w:val="left"/>
              <w:rPr>
                <w:rFonts w:hint="eastAsia" w:ascii="宋体" w:hAnsi="宋体"/>
                <w:color w:val="auto"/>
                <w:kern w:val="0"/>
                <w:highlight w:val="none"/>
              </w:rPr>
            </w:pPr>
            <w:r>
              <w:rPr>
                <w:rFonts w:hint="eastAsia" w:ascii="宋体" w:hAnsi="宋体"/>
                <w:color w:val="auto"/>
                <w:kern w:val="0"/>
                <w:highlight w:val="none"/>
                <w:lang w:val="en-US" w:eastAsia="zh-CN"/>
              </w:rPr>
              <w:t>其他</w:t>
            </w:r>
            <w:r>
              <w:rPr>
                <w:rFonts w:ascii="宋体" w:hAnsi="宋体"/>
                <w:color w:val="auto"/>
                <w:kern w:val="0"/>
                <w:highlight w:val="none"/>
              </w:rPr>
              <w:t>实质性要求</w:t>
            </w:r>
          </w:p>
        </w:tc>
        <w:tc>
          <w:tcPr>
            <w:tcW w:w="5511" w:type="dxa"/>
            <w:vAlign w:val="center"/>
          </w:tcPr>
          <w:p>
            <w:pPr>
              <w:spacing w:after="62" w:afterLines="20"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本次投标不得有串通投标</w:t>
            </w:r>
            <w:r>
              <w:rPr>
                <w:rFonts w:ascii="宋体" w:hAnsi="宋体"/>
                <w:color w:val="auto"/>
                <w:kern w:val="0"/>
                <w:highlight w:val="none"/>
              </w:rPr>
              <w:t>、弄虚作假等其他违反招投标相关法律、法规行为。</w:t>
            </w:r>
          </w:p>
          <w:p>
            <w:pPr>
              <w:spacing w:after="62" w:afterLines="20" w:line="400" w:lineRule="exact"/>
              <w:ind w:firstLine="420" w:firstLineChars="200"/>
              <w:rPr>
                <w:rFonts w:hint="eastAsia" w:ascii="宋体" w:hAnsi="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gridSpan w:val="2"/>
            <w:vAlign w:val="center"/>
          </w:tcPr>
          <w:p>
            <w:pPr>
              <w:spacing w:line="400" w:lineRule="exact"/>
              <w:ind w:firstLine="210" w:firstLineChars="100"/>
              <w:jc w:val="center"/>
              <w:rPr>
                <w:rFonts w:hint="eastAsia" w:ascii="宋体" w:hAnsi="宋体"/>
                <w:color w:val="auto"/>
                <w:kern w:val="0"/>
                <w:highlight w:val="none"/>
              </w:rPr>
            </w:pPr>
            <w:r>
              <w:rPr>
                <w:rFonts w:ascii="宋体" w:hAnsi="宋体"/>
                <w:color w:val="auto"/>
                <w:kern w:val="0"/>
                <w:highlight w:val="none"/>
              </w:rPr>
              <w:t>2.2.1</w:t>
            </w:r>
          </w:p>
        </w:tc>
        <w:tc>
          <w:tcPr>
            <w:tcW w:w="2542" w:type="dxa"/>
            <w:gridSpan w:val="2"/>
            <w:vAlign w:val="center"/>
          </w:tcPr>
          <w:p>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511" w:type="dxa"/>
            <w:vAlign w:val="center"/>
          </w:tcPr>
          <w:p>
            <w:pPr>
              <w:snapToGrid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技术部分</w:t>
            </w:r>
            <w:r>
              <w:rPr>
                <w:rFonts w:hint="eastAsia" w:ascii="宋体" w:hAnsi="宋体"/>
                <w:color w:val="auto"/>
                <w:kern w:val="0"/>
                <w:highlight w:val="none"/>
                <w:u w:val="single"/>
                <w:lang w:val="en-US" w:eastAsia="zh-CN"/>
              </w:rPr>
              <w:t>4</w:t>
            </w:r>
            <w:r>
              <w:rPr>
                <w:rFonts w:hint="eastAsia" w:ascii="宋体" w:hAnsi="宋体"/>
                <w:color w:val="auto"/>
                <w:kern w:val="0"/>
                <w:highlight w:val="none"/>
                <w:u w:val="single"/>
              </w:rPr>
              <w:t>0</w:t>
            </w:r>
            <w:r>
              <w:rPr>
                <w:rFonts w:ascii="宋体" w:hAnsi="宋体"/>
                <w:color w:val="auto"/>
                <w:kern w:val="0"/>
                <w:highlight w:val="none"/>
              </w:rPr>
              <w:t>分</w:t>
            </w:r>
            <w:r>
              <w:rPr>
                <w:rFonts w:hint="eastAsia" w:ascii="宋体" w:hAnsi="宋体"/>
                <w:color w:val="auto"/>
                <w:kern w:val="0"/>
                <w:highlight w:val="none"/>
              </w:rPr>
              <w:t>；</w:t>
            </w:r>
          </w:p>
          <w:p>
            <w:pPr>
              <w:snapToGrid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2.商务部分</w:t>
            </w:r>
            <w:r>
              <w:rPr>
                <w:rFonts w:hint="eastAsia" w:ascii="宋体" w:hAnsi="宋体"/>
                <w:color w:val="auto"/>
                <w:kern w:val="0"/>
                <w:highlight w:val="none"/>
                <w:u w:val="single"/>
              </w:rPr>
              <w:t>10</w:t>
            </w:r>
            <w:r>
              <w:rPr>
                <w:rFonts w:hint="eastAsia" w:ascii="宋体" w:hAnsi="宋体"/>
                <w:color w:val="auto"/>
                <w:kern w:val="0"/>
                <w:highlight w:val="none"/>
              </w:rPr>
              <w:t>分；</w:t>
            </w:r>
          </w:p>
          <w:p>
            <w:pPr>
              <w:snapToGrid w:val="0"/>
              <w:spacing w:line="400" w:lineRule="exact"/>
              <w:ind w:firstLine="420" w:firstLineChars="200"/>
              <w:rPr>
                <w:rFonts w:hint="eastAsia" w:ascii="宋体" w:hAnsi="宋体"/>
                <w:i/>
                <w:color w:val="auto"/>
                <w:kern w:val="0"/>
                <w:highlight w:val="none"/>
              </w:rPr>
            </w:pPr>
            <w:r>
              <w:rPr>
                <w:rFonts w:hint="eastAsia" w:ascii="宋体" w:hAnsi="宋体"/>
                <w:color w:val="auto"/>
                <w:kern w:val="0"/>
                <w:highlight w:val="none"/>
              </w:rPr>
              <w:t>3.投标总报价</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0</w:t>
            </w:r>
            <w:r>
              <w:rPr>
                <w:rFonts w:hint="eastAsia" w:ascii="宋体" w:hAnsi="宋体"/>
                <w:color w:val="auto"/>
                <w:kern w:val="0"/>
                <w:highlight w:val="none"/>
              </w:rPr>
              <w:t>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restart"/>
            <w:tcBorders>
              <w:right w:val="single" w:color="auto" w:sz="4" w:space="0"/>
            </w:tcBorders>
            <w:vAlign w:val="center"/>
          </w:tcPr>
          <w:p>
            <w:pPr>
              <w:spacing w:line="400" w:lineRule="exact"/>
              <w:jc w:val="center"/>
              <w:rPr>
                <w:rFonts w:hint="eastAsia" w:ascii="宋体" w:hAnsi="宋体"/>
                <w:color w:val="auto"/>
                <w:kern w:val="0"/>
                <w:highlight w:val="none"/>
              </w:rPr>
            </w:pPr>
            <w:r>
              <w:rPr>
                <w:rFonts w:hint="eastAsia" w:ascii="宋体" w:hAnsi="宋体"/>
                <w:color w:val="auto"/>
                <w:kern w:val="0"/>
                <w:highlight w:val="none"/>
              </w:rPr>
              <w:t>2.2.2（1）</w:t>
            </w:r>
          </w:p>
        </w:tc>
        <w:tc>
          <w:tcPr>
            <w:tcW w:w="577" w:type="dxa"/>
            <w:vMerge w:val="restart"/>
            <w:tcBorders>
              <w:left w:val="single" w:color="auto" w:sz="4" w:space="0"/>
            </w:tcBorders>
            <w:vAlign w:val="center"/>
          </w:tcPr>
          <w:p>
            <w:pPr>
              <w:spacing w:line="400" w:lineRule="exact"/>
              <w:jc w:val="center"/>
              <w:rPr>
                <w:rFonts w:hint="eastAsia" w:ascii="宋体" w:hAnsi="宋体"/>
                <w:color w:val="auto"/>
                <w:kern w:val="0"/>
                <w:highlight w:val="none"/>
              </w:rPr>
            </w:pPr>
            <w:r>
              <w:rPr>
                <w:rFonts w:hint="eastAsia" w:ascii="宋体" w:hAnsi="宋体"/>
                <w:color w:val="auto"/>
                <w:kern w:val="0"/>
                <w:highlight w:val="none"/>
              </w:rPr>
              <w:t>技术部分评分标准</w:t>
            </w:r>
          </w:p>
        </w:tc>
        <w:tc>
          <w:tcPr>
            <w:tcW w:w="573" w:type="dxa"/>
            <w:vMerge w:val="restart"/>
            <w:tcBorders>
              <w:right w:val="single" w:color="auto" w:sz="4" w:space="0"/>
            </w:tcBorders>
            <w:vAlign w:val="center"/>
          </w:tcPr>
          <w:p>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技</w:t>
            </w:r>
          </w:p>
          <w:p>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术</w:t>
            </w:r>
          </w:p>
          <w:p>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方</w:t>
            </w:r>
          </w:p>
          <w:p>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案</w:t>
            </w:r>
          </w:p>
          <w:p>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评</w:t>
            </w:r>
          </w:p>
          <w:p>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审</w:t>
            </w:r>
          </w:p>
        </w:tc>
        <w:tc>
          <w:tcPr>
            <w:tcW w:w="1969" w:type="dxa"/>
            <w:tcBorders>
              <w:left w:val="single" w:color="auto" w:sz="4" w:space="0"/>
            </w:tcBorders>
            <w:vAlign w:val="center"/>
          </w:tcPr>
          <w:p>
            <w:pPr>
              <w:tabs>
                <w:tab w:val="left" w:pos="1875"/>
              </w:tabs>
              <w:spacing w:line="400" w:lineRule="exact"/>
              <w:jc w:val="left"/>
              <w:rPr>
                <w:rFonts w:hint="eastAsia" w:ascii="宋体" w:hAnsi="宋体"/>
                <w:color w:val="auto"/>
                <w:kern w:val="0"/>
                <w:highlight w:val="none"/>
              </w:rPr>
            </w:pPr>
            <w:r>
              <w:rPr>
                <w:rFonts w:hint="eastAsia" w:ascii="宋体" w:hAnsi="宋体" w:cs="宋体"/>
                <w:color w:val="auto"/>
                <w:kern w:val="0"/>
                <w:highlight w:val="none"/>
              </w:rPr>
              <w:t>技术方案部分形式要求</w:t>
            </w:r>
          </w:p>
        </w:tc>
        <w:tc>
          <w:tcPr>
            <w:tcW w:w="5511" w:type="dxa"/>
            <w:vAlign w:val="center"/>
          </w:tcPr>
          <w:p>
            <w:pPr>
              <w:snapToGrid w:val="0"/>
              <w:spacing w:line="400" w:lineRule="exact"/>
              <w:ind w:firstLine="420" w:firstLineChars="200"/>
              <w:rPr>
                <w:rFonts w:hint="default" w:ascii="宋体" w:hAnsi="宋体" w:eastAsia="宋体"/>
                <w:color w:val="auto"/>
                <w:kern w:val="0"/>
                <w:highlight w:val="none"/>
                <w:lang w:val="en-US" w:eastAsia="zh-CN"/>
              </w:rPr>
            </w:pPr>
            <w:r>
              <w:rPr>
                <w:rFonts w:hint="eastAsia" w:ascii="宋体" w:hAnsi="宋体" w:cs="宋体"/>
                <w:color w:val="auto"/>
                <w:kern w:val="0"/>
                <w:highlight w:val="none"/>
              </w:rPr>
              <w:t>须符合第二章投标人须知前附表第3.7.5项（4）技术部分的装订要求，否则其技术方案为0分，不再对技术方案的其他评分标准进行评审。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jc w:val="center"/>
              <w:rPr>
                <w:rFonts w:hint="eastAsia" w:ascii="宋体" w:hAnsi="宋体"/>
                <w:color w:val="auto"/>
                <w:kern w:val="0"/>
                <w:highlight w:val="none"/>
              </w:rPr>
            </w:pPr>
          </w:p>
        </w:tc>
        <w:tc>
          <w:tcPr>
            <w:tcW w:w="577" w:type="dxa"/>
            <w:vMerge w:val="continue"/>
            <w:tcBorders>
              <w:left w:val="single" w:color="auto" w:sz="4" w:space="0"/>
            </w:tcBorders>
            <w:vAlign w:val="center"/>
          </w:tcPr>
          <w:p>
            <w:pPr>
              <w:spacing w:line="400" w:lineRule="exact"/>
              <w:jc w:val="center"/>
              <w:rPr>
                <w:rFonts w:hint="eastAsia" w:ascii="宋体" w:hAnsi="宋体"/>
                <w:color w:val="auto"/>
                <w:kern w:val="0"/>
                <w:highlight w:val="none"/>
              </w:rPr>
            </w:pPr>
          </w:p>
        </w:tc>
        <w:tc>
          <w:tcPr>
            <w:tcW w:w="573" w:type="dxa"/>
            <w:vMerge w:val="continue"/>
            <w:tcBorders>
              <w:right w:val="single" w:color="auto" w:sz="4" w:space="0"/>
            </w:tcBorders>
            <w:vAlign w:val="center"/>
          </w:tcPr>
          <w:p>
            <w:pPr>
              <w:tabs>
                <w:tab w:val="left" w:pos="1875"/>
              </w:tabs>
              <w:spacing w:line="400" w:lineRule="exact"/>
              <w:jc w:val="center"/>
              <w:rPr>
                <w:rFonts w:hint="eastAsia" w:ascii="宋体" w:hAnsi="宋体"/>
                <w:color w:val="auto"/>
                <w:kern w:val="0"/>
                <w:highlight w:val="none"/>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内容完整性和编制水平</w:t>
            </w:r>
          </w:p>
        </w:tc>
        <w:tc>
          <w:tcPr>
            <w:tcW w:w="5511" w:type="dxa"/>
            <w:vAlign w:val="center"/>
          </w:tcPr>
          <w:p>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7</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对项目总体认识深刻、工程概况描述、施工部署、总体组织安排、施工方案选择、施工进度计划、进度质量、安全环境保护及安全文明施工控制论述完整、思路清晰、符合工程实际、具有针对性、可行性和指导性。</w:t>
            </w:r>
          </w:p>
          <w:p>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优得</w:t>
            </w:r>
            <w:r>
              <w:rPr>
                <w:rFonts w:hint="eastAsia" w:ascii="宋体" w:hAnsi="宋体"/>
                <w:color w:val="auto"/>
                <w:highlight w:val="none"/>
                <w:u w:val="single"/>
                <w:lang w:val="en-US" w:eastAsia="zh-CN"/>
              </w:rPr>
              <w:t>6</w:t>
            </w:r>
            <w:r>
              <w:rPr>
                <w:rFonts w:hint="eastAsia" w:ascii="宋体" w:hAnsi="宋体"/>
                <w:color w:val="auto"/>
                <w:highlight w:val="none"/>
                <w:u w:val="single"/>
              </w:rPr>
              <w:t>-</w:t>
            </w:r>
            <w:r>
              <w:rPr>
                <w:rFonts w:hint="eastAsia" w:ascii="宋体" w:hAnsi="宋体"/>
                <w:color w:val="auto"/>
                <w:highlight w:val="none"/>
                <w:u w:val="single"/>
                <w:lang w:val="en-US" w:eastAsia="zh-CN"/>
              </w:rPr>
              <w:t>7</w:t>
            </w:r>
            <w:r>
              <w:rPr>
                <w:rFonts w:hint="eastAsia" w:ascii="宋体" w:hAnsi="宋体"/>
                <w:color w:val="auto"/>
                <w:highlight w:val="none"/>
                <w:u w:val="single"/>
              </w:rPr>
              <w:t>分，良得</w:t>
            </w:r>
            <w:r>
              <w:rPr>
                <w:rFonts w:hint="eastAsia" w:ascii="宋体" w:hAnsi="宋体"/>
                <w:color w:val="auto"/>
                <w:highlight w:val="none"/>
                <w:u w:val="single"/>
                <w:lang w:val="en-US" w:eastAsia="zh-CN"/>
              </w:rPr>
              <w:t>5</w:t>
            </w:r>
            <w:r>
              <w:rPr>
                <w:rFonts w:hint="eastAsia" w:ascii="宋体" w:hAnsi="宋体"/>
                <w:color w:val="auto"/>
                <w:highlight w:val="none"/>
                <w:u w:val="single"/>
              </w:rPr>
              <w:t>-</w:t>
            </w:r>
            <w:r>
              <w:rPr>
                <w:rFonts w:hint="eastAsia" w:ascii="宋体" w:hAnsi="宋体"/>
                <w:color w:val="auto"/>
                <w:highlight w:val="none"/>
                <w:u w:val="single"/>
                <w:lang w:val="en-US" w:eastAsia="zh-CN"/>
              </w:rPr>
              <w:t>6</w:t>
            </w:r>
            <w:r>
              <w:rPr>
                <w:rFonts w:hint="eastAsia" w:ascii="宋体" w:hAnsi="宋体"/>
                <w:color w:val="auto"/>
                <w:highlight w:val="none"/>
                <w:u w:val="single"/>
              </w:rPr>
              <w:t>（不含）分，一般得3.6-</w:t>
            </w:r>
            <w:r>
              <w:rPr>
                <w:rFonts w:hint="eastAsia" w:ascii="宋体" w:hAnsi="宋体"/>
                <w:color w:val="auto"/>
                <w:highlight w:val="none"/>
                <w:u w:val="single"/>
                <w:lang w:val="en-US" w:eastAsia="zh-CN"/>
              </w:rPr>
              <w:t>5</w:t>
            </w:r>
            <w:r>
              <w:rPr>
                <w:rFonts w:hint="eastAsia" w:ascii="宋体" w:hAnsi="宋体"/>
                <w:color w:val="auto"/>
                <w:highlight w:val="none"/>
                <w:u w:val="single"/>
              </w:rPr>
              <w:t>（不含）分，差得0-3.6（不含）分。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施工方案与技术措施</w:t>
            </w:r>
          </w:p>
        </w:tc>
        <w:tc>
          <w:tcPr>
            <w:tcW w:w="5511" w:type="dxa"/>
            <w:vAlign w:val="center"/>
          </w:tcPr>
          <w:p>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10</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针对本项目使用功能和实际环境对项目的施工重难点与技术关键点有解决方案和措施。施工方案需包含所有单位工程并体现具体施工工序、与已投入使用部分的衔接、现有成品保护、垂直运输方案、交通组织、环境噪音、施工流向与施工程序、施工段划分、施工方法、技术、工艺和机械选择、主要材料、设备供应及技术措施。</w:t>
            </w:r>
          </w:p>
          <w:p>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w:t>
            </w:r>
            <w:r>
              <w:rPr>
                <w:rFonts w:hint="eastAsia" w:ascii="宋体" w:hAnsi="宋体"/>
                <w:color w:val="auto"/>
                <w:highlight w:val="none"/>
                <w:u w:val="single"/>
                <w:lang w:val="en-US" w:eastAsia="zh-CN"/>
              </w:rPr>
              <w:t>9</w:t>
            </w:r>
            <w:r>
              <w:rPr>
                <w:rFonts w:hint="eastAsia" w:ascii="宋体" w:hAnsi="宋体"/>
                <w:color w:val="auto"/>
                <w:highlight w:val="none"/>
                <w:u w:val="single"/>
              </w:rPr>
              <w:t>-</w:t>
            </w:r>
            <w:r>
              <w:rPr>
                <w:rFonts w:hint="eastAsia" w:ascii="宋体" w:hAnsi="宋体"/>
                <w:color w:val="auto"/>
                <w:highlight w:val="none"/>
                <w:u w:val="single"/>
                <w:lang w:val="en-US" w:eastAsia="zh-CN"/>
              </w:rPr>
              <w:t>10</w:t>
            </w:r>
            <w:r>
              <w:rPr>
                <w:rFonts w:hint="eastAsia" w:ascii="宋体" w:hAnsi="宋体"/>
                <w:color w:val="auto"/>
                <w:highlight w:val="none"/>
                <w:u w:val="single"/>
              </w:rPr>
              <w:t>分，良得</w:t>
            </w:r>
            <w:r>
              <w:rPr>
                <w:rFonts w:hint="eastAsia" w:ascii="宋体" w:hAnsi="宋体"/>
                <w:color w:val="auto"/>
                <w:highlight w:val="none"/>
                <w:u w:val="single"/>
                <w:lang w:val="en-US" w:eastAsia="zh-CN"/>
              </w:rPr>
              <w:t>8</w:t>
            </w:r>
            <w:r>
              <w:rPr>
                <w:rFonts w:hint="eastAsia" w:ascii="宋体" w:hAnsi="宋体"/>
                <w:color w:val="auto"/>
                <w:highlight w:val="none"/>
                <w:u w:val="single"/>
              </w:rPr>
              <w:t>-</w:t>
            </w:r>
            <w:r>
              <w:rPr>
                <w:rFonts w:hint="eastAsia" w:ascii="宋体" w:hAnsi="宋体"/>
                <w:color w:val="auto"/>
                <w:highlight w:val="none"/>
                <w:u w:val="single"/>
                <w:lang w:val="en-US" w:eastAsia="zh-CN"/>
              </w:rPr>
              <w:t>9</w:t>
            </w:r>
            <w:r>
              <w:rPr>
                <w:rFonts w:hint="eastAsia" w:ascii="宋体" w:hAnsi="宋体"/>
                <w:color w:val="auto"/>
                <w:highlight w:val="none"/>
                <w:u w:val="single"/>
              </w:rPr>
              <w:t>（不含）分，一般得</w:t>
            </w:r>
            <w:r>
              <w:rPr>
                <w:rFonts w:hint="eastAsia" w:ascii="宋体" w:hAnsi="宋体"/>
                <w:color w:val="auto"/>
                <w:highlight w:val="none"/>
                <w:u w:val="single"/>
                <w:lang w:val="en-US" w:eastAsia="zh-CN"/>
              </w:rPr>
              <w:t>6</w:t>
            </w:r>
            <w:r>
              <w:rPr>
                <w:rFonts w:hint="eastAsia" w:ascii="宋体" w:hAnsi="宋体"/>
                <w:color w:val="auto"/>
                <w:highlight w:val="none"/>
                <w:u w:val="single"/>
              </w:rPr>
              <w:t>-</w:t>
            </w:r>
            <w:r>
              <w:rPr>
                <w:rFonts w:hint="eastAsia" w:ascii="宋体" w:hAnsi="宋体"/>
                <w:color w:val="auto"/>
                <w:highlight w:val="none"/>
                <w:u w:val="single"/>
                <w:lang w:val="en-US" w:eastAsia="zh-CN"/>
              </w:rPr>
              <w:t>8</w:t>
            </w:r>
            <w:r>
              <w:rPr>
                <w:rFonts w:hint="eastAsia" w:ascii="宋体" w:hAnsi="宋体"/>
                <w:color w:val="auto"/>
                <w:highlight w:val="none"/>
                <w:u w:val="single"/>
              </w:rPr>
              <w:t>（不含）分，差得0-</w:t>
            </w:r>
            <w:r>
              <w:rPr>
                <w:rFonts w:hint="eastAsia" w:ascii="宋体" w:hAnsi="宋体"/>
                <w:color w:val="auto"/>
                <w:highlight w:val="none"/>
                <w:u w:val="single"/>
                <w:lang w:val="en-US" w:eastAsia="zh-CN"/>
              </w:rPr>
              <w:t>6</w:t>
            </w:r>
            <w:r>
              <w:rPr>
                <w:rFonts w:hint="eastAsia" w:ascii="宋体" w:hAnsi="宋体"/>
                <w:color w:val="auto"/>
                <w:highlight w:val="none"/>
                <w:u w:val="single"/>
              </w:rPr>
              <w:t>（不含）分。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质量管理体系与措施</w:t>
            </w:r>
          </w:p>
        </w:tc>
        <w:tc>
          <w:tcPr>
            <w:tcW w:w="5511" w:type="dxa"/>
            <w:vAlign w:val="center"/>
          </w:tcPr>
          <w:p>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5</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有健全的工程质量管理方案、质量目标明确、制定了质量管理监督工作程序和管理职能要素分配、对抓好工程质量、原材料、设备质量、半成品质量、有严格的质量监督控制措施、质量管理体系总体思路清晰。</w:t>
            </w:r>
          </w:p>
          <w:p>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w:t>
            </w:r>
            <w:r>
              <w:rPr>
                <w:rFonts w:hint="eastAsia" w:ascii="宋体" w:hAnsi="宋体"/>
                <w:color w:val="auto"/>
                <w:highlight w:val="none"/>
                <w:u w:val="single"/>
                <w:lang w:val="en-US" w:eastAsia="zh-CN"/>
              </w:rPr>
              <w:t>4</w:t>
            </w:r>
            <w:r>
              <w:rPr>
                <w:rFonts w:hint="eastAsia" w:ascii="宋体" w:hAnsi="宋体"/>
                <w:color w:val="auto"/>
                <w:highlight w:val="none"/>
                <w:u w:val="single"/>
              </w:rPr>
              <w:t>-</w:t>
            </w:r>
            <w:r>
              <w:rPr>
                <w:rFonts w:hint="eastAsia" w:ascii="宋体" w:hAnsi="宋体"/>
                <w:color w:val="auto"/>
                <w:highlight w:val="none"/>
                <w:u w:val="single"/>
                <w:lang w:val="en-US" w:eastAsia="zh-CN"/>
              </w:rPr>
              <w:t>5</w:t>
            </w:r>
            <w:r>
              <w:rPr>
                <w:rFonts w:hint="eastAsia" w:ascii="宋体" w:hAnsi="宋体"/>
                <w:color w:val="auto"/>
                <w:highlight w:val="none"/>
                <w:u w:val="single"/>
              </w:rPr>
              <w:t>分，良得</w:t>
            </w:r>
            <w:r>
              <w:rPr>
                <w:rFonts w:hint="eastAsia" w:ascii="宋体" w:hAnsi="宋体"/>
                <w:color w:val="auto"/>
                <w:highlight w:val="none"/>
                <w:u w:val="single"/>
                <w:lang w:val="en-US" w:eastAsia="zh-CN"/>
              </w:rPr>
              <w:t>3</w:t>
            </w:r>
            <w:r>
              <w:rPr>
                <w:rFonts w:hint="eastAsia" w:ascii="宋体" w:hAnsi="宋体"/>
                <w:color w:val="auto"/>
                <w:highlight w:val="none"/>
                <w:u w:val="single"/>
              </w:rPr>
              <w:t>-</w:t>
            </w:r>
            <w:r>
              <w:rPr>
                <w:rFonts w:hint="eastAsia" w:ascii="宋体" w:hAnsi="宋体"/>
                <w:color w:val="auto"/>
                <w:highlight w:val="none"/>
                <w:u w:val="single"/>
                <w:lang w:val="en-US" w:eastAsia="zh-CN"/>
              </w:rPr>
              <w:t>4</w:t>
            </w:r>
            <w:r>
              <w:rPr>
                <w:rFonts w:hint="eastAsia" w:ascii="宋体" w:hAnsi="宋体"/>
                <w:color w:val="auto"/>
                <w:highlight w:val="none"/>
                <w:u w:val="single"/>
              </w:rPr>
              <w:t>（不含）分，一般得</w:t>
            </w:r>
            <w:r>
              <w:rPr>
                <w:rFonts w:hint="eastAsia" w:ascii="宋体" w:hAnsi="宋体"/>
                <w:color w:val="auto"/>
                <w:highlight w:val="none"/>
                <w:u w:val="single"/>
                <w:lang w:val="en-US" w:eastAsia="zh-CN"/>
              </w:rPr>
              <w:t>2</w:t>
            </w:r>
            <w:r>
              <w:rPr>
                <w:rFonts w:hint="eastAsia" w:ascii="宋体" w:hAnsi="宋体"/>
                <w:color w:val="auto"/>
                <w:highlight w:val="none"/>
                <w:u w:val="single"/>
              </w:rPr>
              <w:t>-</w:t>
            </w:r>
            <w:r>
              <w:rPr>
                <w:rFonts w:hint="eastAsia" w:ascii="宋体" w:hAnsi="宋体"/>
                <w:color w:val="auto"/>
                <w:highlight w:val="none"/>
                <w:u w:val="single"/>
                <w:lang w:val="en-US" w:eastAsia="zh-CN"/>
              </w:rPr>
              <w:t>3</w:t>
            </w:r>
            <w:r>
              <w:rPr>
                <w:rFonts w:hint="eastAsia" w:ascii="宋体" w:hAnsi="宋体"/>
                <w:color w:val="auto"/>
                <w:highlight w:val="none"/>
                <w:u w:val="single"/>
              </w:rPr>
              <w:t>（不含）分，差得0-</w:t>
            </w:r>
            <w:r>
              <w:rPr>
                <w:rFonts w:hint="eastAsia" w:ascii="宋体" w:hAnsi="宋体"/>
                <w:color w:val="auto"/>
                <w:highlight w:val="none"/>
                <w:u w:val="single"/>
                <w:lang w:val="en-US" w:eastAsia="zh-CN"/>
              </w:rPr>
              <w:t>2</w:t>
            </w:r>
            <w:r>
              <w:rPr>
                <w:rFonts w:hint="eastAsia" w:ascii="宋体" w:hAnsi="宋体"/>
                <w:color w:val="auto"/>
                <w:highlight w:val="none"/>
                <w:u w:val="single"/>
              </w:rPr>
              <w:t>（不含）分。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安全管理体系与措施</w:t>
            </w:r>
          </w:p>
        </w:tc>
        <w:tc>
          <w:tcPr>
            <w:tcW w:w="5511" w:type="dxa"/>
            <w:vAlign w:val="center"/>
          </w:tcPr>
          <w:p>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5</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建立有安全管理方案、专职安全监督机构、有齐全完整的、可操作的项目安全生产管理制度，施工安全措施、劳动保护措施，场容场貌、工地卫生、文明建设的管理办法、符合现行的安全管理规范及要求，可作为现场安全管理的依据。</w:t>
            </w:r>
          </w:p>
          <w:p>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w:t>
            </w:r>
            <w:r>
              <w:rPr>
                <w:rFonts w:hint="eastAsia" w:ascii="宋体" w:hAnsi="宋体"/>
                <w:color w:val="auto"/>
                <w:highlight w:val="none"/>
                <w:u w:val="single"/>
                <w:lang w:val="en-US" w:eastAsia="zh-CN"/>
              </w:rPr>
              <w:t>4</w:t>
            </w:r>
            <w:r>
              <w:rPr>
                <w:rFonts w:hint="eastAsia" w:ascii="宋体" w:hAnsi="宋体"/>
                <w:color w:val="auto"/>
                <w:highlight w:val="none"/>
                <w:u w:val="single"/>
              </w:rPr>
              <w:t>-</w:t>
            </w:r>
            <w:r>
              <w:rPr>
                <w:rFonts w:hint="eastAsia" w:ascii="宋体" w:hAnsi="宋体"/>
                <w:color w:val="auto"/>
                <w:highlight w:val="none"/>
                <w:u w:val="single"/>
                <w:lang w:val="en-US" w:eastAsia="zh-CN"/>
              </w:rPr>
              <w:t>5</w:t>
            </w:r>
            <w:r>
              <w:rPr>
                <w:rFonts w:hint="eastAsia" w:ascii="宋体" w:hAnsi="宋体"/>
                <w:color w:val="auto"/>
                <w:highlight w:val="none"/>
                <w:u w:val="single"/>
              </w:rPr>
              <w:t>分，良得</w:t>
            </w:r>
            <w:r>
              <w:rPr>
                <w:rFonts w:hint="eastAsia" w:ascii="宋体" w:hAnsi="宋体"/>
                <w:color w:val="auto"/>
                <w:highlight w:val="none"/>
                <w:u w:val="single"/>
                <w:lang w:val="en-US" w:eastAsia="zh-CN"/>
              </w:rPr>
              <w:t>3</w:t>
            </w:r>
            <w:r>
              <w:rPr>
                <w:rFonts w:hint="eastAsia" w:ascii="宋体" w:hAnsi="宋体"/>
                <w:color w:val="auto"/>
                <w:highlight w:val="none"/>
                <w:u w:val="single"/>
              </w:rPr>
              <w:t>-</w:t>
            </w:r>
            <w:r>
              <w:rPr>
                <w:rFonts w:hint="eastAsia" w:ascii="宋体" w:hAnsi="宋体"/>
                <w:color w:val="auto"/>
                <w:highlight w:val="none"/>
                <w:u w:val="single"/>
                <w:lang w:val="en-US" w:eastAsia="zh-CN"/>
              </w:rPr>
              <w:t>4</w:t>
            </w:r>
            <w:r>
              <w:rPr>
                <w:rFonts w:hint="eastAsia" w:ascii="宋体" w:hAnsi="宋体"/>
                <w:color w:val="auto"/>
                <w:highlight w:val="none"/>
                <w:u w:val="single"/>
              </w:rPr>
              <w:t>（不含）分，一般得</w:t>
            </w:r>
            <w:r>
              <w:rPr>
                <w:rFonts w:hint="eastAsia" w:ascii="宋体" w:hAnsi="宋体"/>
                <w:color w:val="auto"/>
                <w:highlight w:val="none"/>
                <w:u w:val="single"/>
                <w:lang w:val="en-US" w:eastAsia="zh-CN"/>
              </w:rPr>
              <w:t>2</w:t>
            </w:r>
            <w:r>
              <w:rPr>
                <w:rFonts w:hint="eastAsia" w:ascii="宋体" w:hAnsi="宋体"/>
                <w:color w:val="auto"/>
                <w:highlight w:val="none"/>
                <w:u w:val="single"/>
              </w:rPr>
              <w:t>-</w:t>
            </w:r>
            <w:r>
              <w:rPr>
                <w:rFonts w:hint="eastAsia" w:ascii="宋体" w:hAnsi="宋体"/>
                <w:color w:val="auto"/>
                <w:highlight w:val="none"/>
                <w:u w:val="single"/>
                <w:lang w:val="en-US" w:eastAsia="zh-CN"/>
              </w:rPr>
              <w:t>3</w:t>
            </w:r>
            <w:r>
              <w:rPr>
                <w:rFonts w:hint="eastAsia" w:ascii="宋体" w:hAnsi="宋体"/>
                <w:color w:val="auto"/>
                <w:highlight w:val="none"/>
                <w:u w:val="single"/>
              </w:rPr>
              <w:t>（不含）分，差得0-</w:t>
            </w:r>
            <w:r>
              <w:rPr>
                <w:rFonts w:hint="eastAsia" w:ascii="宋体" w:hAnsi="宋体"/>
                <w:color w:val="auto"/>
                <w:highlight w:val="none"/>
                <w:u w:val="single"/>
                <w:lang w:val="en-US" w:eastAsia="zh-CN"/>
              </w:rPr>
              <w:t>2</w:t>
            </w:r>
            <w:r>
              <w:rPr>
                <w:rFonts w:hint="eastAsia" w:ascii="宋体" w:hAnsi="宋体"/>
                <w:color w:val="auto"/>
                <w:highlight w:val="none"/>
                <w:u w:val="single"/>
              </w:rPr>
              <w:t>（不含）分。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环境保护管理体系措施</w:t>
            </w:r>
          </w:p>
        </w:tc>
        <w:tc>
          <w:tcPr>
            <w:tcW w:w="5511" w:type="dxa"/>
            <w:vAlign w:val="center"/>
          </w:tcPr>
          <w:p>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3</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有利于项目相应的环境保护组织机构，根据项目特点、识别评价环境影响因素，制定相应得当的预防控制措施，切合实际。</w:t>
            </w:r>
          </w:p>
          <w:p>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优得2.7-3分，良得2.4-2.7（不含）分，一般得1.8-2.4（不含）分，差得0-1.8（不含）分。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工程进度计划与措施</w:t>
            </w:r>
          </w:p>
        </w:tc>
        <w:tc>
          <w:tcPr>
            <w:tcW w:w="5511" w:type="dxa"/>
            <w:vAlign w:val="center"/>
          </w:tcPr>
          <w:p>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工程进度计划编制合理、可行，关键线路、节点清晰、准确、完整、可操作性强，工期保证措施可靠，控制措施得力。</w:t>
            </w:r>
          </w:p>
          <w:p>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w:t>
            </w:r>
            <w:r>
              <w:rPr>
                <w:rFonts w:hint="eastAsia" w:ascii="宋体" w:hAnsi="宋体"/>
                <w:color w:val="auto"/>
                <w:highlight w:val="none"/>
                <w:u w:val="single"/>
                <w:lang w:val="en-US" w:eastAsia="zh-CN"/>
              </w:rPr>
              <w:t>3</w:t>
            </w:r>
            <w:r>
              <w:rPr>
                <w:rFonts w:hint="eastAsia" w:ascii="宋体" w:hAnsi="宋体"/>
                <w:color w:val="auto"/>
                <w:highlight w:val="none"/>
                <w:u w:val="single"/>
              </w:rPr>
              <w:t>-</w:t>
            </w:r>
            <w:r>
              <w:rPr>
                <w:rFonts w:hint="eastAsia" w:ascii="宋体" w:hAnsi="宋体"/>
                <w:color w:val="auto"/>
                <w:highlight w:val="none"/>
                <w:u w:val="single"/>
                <w:lang w:val="en-US" w:eastAsia="zh-CN"/>
              </w:rPr>
              <w:t>4</w:t>
            </w:r>
            <w:r>
              <w:rPr>
                <w:rFonts w:hint="eastAsia" w:ascii="宋体" w:hAnsi="宋体"/>
                <w:color w:val="auto"/>
                <w:highlight w:val="none"/>
                <w:u w:val="single"/>
              </w:rPr>
              <w:t>分，良得</w:t>
            </w:r>
            <w:r>
              <w:rPr>
                <w:rFonts w:hint="eastAsia" w:ascii="宋体" w:hAnsi="宋体"/>
                <w:color w:val="auto"/>
                <w:highlight w:val="none"/>
                <w:u w:val="single"/>
                <w:lang w:val="en-US" w:eastAsia="zh-CN"/>
              </w:rPr>
              <w:t>2</w:t>
            </w:r>
            <w:r>
              <w:rPr>
                <w:rFonts w:hint="eastAsia" w:ascii="宋体" w:hAnsi="宋体"/>
                <w:color w:val="auto"/>
                <w:highlight w:val="none"/>
                <w:u w:val="single"/>
              </w:rPr>
              <w:t>-</w:t>
            </w:r>
            <w:r>
              <w:rPr>
                <w:rFonts w:hint="eastAsia" w:ascii="宋体" w:hAnsi="宋体"/>
                <w:color w:val="auto"/>
                <w:highlight w:val="none"/>
                <w:u w:val="single"/>
                <w:lang w:val="en-US" w:eastAsia="zh-CN"/>
              </w:rPr>
              <w:t>3</w:t>
            </w:r>
            <w:r>
              <w:rPr>
                <w:rFonts w:hint="eastAsia" w:ascii="宋体" w:hAnsi="宋体"/>
                <w:color w:val="auto"/>
                <w:highlight w:val="none"/>
                <w:u w:val="single"/>
              </w:rPr>
              <w:t>（不含）分，一般得</w:t>
            </w:r>
            <w:r>
              <w:rPr>
                <w:rFonts w:hint="eastAsia" w:ascii="宋体" w:hAnsi="宋体"/>
                <w:color w:val="auto"/>
                <w:highlight w:val="none"/>
                <w:u w:val="single"/>
                <w:lang w:val="en-US" w:eastAsia="zh-CN"/>
              </w:rPr>
              <w:t>1</w:t>
            </w:r>
            <w:r>
              <w:rPr>
                <w:rFonts w:hint="eastAsia" w:ascii="宋体" w:hAnsi="宋体"/>
                <w:color w:val="auto"/>
                <w:highlight w:val="none"/>
                <w:u w:val="single"/>
              </w:rPr>
              <w:t>-</w:t>
            </w:r>
            <w:r>
              <w:rPr>
                <w:rFonts w:hint="eastAsia" w:ascii="宋体" w:hAnsi="宋体"/>
                <w:color w:val="auto"/>
                <w:highlight w:val="none"/>
                <w:u w:val="single"/>
                <w:lang w:val="en-US" w:eastAsia="zh-CN"/>
              </w:rPr>
              <w:t>2</w:t>
            </w:r>
            <w:r>
              <w:rPr>
                <w:rFonts w:hint="eastAsia" w:ascii="宋体" w:hAnsi="宋体"/>
                <w:color w:val="auto"/>
                <w:highlight w:val="none"/>
                <w:u w:val="single"/>
              </w:rPr>
              <w:t>（不含）分，差得0-1（不含）分。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资源配备计划与先进性</w:t>
            </w:r>
          </w:p>
        </w:tc>
        <w:tc>
          <w:tcPr>
            <w:tcW w:w="5511" w:type="dxa"/>
            <w:vAlign w:val="center"/>
          </w:tcPr>
          <w:p>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3</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施工项目管理组织机构的结构、部门设置、人员安排，制度设置、施工方法、技术工艺和施工机械选择信息、基础设施、工作环境的提供是否符合项目要求且具有先进性。</w:t>
            </w:r>
          </w:p>
          <w:p>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优得2.7-3分，良得2.4-2.7（不含）分，一般得1.8-2.4（不含）分，差得0-1.8（不含）分。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tcPr>
          <w:p>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pPr>
              <w:tabs>
                <w:tab w:val="left" w:pos="1875"/>
              </w:tabs>
              <w:spacing w:line="400" w:lineRule="exact"/>
              <w:rPr>
                <w:rFonts w:hint="eastAsia" w:ascii="宋体" w:hAnsi="宋体"/>
                <w:color w:val="auto"/>
                <w:kern w:val="0"/>
                <w:highlight w:val="none"/>
              </w:rPr>
            </w:pPr>
            <w:r>
              <w:rPr>
                <w:rFonts w:hint="eastAsia" w:ascii="宋体" w:hAnsi="宋体" w:cs="宋体"/>
                <w:color w:val="auto"/>
                <w:kern w:val="0"/>
                <w:highlight w:val="none"/>
              </w:rPr>
              <w:t>危大工程清单安全管理措施</w:t>
            </w:r>
          </w:p>
        </w:tc>
        <w:tc>
          <w:tcPr>
            <w:tcW w:w="5511" w:type="dxa"/>
            <w:vAlign w:val="center"/>
          </w:tcPr>
          <w:p>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3</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符合项目实际情况、符合住建部相关规定，提供危大工程清单；危大工程清单全面、完整，安全管理措施有针对性、可操作性强。</w:t>
            </w:r>
          </w:p>
          <w:p>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优得2.7-3分，良得2.4-2.7（不含）分，一般得1.8-2.4（不含）分，差得0-1.8（不含）分。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pPr>
              <w:spacing w:line="400" w:lineRule="exact"/>
              <w:jc w:val="center"/>
              <w:rPr>
                <w:rFonts w:hint="eastAsia" w:ascii="宋体" w:hAnsi="宋体"/>
                <w:color w:val="auto"/>
                <w:kern w:val="0"/>
                <w:highlight w:val="none"/>
              </w:rPr>
            </w:pPr>
            <w:r>
              <w:rPr>
                <w:rFonts w:hint="eastAsia" w:ascii="宋体" w:hAnsi="宋体"/>
                <w:color w:val="auto"/>
                <w:highlight w:val="none"/>
              </w:rPr>
              <w:t>2.2.2（2）</w:t>
            </w:r>
          </w:p>
        </w:tc>
        <w:tc>
          <w:tcPr>
            <w:tcW w:w="1150" w:type="dxa"/>
            <w:gridSpan w:val="2"/>
            <w:vMerge w:val="restart"/>
            <w:vAlign w:val="center"/>
          </w:tcPr>
          <w:p>
            <w:pPr>
              <w:spacing w:line="400" w:lineRule="exact"/>
              <w:jc w:val="center"/>
              <w:rPr>
                <w:rFonts w:hint="eastAsia" w:ascii="宋体" w:hAnsi="宋体"/>
                <w:color w:val="auto"/>
                <w:kern w:val="0"/>
                <w:highlight w:val="none"/>
              </w:rPr>
            </w:pPr>
            <w:r>
              <w:rPr>
                <w:rFonts w:hint="eastAsia" w:ascii="宋体" w:hAnsi="宋体"/>
                <w:color w:val="auto"/>
                <w:highlight w:val="none"/>
              </w:rPr>
              <w:t>商务部分评分标准</w:t>
            </w:r>
          </w:p>
        </w:tc>
        <w:tc>
          <w:tcPr>
            <w:tcW w:w="1969"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投标人业绩</w:t>
            </w:r>
            <w:r>
              <w:rPr>
                <w:rFonts w:hint="eastAsia"/>
                <w:color w:val="auto"/>
                <w:highlight w:val="none"/>
                <w:lang w:eastAsia="zh-CN"/>
              </w:rPr>
              <w:t>（</w:t>
            </w:r>
            <w:r>
              <w:rPr>
                <w:rFonts w:hint="eastAsia"/>
                <w:color w:val="auto"/>
                <w:highlight w:val="none"/>
                <w:lang w:val="en-US" w:eastAsia="zh-CN"/>
              </w:rPr>
              <w:t>9分</w:t>
            </w:r>
            <w:r>
              <w:rPr>
                <w:rFonts w:hint="eastAsia"/>
                <w:color w:val="auto"/>
                <w:highlight w:val="none"/>
                <w:lang w:eastAsia="zh-CN"/>
              </w:rPr>
              <w:t>）</w:t>
            </w:r>
          </w:p>
        </w:tc>
        <w:tc>
          <w:tcPr>
            <w:tcW w:w="5511" w:type="dxa"/>
            <w:vAlign w:val="center"/>
          </w:tcPr>
          <w:p>
            <w:pPr>
              <w:spacing w:line="400" w:lineRule="exact"/>
              <w:ind w:firstLine="420" w:firstLineChars="200"/>
              <w:jc w:val="left"/>
              <w:rPr>
                <w:rFonts w:hint="eastAsia" w:ascii="宋体" w:hAnsi="宋体"/>
                <w:color w:val="auto"/>
                <w:szCs w:val="21"/>
                <w:highlight w:val="none"/>
              </w:rPr>
            </w:pPr>
            <w:r>
              <w:rPr>
                <w:rFonts w:hint="eastAsia" w:asciiTheme="minorEastAsia" w:hAnsiTheme="minorEastAsia" w:eastAsiaTheme="minorEastAsia" w:cstheme="minorEastAsia"/>
                <w:color w:val="auto"/>
                <w:kern w:val="0"/>
                <w:sz w:val="21"/>
                <w:szCs w:val="21"/>
                <w:highlight w:val="none"/>
                <w:lang w:eastAsia="zh-CN"/>
              </w:rPr>
              <w:t>在通过资格审查的基础上（通过资格审查的业绩不参与商务评审），投标人</w:t>
            </w:r>
            <w:r>
              <w:rPr>
                <w:rFonts w:hint="eastAsia" w:asciiTheme="minorEastAsia" w:hAnsiTheme="minorEastAsia" w:eastAsiaTheme="minorEastAsia" w:cstheme="minorEastAsia"/>
                <w:snapToGrid/>
                <w:color w:val="auto"/>
                <w:sz w:val="21"/>
                <w:szCs w:val="21"/>
                <w:highlight w:val="none"/>
                <w:u w:val="none"/>
                <w:lang w:eastAsia="zh-CN"/>
              </w:rPr>
              <w:t>自</w:t>
            </w:r>
            <w:r>
              <w:rPr>
                <w:rFonts w:hint="eastAsia" w:asciiTheme="minorEastAsia" w:hAnsiTheme="minorEastAsia" w:eastAsiaTheme="minorEastAsia" w:cstheme="minorEastAsia"/>
                <w:snapToGrid/>
                <w:color w:val="auto"/>
                <w:sz w:val="21"/>
                <w:szCs w:val="21"/>
                <w:highlight w:val="none"/>
                <w:u w:val="single"/>
                <w:lang w:val="en-US" w:eastAsia="zh-CN"/>
              </w:rPr>
              <w:t>2021</w:t>
            </w:r>
            <w:r>
              <w:rPr>
                <w:rFonts w:hint="eastAsia" w:asciiTheme="minorEastAsia" w:hAnsiTheme="minorEastAsia" w:eastAsiaTheme="minorEastAsia" w:cstheme="minorEastAsia"/>
                <w:snapToGrid/>
                <w:color w:val="auto"/>
                <w:sz w:val="21"/>
                <w:szCs w:val="21"/>
                <w:highlight w:val="none"/>
                <w:u w:val="none"/>
                <w:lang w:eastAsia="zh-CN"/>
              </w:rPr>
              <w:t>年1月1日起</w:t>
            </w:r>
            <w:r>
              <w:rPr>
                <w:rFonts w:hint="eastAsia" w:ascii="宋体" w:hAnsi="宋体"/>
                <w:color w:val="auto"/>
                <w:szCs w:val="21"/>
                <w:highlight w:val="none"/>
              </w:rPr>
              <w:t>至投标截止日止（以竣工时间为准）</w:t>
            </w:r>
            <w:r>
              <w:rPr>
                <w:rFonts w:hint="eastAsia" w:ascii="宋体" w:hAnsi="宋体"/>
                <w:color w:val="auto"/>
                <w:szCs w:val="21"/>
                <w:highlight w:val="none"/>
                <w:lang w:eastAsia="zh-CN"/>
              </w:rPr>
              <w:t>，每增加</w:t>
            </w:r>
            <w:r>
              <w:rPr>
                <w:rFonts w:hint="eastAsia" w:ascii="宋体" w:hAnsi="宋体"/>
                <w:color w:val="auto"/>
                <w:szCs w:val="21"/>
                <w:highlight w:val="none"/>
              </w:rPr>
              <w:t>1个</w:t>
            </w:r>
            <w:r>
              <w:rPr>
                <w:rFonts w:hint="eastAsia" w:ascii="宋体" w:hAnsi="宋体"/>
                <w:b/>
                <w:bCs/>
                <w:color w:val="auto"/>
                <w:szCs w:val="21"/>
                <w:highlight w:val="none"/>
                <w:u w:val="single"/>
              </w:rPr>
              <w:t>建筑面积1300平方米及以上的重庆市范围内银行网点（总、分、支行营业厅或办公大楼）</w:t>
            </w:r>
            <w:r>
              <w:rPr>
                <w:rFonts w:hint="eastAsia" w:ascii="宋体" w:hAnsi="宋体"/>
                <w:b/>
                <w:bCs/>
                <w:color w:val="auto"/>
                <w:szCs w:val="21"/>
                <w:highlight w:val="none"/>
                <w:u w:val="single"/>
                <w:lang w:val="en-US" w:eastAsia="zh-CN"/>
              </w:rPr>
              <w:t>安防与智能化</w:t>
            </w:r>
            <w:r>
              <w:rPr>
                <w:rFonts w:hint="eastAsia" w:ascii="宋体" w:hAnsi="宋体"/>
                <w:b/>
                <w:bCs/>
                <w:color w:val="auto"/>
                <w:szCs w:val="21"/>
                <w:highlight w:val="none"/>
                <w:u w:val="single"/>
              </w:rPr>
              <w:t>工程</w:t>
            </w:r>
            <w:r>
              <w:rPr>
                <w:rFonts w:hint="eastAsia" w:ascii="宋体" w:hAnsi="宋体"/>
                <w:color w:val="auto"/>
                <w:szCs w:val="21"/>
                <w:highlight w:val="none"/>
                <w:u w:val="none"/>
                <w:lang w:val="en-US" w:eastAsia="zh-CN"/>
              </w:rPr>
              <w:t>施工</w:t>
            </w:r>
            <w:r>
              <w:rPr>
                <w:rFonts w:hint="eastAsia" w:ascii="宋体" w:hAnsi="宋体"/>
                <w:color w:val="auto"/>
                <w:szCs w:val="21"/>
                <w:highlight w:val="none"/>
              </w:rPr>
              <w:t>业绩</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 xml:space="preserve"> 3 </w:t>
            </w:r>
            <w:r>
              <w:rPr>
                <w:rFonts w:hint="eastAsia" w:ascii="宋体" w:hAnsi="宋体"/>
                <w:color w:val="auto"/>
                <w:szCs w:val="21"/>
                <w:highlight w:val="none"/>
                <w:lang w:val="en-US" w:eastAsia="zh-CN"/>
              </w:rPr>
              <w:t>分，本项最多得</w:t>
            </w:r>
            <w:r>
              <w:rPr>
                <w:rFonts w:hint="eastAsia" w:ascii="宋体" w:hAnsi="宋体"/>
                <w:color w:val="auto"/>
                <w:szCs w:val="21"/>
                <w:highlight w:val="none"/>
                <w:u w:val="single"/>
                <w:lang w:val="en-US" w:eastAsia="zh-CN"/>
              </w:rPr>
              <w:t xml:space="preserve"> 9 </w:t>
            </w:r>
            <w:r>
              <w:rPr>
                <w:rFonts w:hint="eastAsia" w:ascii="宋体" w:hAnsi="宋体"/>
                <w:color w:val="auto"/>
                <w:szCs w:val="21"/>
                <w:highlight w:val="none"/>
                <w:lang w:val="en-US" w:eastAsia="zh-CN"/>
              </w:rPr>
              <w:t>分</w:t>
            </w:r>
            <w:r>
              <w:rPr>
                <w:rFonts w:hint="eastAsia" w:ascii="宋体" w:hAnsi="宋体"/>
                <w:color w:val="auto"/>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该业绩的中标通知书（直接发包的项目可提供项目发包人出具的项目直接发包情况说明或证明文书代替）、施工合同协议书（或长期框架\入围协议）和工程竣工验收合格的证明材料。若上述资料无法体现工程规模（如有）的，还须提供业主证明。投标人应对其提供的业绩证明材料的真实性负责。</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注：（1）当上述业绩证明材料中针对同一指标存在不一致时，以工程竣工验收合格的证明材料为准。</w:t>
            </w:r>
          </w:p>
          <w:p>
            <w:pPr>
              <w:spacing w:line="400" w:lineRule="exact"/>
              <w:ind w:firstLine="420" w:firstLineChars="200"/>
              <w:jc w:val="left"/>
              <w:rPr>
                <w:rFonts w:hint="eastAsia" w:ascii="宋体" w:hAnsi="宋体"/>
                <w:color w:val="auto"/>
                <w:kern w:val="0"/>
                <w:highlight w:val="none"/>
              </w:rPr>
            </w:pPr>
            <w:r>
              <w:rPr>
                <w:rFonts w:hint="eastAsia" w:ascii="宋体" w:hAnsi="宋体"/>
                <w:color w:val="auto"/>
                <w:szCs w:val="21"/>
                <w:highlight w:val="none"/>
              </w:rPr>
              <w:t>（2）投标人提供的业绩为联合体业绩的，其在该业绩中的工作分工应与本项目承担的工作一致</w:t>
            </w:r>
            <w:r>
              <w:rPr>
                <w:rFonts w:hint="eastAsia" w:ascii="宋体" w:hAnsi="宋体"/>
                <w:color w:val="auto"/>
                <w:kern w:val="0"/>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hint="eastAsia" w:ascii="宋体" w:hAnsi="宋体"/>
                <w:color w:val="auto"/>
                <w:kern w:val="0"/>
                <w:highlight w:val="none"/>
              </w:rPr>
            </w:pPr>
          </w:p>
        </w:tc>
        <w:tc>
          <w:tcPr>
            <w:tcW w:w="1150" w:type="dxa"/>
            <w:gridSpan w:val="2"/>
            <w:vMerge w:val="continue"/>
            <w:vAlign w:val="center"/>
          </w:tcPr>
          <w:p>
            <w:pPr>
              <w:spacing w:line="400" w:lineRule="exact"/>
              <w:jc w:val="center"/>
              <w:rPr>
                <w:rFonts w:hint="eastAsia" w:ascii="宋体" w:hAnsi="宋体"/>
                <w:color w:val="auto"/>
                <w:kern w:val="0"/>
                <w:highlight w:val="none"/>
              </w:rPr>
            </w:pPr>
          </w:p>
        </w:tc>
        <w:tc>
          <w:tcPr>
            <w:tcW w:w="1969" w:type="dxa"/>
            <w:vAlign w:val="center"/>
          </w:tcPr>
          <w:p>
            <w:pPr>
              <w:spacing w:line="400" w:lineRule="exact"/>
              <w:ind w:firstLine="14" w:firstLineChars="7"/>
              <w:jc w:val="center"/>
              <w:rPr>
                <w:rFonts w:hint="eastAsia" w:ascii="宋体" w:hAnsi="宋体" w:eastAsia="宋体"/>
                <w:color w:val="auto"/>
                <w:szCs w:val="21"/>
                <w:highlight w:val="none"/>
                <w:lang w:eastAsia="zh-CN"/>
              </w:rPr>
            </w:pPr>
            <w:r>
              <w:rPr>
                <w:rFonts w:hint="eastAsia" w:ascii="宋体" w:hAnsi="宋体"/>
                <w:color w:val="auto"/>
                <w:szCs w:val="21"/>
                <w:highlight w:val="none"/>
              </w:rPr>
              <w:t>售后服务响应承诺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1分</w:t>
            </w:r>
            <w:r>
              <w:rPr>
                <w:rFonts w:hint="eastAsia" w:ascii="宋体" w:hAnsi="宋体"/>
                <w:color w:val="auto"/>
                <w:szCs w:val="21"/>
                <w:highlight w:val="none"/>
                <w:lang w:eastAsia="zh-CN"/>
              </w:rPr>
              <w:t>）</w:t>
            </w:r>
          </w:p>
        </w:tc>
        <w:tc>
          <w:tcPr>
            <w:tcW w:w="5511" w:type="dxa"/>
            <w:vAlign w:val="center"/>
          </w:tcPr>
          <w:p>
            <w:pPr>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投标人承诺在缺陷责任期内，收到招标人电话通知半个小时内作出响应，在一个小时内到达现场进行处理，得1分。不提供的不得分。</w:t>
            </w:r>
          </w:p>
          <w:p>
            <w:pPr>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注：投标人须在投标文件商务部分提供承诺函，格式自拟。</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pPr>
              <w:spacing w:line="400" w:lineRule="exact"/>
              <w:jc w:val="center"/>
              <w:rPr>
                <w:rFonts w:ascii="宋体" w:hAnsi="宋体"/>
                <w:color w:val="auto"/>
                <w:highlight w:val="none"/>
              </w:rPr>
            </w:pPr>
            <w:r>
              <w:rPr>
                <w:rFonts w:hint="eastAsia" w:ascii="宋体" w:hAnsi="宋体"/>
                <w:color w:val="auto"/>
                <w:kern w:val="0"/>
                <w:highlight w:val="none"/>
              </w:rPr>
              <w:t>2.2.2（</w:t>
            </w:r>
            <w:r>
              <w:rPr>
                <w:rFonts w:hint="eastAsia" w:ascii="宋体" w:hAnsi="宋体"/>
                <w:color w:val="auto"/>
                <w:kern w:val="0"/>
                <w:highlight w:val="none"/>
                <w:lang w:val="en-US" w:eastAsia="zh-CN"/>
              </w:rPr>
              <w:t>3</w:t>
            </w:r>
            <w:r>
              <w:rPr>
                <w:rFonts w:hint="eastAsia" w:ascii="宋体" w:hAnsi="宋体"/>
                <w:color w:val="auto"/>
                <w:kern w:val="0"/>
                <w:highlight w:val="none"/>
              </w:rPr>
              <w:t>）</w:t>
            </w:r>
          </w:p>
        </w:tc>
        <w:tc>
          <w:tcPr>
            <w:tcW w:w="1150" w:type="dxa"/>
            <w:gridSpan w:val="2"/>
            <w:vMerge w:val="restart"/>
            <w:vAlign w:val="center"/>
          </w:tcPr>
          <w:p>
            <w:pPr>
              <w:spacing w:line="400" w:lineRule="exact"/>
              <w:jc w:val="center"/>
              <w:rPr>
                <w:rFonts w:ascii="宋体" w:hAnsi="宋体"/>
                <w:color w:val="auto"/>
                <w:highlight w:val="none"/>
              </w:rPr>
            </w:pPr>
            <w:r>
              <w:rPr>
                <w:rFonts w:hint="eastAsia" w:ascii="宋体" w:hAnsi="宋体"/>
                <w:color w:val="auto"/>
                <w:kern w:val="0"/>
                <w:highlight w:val="none"/>
              </w:rPr>
              <w:t>投标函</w:t>
            </w:r>
            <w:r>
              <w:rPr>
                <w:rFonts w:hint="eastAsia" w:ascii="宋体" w:hAnsi="宋体"/>
                <w:color w:val="auto"/>
                <w:kern w:val="0"/>
                <w:highlight w:val="none"/>
                <w:lang w:val="en-US" w:eastAsia="zh-CN"/>
              </w:rPr>
              <w:t>部分</w:t>
            </w:r>
            <w:r>
              <w:rPr>
                <w:rFonts w:hint="eastAsia" w:ascii="宋体" w:hAnsi="宋体"/>
                <w:color w:val="auto"/>
                <w:kern w:val="0"/>
                <w:highlight w:val="none"/>
              </w:rPr>
              <w:t>评审标准</w:t>
            </w:r>
          </w:p>
        </w:tc>
        <w:tc>
          <w:tcPr>
            <w:tcW w:w="1969" w:type="dxa"/>
            <w:shd w:val="clear" w:color="auto" w:fill="auto"/>
            <w:vAlign w:val="center"/>
          </w:tcPr>
          <w:p>
            <w:pPr>
              <w:spacing w:line="400" w:lineRule="exact"/>
              <w:jc w:val="left"/>
              <w:rPr>
                <w:rFonts w:hint="eastAsia" w:ascii="宋体" w:hAnsi="宋体" w:eastAsia="宋体" w:cs="宋体"/>
                <w:color w:val="auto"/>
                <w:kern w:val="0"/>
                <w:sz w:val="21"/>
                <w:szCs w:val="24"/>
                <w:highlight w:val="none"/>
                <w:lang w:val="en-US" w:eastAsia="zh-CN" w:bidi="ar-SA"/>
              </w:rPr>
            </w:pPr>
            <w:r>
              <w:rPr>
                <w:rFonts w:ascii="宋体" w:hAnsi="宋体"/>
                <w:color w:val="auto"/>
                <w:kern w:val="0"/>
                <w:highlight w:val="none"/>
              </w:rPr>
              <w:t>投标函</w:t>
            </w:r>
            <w:r>
              <w:rPr>
                <w:rFonts w:hint="eastAsia" w:ascii="宋体" w:hAnsi="宋体"/>
                <w:color w:val="auto"/>
                <w:kern w:val="0"/>
                <w:highlight w:val="none"/>
              </w:rPr>
              <w:t>签名</w:t>
            </w:r>
            <w:r>
              <w:rPr>
                <w:rFonts w:ascii="宋体" w:hAnsi="宋体"/>
                <w:color w:val="auto"/>
                <w:kern w:val="0"/>
                <w:highlight w:val="none"/>
              </w:rPr>
              <w:t>盖章</w:t>
            </w:r>
          </w:p>
        </w:tc>
        <w:tc>
          <w:tcPr>
            <w:tcW w:w="5511" w:type="dxa"/>
            <w:shd w:val="clear" w:color="auto" w:fill="auto"/>
            <w:vAlign w:val="center"/>
          </w:tcPr>
          <w:p>
            <w:pPr>
              <w:spacing w:line="400" w:lineRule="exact"/>
              <w:ind w:firstLine="420" w:firstLineChars="200"/>
              <w:rPr>
                <w:rFonts w:hint="eastAsia" w:ascii="宋体" w:hAnsi="宋体" w:eastAsia="宋体" w:cs="Times New Roman"/>
                <w:color w:val="auto"/>
                <w:kern w:val="2"/>
                <w:sz w:val="21"/>
                <w:szCs w:val="24"/>
                <w:highlight w:val="none"/>
                <w:u w:val="single"/>
                <w:lang w:val="en-US" w:eastAsia="zh-CN" w:bidi="ar-SA"/>
              </w:rPr>
            </w:pPr>
            <w:r>
              <w:rPr>
                <w:rFonts w:ascii="宋体" w:hAnsi="宋体"/>
                <w:color w:val="auto"/>
                <w:kern w:val="0"/>
                <w:highlight w:val="none"/>
              </w:rPr>
              <w:t>投标函格式规定</w:t>
            </w:r>
            <w:r>
              <w:rPr>
                <w:rFonts w:hint="eastAsia" w:ascii="宋体" w:hAnsi="宋体"/>
                <w:color w:val="auto"/>
                <w:kern w:val="0"/>
                <w:highlight w:val="none"/>
              </w:rPr>
              <w:t>签名、</w:t>
            </w:r>
            <w:r>
              <w:rPr>
                <w:rFonts w:ascii="宋体" w:hAnsi="宋体"/>
                <w:color w:val="auto"/>
                <w:kern w:val="0"/>
                <w:highlight w:val="none"/>
              </w:rPr>
              <w:t>盖章的位置有法定代表人或其委托代理人</w:t>
            </w:r>
            <w:r>
              <w:rPr>
                <w:rFonts w:hint="eastAsia" w:ascii="宋体" w:hAnsi="宋体"/>
                <w:color w:val="auto"/>
                <w:kern w:val="0"/>
                <w:highlight w:val="none"/>
              </w:rPr>
              <w:t>签名</w:t>
            </w:r>
            <w:r>
              <w:rPr>
                <w:rFonts w:ascii="宋体" w:hAnsi="宋体"/>
                <w:color w:val="auto"/>
                <w:kern w:val="0"/>
                <w:highlight w:val="none"/>
              </w:rPr>
              <w:t>（或盖章）、加盖单位法人章。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ascii="宋体" w:hAnsi="宋体"/>
                <w:color w:val="auto"/>
                <w:highlight w:val="none"/>
              </w:rPr>
            </w:pPr>
          </w:p>
        </w:tc>
        <w:tc>
          <w:tcPr>
            <w:tcW w:w="1150" w:type="dxa"/>
            <w:gridSpan w:val="2"/>
            <w:vMerge w:val="continue"/>
            <w:vAlign w:val="center"/>
          </w:tcPr>
          <w:p>
            <w:pPr>
              <w:spacing w:line="400" w:lineRule="exact"/>
              <w:jc w:val="center"/>
              <w:rPr>
                <w:rFonts w:ascii="宋体" w:hAnsi="宋体"/>
                <w:color w:val="auto"/>
                <w:highlight w:val="none"/>
              </w:rPr>
            </w:pPr>
          </w:p>
        </w:tc>
        <w:tc>
          <w:tcPr>
            <w:tcW w:w="1969" w:type="dxa"/>
            <w:vAlign w:val="center"/>
          </w:tcPr>
          <w:p>
            <w:pPr>
              <w:tabs>
                <w:tab w:val="left" w:pos="1875"/>
              </w:tabs>
              <w:spacing w:line="400" w:lineRule="exact"/>
              <w:jc w:val="left"/>
              <w:rPr>
                <w:rFonts w:hint="eastAsia" w:ascii="宋体" w:hAnsi="宋体"/>
                <w:color w:val="auto"/>
                <w:szCs w:val="21"/>
                <w:highlight w:val="none"/>
              </w:rPr>
            </w:pPr>
            <w:r>
              <w:rPr>
                <w:rFonts w:hint="eastAsia" w:ascii="宋体" w:hAnsi="宋体" w:cs="宋体"/>
                <w:color w:val="auto"/>
                <w:kern w:val="0"/>
                <w:highlight w:val="none"/>
                <w:lang w:val="en-US" w:eastAsia="zh-CN"/>
              </w:rPr>
              <w:t>人员</w:t>
            </w:r>
          </w:p>
        </w:tc>
        <w:tc>
          <w:tcPr>
            <w:tcW w:w="5511" w:type="dxa"/>
            <w:vAlign w:val="center"/>
          </w:tcPr>
          <w:p>
            <w:pPr>
              <w:snapToGrid w:val="0"/>
              <w:spacing w:line="400" w:lineRule="exact"/>
              <w:ind w:firstLine="420" w:firstLineChars="200"/>
              <w:rPr>
                <w:rFonts w:hint="eastAsia" w:ascii="宋体" w:hAnsi="宋体"/>
                <w:color w:val="auto"/>
                <w:szCs w:val="21"/>
                <w:highlight w:val="none"/>
              </w:rPr>
            </w:pPr>
            <w:r>
              <w:rPr>
                <w:rFonts w:hint="eastAsia" w:ascii="宋体" w:hAnsi="宋体" w:cs="宋体"/>
                <w:color w:val="auto"/>
                <w:kern w:val="0"/>
                <w:highlight w:val="none"/>
                <w:lang w:val="en-US" w:eastAsia="zh-CN"/>
              </w:rPr>
              <w:t>《投标函》中填写的项目经理应与拟派项目经理的信息一致。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ascii="宋体" w:hAnsi="宋体"/>
                <w:color w:val="auto"/>
                <w:highlight w:val="none"/>
              </w:rPr>
            </w:pPr>
          </w:p>
        </w:tc>
        <w:tc>
          <w:tcPr>
            <w:tcW w:w="1150" w:type="dxa"/>
            <w:gridSpan w:val="2"/>
            <w:vMerge w:val="continue"/>
            <w:vAlign w:val="center"/>
          </w:tcPr>
          <w:p>
            <w:pPr>
              <w:spacing w:line="400" w:lineRule="exact"/>
              <w:jc w:val="center"/>
              <w:rPr>
                <w:rFonts w:ascii="宋体" w:hAnsi="宋体"/>
                <w:color w:val="auto"/>
                <w:highlight w:val="none"/>
              </w:rPr>
            </w:pPr>
          </w:p>
        </w:tc>
        <w:tc>
          <w:tcPr>
            <w:tcW w:w="1969" w:type="dxa"/>
            <w:vAlign w:val="center"/>
          </w:tcPr>
          <w:p>
            <w:pPr>
              <w:tabs>
                <w:tab w:val="left" w:pos="1875"/>
              </w:tabs>
              <w:spacing w:line="400" w:lineRule="exact"/>
              <w:jc w:val="left"/>
              <w:rPr>
                <w:rFonts w:hint="eastAsia" w:ascii="宋体" w:hAnsi="宋体"/>
                <w:color w:val="auto"/>
                <w:szCs w:val="21"/>
                <w:highlight w:val="none"/>
              </w:rPr>
            </w:pPr>
            <w:r>
              <w:rPr>
                <w:rFonts w:hint="eastAsia" w:ascii="宋体" w:hAnsi="宋体" w:cs="宋体"/>
                <w:color w:val="auto"/>
                <w:kern w:val="0"/>
                <w:highlight w:val="none"/>
              </w:rPr>
              <w:t>工期</w:t>
            </w:r>
          </w:p>
        </w:tc>
        <w:tc>
          <w:tcPr>
            <w:tcW w:w="5511" w:type="dxa"/>
            <w:vAlign w:val="center"/>
          </w:tcPr>
          <w:p>
            <w:pPr>
              <w:snapToGrid w:val="0"/>
              <w:spacing w:line="400" w:lineRule="exact"/>
              <w:ind w:firstLine="420" w:firstLineChars="200"/>
              <w:rPr>
                <w:rFonts w:hint="eastAsia" w:ascii="宋体" w:hAnsi="宋体"/>
                <w:color w:val="auto"/>
                <w:szCs w:val="21"/>
                <w:highlight w:val="none"/>
              </w:rPr>
            </w:pPr>
            <w:r>
              <w:rPr>
                <w:rFonts w:hint="eastAsia" w:ascii="宋体" w:hAnsi="宋体" w:cs="宋体"/>
                <w:color w:val="auto"/>
                <w:kern w:val="0"/>
                <w:highlight w:val="none"/>
              </w:rPr>
              <w:t>符合第二章“投标人须知”第1.3.2项规定</w:t>
            </w:r>
            <w:r>
              <w:rPr>
                <w:rFonts w:hint="eastAsia" w:ascii="宋体" w:hAnsi="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ascii="宋体" w:hAnsi="宋体"/>
                <w:color w:val="auto"/>
                <w:highlight w:val="none"/>
              </w:rPr>
            </w:pPr>
          </w:p>
        </w:tc>
        <w:tc>
          <w:tcPr>
            <w:tcW w:w="1150" w:type="dxa"/>
            <w:gridSpan w:val="2"/>
            <w:vMerge w:val="continue"/>
            <w:vAlign w:val="center"/>
          </w:tcPr>
          <w:p>
            <w:pPr>
              <w:spacing w:line="400" w:lineRule="exact"/>
              <w:jc w:val="center"/>
              <w:rPr>
                <w:rFonts w:ascii="宋体" w:hAnsi="宋体"/>
                <w:color w:val="auto"/>
                <w:highlight w:val="none"/>
              </w:rPr>
            </w:pPr>
          </w:p>
        </w:tc>
        <w:tc>
          <w:tcPr>
            <w:tcW w:w="1969" w:type="dxa"/>
            <w:vAlign w:val="center"/>
          </w:tcPr>
          <w:p>
            <w:pPr>
              <w:tabs>
                <w:tab w:val="left" w:pos="1875"/>
              </w:tabs>
              <w:spacing w:line="400" w:lineRule="exact"/>
              <w:jc w:val="left"/>
              <w:rPr>
                <w:rFonts w:hint="eastAsia" w:ascii="宋体" w:hAnsi="宋体"/>
                <w:color w:val="auto"/>
                <w:szCs w:val="21"/>
                <w:highlight w:val="none"/>
              </w:rPr>
            </w:pPr>
            <w:r>
              <w:rPr>
                <w:rFonts w:hint="eastAsia" w:ascii="宋体" w:hAnsi="宋体" w:cs="宋体"/>
                <w:color w:val="auto"/>
                <w:kern w:val="0"/>
                <w:highlight w:val="none"/>
              </w:rPr>
              <w:t>工程质量</w:t>
            </w:r>
          </w:p>
        </w:tc>
        <w:tc>
          <w:tcPr>
            <w:tcW w:w="5511" w:type="dxa"/>
            <w:vAlign w:val="center"/>
          </w:tcPr>
          <w:p>
            <w:pPr>
              <w:snapToGrid w:val="0"/>
              <w:spacing w:line="400" w:lineRule="exact"/>
              <w:ind w:firstLine="420" w:firstLineChars="200"/>
              <w:rPr>
                <w:rFonts w:hint="eastAsia" w:ascii="宋体" w:hAnsi="宋体"/>
                <w:color w:val="auto"/>
                <w:szCs w:val="21"/>
                <w:highlight w:val="none"/>
              </w:rPr>
            </w:pPr>
            <w:r>
              <w:rPr>
                <w:rFonts w:hint="eastAsia" w:ascii="宋体" w:hAnsi="宋体" w:cs="宋体"/>
                <w:color w:val="auto"/>
                <w:kern w:val="0"/>
                <w:highlight w:val="none"/>
              </w:rPr>
              <w:t>符合第二章“投标人须知”第1.3.3项规定</w:t>
            </w:r>
            <w:r>
              <w:rPr>
                <w:rFonts w:hint="eastAsia" w:ascii="宋体" w:hAnsi="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ascii="宋体" w:hAnsi="宋体"/>
                <w:color w:val="auto"/>
                <w:highlight w:val="none"/>
              </w:rPr>
            </w:pPr>
          </w:p>
        </w:tc>
        <w:tc>
          <w:tcPr>
            <w:tcW w:w="1150" w:type="dxa"/>
            <w:gridSpan w:val="2"/>
            <w:vMerge w:val="continue"/>
            <w:vAlign w:val="center"/>
          </w:tcPr>
          <w:p>
            <w:pPr>
              <w:spacing w:line="400" w:lineRule="exact"/>
              <w:jc w:val="center"/>
              <w:rPr>
                <w:rFonts w:ascii="宋体" w:hAnsi="宋体"/>
                <w:color w:val="auto"/>
                <w:highlight w:val="none"/>
              </w:rPr>
            </w:pPr>
          </w:p>
        </w:tc>
        <w:tc>
          <w:tcPr>
            <w:tcW w:w="1969" w:type="dxa"/>
            <w:vAlign w:val="center"/>
          </w:tcPr>
          <w:p>
            <w:pPr>
              <w:tabs>
                <w:tab w:val="left" w:pos="1875"/>
              </w:tabs>
              <w:spacing w:line="400" w:lineRule="exact"/>
              <w:jc w:val="left"/>
              <w:rPr>
                <w:rFonts w:hint="eastAsia" w:ascii="宋体" w:hAnsi="宋体"/>
                <w:color w:val="auto"/>
                <w:szCs w:val="21"/>
                <w:highlight w:val="none"/>
              </w:rPr>
            </w:pPr>
            <w:r>
              <w:rPr>
                <w:rFonts w:hint="eastAsia" w:ascii="宋体" w:hAnsi="宋体" w:cs="宋体"/>
                <w:color w:val="auto"/>
                <w:kern w:val="0"/>
                <w:highlight w:val="none"/>
              </w:rPr>
              <w:t>投标有效期</w:t>
            </w:r>
          </w:p>
        </w:tc>
        <w:tc>
          <w:tcPr>
            <w:tcW w:w="5511" w:type="dxa"/>
            <w:vAlign w:val="center"/>
          </w:tcPr>
          <w:p>
            <w:pPr>
              <w:snapToGrid w:val="0"/>
              <w:spacing w:line="400" w:lineRule="exact"/>
              <w:ind w:firstLine="420" w:firstLineChars="200"/>
              <w:rPr>
                <w:rFonts w:hint="eastAsia" w:ascii="宋体" w:hAnsi="宋体"/>
                <w:color w:val="auto"/>
                <w:szCs w:val="21"/>
                <w:highlight w:val="none"/>
              </w:rPr>
            </w:pPr>
            <w:r>
              <w:rPr>
                <w:rFonts w:hint="eastAsia" w:ascii="宋体" w:hAnsi="宋体" w:cs="宋体"/>
                <w:color w:val="auto"/>
                <w:kern w:val="0"/>
                <w:highlight w:val="none"/>
              </w:rPr>
              <w:t>符合第二章“投标人须知”第3.3.1项规定</w:t>
            </w:r>
            <w:r>
              <w:rPr>
                <w:rFonts w:hint="eastAsia" w:ascii="宋体" w:hAnsi="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ascii="宋体" w:hAnsi="宋体"/>
                <w:color w:val="auto"/>
                <w:highlight w:val="none"/>
              </w:rPr>
            </w:pPr>
          </w:p>
        </w:tc>
        <w:tc>
          <w:tcPr>
            <w:tcW w:w="1150" w:type="dxa"/>
            <w:gridSpan w:val="2"/>
            <w:vMerge w:val="continue"/>
            <w:vAlign w:val="center"/>
          </w:tcPr>
          <w:p>
            <w:pPr>
              <w:spacing w:line="400" w:lineRule="exact"/>
              <w:jc w:val="center"/>
              <w:rPr>
                <w:rFonts w:ascii="宋体" w:hAnsi="宋体"/>
                <w:color w:val="auto"/>
                <w:highlight w:val="none"/>
              </w:rPr>
            </w:pPr>
          </w:p>
        </w:tc>
        <w:tc>
          <w:tcPr>
            <w:tcW w:w="1969" w:type="dxa"/>
            <w:shd w:val="clear" w:color="auto" w:fill="auto"/>
            <w:vAlign w:val="center"/>
          </w:tcPr>
          <w:p>
            <w:pPr>
              <w:spacing w:line="400" w:lineRule="exact"/>
              <w:jc w:val="left"/>
              <w:rPr>
                <w:rFonts w:hint="eastAsia" w:ascii="宋体" w:hAnsi="宋体" w:eastAsia="宋体" w:cs="宋体"/>
                <w:color w:val="auto"/>
                <w:kern w:val="0"/>
                <w:sz w:val="21"/>
                <w:szCs w:val="24"/>
                <w:highlight w:val="none"/>
                <w:lang w:val="en-US" w:eastAsia="zh-CN" w:bidi="ar-SA"/>
              </w:rPr>
            </w:pPr>
            <w:r>
              <w:rPr>
                <w:rFonts w:ascii="宋体" w:hAnsi="宋体"/>
                <w:color w:val="auto"/>
                <w:kern w:val="0"/>
                <w:highlight w:val="none"/>
              </w:rPr>
              <w:t>投标总报价</w:t>
            </w:r>
          </w:p>
        </w:tc>
        <w:tc>
          <w:tcPr>
            <w:tcW w:w="5511" w:type="dxa"/>
            <w:shd w:val="clear" w:color="auto" w:fill="auto"/>
            <w:vAlign w:val="center"/>
          </w:tcPr>
          <w:p>
            <w:pPr>
              <w:spacing w:line="400" w:lineRule="exact"/>
              <w:ind w:firstLine="420" w:firstLineChars="200"/>
              <w:rPr>
                <w:rFonts w:hint="eastAsia"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投标总报价不得高于招标人公布的投标总报价最高限价</w:t>
            </w:r>
            <w:r>
              <w:rPr>
                <w:rFonts w:hint="eastAsia" w:ascii="宋体" w:hAnsi="宋体"/>
                <w:color w:val="auto"/>
                <w:kern w:val="0"/>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ascii="宋体" w:hAnsi="宋体"/>
                <w:color w:val="auto"/>
                <w:highlight w:val="none"/>
              </w:rPr>
            </w:pPr>
          </w:p>
        </w:tc>
        <w:tc>
          <w:tcPr>
            <w:tcW w:w="1150" w:type="dxa"/>
            <w:gridSpan w:val="2"/>
            <w:vMerge w:val="continue"/>
            <w:vAlign w:val="center"/>
          </w:tcPr>
          <w:p>
            <w:pPr>
              <w:spacing w:line="400" w:lineRule="exact"/>
              <w:jc w:val="center"/>
              <w:rPr>
                <w:rFonts w:ascii="宋体" w:hAnsi="宋体"/>
                <w:color w:val="auto"/>
                <w:highlight w:val="none"/>
              </w:rPr>
            </w:pPr>
          </w:p>
        </w:tc>
        <w:tc>
          <w:tcPr>
            <w:tcW w:w="1969" w:type="dxa"/>
            <w:shd w:val="clear" w:color="auto" w:fill="auto"/>
            <w:vAlign w:val="center"/>
          </w:tcPr>
          <w:p>
            <w:pPr>
              <w:spacing w:line="400" w:lineRule="exact"/>
              <w:jc w:val="left"/>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kern w:val="0"/>
                <w:highlight w:val="none"/>
              </w:rPr>
              <w:t>暂定金额</w:t>
            </w:r>
          </w:p>
        </w:tc>
        <w:tc>
          <w:tcPr>
            <w:tcW w:w="5511" w:type="dxa"/>
            <w:shd w:val="clear" w:color="auto" w:fill="auto"/>
            <w:vAlign w:val="center"/>
          </w:tcPr>
          <w:p>
            <w:pPr>
              <w:spacing w:line="400" w:lineRule="exact"/>
              <w:ind w:firstLine="420" w:firstLineChars="200"/>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kern w:val="0"/>
                <w:highlight w:val="none"/>
              </w:rPr>
              <w:t>安全文明施工费金额必须按照招标文件给定的金额填报</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ascii="宋体" w:hAnsi="宋体"/>
                <w:color w:val="auto"/>
                <w:highlight w:val="none"/>
              </w:rPr>
            </w:pPr>
          </w:p>
        </w:tc>
        <w:tc>
          <w:tcPr>
            <w:tcW w:w="1150" w:type="dxa"/>
            <w:gridSpan w:val="2"/>
            <w:vMerge w:val="continue"/>
            <w:vAlign w:val="center"/>
          </w:tcPr>
          <w:p>
            <w:pPr>
              <w:spacing w:line="400" w:lineRule="exact"/>
              <w:jc w:val="center"/>
              <w:rPr>
                <w:rFonts w:ascii="宋体" w:hAnsi="宋体"/>
                <w:color w:val="auto"/>
                <w:highlight w:val="none"/>
              </w:rPr>
            </w:pPr>
          </w:p>
        </w:tc>
        <w:tc>
          <w:tcPr>
            <w:tcW w:w="1969" w:type="dxa"/>
            <w:shd w:val="clear" w:color="auto" w:fill="auto"/>
            <w:vAlign w:val="center"/>
          </w:tcPr>
          <w:p>
            <w:pPr>
              <w:spacing w:line="400" w:lineRule="exact"/>
              <w:jc w:val="left"/>
              <w:rPr>
                <w:rFonts w:hint="eastAsia" w:ascii="宋体" w:hAnsi="宋体" w:eastAsia="宋体" w:cs="宋体"/>
                <w:color w:val="auto"/>
                <w:kern w:val="0"/>
                <w:sz w:val="21"/>
                <w:szCs w:val="24"/>
                <w:highlight w:val="none"/>
                <w:lang w:val="en-US" w:eastAsia="zh-CN" w:bidi="ar-SA"/>
              </w:rPr>
            </w:pPr>
            <w:r>
              <w:rPr>
                <w:rFonts w:ascii="宋体" w:hAnsi="宋体"/>
                <w:color w:val="auto"/>
                <w:kern w:val="0"/>
                <w:highlight w:val="none"/>
              </w:rPr>
              <w:t>报价唯一</w:t>
            </w:r>
          </w:p>
        </w:tc>
        <w:tc>
          <w:tcPr>
            <w:tcW w:w="5511" w:type="dxa"/>
            <w:shd w:val="clear" w:color="auto" w:fill="auto"/>
            <w:vAlign w:val="center"/>
          </w:tcPr>
          <w:p>
            <w:pPr>
              <w:spacing w:line="400" w:lineRule="exact"/>
              <w:ind w:firstLine="420" w:firstLineChars="200"/>
              <w:rPr>
                <w:rFonts w:hint="eastAsia" w:ascii="宋体" w:hAnsi="宋体" w:eastAsia="宋体" w:cs="Times New Roman"/>
                <w:color w:val="auto"/>
                <w:kern w:val="2"/>
                <w:sz w:val="21"/>
                <w:szCs w:val="24"/>
                <w:highlight w:val="none"/>
                <w:u w:val="single"/>
                <w:lang w:val="en-US" w:eastAsia="zh-CN" w:bidi="ar-SA"/>
              </w:rPr>
            </w:pPr>
            <w:r>
              <w:rPr>
                <w:rFonts w:ascii="宋体" w:hAnsi="宋体"/>
                <w:color w:val="auto"/>
                <w:kern w:val="0"/>
                <w:highlight w:val="none"/>
              </w:rPr>
              <w:t>只能有一个有效报价，在招标文件没有规定的情况下，不得提交选择性报价。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ascii="宋体" w:hAnsi="宋体"/>
                <w:color w:val="auto"/>
                <w:highlight w:val="none"/>
              </w:rPr>
            </w:pPr>
          </w:p>
        </w:tc>
        <w:tc>
          <w:tcPr>
            <w:tcW w:w="1150" w:type="dxa"/>
            <w:gridSpan w:val="2"/>
            <w:vMerge w:val="continue"/>
            <w:vAlign w:val="center"/>
          </w:tcPr>
          <w:p>
            <w:pPr>
              <w:spacing w:line="400" w:lineRule="exact"/>
              <w:jc w:val="center"/>
              <w:rPr>
                <w:rFonts w:ascii="宋体" w:hAnsi="宋体"/>
                <w:color w:val="auto"/>
                <w:highlight w:val="none"/>
              </w:rPr>
            </w:pPr>
          </w:p>
        </w:tc>
        <w:tc>
          <w:tcPr>
            <w:tcW w:w="1969" w:type="dxa"/>
            <w:vAlign w:val="center"/>
          </w:tcPr>
          <w:p>
            <w:pPr>
              <w:tabs>
                <w:tab w:val="left" w:pos="1875"/>
              </w:tabs>
              <w:spacing w:line="400" w:lineRule="exact"/>
              <w:jc w:val="left"/>
              <w:rPr>
                <w:rFonts w:hint="eastAsia" w:ascii="宋体" w:hAnsi="宋体"/>
                <w:color w:val="auto"/>
                <w:szCs w:val="21"/>
                <w:highlight w:val="none"/>
              </w:rPr>
            </w:pPr>
            <w:r>
              <w:rPr>
                <w:rFonts w:ascii="宋体" w:hAnsi="宋体"/>
                <w:color w:val="auto"/>
                <w:kern w:val="0"/>
                <w:highlight w:val="none"/>
              </w:rPr>
              <w:t>投标报价</w:t>
            </w:r>
            <w:r>
              <w:rPr>
                <w:rFonts w:hint="eastAsia" w:ascii="宋体" w:hAnsi="宋体"/>
                <w:color w:val="auto"/>
                <w:kern w:val="0"/>
                <w:highlight w:val="none"/>
                <w:lang w:val="en-US" w:eastAsia="zh-CN"/>
              </w:rPr>
              <w:t>大小写不一致</w:t>
            </w:r>
            <w:r>
              <w:rPr>
                <w:rFonts w:ascii="宋体" w:hAnsi="宋体"/>
                <w:color w:val="auto"/>
                <w:kern w:val="0"/>
                <w:highlight w:val="none"/>
              </w:rPr>
              <w:t>修正</w:t>
            </w:r>
          </w:p>
        </w:tc>
        <w:tc>
          <w:tcPr>
            <w:tcW w:w="5511" w:type="dxa"/>
            <w:vAlign w:val="center"/>
          </w:tcPr>
          <w:p>
            <w:pPr>
              <w:snapToGrid w:val="0"/>
              <w:spacing w:line="400" w:lineRule="exact"/>
              <w:ind w:firstLine="420" w:firstLineChars="200"/>
              <w:rPr>
                <w:rFonts w:hint="eastAsia" w:ascii="宋体" w:hAnsi="宋体"/>
                <w:color w:val="auto"/>
                <w:szCs w:val="21"/>
                <w:highlight w:val="none"/>
              </w:rPr>
            </w:pPr>
            <w:r>
              <w:rPr>
                <w:rFonts w:ascii="宋体" w:hAnsi="宋体"/>
                <w:color w:val="auto"/>
                <w:kern w:val="0"/>
                <w:highlight w:val="none"/>
              </w:rPr>
              <w:t>符合第三章3.评标程序第3.1.</w:t>
            </w:r>
            <w:r>
              <w:rPr>
                <w:rFonts w:hint="eastAsia" w:ascii="宋体" w:hAnsi="宋体"/>
                <w:color w:val="auto"/>
                <w:kern w:val="0"/>
                <w:highlight w:val="none"/>
                <w:lang w:val="en-US" w:eastAsia="zh-CN"/>
              </w:rPr>
              <w:t>2</w:t>
            </w:r>
            <w:r>
              <w:rPr>
                <w:rFonts w:ascii="宋体" w:hAnsi="宋体"/>
                <w:color w:val="auto"/>
                <w:kern w:val="0"/>
                <w:highlight w:val="none"/>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Align w:val="center"/>
          </w:tcPr>
          <w:p>
            <w:pPr>
              <w:spacing w:line="400" w:lineRule="exact"/>
              <w:jc w:val="center"/>
              <w:rPr>
                <w:rFonts w:ascii="宋体" w:hAnsi="宋体"/>
                <w:color w:val="auto"/>
                <w:highlight w:val="none"/>
              </w:rPr>
            </w:pPr>
            <w:r>
              <w:rPr>
                <w:rFonts w:ascii="宋体" w:hAnsi="宋体"/>
                <w:color w:val="auto"/>
                <w:kern w:val="0"/>
                <w:highlight w:val="none"/>
              </w:rPr>
              <w:t>2.2.</w:t>
            </w:r>
            <w:r>
              <w:rPr>
                <w:rFonts w:hint="eastAsia" w:ascii="宋体" w:hAnsi="宋体"/>
                <w:color w:val="auto"/>
                <w:kern w:val="0"/>
                <w:highlight w:val="none"/>
              </w:rPr>
              <w:t>3</w:t>
            </w:r>
          </w:p>
        </w:tc>
        <w:tc>
          <w:tcPr>
            <w:tcW w:w="1150" w:type="dxa"/>
            <w:gridSpan w:val="2"/>
            <w:vAlign w:val="center"/>
          </w:tcPr>
          <w:p>
            <w:pPr>
              <w:spacing w:line="400" w:lineRule="exact"/>
              <w:jc w:val="center"/>
              <w:rPr>
                <w:rFonts w:ascii="宋体" w:hAnsi="宋体"/>
                <w:color w:val="auto"/>
                <w:highlight w:val="none"/>
              </w:rPr>
            </w:pPr>
            <w:r>
              <w:rPr>
                <w:rFonts w:ascii="宋体" w:hAnsi="宋体"/>
                <w:color w:val="auto"/>
                <w:kern w:val="0"/>
                <w:highlight w:val="none"/>
              </w:rPr>
              <w:t>评标基准价计算方法</w:t>
            </w:r>
          </w:p>
        </w:tc>
        <w:tc>
          <w:tcPr>
            <w:tcW w:w="1969" w:type="dxa"/>
            <w:vAlign w:val="center"/>
          </w:tcPr>
          <w:p>
            <w:pPr>
              <w:spacing w:line="400" w:lineRule="exact"/>
              <w:jc w:val="center"/>
              <w:rPr>
                <w:rFonts w:hint="eastAsia" w:ascii="宋体" w:hAnsi="宋体"/>
                <w:color w:val="auto"/>
                <w:kern w:val="0"/>
                <w:szCs w:val="21"/>
                <w:highlight w:val="none"/>
                <w:lang w:val="en-US" w:eastAsia="zh-CN"/>
              </w:rPr>
            </w:pPr>
            <w:r>
              <w:rPr>
                <w:rFonts w:ascii="宋体" w:hAnsi="宋体"/>
                <w:color w:val="auto"/>
                <w:kern w:val="0"/>
                <w:highlight w:val="none"/>
              </w:rPr>
              <w:t>投标总报价</w:t>
            </w:r>
          </w:p>
        </w:tc>
        <w:tc>
          <w:tcPr>
            <w:tcW w:w="5511" w:type="dxa"/>
            <w:vAlign w:val="top"/>
          </w:tcPr>
          <w:p>
            <w:pPr>
              <w:snapToGrid w:val="0"/>
              <w:spacing w:line="400" w:lineRule="exact"/>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lang w:eastAsia="zh-CN"/>
              </w:rPr>
              <w:t>进入报价评审的</w:t>
            </w:r>
            <w:r>
              <w:rPr>
                <w:rFonts w:ascii="宋体" w:hAnsi="宋体"/>
                <w:color w:val="auto"/>
                <w:kern w:val="0"/>
                <w:szCs w:val="21"/>
                <w:highlight w:val="none"/>
              </w:rPr>
              <w:t>投标人</w:t>
            </w:r>
            <w:r>
              <w:rPr>
                <w:rFonts w:ascii="宋体" w:hAnsi="宋体"/>
                <w:color w:val="auto"/>
                <w:szCs w:val="21"/>
                <w:highlight w:val="none"/>
              </w:rPr>
              <w:t>的投标总报</w:t>
            </w:r>
            <w:r>
              <w:rPr>
                <w:rFonts w:ascii="宋体" w:hAnsi="宋体"/>
                <w:color w:val="auto"/>
                <w:kern w:val="0"/>
                <w:szCs w:val="21"/>
                <w:highlight w:val="none"/>
              </w:rPr>
              <w:t>价中去掉六分之一（不能整除的按小数点前整数取整，不足六家报价则不去掉）的最低价和相同家数的最高价后的算术平均值</w:t>
            </w:r>
            <w:r>
              <w:rPr>
                <w:rFonts w:hint="eastAsia" w:ascii="宋体" w:hAnsi="宋体"/>
                <w:color w:val="auto"/>
                <w:kern w:val="0"/>
                <w:szCs w:val="21"/>
                <w:highlight w:val="none"/>
              </w:rPr>
              <w:t>，即为本项目的投标总报价的评标基准价。</w:t>
            </w:r>
          </w:p>
          <w:p>
            <w:pPr>
              <w:snapToGrid w:val="0"/>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rPr>
              <w:t>评标基准价计算的最终</w:t>
            </w:r>
            <w:r>
              <w:rPr>
                <w:rFonts w:ascii="宋体" w:hAnsi="宋体"/>
                <w:color w:val="auto"/>
                <w:kern w:val="0"/>
                <w:szCs w:val="21"/>
                <w:highlight w:val="none"/>
              </w:rPr>
              <w:t>结果取小数点后两位，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color w:val="auto"/>
                <w:kern w:val="0"/>
                <w:szCs w:val="21"/>
                <w:highlight w:val="none"/>
              </w:rPr>
              <w:t>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Align w:val="center"/>
          </w:tcPr>
          <w:p>
            <w:pPr>
              <w:spacing w:line="400" w:lineRule="exact"/>
              <w:jc w:val="center"/>
              <w:rPr>
                <w:rFonts w:ascii="宋体" w:hAnsi="宋体"/>
                <w:color w:val="auto"/>
                <w:highlight w:val="none"/>
              </w:rPr>
            </w:pPr>
            <w:r>
              <w:rPr>
                <w:rFonts w:ascii="宋体" w:hAnsi="宋体"/>
                <w:color w:val="auto"/>
                <w:kern w:val="0"/>
                <w:highlight w:val="none"/>
              </w:rPr>
              <w:t>2.2.</w:t>
            </w:r>
            <w:r>
              <w:rPr>
                <w:rFonts w:hint="eastAsia" w:ascii="宋体" w:hAnsi="宋体"/>
                <w:color w:val="auto"/>
                <w:kern w:val="0"/>
                <w:highlight w:val="none"/>
              </w:rPr>
              <w:t>4（1）</w:t>
            </w:r>
          </w:p>
        </w:tc>
        <w:tc>
          <w:tcPr>
            <w:tcW w:w="3119" w:type="dxa"/>
            <w:gridSpan w:val="3"/>
            <w:vAlign w:val="center"/>
          </w:tcPr>
          <w:p>
            <w:pPr>
              <w:spacing w:line="400" w:lineRule="exact"/>
              <w:jc w:val="center"/>
              <w:rPr>
                <w:rFonts w:hint="eastAsia" w:ascii="宋体" w:hAnsi="宋体"/>
                <w:color w:val="auto"/>
                <w:kern w:val="0"/>
                <w:szCs w:val="21"/>
                <w:highlight w:val="none"/>
                <w:lang w:val="en-US" w:eastAsia="zh-CN"/>
              </w:rPr>
            </w:pPr>
            <w:r>
              <w:rPr>
                <w:rFonts w:hint="eastAsia" w:ascii="宋体" w:hAnsi="宋体"/>
                <w:color w:val="auto"/>
                <w:kern w:val="0"/>
                <w:highlight w:val="none"/>
              </w:rPr>
              <w:t>允许偏差率</w:t>
            </w:r>
          </w:p>
        </w:tc>
        <w:tc>
          <w:tcPr>
            <w:tcW w:w="5511" w:type="dxa"/>
            <w:vAlign w:val="center"/>
          </w:tcPr>
          <w:p>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投标总报价的偏差率计算公式</w:t>
            </w:r>
          </w:p>
          <w:p>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100％×（投标人报价</w:t>
            </w:r>
            <w:r>
              <w:rPr>
                <w:rFonts w:hint="eastAsia" w:ascii="宋体" w:hAnsi="宋体"/>
                <w:color w:val="auto"/>
                <w:kern w:val="0"/>
                <w:highlight w:val="none"/>
              </w:rPr>
              <w:t>－</w:t>
            </w:r>
            <w:r>
              <w:rPr>
                <w:rFonts w:ascii="宋体" w:hAnsi="宋体"/>
                <w:color w:val="auto"/>
                <w:kern w:val="0"/>
                <w:highlight w:val="none"/>
              </w:rPr>
              <w:t>评标基准价）／评标基准价</w:t>
            </w:r>
          </w:p>
          <w:p>
            <w:pPr>
              <w:spacing w:line="400" w:lineRule="exact"/>
              <w:ind w:firstLine="200" w:firstLineChars="0"/>
              <w:rPr>
                <w:rFonts w:hint="eastAsia" w:ascii="宋体" w:hAnsi="宋体"/>
                <w:color w:val="auto"/>
                <w:kern w:val="0"/>
                <w:szCs w:val="21"/>
                <w:highlight w:val="none"/>
                <w:lang w:val="en-US" w:eastAsia="zh-CN"/>
              </w:rPr>
            </w:pPr>
            <w:r>
              <w:rPr>
                <w:rFonts w:ascii="宋体" w:hAnsi="宋体"/>
                <w:color w:val="auto"/>
                <w:kern w:val="0"/>
                <w:highlight w:val="none"/>
              </w:rPr>
              <w:t xml:space="preserve">  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Align w:val="center"/>
          </w:tcPr>
          <w:p>
            <w:pPr>
              <w:spacing w:line="400" w:lineRule="exact"/>
              <w:jc w:val="center"/>
              <w:rPr>
                <w:rFonts w:hint="eastAsia" w:ascii="宋体" w:hAnsi="宋体"/>
                <w:color w:val="auto"/>
                <w:kern w:val="0"/>
                <w:highlight w:val="none"/>
              </w:rPr>
            </w:pPr>
            <w:r>
              <w:rPr>
                <w:rFonts w:ascii="宋体" w:hAnsi="宋体"/>
                <w:color w:val="auto"/>
                <w:highlight w:val="none"/>
              </w:rPr>
              <w:t>3</w:t>
            </w:r>
          </w:p>
        </w:tc>
        <w:tc>
          <w:tcPr>
            <w:tcW w:w="1150" w:type="dxa"/>
            <w:gridSpan w:val="2"/>
            <w:vAlign w:val="center"/>
          </w:tcPr>
          <w:p>
            <w:pPr>
              <w:spacing w:line="400" w:lineRule="exact"/>
              <w:jc w:val="center"/>
              <w:rPr>
                <w:rFonts w:hint="eastAsia" w:ascii="宋体" w:hAnsi="宋体"/>
                <w:color w:val="auto"/>
                <w:kern w:val="0"/>
                <w:highlight w:val="none"/>
              </w:rPr>
            </w:pPr>
            <w:r>
              <w:rPr>
                <w:rFonts w:ascii="宋体" w:hAnsi="宋体"/>
                <w:color w:val="auto"/>
                <w:highlight w:val="none"/>
              </w:rPr>
              <w:t>评标程序</w:t>
            </w:r>
          </w:p>
        </w:tc>
        <w:tc>
          <w:tcPr>
            <w:tcW w:w="7480" w:type="dxa"/>
            <w:gridSpan w:val="2"/>
          </w:tcPr>
          <w:p>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初步评审。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照第2.1.1项至第2.1.3项的规定，对所有投标文件</w:t>
            </w:r>
            <w:r>
              <w:rPr>
                <w:rFonts w:hint="eastAsia" w:ascii="宋体" w:hAnsi="宋体" w:cs="宋体"/>
                <w:color w:val="auto"/>
                <w:szCs w:val="21"/>
                <w:highlight w:val="none"/>
              </w:rPr>
              <w:t>进行初步评审。未通过初步评审或评标委员会认定为无效的投标文件的不再进行后续评审</w:t>
            </w:r>
            <w:r>
              <w:rPr>
                <w:rFonts w:hint="eastAsia" w:ascii="宋体" w:hAnsi="宋体"/>
                <w:color w:val="auto"/>
                <w:szCs w:val="21"/>
                <w:highlight w:val="none"/>
              </w:rPr>
              <w:t>。</w:t>
            </w:r>
          </w:p>
          <w:p>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2.技术评审。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olor w:val="auto"/>
                <w:szCs w:val="21"/>
                <w:highlight w:val="none"/>
              </w:rPr>
              <w:t>第2.2.2（1）目及第3.2.1（1）目的规定</w:t>
            </w:r>
            <w:r>
              <w:rPr>
                <w:rFonts w:hint="eastAsia" w:ascii="宋体" w:hAnsi="宋体"/>
                <w:color w:val="auto"/>
                <w:szCs w:val="21"/>
                <w:highlight w:val="none"/>
                <w:lang w:eastAsia="zh-CN"/>
              </w:rPr>
              <w:t>，</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技术评审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计算出技术得分A</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3.商务评审。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olor w:val="auto"/>
                <w:szCs w:val="21"/>
                <w:highlight w:val="none"/>
              </w:rPr>
              <w:t>第2.2.2（</w:t>
            </w:r>
            <w:r>
              <w:rPr>
                <w:rFonts w:hint="eastAsia" w:ascii="宋体" w:hAnsi="宋体"/>
                <w:color w:val="auto"/>
                <w:szCs w:val="21"/>
                <w:highlight w:val="none"/>
                <w:lang w:val="en-US" w:eastAsia="zh-CN"/>
              </w:rPr>
              <w:t>2</w:t>
            </w:r>
            <w:r>
              <w:rPr>
                <w:rFonts w:hint="eastAsia" w:ascii="宋体" w:hAnsi="宋体"/>
                <w:color w:val="auto"/>
                <w:szCs w:val="21"/>
                <w:highlight w:val="none"/>
              </w:rPr>
              <w:t>）目及第3.2.1（</w:t>
            </w:r>
            <w:r>
              <w:rPr>
                <w:rFonts w:hint="eastAsia" w:ascii="宋体" w:hAnsi="宋体"/>
                <w:color w:val="auto"/>
                <w:szCs w:val="21"/>
                <w:highlight w:val="none"/>
                <w:lang w:val="en-US" w:eastAsia="zh-CN"/>
              </w:rPr>
              <w:t>2</w:t>
            </w:r>
            <w:r>
              <w:rPr>
                <w:rFonts w:hint="eastAsia" w:ascii="宋体" w:hAnsi="宋体"/>
                <w:color w:val="auto"/>
                <w:szCs w:val="21"/>
                <w:highlight w:val="none"/>
              </w:rPr>
              <w:t>）目的规定</w:t>
            </w:r>
            <w:r>
              <w:rPr>
                <w:rFonts w:hint="eastAsia" w:ascii="宋体" w:hAnsi="宋体"/>
                <w:color w:val="auto"/>
                <w:szCs w:val="21"/>
                <w:highlight w:val="none"/>
                <w:lang w:eastAsia="zh-CN"/>
              </w:rPr>
              <w:t>，</w:t>
            </w:r>
            <w:r>
              <w:rPr>
                <w:rFonts w:hint="eastAsia" w:ascii="宋体" w:hAnsi="宋体" w:cs="宋体"/>
                <w:color w:val="auto"/>
                <w:szCs w:val="21"/>
                <w:highlight w:val="none"/>
                <w:lang w:val="en-US" w:eastAsia="zh-CN"/>
              </w:rPr>
              <w:t>进行商务</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计算出商务得分B</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4.投标函部分评审。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第2.2.2（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）目的规定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进行投标函部分</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未通过</w:t>
            </w:r>
            <w:r>
              <w:rPr>
                <w:rFonts w:hint="eastAsia" w:ascii="宋体" w:hAnsi="宋体" w:cs="宋体"/>
                <w:color w:val="auto"/>
                <w:szCs w:val="21"/>
                <w:highlight w:val="none"/>
                <w:lang w:val="en-US" w:eastAsia="zh-CN"/>
              </w:rPr>
              <w:t>投标函部分</w:t>
            </w:r>
            <w:r>
              <w:rPr>
                <w:rFonts w:hint="eastAsia" w:ascii="宋体" w:hAnsi="宋体" w:cs="宋体"/>
                <w:color w:val="auto"/>
                <w:szCs w:val="21"/>
                <w:highlight w:val="none"/>
              </w:rPr>
              <w:t>评审的投标文件不再</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后续评审</w:t>
            </w:r>
            <w:r>
              <w:rPr>
                <w:rFonts w:hint="eastAsia" w:ascii="宋体" w:hAnsi="宋体"/>
                <w:color w:val="auto"/>
                <w:szCs w:val="21"/>
                <w:highlight w:val="none"/>
                <w:lang w:eastAsia="zh-CN"/>
              </w:rPr>
              <w:t>。</w:t>
            </w:r>
          </w:p>
          <w:p>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eastAsia="zh-CN"/>
              </w:rPr>
              <w:t>报价评审。</w:t>
            </w:r>
            <w:r>
              <w:rPr>
                <w:rFonts w:hint="eastAsia" w:ascii="宋体" w:hAnsi="宋体" w:cs="宋体"/>
                <w:color w:val="auto"/>
                <w:szCs w:val="21"/>
                <w:highlight w:val="none"/>
              </w:rPr>
              <w:t>按照</w:t>
            </w:r>
            <w:r>
              <w:rPr>
                <w:rFonts w:hint="eastAsia" w:ascii="宋体" w:hAnsi="宋体"/>
                <w:color w:val="auto"/>
                <w:szCs w:val="21"/>
                <w:highlight w:val="none"/>
              </w:rPr>
              <w:t>第2.2.3项</w:t>
            </w:r>
            <w:r>
              <w:rPr>
                <w:rFonts w:hint="eastAsia" w:ascii="宋体" w:hAnsi="宋体" w:cs="宋体"/>
                <w:color w:val="auto"/>
                <w:szCs w:val="21"/>
                <w:highlight w:val="none"/>
                <w:lang w:val="en-US" w:eastAsia="zh-CN"/>
              </w:rPr>
              <w:t>的规定，</w:t>
            </w:r>
            <w:r>
              <w:rPr>
                <w:rFonts w:hint="eastAsia" w:ascii="宋体" w:hAnsi="宋体" w:cs="宋体"/>
                <w:color w:val="auto"/>
                <w:szCs w:val="21"/>
                <w:highlight w:val="none"/>
              </w:rPr>
              <w:t>计算评标基准价</w:t>
            </w:r>
            <w:r>
              <w:rPr>
                <w:rFonts w:hint="eastAsia" w:ascii="宋体" w:hAnsi="宋体"/>
                <w:color w:val="auto"/>
                <w:szCs w:val="21"/>
                <w:highlight w:val="none"/>
                <w:lang w:eastAsia="zh-CN"/>
              </w:rPr>
              <w:t>；</w:t>
            </w:r>
            <w:r>
              <w:rPr>
                <w:rFonts w:hint="eastAsia" w:ascii="宋体" w:hAnsi="宋体" w:cs="宋体"/>
                <w:color w:val="auto"/>
                <w:szCs w:val="21"/>
                <w:highlight w:val="none"/>
              </w:rPr>
              <w:t>并按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w:t>
            </w:r>
            <w:r>
              <w:rPr>
                <w:rFonts w:hint="eastAsia" w:ascii="宋体" w:hAnsi="宋体"/>
                <w:color w:val="auto"/>
                <w:szCs w:val="21"/>
                <w:highlight w:val="none"/>
              </w:rPr>
              <w:t>3.2.1（</w:t>
            </w:r>
            <w:r>
              <w:rPr>
                <w:rFonts w:hint="eastAsia" w:ascii="宋体" w:hAnsi="宋体"/>
                <w:color w:val="auto"/>
                <w:szCs w:val="21"/>
                <w:highlight w:val="none"/>
                <w:lang w:val="en-US" w:eastAsia="zh-CN"/>
              </w:rPr>
              <w:t>3</w:t>
            </w:r>
            <w:r>
              <w:rPr>
                <w:rFonts w:hint="eastAsia" w:ascii="宋体" w:hAnsi="宋体"/>
                <w:color w:val="auto"/>
                <w:szCs w:val="21"/>
                <w:highlight w:val="none"/>
              </w:rPr>
              <w:t>）目</w:t>
            </w:r>
            <w:r>
              <w:rPr>
                <w:rFonts w:hint="eastAsia" w:ascii="宋体" w:hAnsi="宋体"/>
                <w:color w:val="auto"/>
                <w:szCs w:val="21"/>
                <w:highlight w:val="none"/>
                <w:lang w:val="en-US" w:eastAsia="zh-CN"/>
              </w:rPr>
              <w:t>的</w:t>
            </w:r>
            <w:r>
              <w:rPr>
                <w:rFonts w:hint="eastAsia" w:ascii="宋体" w:hAnsi="宋体"/>
                <w:color w:val="auto"/>
                <w:szCs w:val="21"/>
                <w:highlight w:val="none"/>
              </w:rPr>
              <w:t>规定</w:t>
            </w:r>
            <w:r>
              <w:rPr>
                <w:rFonts w:hint="eastAsia" w:ascii="宋体" w:hAnsi="宋体"/>
                <w:color w:val="auto"/>
                <w:szCs w:val="21"/>
                <w:highlight w:val="none"/>
                <w:lang w:eastAsia="zh-CN"/>
              </w:rPr>
              <w:t>，</w:t>
            </w:r>
            <w:r>
              <w:rPr>
                <w:rFonts w:hint="eastAsia" w:ascii="宋体" w:hAnsi="宋体" w:cs="宋体"/>
                <w:color w:val="auto"/>
                <w:szCs w:val="21"/>
                <w:highlight w:val="none"/>
              </w:rPr>
              <w:t>进行</w:t>
            </w:r>
            <w:r>
              <w:rPr>
                <w:rFonts w:hint="eastAsia" w:ascii="宋体" w:hAnsi="宋体" w:cs="宋体"/>
                <w:color w:val="auto"/>
                <w:szCs w:val="21"/>
                <w:highlight w:val="none"/>
                <w:lang w:val="en-US" w:eastAsia="zh-CN"/>
              </w:rPr>
              <w:t>报价评审，计算出报价得分C</w:t>
            </w:r>
            <w:r>
              <w:rPr>
                <w:rFonts w:hint="eastAsia" w:ascii="宋体" w:hAnsi="宋体"/>
                <w:color w:val="auto"/>
                <w:szCs w:val="21"/>
                <w:highlight w:val="none"/>
              </w:rPr>
              <w:t>。</w:t>
            </w:r>
          </w:p>
          <w:p>
            <w:pPr>
              <w:spacing w:after="31" w:afterLines="1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s="宋体"/>
                <w:color w:val="auto"/>
                <w:szCs w:val="21"/>
                <w:highlight w:val="none"/>
                <w:lang w:eastAsia="zh-CN"/>
              </w:rPr>
              <w:t>汇总得分。</w:t>
            </w:r>
            <w:r>
              <w:rPr>
                <w:rFonts w:hint="eastAsia" w:ascii="宋体" w:hAnsi="宋体" w:cs="宋体"/>
                <w:color w:val="auto"/>
                <w:szCs w:val="21"/>
                <w:highlight w:val="none"/>
              </w:rPr>
              <w:t>对技术</w:t>
            </w:r>
            <w:r>
              <w:rPr>
                <w:rFonts w:hint="eastAsia" w:ascii="宋体" w:hAnsi="宋体" w:cs="宋体"/>
                <w:color w:val="auto"/>
                <w:szCs w:val="21"/>
                <w:highlight w:val="none"/>
                <w:lang w:val="en-US" w:eastAsia="zh-CN"/>
              </w:rPr>
              <w:t>得分A</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商务得分B</w:t>
            </w:r>
            <w:r>
              <w:rPr>
                <w:rFonts w:hint="eastAsia" w:ascii="宋体" w:hAnsi="宋体" w:cs="宋体"/>
                <w:color w:val="auto"/>
                <w:szCs w:val="21"/>
                <w:highlight w:val="none"/>
              </w:rPr>
              <w:t>、报价得分</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进行汇总</w:t>
            </w:r>
            <w:r>
              <w:rPr>
                <w:rFonts w:hint="eastAsia" w:ascii="宋体" w:hAnsi="宋体"/>
                <w:color w:val="auto"/>
                <w:szCs w:val="21"/>
                <w:highlight w:val="none"/>
              </w:rPr>
              <w:t>，确定得分由高至低前三名投标人为中标候选人。</w:t>
            </w:r>
          </w:p>
          <w:p>
            <w:pPr>
              <w:spacing w:after="31" w:afterLines="10" w:line="400" w:lineRule="exact"/>
              <w:ind w:firstLine="420" w:firstLineChars="200"/>
              <w:jc w:val="left"/>
              <w:rPr>
                <w:rFonts w:hint="eastAsia" w:asciiTheme="minorEastAsia" w:hAnsiTheme="minorEastAsia" w:eastAsiaTheme="minorEastAsia" w:cstheme="minorEastAsia"/>
                <w:i w:val="0"/>
                <w:iCs w:val="0"/>
                <w:color w:val="auto"/>
                <w:kern w:val="0"/>
                <w:szCs w:val="21"/>
                <w:highlight w:val="none"/>
                <w:lang w:val="en-US" w:eastAsia="zh-CN"/>
              </w:rPr>
            </w:pPr>
            <w:r>
              <w:rPr>
                <w:rFonts w:hint="eastAsia" w:ascii="宋体" w:hAnsi="宋体"/>
                <w:color w:val="auto"/>
                <w:szCs w:val="21"/>
                <w:highlight w:val="none"/>
                <w:lang w:val="en-US" w:eastAsia="zh-CN"/>
              </w:rPr>
              <w:t>注：1</w:t>
            </w:r>
            <w:r>
              <w:rPr>
                <w:rFonts w:hint="eastAsia" w:ascii="宋体" w:hAnsi="宋体"/>
                <w:color w:val="auto"/>
                <w:szCs w:val="21"/>
                <w:highlight w:val="none"/>
              </w:rPr>
              <w:t>.因评标委员会作否决投标处理导致有效投标人不足三个的，评标委员会应当</w:t>
            </w:r>
            <w:r>
              <w:rPr>
                <w:rFonts w:hint="eastAsia" w:ascii="宋体" w:hAnsi="宋体"/>
                <w:color w:val="auto"/>
                <w:spacing w:val="4"/>
                <w:kern w:val="0"/>
                <w:szCs w:val="21"/>
                <w:highlight w:val="none"/>
                <w:lang w:eastAsia="zh-CN"/>
              </w:rPr>
              <w:t>对有效投标人是否仍具有竞争性进行论证</w:t>
            </w:r>
            <w:r>
              <w:rPr>
                <w:rFonts w:hint="eastAsia" w:ascii="宋体" w:hAnsi="宋体"/>
                <w:color w:val="auto"/>
                <w:spacing w:val="4"/>
                <w:kern w:val="0"/>
                <w:szCs w:val="21"/>
                <w:highlight w:val="none"/>
              </w:rPr>
              <w:t>。评标委员会</w:t>
            </w:r>
            <w:r>
              <w:rPr>
                <w:rFonts w:hint="eastAsia" w:ascii="宋体" w:hAnsi="宋体"/>
                <w:color w:val="auto"/>
                <w:spacing w:val="4"/>
                <w:kern w:val="0"/>
                <w:szCs w:val="21"/>
                <w:highlight w:val="none"/>
                <w:lang w:eastAsia="zh-CN"/>
              </w:rPr>
              <w:t>认为</w:t>
            </w:r>
            <w:r>
              <w:rPr>
                <w:rFonts w:hint="eastAsia" w:ascii="宋体" w:hAnsi="宋体"/>
                <w:color w:val="auto"/>
                <w:szCs w:val="21"/>
                <w:highlight w:val="none"/>
              </w:rPr>
              <w:t>有效投标人的经济、技术等指标仍然具有市场竞争力，能够满足招标文件要求的，评标委员会可以继续评标并确定中标候选人。</w:t>
            </w:r>
            <w:r>
              <w:rPr>
                <w:rFonts w:hint="eastAsia" w:asciiTheme="minorEastAsia" w:hAnsiTheme="minorEastAsia" w:eastAsiaTheme="minorEastAsia" w:cstheme="minorEastAsia"/>
                <w:i w:val="0"/>
                <w:iCs w:val="0"/>
                <w:color w:val="auto"/>
                <w:kern w:val="0"/>
                <w:szCs w:val="21"/>
                <w:highlight w:val="none"/>
                <w:lang w:val="en-US" w:eastAsia="zh-CN"/>
              </w:rPr>
              <w:t>（</w:t>
            </w:r>
            <w:r>
              <w:rPr>
                <w:rFonts w:hint="eastAsia" w:ascii="宋体" w:hAnsi="宋体" w:eastAsia="宋体" w:cs="宋体"/>
                <w:i w:val="0"/>
                <w:iCs w:val="0"/>
                <w:color w:val="auto"/>
                <w:kern w:val="0"/>
                <w:szCs w:val="21"/>
                <w:highlight w:val="none"/>
                <w:lang w:val="en-US" w:eastAsia="zh-CN"/>
              </w:rPr>
              <w:t>注：本款只适用于首次招标。</w:t>
            </w:r>
            <w:r>
              <w:rPr>
                <w:rFonts w:hint="eastAsia" w:ascii="宋体" w:hAnsi="宋体" w:cs="宋体"/>
                <w:i w:val="0"/>
                <w:iCs w:val="0"/>
                <w:color w:val="auto"/>
                <w:kern w:val="0"/>
                <w:szCs w:val="21"/>
                <w:highlight w:val="none"/>
                <w:lang w:val="en-US" w:eastAsia="zh-CN"/>
              </w:rPr>
              <w:t>重新招标经评审有有效投标人的，应当依法确定中标候选人。</w:t>
            </w:r>
            <w:r>
              <w:rPr>
                <w:rFonts w:hint="eastAsia" w:asciiTheme="minorEastAsia" w:hAnsiTheme="minorEastAsia" w:eastAsiaTheme="minorEastAsia" w:cstheme="minorEastAsia"/>
                <w:i w:val="0"/>
                <w:iCs w:val="0"/>
                <w:color w:val="auto"/>
                <w:kern w:val="0"/>
                <w:szCs w:val="21"/>
                <w:highlight w:val="none"/>
                <w:lang w:val="en-US" w:eastAsia="zh-CN"/>
              </w:rPr>
              <w:t>）</w:t>
            </w:r>
          </w:p>
          <w:p>
            <w:pPr>
              <w:spacing w:after="31" w:afterLines="10" w:line="400" w:lineRule="exact"/>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lang w:val="en-US" w:eastAsia="zh-CN"/>
              </w:rPr>
              <w:t>2.综合评分</w:t>
            </w:r>
            <w:r>
              <w:rPr>
                <w:rFonts w:hint="eastAsia" w:ascii="宋体" w:hAnsi="宋体"/>
                <w:color w:val="auto"/>
                <w:kern w:val="0"/>
                <w:szCs w:val="21"/>
                <w:highlight w:val="none"/>
              </w:rPr>
              <w:t>相</w:t>
            </w:r>
            <w:r>
              <w:rPr>
                <w:rFonts w:hint="eastAsia" w:ascii="宋体" w:hAnsi="宋体"/>
                <w:color w:val="auto"/>
                <w:kern w:val="0"/>
                <w:szCs w:val="21"/>
                <w:highlight w:val="none"/>
                <w:lang w:eastAsia="zh-CN"/>
              </w:rPr>
              <w:t>等</w:t>
            </w:r>
            <w:r>
              <w:rPr>
                <w:rFonts w:hint="eastAsia" w:ascii="宋体" w:hAnsi="宋体"/>
                <w:color w:val="auto"/>
                <w:kern w:val="0"/>
                <w:szCs w:val="21"/>
                <w:highlight w:val="none"/>
              </w:rPr>
              <w:t>的，以投标报价低的优先；投标报价相</w:t>
            </w:r>
            <w:r>
              <w:rPr>
                <w:rFonts w:hint="eastAsia" w:ascii="宋体" w:hAnsi="宋体"/>
                <w:color w:val="auto"/>
                <w:kern w:val="0"/>
                <w:szCs w:val="21"/>
                <w:highlight w:val="none"/>
                <w:lang w:eastAsia="zh-CN"/>
              </w:rPr>
              <w:t>等</w:t>
            </w:r>
            <w:r>
              <w:rPr>
                <w:rFonts w:hint="eastAsia" w:ascii="宋体" w:hAnsi="宋体"/>
                <w:color w:val="auto"/>
                <w:kern w:val="0"/>
                <w:szCs w:val="21"/>
                <w:highlight w:val="none"/>
              </w:rPr>
              <w:t>的，由评标委员</w:t>
            </w:r>
            <w:r>
              <w:rPr>
                <w:rFonts w:hint="eastAsia" w:ascii="宋体" w:hAnsi="宋体"/>
                <w:color w:val="auto"/>
                <w:kern w:val="0"/>
                <w:szCs w:val="21"/>
                <w:highlight w:val="none"/>
                <w:lang w:val="en-US" w:eastAsia="zh-CN"/>
              </w:rPr>
              <w:t>会</w:t>
            </w:r>
            <w:r>
              <w:rPr>
                <w:rFonts w:hint="eastAsia" w:ascii="宋体" w:hAnsi="宋体"/>
                <w:color w:val="auto"/>
                <w:kern w:val="0"/>
                <w:szCs w:val="21"/>
                <w:highlight w:val="none"/>
                <w:lang w:eastAsia="zh-CN"/>
              </w:rPr>
              <w:t>投票</w:t>
            </w:r>
            <w:r>
              <w:rPr>
                <w:rFonts w:hint="eastAsia" w:ascii="宋体" w:hAnsi="宋体"/>
                <w:color w:val="auto"/>
                <w:kern w:val="0"/>
                <w:szCs w:val="21"/>
                <w:highlight w:val="none"/>
              </w:rPr>
              <w:t>排序。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40" w:type="dxa"/>
            <w:vMerge w:val="restart"/>
            <w:vAlign w:val="center"/>
          </w:tcPr>
          <w:p>
            <w:pPr>
              <w:spacing w:line="400" w:lineRule="exact"/>
              <w:jc w:val="center"/>
              <w:rPr>
                <w:rFonts w:hint="eastAsia" w:ascii="宋体" w:hAnsi="宋体"/>
                <w:color w:val="auto"/>
                <w:highlight w:val="none"/>
              </w:rPr>
            </w:pPr>
            <w:r>
              <w:rPr>
                <w:rFonts w:ascii="宋体" w:hAnsi="宋体"/>
                <w:color w:val="auto"/>
                <w:highlight w:val="none"/>
              </w:rPr>
              <w:t>3.2.1</w:t>
            </w:r>
          </w:p>
          <w:p>
            <w:pPr>
              <w:spacing w:line="400" w:lineRule="exact"/>
              <w:jc w:val="center"/>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w:t>
            </w:r>
          </w:p>
        </w:tc>
        <w:tc>
          <w:tcPr>
            <w:tcW w:w="1150" w:type="dxa"/>
            <w:gridSpan w:val="2"/>
            <w:vMerge w:val="restart"/>
            <w:vAlign w:val="center"/>
          </w:tcPr>
          <w:p>
            <w:pPr>
              <w:spacing w:line="400" w:lineRule="exact"/>
              <w:jc w:val="center"/>
              <w:rPr>
                <w:rFonts w:hint="eastAsia" w:ascii="宋体" w:hAnsi="宋体"/>
                <w:color w:val="auto"/>
                <w:highlight w:val="none"/>
              </w:rPr>
            </w:pPr>
            <w:r>
              <w:rPr>
                <w:rFonts w:hint="eastAsia" w:ascii="宋体" w:hAnsi="宋体"/>
                <w:color w:val="auto"/>
                <w:kern w:val="0"/>
                <w:highlight w:val="none"/>
              </w:rPr>
              <w:t>技术部分</w:t>
            </w:r>
            <w:r>
              <w:rPr>
                <w:rFonts w:ascii="宋体" w:hAnsi="宋体"/>
                <w:color w:val="auto"/>
                <w:kern w:val="0"/>
                <w:highlight w:val="none"/>
              </w:rPr>
              <w:t>得分（</w:t>
            </w:r>
            <w:r>
              <w:rPr>
                <w:rFonts w:hint="eastAsia" w:ascii="宋体" w:hAnsi="宋体"/>
                <w:color w:val="auto"/>
                <w:kern w:val="0"/>
                <w:highlight w:val="none"/>
              </w:rPr>
              <w:t>A）</w:t>
            </w:r>
          </w:p>
        </w:tc>
        <w:tc>
          <w:tcPr>
            <w:tcW w:w="1969" w:type="dxa"/>
            <w:tcBorders>
              <w:bottom w:val="single" w:color="auto" w:sz="4" w:space="0"/>
            </w:tcBorders>
            <w:vAlign w:val="center"/>
          </w:tcPr>
          <w:p>
            <w:pPr>
              <w:spacing w:line="400" w:lineRule="exact"/>
              <w:jc w:val="left"/>
              <w:rPr>
                <w:rFonts w:hint="eastAsia" w:ascii="宋体" w:hAnsi="宋体"/>
                <w:color w:val="auto"/>
                <w:highlight w:val="none"/>
              </w:rPr>
            </w:pPr>
            <w:r>
              <w:rPr>
                <w:rFonts w:hint="eastAsia" w:ascii="宋体" w:hAnsi="宋体" w:cs="宋体"/>
                <w:color w:val="auto"/>
                <w:kern w:val="0"/>
                <w:highlight w:val="none"/>
              </w:rPr>
              <w:t>技术方案部分形式要求</w:t>
            </w:r>
          </w:p>
        </w:tc>
        <w:tc>
          <w:tcPr>
            <w:tcW w:w="5511" w:type="dxa"/>
            <w:tcBorders>
              <w:bottom w:val="single" w:color="auto" w:sz="4" w:space="0"/>
            </w:tcBorders>
            <w:vAlign w:val="center"/>
          </w:tcPr>
          <w:p>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highlight w:val="none"/>
              </w:rPr>
              <w:t>不符合</w:t>
            </w:r>
            <w:r>
              <w:rPr>
                <w:rFonts w:hint="eastAsia" w:ascii="宋体" w:hAnsi="宋体" w:cs="宋体"/>
                <w:color w:val="auto"/>
                <w:kern w:val="0"/>
                <w:highlight w:val="none"/>
              </w:rPr>
              <w:t>第二章投标人须知前附表第3.7.5项（</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）技术部分要求的</w:t>
            </w:r>
            <w:r>
              <w:rPr>
                <w:rFonts w:hint="eastAsia" w:ascii="宋体" w:hAnsi="宋体"/>
                <w:color w:val="auto"/>
                <w:kern w:val="0"/>
                <w:highlight w:val="none"/>
              </w:rPr>
              <w:t>，技术方案得0分</w:t>
            </w:r>
            <w:r>
              <w:rPr>
                <w:rFonts w:hint="eastAsia"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40" w:type="dxa"/>
            <w:vMerge w:val="continue"/>
            <w:vAlign w:val="center"/>
          </w:tcPr>
          <w:p>
            <w:pPr>
              <w:spacing w:line="400" w:lineRule="exact"/>
              <w:jc w:val="center"/>
              <w:rPr>
                <w:rFonts w:hint="eastAsia" w:ascii="宋体" w:hAnsi="宋体"/>
                <w:color w:val="auto"/>
                <w:highlight w:val="none"/>
              </w:rPr>
            </w:pPr>
          </w:p>
        </w:tc>
        <w:tc>
          <w:tcPr>
            <w:tcW w:w="1150" w:type="dxa"/>
            <w:gridSpan w:val="2"/>
            <w:vMerge w:val="continue"/>
            <w:vAlign w:val="center"/>
          </w:tcPr>
          <w:p>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color w:val="auto"/>
                <w:kern w:val="0"/>
                <w:highlight w:val="none"/>
              </w:rPr>
            </w:pPr>
            <w:r>
              <w:rPr>
                <w:rFonts w:ascii="宋体" w:hAnsi="宋体"/>
                <w:color w:val="auto"/>
                <w:kern w:val="0"/>
                <w:highlight w:val="none"/>
              </w:rPr>
              <w:t>内容完整性和编制水平</w:t>
            </w:r>
          </w:p>
        </w:tc>
        <w:tc>
          <w:tcPr>
            <w:tcW w:w="5511" w:type="dxa"/>
            <w:vMerge w:val="restart"/>
            <w:tcBorders>
              <w:top w:val="single" w:color="auto" w:sz="4" w:space="0"/>
            </w:tcBorders>
            <w:vAlign w:val="center"/>
          </w:tcPr>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评标委员会按第2.2.</w:t>
            </w:r>
            <w:r>
              <w:rPr>
                <w:rFonts w:hint="eastAsia" w:ascii="宋体" w:hAnsi="宋体"/>
                <w:color w:val="auto"/>
                <w:szCs w:val="21"/>
                <w:highlight w:val="none"/>
              </w:rPr>
              <w:t>2（1）目</w:t>
            </w:r>
            <w:r>
              <w:rPr>
                <w:rFonts w:ascii="宋体" w:hAnsi="宋体"/>
                <w:color w:val="auto"/>
                <w:szCs w:val="21"/>
                <w:highlight w:val="none"/>
              </w:rPr>
              <w:t>各评审因素设定的分值评分。</w:t>
            </w:r>
          </w:p>
          <w:p>
            <w:pPr>
              <w:spacing w:line="400" w:lineRule="exact"/>
              <w:ind w:firstLine="420" w:firstLineChars="200"/>
              <w:rPr>
                <w:rFonts w:hint="eastAsia" w:asciiTheme="minorEastAsia" w:hAnsiTheme="minorEastAsia" w:eastAsiaTheme="minorEastAsia" w:cstheme="minorEastAsia"/>
                <w:snapToGrid w:val="0"/>
                <w:color w:val="auto"/>
                <w:kern w:val="0"/>
                <w:szCs w:val="21"/>
                <w:highlight w:val="none"/>
                <w:lang w:eastAsia="zh-CN"/>
              </w:rPr>
            </w:pPr>
            <w:r>
              <w:rPr>
                <w:rFonts w:hint="eastAsia" w:asciiTheme="minorEastAsia" w:hAnsiTheme="minorEastAsia" w:eastAsiaTheme="minorEastAsia" w:cstheme="minorEastAsia"/>
                <w:snapToGrid w:val="0"/>
                <w:color w:val="auto"/>
                <w:kern w:val="0"/>
                <w:szCs w:val="21"/>
                <w:highlight w:val="none"/>
              </w:rPr>
              <w:t>评标委员会按照优、良、一般、差四个档次进行评分</w:t>
            </w:r>
            <w:r>
              <w:rPr>
                <w:rFonts w:hint="eastAsia" w:asciiTheme="minorEastAsia" w:hAnsiTheme="minorEastAsia" w:eastAsiaTheme="minorEastAsia" w:cstheme="minorEastAsia"/>
                <w:snapToGrid w:val="0"/>
                <w:color w:val="auto"/>
                <w:kern w:val="0"/>
                <w:szCs w:val="21"/>
                <w:highlight w:val="none"/>
                <w:lang w:eastAsia="zh-CN"/>
              </w:rPr>
              <w:t>。</w:t>
            </w:r>
            <w:r>
              <w:rPr>
                <w:rFonts w:hint="eastAsia" w:asciiTheme="minorEastAsia" w:hAnsiTheme="minorEastAsia" w:eastAsiaTheme="minorEastAsia" w:cstheme="minorEastAsia"/>
                <w:snapToGrid w:val="0"/>
                <w:color w:val="auto"/>
                <w:kern w:val="0"/>
                <w:szCs w:val="21"/>
                <w:highlight w:val="none"/>
                <w:lang w:val="en-US" w:eastAsia="zh-CN"/>
              </w:rPr>
              <w:t>若评标专家</w:t>
            </w:r>
            <w:r>
              <w:rPr>
                <w:rFonts w:hint="eastAsia" w:asciiTheme="minorEastAsia" w:hAnsiTheme="minorEastAsia" w:eastAsiaTheme="minorEastAsia" w:cstheme="minorEastAsia"/>
                <w:snapToGrid w:val="0"/>
                <w:color w:val="auto"/>
                <w:kern w:val="0"/>
                <w:szCs w:val="21"/>
                <w:highlight w:val="none"/>
              </w:rPr>
              <w:t>对投标人</w:t>
            </w:r>
            <w:r>
              <w:rPr>
                <w:rFonts w:hint="eastAsia" w:asciiTheme="minorEastAsia" w:hAnsiTheme="minorEastAsia" w:eastAsiaTheme="minorEastAsia" w:cstheme="minorEastAsia"/>
                <w:snapToGrid w:val="0"/>
                <w:color w:val="auto"/>
                <w:kern w:val="0"/>
                <w:szCs w:val="21"/>
                <w:highlight w:val="none"/>
                <w:lang w:val="en-US" w:eastAsia="zh-CN"/>
              </w:rPr>
              <w:t>技术方案部分单项评分低于该项指标总分值60%的，</w:t>
            </w:r>
            <w:r>
              <w:rPr>
                <w:rFonts w:hint="eastAsia" w:asciiTheme="minorEastAsia" w:hAnsiTheme="minorEastAsia" w:eastAsiaTheme="minorEastAsia" w:cstheme="minorEastAsia"/>
                <w:snapToGrid w:val="0"/>
                <w:color w:val="auto"/>
                <w:kern w:val="0"/>
                <w:szCs w:val="21"/>
                <w:highlight w:val="none"/>
              </w:rPr>
              <w:t>须</w:t>
            </w:r>
            <w:r>
              <w:rPr>
                <w:rFonts w:hint="eastAsia" w:asciiTheme="minorEastAsia" w:hAnsiTheme="minorEastAsia" w:eastAsiaTheme="minorEastAsia" w:cstheme="minorEastAsia"/>
                <w:snapToGrid w:val="0"/>
                <w:color w:val="auto"/>
                <w:kern w:val="0"/>
                <w:szCs w:val="21"/>
                <w:highlight w:val="none"/>
                <w:lang w:val="en-US" w:eastAsia="zh-CN"/>
              </w:rPr>
              <w:t>对其评分合理性进行说明。评标专家不提供合理性说明或者超过半数的评标专家认为其说明不具备合理性的，应当以其他评标专家评分的算术平均值代替其评分，相关情况应当记入评标报告。</w:t>
            </w:r>
            <w:r>
              <w:rPr>
                <w:rFonts w:hint="eastAsia" w:asciiTheme="minorEastAsia" w:hAnsiTheme="minorEastAsia" w:eastAsiaTheme="minorEastAsia" w:cstheme="minorEastAsia"/>
                <w:snapToGrid w:val="0"/>
                <w:color w:val="auto"/>
                <w:kern w:val="0"/>
                <w:szCs w:val="21"/>
                <w:highlight w:val="none"/>
              </w:rPr>
              <w:t>技术</w:t>
            </w:r>
            <w:r>
              <w:rPr>
                <w:rFonts w:hint="eastAsia" w:asciiTheme="minorEastAsia" w:hAnsiTheme="minorEastAsia" w:eastAsiaTheme="minorEastAsia" w:cstheme="minorEastAsia"/>
                <w:snapToGrid w:val="0"/>
                <w:color w:val="auto"/>
                <w:kern w:val="0"/>
                <w:szCs w:val="21"/>
                <w:highlight w:val="none"/>
                <w:lang w:val="en-US" w:eastAsia="zh-CN"/>
              </w:rPr>
              <w:t>方案</w:t>
            </w:r>
            <w:r>
              <w:rPr>
                <w:rFonts w:hint="eastAsia" w:asciiTheme="minorEastAsia" w:hAnsiTheme="minorEastAsia" w:eastAsiaTheme="minorEastAsia" w:cstheme="minorEastAsia"/>
                <w:snapToGrid w:val="0"/>
                <w:color w:val="auto"/>
                <w:kern w:val="0"/>
                <w:szCs w:val="21"/>
                <w:highlight w:val="none"/>
              </w:rPr>
              <w:t>部分缺项的该项得0分</w:t>
            </w:r>
            <w:r>
              <w:rPr>
                <w:rFonts w:hint="eastAsia" w:asciiTheme="minorEastAsia" w:hAnsiTheme="minorEastAsia" w:eastAsiaTheme="minorEastAsia" w:cstheme="minorEastAsia"/>
                <w:snapToGrid w:val="0"/>
                <w:color w:val="auto"/>
                <w:kern w:val="0"/>
                <w:szCs w:val="21"/>
                <w:highlight w:val="none"/>
                <w:lang w:eastAsia="zh-CN"/>
              </w:rPr>
              <w:t>。</w:t>
            </w:r>
          </w:p>
          <w:p>
            <w:pPr>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技术方案得分的最终结果取小数点后两位，第三位四舍五入。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0" w:type="dxa"/>
            <w:vMerge w:val="continue"/>
            <w:vAlign w:val="center"/>
          </w:tcPr>
          <w:p>
            <w:pPr>
              <w:spacing w:line="400" w:lineRule="exact"/>
              <w:jc w:val="center"/>
              <w:rPr>
                <w:rFonts w:hint="eastAsia" w:ascii="宋体" w:hAnsi="宋体"/>
                <w:color w:val="auto"/>
                <w:highlight w:val="none"/>
              </w:rPr>
            </w:pPr>
          </w:p>
        </w:tc>
        <w:tc>
          <w:tcPr>
            <w:tcW w:w="1150" w:type="dxa"/>
            <w:gridSpan w:val="2"/>
            <w:vMerge w:val="continue"/>
            <w:vAlign w:val="center"/>
          </w:tcPr>
          <w:p>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color w:val="auto"/>
                <w:highlight w:val="none"/>
              </w:rPr>
            </w:pPr>
            <w:r>
              <w:rPr>
                <w:rFonts w:ascii="宋体" w:hAnsi="宋体"/>
                <w:color w:val="auto"/>
                <w:kern w:val="0"/>
                <w:highlight w:val="none"/>
              </w:rPr>
              <w:t>施工方案与技术措施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40" w:type="dxa"/>
            <w:vMerge w:val="continue"/>
            <w:vAlign w:val="center"/>
          </w:tcPr>
          <w:p>
            <w:pPr>
              <w:spacing w:line="400" w:lineRule="exact"/>
              <w:jc w:val="center"/>
              <w:rPr>
                <w:rFonts w:hint="eastAsia" w:ascii="宋体" w:hAnsi="宋体"/>
                <w:color w:val="auto"/>
                <w:highlight w:val="none"/>
              </w:rPr>
            </w:pPr>
          </w:p>
        </w:tc>
        <w:tc>
          <w:tcPr>
            <w:tcW w:w="1150" w:type="dxa"/>
            <w:gridSpan w:val="2"/>
            <w:vMerge w:val="continue"/>
            <w:vAlign w:val="center"/>
          </w:tcPr>
          <w:p>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color w:val="auto"/>
                <w:highlight w:val="none"/>
              </w:rPr>
            </w:pPr>
            <w:r>
              <w:rPr>
                <w:rFonts w:ascii="宋体" w:hAnsi="宋体"/>
                <w:color w:val="auto"/>
                <w:kern w:val="0"/>
                <w:highlight w:val="none"/>
              </w:rPr>
              <w:t>质量管理体系与措施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40" w:type="dxa"/>
            <w:vMerge w:val="continue"/>
            <w:vAlign w:val="center"/>
          </w:tcPr>
          <w:p>
            <w:pPr>
              <w:spacing w:line="400" w:lineRule="exact"/>
              <w:jc w:val="center"/>
              <w:rPr>
                <w:rFonts w:hint="eastAsia" w:ascii="宋体" w:hAnsi="宋体"/>
                <w:color w:val="auto"/>
                <w:highlight w:val="none"/>
              </w:rPr>
            </w:pPr>
          </w:p>
        </w:tc>
        <w:tc>
          <w:tcPr>
            <w:tcW w:w="1150" w:type="dxa"/>
            <w:gridSpan w:val="2"/>
            <w:vMerge w:val="continue"/>
            <w:vAlign w:val="center"/>
          </w:tcPr>
          <w:p>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color w:val="auto"/>
                <w:highlight w:val="none"/>
              </w:rPr>
            </w:pPr>
            <w:r>
              <w:rPr>
                <w:rFonts w:ascii="宋体" w:hAnsi="宋体"/>
                <w:color w:val="auto"/>
                <w:kern w:val="0"/>
                <w:highlight w:val="none"/>
              </w:rPr>
              <w:t>安全管理体系与措施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40" w:type="dxa"/>
            <w:vMerge w:val="continue"/>
            <w:vAlign w:val="center"/>
          </w:tcPr>
          <w:p>
            <w:pPr>
              <w:spacing w:line="400" w:lineRule="exact"/>
              <w:jc w:val="center"/>
              <w:rPr>
                <w:rFonts w:hint="eastAsia" w:ascii="宋体" w:hAnsi="宋体"/>
                <w:color w:val="auto"/>
                <w:highlight w:val="none"/>
              </w:rPr>
            </w:pPr>
          </w:p>
        </w:tc>
        <w:tc>
          <w:tcPr>
            <w:tcW w:w="1150" w:type="dxa"/>
            <w:gridSpan w:val="2"/>
            <w:vMerge w:val="continue"/>
            <w:vAlign w:val="center"/>
          </w:tcPr>
          <w:p>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color w:val="auto"/>
                <w:highlight w:val="none"/>
              </w:rPr>
            </w:pPr>
            <w:r>
              <w:rPr>
                <w:rFonts w:ascii="宋体" w:hAnsi="宋体"/>
                <w:color w:val="auto"/>
                <w:kern w:val="0"/>
                <w:highlight w:val="none"/>
              </w:rPr>
              <w:t>环境保护管理体系措施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40" w:type="dxa"/>
            <w:vMerge w:val="continue"/>
            <w:vAlign w:val="center"/>
          </w:tcPr>
          <w:p>
            <w:pPr>
              <w:spacing w:line="400" w:lineRule="exact"/>
              <w:jc w:val="center"/>
              <w:rPr>
                <w:rFonts w:hint="eastAsia" w:ascii="宋体" w:hAnsi="宋体"/>
                <w:color w:val="auto"/>
                <w:highlight w:val="none"/>
              </w:rPr>
            </w:pPr>
          </w:p>
        </w:tc>
        <w:tc>
          <w:tcPr>
            <w:tcW w:w="1150" w:type="dxa"/>
            <w:gridSpan w:val="2"/>
            <w:vMerge w:val="continue"/>
            <w:vAlign w:val="center"/>
          </w:tcPr>
          <w:p>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color w:val="auto"/>
                <w:highlight w:val="none"/>
              </w:rPr>
            </w:pPr>
            <w:r>
              <w:rPr>
                <w:rFonts w:ascii="宋体" w:hAnsi="宋体"/>
                <w:color w:val="auto"/>
                <w:kern w:val="0"/>
                <w:highlight w:val="none"/>
              </w:rPr>
              <w:t>工程进度计划与措施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40" w:type="dxa"/>
            <w:vMerge w:val="continue"/>
            <w:vAlign w:val="center"/>
          </w:tcPr>
          <w:p>
            <w:pPr>
              <w:spacing w:line="400" w:lineRule="exact"/>
              <w:jc w:val="center"/>
              <w:rPr>
                <w:rFonts w:hint="eastAsia" w:ascii="宋体" w:hAnsi="宋体"/>
                <w:color w:val="auto"/>
                <w:highlight w:val="none"/>
              </w:rPr>
            </w:pPr>
          </w:p>
        </w:tc>
        <w:tc>
          <w:tcPr>
            <w:tcW w:w="1150" w:type="dxa"/>
            <w:gridSpan w:val="2"/>
            <w:vMerge w:val="continue"/>
            <w:vAlign w:val="center"/>
          </w:tcPr>
          <w:p>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color w:val="auto"/>
                <w:highlight w:val="none"/>
              </w:rPr>
            </w:pPr>
            <w:r>
              <w:rPr>
                <w:rFonts w:ascii="宋体" w:hAnsi="宋体"/>
                <w:color w:val="auto"/>
                <w:kern w:val="0"/>
                <w:highlight w:val="none"/>
              </w:rPr>
              <w:t>资源配备计划与先进性</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40" w:type="dxa"/>
            <w:vMerge w:val="continue"/>
            <w:vAlign w:val="center"/>
          </w:tcPr>
          <w:p>
            <w:pPr>
              <w:spacing w:line="400" w:lineRule="exact"/>
              <w:jc w:val="center"/>
              <w:rPr>
                <w:rFonts w:hint="eastAsia" w:ascii="宋体" w:hAnsi="宋体"/>
                <w:color w:val="auto"/>
                <w:highlight w:val="none"/>
              </w:rPr>
            </w:pPr>
          </w:p>
        </w:tc>
        <w:tc>
          <w:tcPr>
            <w:tcW w:w="1150" w:type="dxa"/>
            <w:gridSpan w:val="2"/>
            <w:vMerge w:val="continue"/>
            <w:vAlign w:val="center"/>
          </w:tcPr>
          <w:p>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tcPr>
          <w:p>
            <w:pPr>
              <w:spacing w:line="400" w:lineRule="exact"/>
              <w:jc w:val="left"/>
              <w:rPr>
                <w:rFonts w:hint="eastAsia" w:ascii="宋体" w:hAnsi="宋体"/>
                <w:color w:val="auto"/>
                <w:highlight w:val="none"/>
              </w:rPr>
            </w:pPr>
            <w:r>
              <w:rPr>
                <w:rFonts w:hint="eastAsia" w:ascii="宋体" w:hAnsi="宋体" w:cs="宋体"/>
                <w:color w:val="auto"/>
                <w:kern w:val="0"/>
                <w:highlight w:val="none"/>
              </w:rPr>
              <w:t>危大工程清单安全管理措施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40" w:type="dxa"/>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3.2.1（2）</w:t>
            </w:r>
          </w:p>
        </w:tc>
        <w:tc>
          <w:tcPr>
            <w:tcW w:w="1150" w:type="dxa"/>
            <w:gridSpan w:val="2"/>
            <w:vAlign w:val="center"/>
          </w:tcPr>
          <w:p>
            <w:pPr>
              <w:spacing w:line="400" w:lineRule="exact"/>
              <w:rPr>
                <w:rFonts w:hint="eastAsia" w:ascii="宋体" w:hAnsi="宋体"/>
                <w:b/>
                <w:bCs/>
                <w:color w:val="auto"/>
                <w:kern w:val="0"/>
                <w:szCs w:val="21"/>
                <w:highlight w:val="none"/>
              </w:rPr>
            </w:pPr>
            <w:r>
              <w:rPr>
                <w:rFonts w:hint="eastAsia"/>
                <w:color w:val="auto"/>
                <w:highlight w:val="none"/>
              </w:rPr>
              <w:t>商务部分评分</w:t>
            </w:r>
            <w:r>
              <w:rPr>
                <w:rFonts w:hint="eastAsia" w:asciiTheme="minorEastAsia" w:hAnsiTheme="minorEastAsia" w:eastAsiaTheme="minorEastAsia" w:cstheme="minorEastAsia"/>
                <w:color w:val="auto"/>
                <w:highlight w:val="none"/>
              </w:rPr>
              <w:t>（B）</w:t>
            </w:r>
            <w:r>
              <w:rPr>
                <w:rFonts w:hint="eastAsia"/>
                <w:color w:val="auto"/>
                <w:highlight w:val="none"/>
              </w:rPr>
              <w:t>标准</w:t>
            </w:r>
          </w:p>
        </w:tc>
        <w:tc>
          <w:tcPr>
            <w:tcW w:w="1969" w:type="dxa"/>
            <w:tcBorders>
              <w:top w:val="single" w:color="auto" w:sz="4" w:space="0"/>
            </w:tcBorders>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评标标准详见</w:t>
            </w:r>
          </w:p>
          <w:p>
            <w:pPr>
              <w:spacing w:line="400" w:lineRule="exact"/>
              <w:jc w:val="center"/>
              <w:rPr>
                <w:rFonts w:hint="eastAsia" w:ascii="宋体" w:hAnsi="宋体"/>
                <w:color w:val="auto"/>
                <w:highlight w:val="none"/>
              </w:rPr>
            </w:pPr>
            <w:r>
              <w:rPr>
                <w:rFonts w:hint="eastAsia" w:ascii="宋体" w:hAnsi="宋体"/>
                <w:color w:val="auto"/>
                <w:highlight w:val="none"/>
              </w:rPr>
              <w:t>2.2.2（2）</w:t>
            </w:r>
          </w:p>
        </w:tc>
        <w:tc>
          <w:tcPr>
            <w:tcW w:w="5511" w:type="dxa"/>
            <w:vAlign w:val="center"/>
          </w:tcPr>
          <w:p>
            <w:pPr>
              <w:spacing w:line="400" w:lineRule="exact"/>
              <w:ind w:firstLine="420" w:firstLineChars="200"/>
              <w:rPr>
                <w:rFonts w:hint="eastAsia" w:ascii="宋体" w:hAnsi="宋体"/>
                <w:b/>
                <w:bCs/>
                <w:snapToGrid w:val="0"/>
                <w:color w:val="auto"/>
                <w:kern w:val="0"/>
                <w:szCs w:val="21"/>
                <w:highlight w:val="none"/>
                <w:u w:val="single"/>
              </w:rPr>
            </w:pPr>
            <w:r>
              <w:rPr>
                <w:rFonts w:hint="eastAsia" w:ascii="宋体" w:hAnsi="宋体"/>
                <w:color w:val="auto"/>
                <w:szCs w:val="21"/>
                <w:highlight w:val="none"/>
              </w:rPr>
              <w:t>商务</w:t>
            </w:r>
            <w:r>
              <w:rPr>
                <w:rFonts w:hint="eastAsia" w:ascii="宋体" w:hAnsi="宋体"/>
                <w:color w:val="auto"/>
                <w:szCs w:val="21"/>
                <w:highlight w:val="none"/>
                <w:lang w:val="en-US" w:eastAsia="zh-CN"/>
              </w:rPr>
              <w:t>评审</w:t>
            </w:r>
            <w:r>
              <w:rPr>
                <w:rFonts w:hint="eastAsia" w:ascii="宋体" w:hAnsi="宋体"/>
                <w:color w:val="auto"/>
                <w:szCs w:val="21"/>
                <w:highlight w:val="none"/>
              </w:rPr>
              <w:t>为客观评分，评标委员会按第</w:t>
            </w:r>
            <w:r>
              <w:rPr>
                <w:rFonts w:ascii="宋体" w:hAnsi="宋体"/>
                <w:color w:val="auto"/>
                <w:szCs w:val="21"/>
                <w:highlight w:val="none"/>
              </w:rPr>
              <w:t>2.2.</w:t>
            </w:r>
            <w:r>
              <w:rPr>
                <w:rFonts w:hint="eastAsia" w:ascii="宋体" w:hAnsi="宋体"/>
                <w:color w:val="auto"/>
                <w:szCs w:val="21"/>
                <w:highlight w:val="none"/>
              </w:rPr>
              <w:t>2（2）目各评审因素设定的分值统一进行评分。商务评分的最终结果取小数点后两位，</w:t>
            </w:r>
            <w:r>
              <w:rPr>
                <w:rFonts w:hint="eastAsia" w:ascii="宋体" w:hAnsi="宋体"/>
                <w:color w:val="auto"/>
                <w:szCs w:val="21"/>
                <w:highlight w:val="none"/>
                <w:lang w:val="en-US" w:eastAsia="zh-CN"/>
              </w:rPr>
              <w:t>小数点后</w:t>
            </w:r>
            <w:r>
              <w:rPr>
                <w:rFonts w:hint="eastAsia" w:ascii="宋体" w:hAnsi="宋体"/>
                <w:color w:val="auto"/>
                <w:szCs w:val="21"/>
                <w:highlight w:val="none"/>
              </w:rPr>
              <w:t>第三位四舍五入</w:t>
            </w:r>
            <w:r>
              <w:rPr>
                <w:rFonts w:hint="eastAsia" w:asciiTheme="minorEastAsia" w:hAnsiTheme="minorEastAsia" w:eastAsiaTheme="minorEastAsia" w:cstheme="minorEastAsia"/>
                <w:color w:val="auto"/>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40" w:type="dxa"/>
            <w:vAlign w:val="center"/>
          </w:tcPr>
          <w:p>
            <w:pPr>
              <w:spacing w:line="400" w:lineRule="exact"/>
              <w:jc w:val="center"/>
              <w:rPr>
                <w:rFonts w:hint="eastAsia" w:ascii="宋体" w:hAnsi="宋体"/>
                <w:color w:val="auto"/>
                <w:highlight w:val="none"/>
              </w:rPr>
            </w:pPr>
            <w:r>
              <w:rPr>
                <w:rFonts w:ascii="宋体" w:hAnsi="宋体"/>
                <w:color w:val="auto"/>
                <w:highlight w:val="none"/>
              </w:rPr>
              <w:t>3.2.1（</w:t>
            </w:r>
            <w:r>
              <w:rPr>
                <w:rFonts w:hint="eastAsia" w:ascii="宋体" w:hAnsi="宋体"/>
                <w:color w:val="auto"/>
                <w:highlight w:val="none"/>
              </w:rPr>
              <w:t>3</w:t>
            </w:r>
            <w:r>
              <w:rPr>
                <w:rFonts w:ascii="宋体" w:hAnsi="宋体"/>
                <w:color w:val="auto"/>
                <w:highlight w:val="none"/>
              </w:rPr>
              <w:t>）</w:t>
            </w:r>
          </w:p>
        </w:tc>
        <w:tc>
          <w:tcPr>
            <w:tcW w:w="1150" w:type="dxa"/>
            <w:gridSpan w:val="2"/>
            <w:vAlign w:val="center"/>
          </w:tcPr>
          <w:p>
            <w:pPr>
              <w:spacing w:line="400" w:lineRule="exact"/>
              <w:jc w:val="center"/>
              <w:rPr>
                <w:rFonts w:hint="eastAsia" w:ascii="宋体" w:hAnsi="宋体"/>
                <w:color w:val="auto"/>
                <w:highlight w:val="none"/>
              </w:rPr>
            </w:pPr>
            <w:r>
              <w:rPr>
                <w:rFonts w:ascii="宋体" w:hAnsi="宋体"/>
                <w:color w:val="auto"/>
                <w:highlight w:val="none"/>
              </w:rPr>
              <w:t>投标报价</w:t>
            </w:r>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rPr>
              <w:t>C</w:t>
            </w:r>
            <w:r>
              <w:rPr>
                <w:rFonts w:ascii="宋体" w:hAnsi="宋体"/>
                <w:color w:val="auto"/>
                <w:spacing w:val="-8"/>
                <w:highlight w:val="none"/>
              </w:rPr>
              <w:t>）</w:t>
            </w:r>
          </w:p>
        </w:tc>
        <w:tc>
          <w:tcPr>
            <w:tcW w:w="1969" w:type="dxa"/>
            <w:tcBorders>
              <w:top w:val="single" w:color="auto" w:sz="4" w:space="0"/>
            </w:tcBorders>
            <w:vAlign w:val="center"/>
          </w:tcPr>
          <w:p>
            <w:pPr>
              <w:spacing w:line="400" w:lineRule="exact"/>
              <w:jc w:val="center"/>
              <w:rPr>
                <w:rFonts w:hint="eastAsia" w:ascii="宋体" w:hAnsi="宋体"/>
                <w:color w:val="auto"/>
                <w:highlight w:val="none"/>
              </w:rPr>
            </w:pPr>
            <w:r>
              <w:rPr>
                <w:rFonts w:ascii="宋体" w:hAnsi="宋体"/>
                <w:color w:val="auto"/>
                <w:highlight w:val="none"/>
              </w:rPr>
              <w:t>投标总报价</w:t>
            </w:r>
          </w:p>
        </w:tc>
        <w:tc>
          <w:tcPr>
            <w:tcW w:w="5511" w:type="dxa"/>
            <w:vAlign w:val="center"/>
          </w:tcPr>
          <w:p>
            <w:pPr>
              <w:spacing w:line="400" w:lineRule="exact"/>
              <w:ind w:firstLine="422" w:firstLineChars="200"/>
              <w:rPr>
                <w:rFonts w:hint="eastAsia" w:ascii="宋体" w:hAnsi="宋体"/>
                <w:b/>
                <w:bCs/>
                <w:snapToGrid w:val="0"/>
                <w:color w:val="auto"/>
                <w:kern w:val="0"/>
                <w:szCs w:val="21"/>
                <w:highlight w:val="none"/>
                <w:u w:val="single"/>
              </w:rPr>
            </w:pPr>
            <w:r>
              <w:rPr>
                <w:rFonts w:hint="eastAsia" w:ascii="宋体" w:hAnsi="宋体"/>
                <w:b/>
                <w:bCs/>
                <w:snapToGrid w:val="0"/>
                <w:color w:val="auto"/>
                <w:kern w:val="0"/>
                <w:szCs w:val="21"/>
                <w:highlight w:val="none"/>
                <w:u w:val="single"/>
              </w:rPr>
              <w:t>进入报价评审的投标人的投标总报价，得本附表第2.2.1项规定分值的满分</w:t>
            </w:r>
            <w:r>
              <w:rPr>
                <w:rFonts w:hint="eastAsia" w:ascii="宋体" w:hAnsi="宋体"/>
                <w:b/>
                <w:bCs/>
                <w:snapToGrid w:val="0"/>
                <w:color w:val="auto"/>
                <w:kern w:val="0"/>
                <w:szCs w:val="21"/>
                <w:highlight w:val="none"/>
                <w:u w:val="single"/>
                <w:lang w:val="en-US" w:eastAsia="zh-CN"/>
              </w:rPr>
              <w:t>5</w:t>
            </w:r>
            <w:r>
              <w:rPr>
                <w:rFonts w:hint="eastAsia" w:ascii="宋体" w:hAnsi="宋体"/>
                <w:b/>
                <w:bCs/>
                <w:snapToGrid w:val="0"/>
                <w:color w:val="auto"/>
                <w:kern w:val="0"/>
                <w:szCs w:val="21"/>
                <w:highlight w:val="none"/>
                <w:u w:val="single"/>
              </w:rPr>
              <w:t>0分。在此基础上，投标总报价与评标基准价相比，每增加1%扣0.2分，每减少1%扣0.1分，扣完为止。</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按插入法计算得分。</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在偏差范围内，未参与评标基准价计算的投标报价，仍应参加计算相应分值。</w:t>
            </w:r>
          </w:p>
          <w:p>
            <w:pPr>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投标总报价得分最终结果</w:t>
            </w:r>
            <w:r>
              <w:rPr>
                <w:rFonts w:ascii="宋体" w:hAnsi="宋体"/>
                <w:color w:val="auto"/>
                <w:kern w:val="0"/>
                <w:szCs w:val="21"/>
                <w:highlight w:val="none"/>
              </w:rPr>
              <w:t>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color w:val="auto"/>
                <w:kern w:val="0"/>
                <w:szCs w:val="21"/>
                <w:highlight w:val="none"/>
              </w:rPr>
              <w:t>第三位四舍五入</w:t>
            </w:r>
            <w:r>
              <w:rPr>
                <w:rFonts w:hint="eastAsia" w:ascii="宋体" w:hAnsi="宋体"/>
                <w:b/>
                <w:bCs/>
                <w:snapToGrid w:val="0"/>
                <w:color w:val="auto"/>
                <w:kern w:val="0"/>
                <w:szCs w:val="21"/>
                <w:highlight w:val="none"/>
                <w:u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vAlign w:val="center"/>
          </w:tcPr>
          <w:p>
            <w:pPr>
              <w:spacing w:line="400" w:lineRule="exact"/>
              <w:ind w:firstLine="18" w:firstLineChars="9"/>
              <w:jc w:val="center"/>
              <w:rPr>
                <w:rFonts w:hint="eastAsia" w:ascii="宋体" w:hAnsi="宋体"/>
                <w:color w:val="auto"/>
                <w:szCs w:val="21"/>
                <w:highlight w:val="none"/>
              </w:rPr>
            </w:pPr>
            <w:r>
              <w:rPr>
                <w:rFonts w:ascii="宋体" w:hAnsi="宋体"/>
                <w:color w:val="auto"/>
                <w:szCs w:val="21"/>
                <w:highlight w:val="none"/>
              </w:rPr>
              <w:t>3.2.3</w:t>
            </w:r>
          </w:p>
        </w:tc>
        <w:tc>
          <w:tcPr>
            <w:tcW w:w="1969" w:type="dxa"/>
            <w:vAlign w:val="center"/>
          </w:tcPr>
          <w:p>
            <w:pPr>
              <w:spacing w:line="400" w:lineRule="exact"/>
              <w:ind w:firstLine="18" w:firstLineChars="9"/>
              <w:jc w:val="center"/>
              <w:rPr>
                <w:rFonts w:hint="eastAsia" w:ascii="宋体" w:hAnsi="宋体"/>
                <w:color w:val="auto"/>
                <w:szCs w:val="21"/>
                <w:highlight w:val="none"/>
              </w:rPr>
            </w:pPr>
            <w:r>
              <w:rPr>
                <w:rFonts w:ascii="宋体" w:hAnsi="宋体"/>
                <w:color w:val="auto"/>
                <w:szCs w:val="21"/>
                <w:highlight w:val="none"/>
              </w:rPr>
              <w:t>投标人得分</w:t>
            </w:r>
          </w:p>
        </w:tc>
        <w:tc>
          <w:tcPr>
            <w:tcW w:w="5511" w:type="dxa"/>
            <w:vAlign w:val="center"/>
          </w:tcPr>
          <w:p>
            <w:pPr>
              <w:spacing w:line="400" w:lineRule="exact"/>
              <w:jc w:val="center"/>
              <w:rPr>
                <w:rFonts w:hint="eastAsia" w:ascii="宋体" w:hAnsi="宋体"/>
                <w:color w:val="auto"/>
                <w:szCs w:val="21"/>
                <w:highlight w:val="none"/>
                <w:u w:val="single"/>
              </w:rPr>
            </w:pPr>
            <w:r>
              <w:rPr>
                <w:rFonts w:ascii="宋体" w:hAnsi="宋体"/>
                <w:color w:val="auto"/>
                <w:szCs w:val="21"/>
                <w:highlight w:val="none"/>
                <w:u w:val="single"/>
              </w:rPr>
              <w:t>投标人得分=A+B</w:t>
            </w:r>
            <w:r>
              <w:rPr>
                <w:rFonts w:hint="eastAsia" w:ascii="宋体" w:hAnsi="宋体"/>
                <w:color w:val="auto"/>
                <w:szCs w:val="21"/>
                <w:highlight w:val="none"/>
                <w:u w:val="single"/>
              </w:rPr>
              <w:t>+C</w:t>
            </w:r>
          </w:p>
        </w:tc>
      </w:tr>
    </w:tbl>
    <w:p>
      <w:pPr>
        <w:spacing w:before="0" w:after="0"/>
        <w:rPr>
          <w:rFonts w:hint="eastAsia"/>
          <w:color w:val="auto"/>
          <w:highlight w:val="none"/>
        </w:rPr>
      </w:pPr>
    </w:p>
    <w:p>
      <w:pPr>
        <w:pStyle w:val="4"/>
        <w:spacing w:before="0" w:after="0" w:line="360" w:lineRule="auto"/>
        <w:rPr>
          <w:rFonts w:hint="eastAsia" w:ascii="宋体" w:hAnsi="宋体"/>
          <w:b w:val="0"/>
          <w:snapToGrid w:val="0"/>
          <w:color w:val="auto"/>
          <w:highlight w:val="none"/>
        </w:rPr>
      </w:pPr>
      <w:r>
        <w:rPr>
          <w:rFonts w:ascii="宋体" w:hAnsi="宋体"/>
          <w:b w:val="0"/>
          <w:snapToGrid w:val="0"/>
          <w:color w:val="auto"/>
          <w:highlight w:val="none"/>
        </w:rPr>
        <w:br w:type="page"/>
      </w:r>
      <w:bookmarkStart w:id="578" w:name="_Toc12536"/>
      <w:bookmarkStart w:id="579" w:name="_Toc2957"/>
      <w:r>
        <w:rPr>
          <w:rFonts w:ascii="宋体" w:hAnsi="宋体"/>
          <w:b w:val="0"/>
          <w:snapToGrid w:val="0"/>
          <w:color w:val="auto"/>
          <w:highlight w:val="none"/>
        </w:rPr>
        <w:t>1.  评标方法</w:t>
      </w:r>
      <w:bookmarkEnd w:id="560"/>
      <w:bookmarkEnd w:id="561"/>
      <w:bookmarkEnd w:id="562"/>
      <w:bookmarkEnd w:id="563"/>
      <w:bookmarkEnd w:id="564"/>
      <w:bookmarkEnd w:id="565"/>
      <w:bookmarkEnd w:id="577"/>
      <w:bookmarkEnd w:id="578"/>
      <w:bookmarkEnd w:id="579"/>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评标委员会</w:t>
      </w:r>
      <w:r>
        <w:rPr>
          <w:rFonts w:hint="eastAsia" w:ascii="宋体" w:hAnsi="宋体"/>
          <w:color w:val="auto"/>
          <w:highlight w:val="none"/>
        </w:rPr>
        <w:t>对满足招标文件实质要求的投标文件，</w:t>
      </w:r>
      <w:r>
        <w:rPr>
          <w:rFonts w:ascii="宋体" w:hAnsi="宋体"/>
          <w:color w:val="auto"/>
          <w:kern w:val="0"/>
          <w:szCs w:val="21"/>
          <w:highlight w:val="none"/>
        </w:rPr>
        <w:t xml:space="preserve">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lang w:eastAsia="zh-CN"/>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或根据招标人授权直接确定中标人</w:t>
      </w:r>
      <w:r>
        <w:rPr>
          <w:rFonts w:hint="eastAsia" w:ascii="宋体" w:hAnsi="宋体"/>
          <w:color w:val="auto"/>
          <w:kern w:val="0"/>
          <w:szCs w:val="21"/>
          <w:highlight w:val="none"/>
        </w:rPr>
        <w:t>，若出现投标人综合评分相等的，以评标办法前附表约定的原则确定排序</w:t>
      </w:r>
      <w:r>
        <w:rPr>
          <w:rFonts w:ascii="宋体" w:hAnsi="宋体"/>
          <w:color w:val="auto"/>
          <w:spacing w:val="-31"/>
          <w:kern w:val="0"/>
          <w:szCs w:val="21"/>
          <w:highlight w:val="none"/>
        </w:rPr>
        <w:t>。</w:t>
      </w:r>
    </w:p>
    <w:p>
      <w:pPr>
        <w:pStyle w:val="4"/>
        <w:spacing w:before="0" w:after="0" w:line="360" w:lineRule="auto"/>
        <w:rPr>
          <w:rFonts w:hint="eastAsia" w:ascii="宋体" w:hAnsi="宋体"/>
          <w:b w:val="0"/>
          <w:snapToGrid w:val="0"/>
          <w:color w:val="auto"/>
          <w:highlight w:val="none"/>
        </w:rPr>
      </w:pPr>
      <w:bookmarkStart w:id="580" w:name="_Toc200513199"/>
      <w:bookmarkStart w:id="581" w:name="_Toc287607813"/>
      <w:bookmarkStart w:id="582" w:name="_Toc224103385"/>
      <w:bookmarkStart w:id="583" w:name="_Toc277082619"/>
      <w:bookmarkStart w:id="584" w:name="_Toc21782"/>
      <w:bookmarkStart w:id="585" w:name="_Toc28040"/>
      <w:bookmarkStart w:id="586" w:name="_Toc287620752"/>
      <w:bookmarkStart w:id="587" w:name="_Toc430530501"/>
      <w:bookmarkStart w:id="588" w:name="_Toc509218777"/>
      <w:r>
        <w:rPr>
          <w:rFonts w:ascii="宋体" w:hAnsi="宋体"/>
          <w:b w:val="0"/>
          <w:snapToGrid w:val="0"/>
          <w:color w:val="auto"/>
          <w:highlight w:val="none"/>
        </w:rPr>
        <w:t>2.  评审标准</w:t>
      </w:r>
      <w:bookmarkEnd w:id="580"/>
      <w:bookmarkEnd w:id="581"/>
      <w:bookmarkEnd w:id="582"/>
      <w:bookmarkEnd w:id="583"/>
      <w:bookmarkEnd w:id="584"/>
      <w:bookmarkEnd w:id="585"/>
      <w:bookmarkEnd w:id="586"/>
      <w:bookmarkEnd w:id="587"/>
      <w:bookmarkEnd w:id="588"/>
    </w:p>
    <w:p>
      <w:pPr>
        <w:pStyle w:val="5"/>
        <w:snapToGrid w:val="0"/>
        <w:spacing w:before="0" w:after="0" w:line="360" w:lineRule="auto"/>
        <w:rPr>
          <w:rFonts w:hint="eastAsia" w:ascii="宋体" w:hAnsi="宋体"/>
          <w:b w:val="0"/>
          <w:snapToGrid w:val="0"/>
          <w:color w:val="auto"/>
          <w:sz w:val="24"/>
          <w:szCs w:val="24"/>
          <w:highlight w:val="none"/>
        </w:rPr>
      </w:pPr>
      <w:bookmarkStart w:id="589" w:name="_Toc200513200"/>
      <w:bookmarkStart w:id="590" w:name="_Toc509218778"/>
      <w:bookmarkStart w:id="591" w:name="_Toc287620753"/>
      <w:bookmarkStart w:id="592" w:name="_Toc2588"/>
      <w:bookmarkStart w:id="593" w:name="_Toc287607814"/>
      <w:bookmarkStart w:id="594" w:name="_Toc430530502"/>
      <w:bookmarkStart w:id="595" w:name="_Toc277082620"/>
      <w:bookmarkStart w:id="596" w:name="_Toc224103386"/>
      <w:bookmarkStart w:id="597" w:name="_Toc29757"/>
      <w:r>
        <w:rPr>
          <w:rFonts w:ascii="宋体" w:hAnsi="宋体"/>
          <w:b w:val="0"/>
          <w:snapToGrid w:val="0"/>
          <w:color w:val="auto"/>
          <w:sz w:val="24"/>
          <w:szCs w:val="24"/>
          <w:highlight w:val="none"/>
        </w:rPr>
        <w:t>2.1  初步评审标准</w:t>
      </w:r>
      <w:bookmarkEnd w:id="589"/>
      <w:bookmarkEnd w:id="590"/>
      <w:bookmarkEnd w:id="591"/>
      <w:bookmarkEnd w:id="592"/>
      <w:bookmarkEnd w:id="593"/>
      <w:bookmarkEnd w:id="594"/>
      <w:bookmarkEnd w:id="595"/>
      <w:bookmarkEnd w:id="596"/>
      <w:bookmarkEnd w:id="597"/>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w:t>
      </w:r>
      <w:r>
        <w:rPr>
          <w:rFonts w:ascii="宋体" w:hAnsi="宋体"/>
          <w:color w:val="auto"/>
          <w:kern w:val="0"/>
          <w:szCs w:val="21"/>
          <w:highlight w:val="none"/>
        </w:rPr>
        <w:t xml:space="preserve">  资格评审标准：见评标办法前附表（适用于未进行资格预审的）。</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2.1.3  响应性评审标准：见评标办法前附表。</w:t>
      </w:r>
    </w:p>
    <w:p>
      <w:pPr>
        <w:pStyle w:val="5"/>
        <w:snapToGrid w:val="0"/>
        <w:spacing w:before="0" w:after="0" w:line="360" w:lineRule="auto"/>
        <w:rPr>
          <w:rFonts w:hint="eastAsia" w:ascii="宋体" w:hAnsi="宋体"/>
          <w:b w:val="0"/>
          <w:snapToGrid w:val="0"/>
          <w:color w:val="auto"/>
          <w:sz w:val="24"/>
          <w:szCs w:val="24"/>
          <w:highlight w:val="none"/>
        </w:rPr>
      </w:pPr>
      <w:bookmarkStart w:id="598" w:name="_Toc200513201"/>
      <w:bookmarkStart w:id="599" w:name="_Toc287620754"/>
      <w:bookmarkStart w:id="600" w:name="_Toc277082621"/>
      <w:bookmarkStart w:id="601" w:name="_Toc224103387"/>
      <w:bookmarkStart w:id="602" w:name="_Toc430530503"/>
      <w:bookmarkStart w:id="603" w:name="_Toc27823"/>
      <w:bookmarkStart w:id="604" w:name="_Toc509218779"/>
      <w:bookmarkStart w:id="605" w:name="_Toc17923"/>
      <w:bookmarkStart w:id="606" w:name="_Toc287607815"/>
      <w:r>
        <w:rPr>
          <w:rFonts w:ascii="宋体" w:hAnsi="宋体"/>
          <w:b w:val="0"/>
          <w:snapToGrid w:val="0"/>
          <w:color w:val="auto"/>
          <w:sz w:val="24"/>
          <w:szCs w:val="24"/>
          <w:highlight w:val="none"/>
        </w:rPr>
        <w:t>2.2  分值构成与评分标准</w:t>
      </w:r>
      <w:bookmarkEnd w:id="598"/>
      <w:bookmarkEnd w:id="599"/>
      <w:bookmarkEnd w:id="600"/>
      <w:bookmarkEnd w:id="601"/>
      <w:bookmarkEnd w:id="602"/>
      <w:bookmarkEnd w:id="603"/>
      <w:bookmarkEnd w:id="604"/>
      <w:bookmarkEnd w:id="605"/>
      <w:bookmarkEnd w:id="606"/>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2.2.1  分值构成</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商务部分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）投标</w:t>
      </w:r>
      <w:r>
        <w:rPr>
          <w:rFonts w:hint="eastAsia" w:ascii="宋体" w:hAnsi="宋体"/>
          <w:color w:val="auto"/>
          <w:kern w:val="0"/>
          <w:szCs w:val="21"/>
          <w:highlight w:val="none"/>
        </w:rPr>
        <w:t>总</w:t>
      </w:r>
      <w:r>
        <w:rPr>
          <w:rFonts w:ascii="宋体" w:hAnsi="宋体"/>
          <w:color w:val="auto"/>
          <w:kern w:val="0"/>
          <w:szCs w:val="21"/>
          <w:highlight w:val="none"/>
        </w:rPr>
        <w:t>报价：见评标办法前附表</w:t>
      </w:r>
      <w:r>
        <w:rPr>
          <w:rFonts w:hint="eastAsia" w:ascii="宋体" w:hAnsi="宋体"/>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 xml:space="preserve">2.2.2  </w:t>
      </w:r>
      <w:r>
        <w:rPr>
          <w:rFonts w:hint="eastAsia" w:ascii="宋体" w:hAnsi="宋体"/>
          <w:color w:val="auto"/>
          <w:kern w:val="0"/>
          <w:szCs w:val="21"/>
          <w:highlight w:val="none"/>
        </w:rPr>
        <w:t>评分标准</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lang w:val="en-US" w:eastAsia="zh-CN"/>
        </w:rPr>
        <w:t>评审</w:t>
      </w:r>
      <w:r>
        <w:rPr>
          <w:rFonts w:ascii="宋体" w:hAnsi="宋体"/>
          <w:color w:val="auto"/>
          <w:kern w:val="0"/>
          <w:szCs w:val="21"/>
          <w:highlight w:val="none"/>
        </w:rPr>
        <w:t>标准：见评标办法前附表；</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商务评审</w:t>
      </w:r>
      <w:r>
        <w:rPr>
          <w:rFonts w:ascii="宋体" w:hAnsi="宋体"/>
          <w:color w:val="auto"/>
          <w:kern w:val="0"/>
          <w:szCs w:val="21"/>
          <w:highlight w:val="none"/>
        </w:rPr>
        <w:t>标准：见评标办法前附表</w:t>
      </w:r>
      <w:r>
        <w:rPr>
          <w:rFonts w:hint="eastAsia" w:ascii="宋体" w:hAnsi="宋体"/>
          <w:color w:val="auto"/>
          <w:kern w:val="0"/>
          <w:szCs w:val="21"/>
          <w:highlight w:val="none"/>
          <w:lang w:eastAsia="zh-CN"/>
        </w:rPr>
        <w:t>；</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）投标函</w:t>
      </w:r>
      <w:r>
        <w:rPr>
          <w:rFonts w:hint="eastAsia" w:ascii="宋体" w:hAnsi="宋体"/>
          <w:color w:val="auto"/>
          <w:kern w:val="0"/>
          <w:szCs w:val="21"/>
          <w:highlight w:val="none"/>
          <w:lang w:val="en-US" w:eastAsia="zh-CN"/>
        </w:rPr>
        <w:t>部分</w:t>
      </w:r>
      <w:r>
        <w:rPr>
          <w:rFonts w:hint="eastAsia" w:ascii="宋体" w:hAnsi="宋体"/>
          <w:color w:val="auto"/>
          <w:kern w:val="0"/>
          <w:szCs w:val="21"/>
          <w:highlight w:val="none"/>
        </w:rPr>
        <w:t>评审标准：见评标办法前附表。</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2.2.3  </w:t>
      </w:r>
      <w:r>
        <w:rPr>
          <w:rFonts w:ascii="宋体" w:hAnsi="宋体"/>
          <w:color w:val="auto"/>
          <w:kern w:val="0"/>
          <w:szCs w:val="21"/>
          <w:highlight w:val="none"/>
        </w:rPr>
        <w:t>评标基准价计算</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评标基准价计算方法：见评标办法前附表。</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4</w:t>
      </w:r>
      <w:r>
        <w:rPr>
          <w:rFonts w:ascii="宋体" w:hAnsi="宋体"/>
          <w:color w:val="auto"/>
          <w:kern w:val="0"/>
          <w:szCs w:val="21"/>
          <w:highlight w:val="none"/>
        </w:rPr>
        <w:t xml:space="preserve">  投标报价的偏差率计算</w:t>
      </w:r>
      <w:r>
        <w:rPr>
          <w:rFonts w:hint="eastAsia" w:ascii="宋体" w:hAnsi="宋体"/>
          <w:color w:val="auto"/>
          <w:kern w:val="0"/>
          <w:szCs w:val="21"/>
          <w:highlight w:val="none"/>
        </w:rPr>
        <w:t>和允许偏差范围</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（2）投标报价的允许偏差范围</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pPr>
        <w:pStyle w:val="4"/>
        <w:spacing w:before="0" w:after="0" w:line="360" w:lineRule="auto"/>
        <w:rPr>
          <w:rFonts w:hint="eastAsia" w:ascii="宋体" w:hAnsi="宋体"/>
          <w:b w:val="0"/>
          <w:snapToGrid w:val="0"/>
          <w:color w:val="auto"/>
          <w:highlight w:val="none"/>
        </w:rPr>
      </w:pPr>
      <w:bookmarkStart w:id="607" w:name="_Toc430530504"/>
      <w:bookmarkStart w:id="608" w:name="_Toc287620755"/>
      <w:bookmarkStart w:id="609" w:name="_Toc200513202"/>
      <w:bookmarkStart w:id="610" w:name="_Toc277082622"/>
      <w:bookmarkStart w:id="611" w:name="_Toc22615"/>
      <w:bookmarkStart w:id="612" w:name="_Toc4568"/>
      <w:bookmarkStart w:id="613" w:name="_Toc287607816"/>
      <w:bookmarkStart w:id="614" w:name="_Toc224103388"/>
      <w:bookmarkStart w:id="615" w:name="_Toc509218780"/>
      <w:r>
        <w:rPr>
          <w:rFonts w:ascii="宋体" w:hAnsi="宋体"/>
          <w:b w:val="0"/>
          <w:snapToGrid w:val="0"/>
          <w:color w:val="auto"/>
          <w:highlight w:val="none"/>
        </w:rPr>
        <w:t>3.  评标程序</w:t>
      </w:r>
      <w:bookmarkEnd w:id="607"/>
      <w:bookmarkEnd w:id="608"/>
      <w:bookmarkEnd w:id="609"/>
      <w:bookmarkEnd w:id="610"/>
      <w:bookmarkEnd w:id="611"/>
      <w:bookmarkEnd w:id="612"/>
      <w:bookmarkEnd w:id="613"/>
      <w:bookmarkEnd w:id="614"/>
      <w:bookmarkEnd w:id="615"/>
    </w:p>
    <w:p>
      <w:pPr>
        <w:pStyle w:val="5"/>
        <w:snapToGrid w:val="0"/>
        <w:spacing w:before="0" w:after="0" w:line="360" w:lineRule="auto"/>
        <w:rPr>
          <w:rFonts w:hint="eastAsia" w:ascii="宋体" w:hAnsi="宋体"/>
          <w:b w:val="0"/>
          <w:snapToGrid w:val="0"/>
          <w:color w:val="auto"/>
          <w:sz w:val="24"/>
          <w:szCs w:val="24"/>
          <w:highlight w:val="none"/>
        </w:rPr>
      </w:pPr>
      <w:bookmarkStart w:id="616" w:name="_Toc287620756"/>
      <w:bookmarkStart w:id="617" w:name="_Toc509218781"/>
      <w:bookmarkStart w:id="618" w:name="_Toc287607817"/>
      <w:bookmarkStart w:id="619" w:name="_Toc21102"/>
      <w:bookmarkStart w:id="620" w:name="_Toc21078"/>
      <w:bookmarkStart w:id="621" w:name="_Toc430530505"/>
      <w:bookmarkStart w:id="622" w:name="_Toc277082623"/>
      <w:bookmarkStart w:id="623" w:name="_Toc224103389"/>
      <w:bookmarkStart w:id="624" w:name="_Toc200513203"/>
      <w:r>
        <w:rPr>
          <w:rFonts w:ascii="宋体" w:hAnsi="宋体"/>
          <w:b w:val="0"/>
          <w:snapToGrid w:val="0"/>
          <w:color w:val="auto"/>
          <w:sz w:val="24"/>
          <w:szCs w:val="24"/>
          <w:highlight w:val="none"/>
        </w:rPr>
        <w:t>3.1  初步评审</w:t>
      </w:r>
      <w:bookmarkEnd w:id="616"/>
      <w:bookmarkEnd w:id="617"/>
      <w:bookmarkEnd w:id="618"/>
      <w:bookmarkEnd w:id="619"/>
      <w:bookmarkEnd w:id="620"/>
      <w:bookmarkEnd w:id="621"/>
      <w:bookmarkEnd w:id="622"/>
      <w:bookmarkEnd w:id="623"/>
      <w:bookmarkEnd w:id="624"/>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3.1.1  评标委员会依据本章第 2.1 款规定的标准对投标文件进行初步评审。有一项不符合评审标准的，作否决投标处理。（适用于未进行资格预审的）</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3.1.2  投标报价有算术错误的，评标委员会按以下原则对投标报价进行修正，修正的价格经投标人书面确认后具有约束力</w:t>
      </w:r>
      <w:r>
        <w:rPr>
          <w:rFonts w:hint="eastAsia" w:ascii="宋体" w:hAnsi="宋体"/>
          <w:color w:val="auto"/>
          <w:kern w:val="0"/>
          <w:szCs w:val="21"/>
          <w:highlight w:val="none"/>
        </w:rPr>
        <w:t>，修正原则如下：</w:t>
      </w:r>
    </w:p>
    <w:p>
      <w:pPr>
        <w:autoSpaceDE w:val="0"/>
        <w:autoSpaceDN w:val="0"/>
        <w:adjustRightInd w:val="0"/>
        <w:snapToGrid w:val="0"/>
        <w:spacing w:line="360" w:lineRule="auto"/>
        <w:ind w:firstLine="532"/>
        <w:rPr>
          <w:rFonts w:hint="eastAsia" w:ascii="宋体" w:hAnsi="宋体"/>
          <w:color w:val="auto"/>
          <w:kern w:val="0"/>
          <w:szCs w:val="21"/>
          <w:highlight w:val="none"/>
        </w:rPr>
      </w:pPr>
      <w:r>
        <w:rPr>
          <w:rFonts w:ascii="宋体" w:hAnsi="宋体"/>
          <w:color w:val="auto"/>
          <w:spacing w:val="-1"/>
          <w:kern w:val="0"/>
          <w:szCs w:val="21"/>
          <w:highlight w:val="none"/>
        </w:rPr>
        <w:t>（1）投标文件中的大写金额与小写金额不一致的，以大写金</w:t>
      </w:r>
      <w:r>
        <w:rPr>
          <w:rFonts w:ascii="宋体" w:hAnsi="宋体"/>
          <w:color w:val="auto"/>
          <w:kern w:val="0"/>
          <w:szCs w:val="21"/>
          <w:highlight w:val="none"/>
        </w:rPr>
        <w:t>额为准</w:t>
      </w:r>
      <w:r>
        <w:rPr>
          <w:rFonts w:hint="eastAsia" w:ascii="宋体" w:hAnsi="宋体"/>
          <w:color w:val="auto"/>
          <w:kern w:val="0"/>
          <w:szCs w:val="21"/>
          <w:highlight w:val="none"/>
        </w:rPr>
        <w:t>；</w:t>
      </w:r>
    </w:p>
    <w:p>
      <w:pPr>
        <w:autoSpaceDE w:val="0"/>
        <w:autoSpaceDN w:val="0"/>
        <w:adjustRightInd w:val="0"/>
        <w:snapToGrid w:val="0"/>
        <w:spacing w:line="360" w:lineRule="auto"/>
        <w:ind w:firstLine="532"/>
        <w:rPr>
          <w:rFonts w:hint="eastAsia" w:ascii="宋体" w:hAnsi="宋体"/>
          <w:color w:val="auto"/>
          <w:kern w:val="0"/>
          <w:szCs w:val="21"/>
          <w:highlight w:val="none"/>
        </w:rPr>
      </w:pPr>
      <w:r>
        <w:rPr>
          <w:rFonts w:hint="eastAsia" w:ascii="宋体" w:hAnsi="宋体"/>
          <w:color w:val="auto"/>
          <w:kern w:val="0"/>
          <w:szCs w:val="21"/>
          <w:highlight w:val="none"/>
        </w:rPr>
        <w:t>（2）投标函中的总报价与已标价工程量清单总报价不一致的，由评标委员会作否决投标处理。</w:t>
      </w:r>
    </w:p>
    <w:p>
      <w:pPr>
        <w:pStyle w:val="5"/>
        <w:snapToGrid w:val="0"/>
        <w:spacing w:before="0" w:after="0" w:line="360" w:lineRule="auto"/>
        <w:rPr>
          <w:rFonts w:hint="eastAsia" w:ascii="宋体" w:hAnsi="宋体"/>
          <w:b w:val="0"/>
          <w:snapToGrid w:val="0"/>
          <w:color w:val="auto"/>
          <w:sz w:val="24"/>
          <w:szCs w:val="24"/>
          <w:highlight w:val="none"/>
        </w:rPr>
      </w:pPr>
      <w:bookmarkStart w:id="625" w:name="_Toc200513204"/>
      <w:bookmarkStart w:id="626" w:name="_Toc31837"/>
      <w:bookmarkStart w:id="627" w:name="_Toc509218782"/>
      <w:bookmarkStart w:id="628" w:name="_Toc14760"/>
      <w:bookmarkStart w:id="629" w:name="_Toc430530506"/>
      <w:bookmarkStart w:id="630" w:name="_Toc224103390"/>
      <w:bookmarkStart w:id="631" w:name="_Toc277082624"/>
      <w:bookmarkStart w:id="632" w:name="_Toc287620757"/>
      <w:bookmarkStart w:id="633" w:name="_Toc287607818"/>
      <w:r>
        <w:rPr>
          <w:rFonts w:ascii="宋体" w:hAnsi="宋体"/>
          <w:b w:val="0"/>
          <w:snapToGrid w:val="0"/>
          <w:color w:val="auto"/>
          <w:sz w:val="24"/>
          <w:szCs w:val="24"/>
          <w:highlight w:val="none"/>
        </w:rPr>
        <w:t>3.2  详细评审</w:t>
      </w:r>
      <w:bookmarkEnd w:id="625"/>
      <w:bookmarkEnd w:id="626"/>
      <w:bookmarkEnd w:id="627"/>
      <w:bookmarkEnd w:id="628"/>
      <w:bookmarkEnd w:id="629"/>
      <w:bookmarkEnd w:id="630"/>
      <w:bookmarkEnd w:id="631"/>
      <w:bookmarkEnd w:id="632"/>
      <w:bookmarkEnd w:id="633"/>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3.2.1  </w:t>
      </w:r>
      <w:r>
        <w:rPr>
          <w:rFonts w:hint="eastAsia" w:ascii="宋体" w:hAnsi="宋体" w:cs="宋体"/>
          <w:color w:val="auto"/>
          <w:szCs w:val="22"/>
          <w:highlight w:val="none"/>
          <w:lang w:val="en-US" w:eastAsia="zh-CN"/>
        </w:rPr>
        <w:t>详细评标程序：</w:t>
      </w:r>
      <w:r>
        <w:rPr>
          <w:rFonts w:hint="eastAsia" w:ascii="宋体" w:hAnsi="宋体" w:eastAsia="宋体" w:cs="宋体"/>
          <w:color w:val="auto"/>
          <w:kern w:val="2"/>
          <w:szCs w:val="22"/>
          <w:highlight w:val="none"/>
        </w:rPr>
        <w:t>见评标办法前附表</w:t>
      </w:r>
      <w:r>
        <w:rPr>
          <w:rFonts w:hint="eastAsia" w:ascii="宋体" w:hAnsi="宋体"/>
          <w:color w:val="auto"/>
          <w:kern w:val="0"/>
          <w:szCs w:val="21"/>
          <w:highlight w:val="none"/>
        </w:rPr>
        <w:t>。</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3.2.3  投标人得分=A+B</w:t>
      </w:r>
      <w:r>
        <w:rPr>
          <w:rFonts w:hint="eastAsia" w:ascii="宋体" w:hAnsi="宋体"/>
          <w:color w:val="auto"/>
          <w:kern w:val="0"/>
          <w:szCs w:val="21"/>
          <w:highlight w:val="none"/>
          <w:lang w:val="en-US" w:eastAsia="zh-CN"/>
        </w:rPr>
        <w:t>+C</w:t>
      </w:r>
      <w:r>
        <w:rPr>
          <w:rFonts w:hint="eastAsia" w:ascii="宋体" w:hAnsi="宋体"/>
          <w:color w:val="auto"/>
          <w:kern w:val="0"/>
          <w:szCs w:val="21"/>
          <w:highlight w:val="none"/>
        </w:rPr>
        <w:t>。</w:t>
      </w:r>
    </w:p>
    <w:p>
      <w:pPr>
        <w:pStyle w:val="5"/>
        <w:snapToGrid w:val="0"/>
        <w:spacing w:before="0" w:after="0" w:line="360" w:lineRule="auto"/>
        <w:rPr>
          <w:rFonts w:hint="eastAsia" w:ascii="宋体" w:hAnsi="宋体"/>
          <w:b w:val="0"/>
          <w:snapToGrid w:val="0"/>
          <w:color w:val="auto"/>
          <w:sz w:val="24"/>
          <w:szCs w:val="24"/>
          <w:highlight w:val="none"/>
        </w:rPr>
      </w:pPr>
      <w:bookmarkStart w:id="634" w:name="_Toc287620758"/>
      <w:bookmarkStart w:id="635" w:name="_Toc287607819"/>
      <w:bookmarkStart w:id="636" w:name="_Toc277082625"/>
      <w:bookmarkStart w:id="637" w:name="_Toc7986"/>
      <w:bookmarkStart w:id="638" w:name="_Toc200513205"/>
      <w:bookmarkStart w:id="639" w:name="_Toc509218783"/>
      <w:bookmarkStart w:id="640" w:name="_Toc224103391"/>
      <w:bookmarkStart w:id="641" w:name="_Toc29615"/>
      <w:bookmarkStart w:id="642" w:name="_Toc430530507"/>
      <w:r>
        <w:rPr>
          <w:rFonts w:ascii="宋体" w:hAnsi="宋体"/>
          <w:b w:val="0"/>
          <w:snapToGrid w:val="0"/>
          <w:color w:val="auto"/>
          <w:sz w:val="24"/>
          <w:szCs w:val="24"/>
          <w:highlight w:val="none"/>
        </w:rPr>
        <w:t>3.3  投标文件的澄清和补正</w:t>
      </w:r>
      <w:bookmarkEnd w:id="634"/>
      <w:bookmarkEnd w:id="635"/>
      <w:bookmarkEnd w:id="636"/>
      <w:bookmarkEnd w:id="637"/>
      <w:bookmarkEnd w:id="638"/>
      <w:bookmarkEnd w:id="639"/>
      <w:bookmarkEnd w:id="640"/>
      <w:bookmarkEnd w:id="641"/>
      <w:bookmarkEnd w:id="642"/>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澄清、说明和补正不得改变投标文件的实质性内容。投标人的书面澄清、说明和补正属于投标文件的组成部分。</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3.3.3  评标委员会对投标人提交的澄清、说明或补正有疑问的，可以要求投标人进一步澄清、说明或补正，直至满足评标委员会的要求。</w:t>
      </w:r>
    </w:p>
    <w:p>
      <w:pPr>
        <w:pStyle w:val="5"/>
        <w:snapToGrid w:val="0"/>
        <w:spacing w:before="0" w:after="0" w:line="360" w:lineRule="auto"/>
        <w:rPr>
          <w:rFonts w:hint="eastAsia" w:ascii="宋体" w:hAnsi="宋体"/>
          <w:b w:val="0"/>
          <w:snapToGrid w:val="0"/>
          <w:color w:val="auto"/>
          <w:sz w:val="24"/>
          <w:szCs w:val="24"/>
          <w:highlight w:val="none"/>
        </w:rPr>
      </w:pPr>
      <w:bookmarkStart w:id="643" w:name="_Toc200513206"/>
      <w:bookmarkStart w:id="644" w:name="_Toc430530508"/>
      <w:bookmarkStart w:id="645" w:name="_Toc287620759"/>
      <w:bookmarkStart w:id="646" w:name="_Toc509218784"/>
      <w:bookmarkStart w:id="647" w:name="_Toc2499"/>
      <w:bookmarkStart w:id="648" w:name="_Toc17868"/>
      <w:bookmarkStart w:id="649" w:name="_Toc224103392"/>
      <w:bookmarkStart w:id="650" w:name="_Toc287607820"/>
      <w:bookmarkStart w:id="651" w:name="_Toc277082626"/>
      <w:r>
        <w:rPr>
          <w:rFonts w:ascii="宋体" w:hAnsi="宋体"/>
          <w:b w:val="0"/>
          <w:snapToGrid w:val="0"/>
          <w:color w:val="auto"/>
          <w:sz w:val="24"/>
          <w:szCs w:val="24"/>
          <w:highlight w:val="none"/>
        </w:rPr>
        <w:t>3.4  评标结果</w:t>
      </w:r>
      <w:bookmarkEnd w:id="643"/>
      <w:bookmarkEnd w:id="644"/>
      <w:bookmarkEnd w:id="645"/>
      <w:bookmarkEnd w:id="646"/>
      <w:bookmarkEnd w:id="647"/>
      <w:bookmarkEnd w:id="648"/>
      <w:bookmarkEnd w:id="649"/>
      <w:bookmarkEnd w:id="650"/>
      <w:bookmarkEnd w:id="651"/>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除第二章“投标</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w:t>
      </w:r>
    </w:p>
    <w:p>
      <w:pPr>
        <w:autoSpaceDE w:val="0"/>
        <w:autoSpaceDN w:val="0"/>
        <w:adjustRightInd w:val="0"/>
        <w:snapToGrid w:val="0"/>
        <w:spacing w:line="360" w:lineRule="auto"/>
        <w:ind w:firstLine="424" w:firstLineChars="200"/>
        <w:rPr>
          <w:rFonts w:ascii="宋体" w:hAnsi="宋体"/>
          <w:color w:val="auto"/>
          <w:kern w:val="0"/>
          <w:szCs w:val="21"/>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员会完成评标后，应当向招标人提交书面评标报告</w:t>
      </w:r>
      <w:r>
        <w:rPr>
          <w:rFonts w:hint="eastAsia" w:ascii="宋体" w:hAnsi="宋体"/>
          <w:color w:val="auto"/>
          <w:kern w:val="0"/>
          <w:szCs w:val="21"/>
          <w:highlight w:val="none"/>
        </w:rPr>
        <w:t>和中标候选人名单</w:t>
      </w:r>
      <w:r>
        <w:rPr>
          <w:rFonts w:ascii="宋体" w:hAnsi="宋体"/>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Theme="minorEastAsia" w:hAnsiTheme="minorEastAsia" w:eastAsiaTheme="minorEastAsia"/>
          <w:color w:val="auto"/>
          <w:kern w:val="0"/>
          <w:szCs w:val="21"/>
          <w:highlight w:val="none"/>
          <w:lang w:val="en-US" w:eastAsia="zh-CN"/>
        </w:rPr>
        <w:t>3.4.3 有效投标人不足三个的，</w:t>
      </w:r>
      <w:r>
        <w:rPr>
          <w:rFonts w:hint="eastAsia" w:asciiTheme="minorEastAsia" w:hAnsiTheme="minorEastAsia" w:eastAsiaTheme="minorEastAsia"/>
          <w:color w:val="auto"/>
          <w:kern w:val="0"/>
          <w:szCs w:val="21"/>
          <w:highlight w:val="none"/>
        </w:rPr>
        <w:t>评标委员会应当对有效投标人是否仍具有竞争性进行论证</w:t>
      </w:r>
      <w:r>
        <w:rPr>
          <w:rFonts w:hint="eastAsia" w:asciiTheme="minorEastAsia" w:hAnsiTheme="minorEastAsia" w:eastAsiaTheme="minorEastAsia"/>
          <w:color w:val="auto"/>
          <w:kern w:val="0"/>
          <w:szCs w:val="21"/>
          <w:highlight w:val="none"/>
          <w:lang w:val="en-US" w:eastAsia="zh-CN"/>
        </w:rPr>
        <w:t>，并在评标报告中记载论证过程和结果</w:t>
      </w:r>
      <w:r>
        <w:rPr>
          <w:rFonts w:ascii="宋体" w:hAnsi="宋体"/>
          <w:color w:val="auto"/>
          <w:kern w:val="0"/>
          <w:szCs w:val="21"/>
          <w:highlight w:val="none"/>
        </w:rPr>
        <w:t>。</w:t>
      </w:r>
    </w:p>
    <w:p>
      <w:pPr>
        <w:spacing w:line="360" w:lineRule="auto"/>
        <w:rPr>
          <w:rFonts w:hint="eastAsia" w:ascii="宋体" w:hAnsi="宋体"/>
          <w:b/>
          <w:color w:val="auto"/>
          <w:szCs w:val="20"/>
          <w:highlight w:val="none"/>
        </w:rPr>
      </w:pPr>
      <w:r>
        <w:rPr>
          <w:rFonts w:ascii="宋体" w:hAnsi="宋体"/>
          <w:color w:val="auto"/>
          <w:kern w:val="0"/>
          <w:sz w:val="20"/>
          <w:szCs w:val="20"/>
          <w:highlight w:val="none"/>
        </w:rPr>
        <w:br w:type="page"/>
      </w:r>
    </w:p>
    <w:p>
      <w:pPr>
        <w:pStyle w:val="33"/>
        <w:spacing w:line="360" w:lineRule="auto"/>
        <w:rPr>
          <w:rFonts w:hint="eastAsia" w:ascii="宋体" w:hAnsi="宋体"/>
          <w:b/>
          <w:color w:val="auto"/>
          <w:sz w:val="28"/>
          <w:szCs w:val="28"/>
          <w:highlight w:val="none"/>
          <w:u w:val="none"/>
          <w:lang w:eastAsia="zh-CN"/>
        </w:rPr>
      </w:pPr>
      <w:bookmarkStart w:id="652" w:name="招标文件04章合同条款及格式"/>
      <w:bookmarkEnd w:id="652"/>
      <w:bookmarkStart w:id="653" w:name="招标文件03章02评标办法综合评估法02附件02"/>
      <w:bookmarkEnd w:id="653"/>
      <w:bookmarkStart w:id="654" w:name="_Toc230410480"/>
      <w:bookmarkStart w:id="655" w:name="_Toc277082627"/>
      <w:r>
        <w:rPr>
          <w:rFonts w:ascii="宋体" w:hAnsi="宋体"/>
          <w:b/>
          <w:color w:val="auto"/>
          <w:sz w:val="28"/>
          <w:szCs w:val="28"/>
          <w:highlight w:val="none"/>
          <w:u w:val="none"/>
          <w:lang w:eastAsia="zh-CN"/>
        </w:rPr>
        <w:t>附件A：综合评估法否决投标情况一览表</w:t>
      </w:r>
      <w:bookmarkEnd w:id="654"/>
    </w:p>
    <w:bookmarkEnd w:id="655"/>
    <w:p>
      <w:pPr>
        <w:pStyle w:val="33"/>
        <w:spacing w:line="360" w:lineRule="auto"/>
        <w:ind w:firstLine="420" w:firstLineChars="200"/>
        <w:jc w:val="both"/>
        <w:rPr>
          <w:rFonts w:hint="eastAsia"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highlight w:val="none"/>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hint="eastAsia" w:ascii="宋体" w:hAnsi="宋体"/>
                <w:b/>
                <w:color w:val="auto"/>
                <w:szCs w:val="21"/>
                <w:highlight w:val="none"/>
              </w:rPr>
            </w:pPr>
            <w:r>
              <w:rPr>
                <w:rFonts w:ascii="宋体" w:hAnsi="宋体"/>
                <w:b/>
                <w:color w:val="auto"/>
                <w:szCs w:val="21"/>
                <w:highlight w:val="none"/>
              </w:rPr>
              <w:t>章节号</w:t>
            </w:r>
          </w:p>
        </w:tc>
        <w:tc>
          <w:tcPr>
            <w:tcW w:w="1899" w:type="dxa"/>
            <w:vAlign w:val="center"/>
          </w:tcPr>
          <w:p>
            <w:pPr>
              <w:spacing w:line="400" w:lineRule="exact"/>
              <w:jc w:val="center"/>
              <w:rPr>
                <w:rFonts w:hint="eastAsia" w:ascii="宋体" w:hAnsi="宋体"/>
                <w:b/>
                <w:color w:val="auto"/>
                <w:szCs w:val="21"/>
                <w:highlight w:val="none"/>
              </w:rPr>
            </w:pPr>
            <w:r>
              <w:rPr>
                <w:rFonts w:ascii="宋体" w:hAnsi="宋体"/>
                <w:b/>
                <w:color w:val="auto"/>
                <w:szCs w:val="21"/>
                <w:highlight w:val="none"/>
              </w:rPr>
              <w:t>条款名称</w:t>
            </w:r>
          </w:p>
        </w:tc>
        <w:tc>
          <w:tcPr>
            <w:tcW w:w="6333" w:type="dxa"/>
            <w:vAlign w:val="center"/>
          </w:tcPr>
          <w:p>
            <w:pPr>
              <w:spacing w:line="400" w:lineRule="exact"/>
              <w:jc w:val="center"/>
              <w:rPr>
                <w:rFonts w:hint="eastAsia"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第三章</w:t>
            </w:r>
          </w:p>
        </w:tc>
        <w:tc>
          <w:tcPr>
            <w:tcW w:w="1899" w:type="dxa"/>
            <w:vMerge w:val="restart"/>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A-1投标人的资质条件、</w:t>
            </w:r>
            <w:r>
              <w:rPr>
                <w:rFonts w:hint="eastAsia" w:ascii="宋体" w:hAnsi="宋体"/>
                <w:color w:val="auto"/>
                <w:szCs w:val="21"/>
                <w:highlight w:val="none"/>
                <w:lang w:eastAsia="zh-CN"/>
              </w:rPr>
              <w:t>独立法人资格</w:t>
            </w:r>
            <w:r>
              <w:rPr>
                <w:rFonts w:hint="eastAsia" w:ascii="宋体" w:hAnsi="宋体"/>
                <w:color w:val="auto"/>
                <w:szCs w:val="21"/>
                <w:highlight w:val="none"/>
              </w:rPr>
              <w:t>及安全生产条件</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w:t>
            </w:r>
            <w:r>
              <w:rPr>
                <w:rFonts w:hint="eastAsia" w:ascii="宋体" w:hAnsi="宋体"/>
                <w:color w:val="auto"/>
                <w:szCs w:val="21"/>
                <w:highlight w:val="none"/>
                <w:lang w:val="en-US" w:eastAsia="zh-CN"/>
              </w:rPr>
              <w:t>第</w:t>
            </w:r>
            <w:r>
              <w:rPr>
                <w:rFonts w:hint="eastAsia" w:ascii="宋体" w:hAnsi="宋体"/>
                <w:color w:val="auto"/>
                <w:szCs w:val="21"/>
                <w:highlight w:val="none"/>
              </w:rPr>
              <w:t>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A-2投标人的财务</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A-3投标人的业绩</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A-4投标人的投标截止日投标资格情况</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A-5投标人的项目经理资格</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A-6投标人的其他要求</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A-7</w:t>
            </w:r>
            <w:r>
              <w:rPr>
                <w:rFonts w:hint="eastAsia" w:ascii="宋体" w:hAnsi="宋体"/>
                <w:color w:val="auto"/>
                <w:szCs w:val="21"/>
                <w:highlight w:val="none"/>
                <w:lang w:val="en-US" w:eastAsia="zh-CN"/>
              </w:rPr>
              <w:t>联合体投标的，不满足投标人须知前附表第1.4.2项的要求</w:t>
            </w:r>
            <w:r>
              <w:rPr>
                <w:rFonts w:hint="eastAsia"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restart"/>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形式评审</w:t>
            </w:r>
          </w:p>
        </w:tc>
        <w:tc>
          <w:tcPr>
            <w:tcW w:w="6333" w:type="dxa"/>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A-8投标人名称与营业执照、资质证书、安全生产许可证</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9</w:t>
            </w:r>
            <w:r>
              <w:rPr>
                <w:rFonts w:hint="eastAsia" w:ascii="宋体" w:hAnsi="宋体"/>
                <w:color w:val="auto"/>
                <w:szCs w:val="21"/>
                <w:highlight w:val="none"/>
              </w:rPr>
              <w:t>投标文件格式</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符合第二章“投标人须知”第3.7款的要求。</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编制投标文件时对第八章“投标文件格式”的相应要素作实质性修改。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hint="eastAsia" w:ascii="宋体" w:hAnsi="宋体"/>
                <w:i/>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0</w:t>
            </w:r>
            <w:r>
              <w:rPr>
                <w:rFonts w:hint="eastAsia" w:ascii="宋体" w:hAnsi="宋体"/>
                <w:color w:val="auto"/>
                <w:szCs w:val="21"/>
                <w:highlight w:val="none"/>
              </w:rPr>
              <w:t>投标文件份数符合第二章“投标人须知”第3.7.4项的规定，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hint="eastAsia" w:ascii="宋体" w:hAnsi="宋体" w:cs="宋体"/>
                <w:color w:val="auto"/>
                <w:kern w:val="0"/>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11</w:t>
            </w:r>
            <w:r>
              <w:rPr>
                <w:rFonts w:hint="eastAsia" w:ascii="宋体" w:hAnsi="宋体" w:cs="宋体"/>
                <w:color w:val="auto"/>
                <w:kern w:val="0"/>
                <w:highlight w:val="none"/>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s="宋体"/>
                <w:snapToGrid w:val="0"/>
                <w:color w:val="auto"/>
                <w:kern w:val="0"/>
                <w:szCs w:val="21"/>
                <w:highlight w:val="none"/>
              </w:rPr>
              <w:t>若投标单位为联合体，则</w:t>
            </w:r>
            <w:r>
              <w:rPr>
                <w:rFonts w:hint="eastAsia" w:ascii="宋体" w:hAnsi="宋体" w:cs="宋体"/>
                <w:snapToGrid w:val="0"/>
                <w:color w:val="auto"/>
                <w:kern w:val="0"/>
                <w:szCs w:val="21"/>
                <w:highlight w:val="none"/>
                <w:lang w:val="en-US" w:eastAsia="zh-CN"/>
              </w:rPr>
              <w:t>共同投标协议</w:t>
            </w:r>
            <w:r>
              <w:rPr>
                <w:rFonts w:hint="eastAsia" w:ascii="宋体" w:hAnsi="宋体" w:cs="宋体"/>
                <w:snapToGrid w:val="0"/>
                <w:color w:val="auto"/>
                <w:kern w:val="0"/>
                <w:szCs w:val="21"/>
                <w:highlight w:val="none"/>
              </w:rPr>
              <w:t>中各联合体各成员单位签名（或盖章）须齐全，</w:t>
            </w:r>
            <w:r>
              <w:rPr>
                <w:rFonts w:hint="eastAsia" w:ascii="宋体" w:hAnsi="宋体" w:cs="宋体"/>
                <w:snapToGrid w:val="0"/>
                <w:color w:val="auto"/>
                <w:kern w:val="0"/>
                <w:szCs w:val="21"/>
                <w:highlight w:val="none"/>
                <w:lang w:val="en-US" w:eastAsia="zh-CN"/>
              </w:rPr>
              <w:t>共同投标协议</w:t>
            </w:r>
            <w:r>
              <w:rPr>
                <w:rFonts w:hint="eastAsia" w:ascii="宋体" w:hAnsi="宋体" w:cs="宋体"/>
                <w:snapToGrid w:val="0"/>
                <w:color w:val="auto"/>
                <w:kern w:val="0"/>
                <w:szCs w:val="21"/>
                <w:highlight w:val="none"/>
              </w:rPr>
              <w:t>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olor w:val="auto"/>
                <w:szCs w:val="21"/>
                <w:highlight w:val="none"/>
              </w:rPr>
              <w:t>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restart"/>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响应性评审</w:t>
            </w:r>
          </w:p>
        </w:tc>
        <w:tc>
          <w:tcPr>
            <w:tcW w:w="6333" w:type="dxa"/>
            <w:shd w:val="clear" w:color="auto" w:fill="auto"/>
            <w:vAlign w:val="center"/>
          </w:tcPr>
          <w:p>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A-1</w:t>
            </w:r>
            <w:r>
              <w:rPr>
                <w:rFonts w:hint="eastAsia" w:ascii="宋体" w:hAnsi="宋体"/>
                <w:color w:val="auto"/>
                <w:szCs w:val="21"/>
                <w:highlight w:val="none"/>
                <w:lang w:val="en-US" w:eastAsia="zh-CN"/>
              </w:rPr>
              <w:t>3</w:t>
            </w:r>
            <w:r>
              <w:rPr>
                <w:rFonts w:hint="eastAsia" w:ascii="宋体" w:hAnsi="宋体"/>
                <w:color w:val="auto"/>
                <w:szCs w:val="21"/>
                <w:highlight w:val="none"/>
              </w:rPr>
              <w:t>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shd w:val="clear" w:color="auto" w:fill="auto"/>
            <w:vAlign w:val="center"/>
          </w:tcPr>
          <w:p>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w:t>
            </w:r>
            <w:r>
              <w:rPr>
                <w:rFonts w:hint="eastAsia" w:ascii="宋体" w:hAnsi="宋体"/>
                <w:color w:val="auto"/>
                <w:szCs w:val="21"/>
                <w:highlight w:val="none"/>
                <w:lang w:val="en-US" w:eastAsia="zh-CN"/>
              </w:rPr>
              <w:t>14</w:t>
            </w:r>
            <w:r>
              <w:rPr>
                <w:rFonts w:hint="eastAsia" w:ascii="宋体" w:hAnsi="宋体" w:cs="宋体"/>
                <w:color w:val="auto"/>
                <w:szCs w:val="21"/>
                <w:highlight w:val="none"/>
              </w:rPr>
              <w:t>投标保证金</w:t>
            </w:r>
            <w:r>
              <w:rPr>
                <w:rFonts w:hint="eastAsia" w:ascii="宋体" w:hAnsi="宋体" w:cs="宋体"/>
                <w:color w:val="auto"/>
                <w:szCs w:val="21"/>
                <w:highlight w:val="none"/>
                <w:lang w:val="en-US" w:eastAsia="zh-CN"/>
              </w:rPr>
              <w:t>不</w:t>
            </w:r>
            <w:r>
              <w:rPr>
                <w:rFonts w:hint="eastAsia" w:ascii="宋体" w:hAnsi="宋体" w:cs="宋体"/>
                <w:color w:val="auto"/>
                <w:kern w:val="0"/>
                <w:highlight w:val="none"/>
              </w:rPr>
              <w:t>符合第二章“投标人须知前附表”第3.4款规定</w:t>
            </w:r>
            <w:r>
              <w:rPr>
                <w:rFonts w:hint="eastAsia"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15不</w:t>
            </w:r>
            <w:r>
              <w:rPr>
                <w:rFonts w:hint="eastAsia" w:ascii="宋体" w:hAnsi="宋体"/>
                <w:color w:val="auto"/>
                <w:szCs w:val="21"/>
                <w:highlight w:val="none"/>
              </w:rPr>
              <w:t>符合第四章“合同条款及格式”规定，投标文件不应附有招标人不能接受的条件，否则由评标委员会作否决投标处理。（由投标人承诺，承诺书格式详见第八章投标文件格式。）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16</w:t>
            </w:r>
            <w:r>
              <w:rPr>
                <w:rFonts w:hint="eastAsia" w:ascii="宋体" w:hAnsi="宋体"/>
                <w:color w:val="auto"/>
                <w:szCs w:val="21"/>
                <w:highlight w:val="none"/>
              </w:rPr>
              <w:t>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17</w:t>
            </w:r>
            <w:r>
              <w:rPr>
                <w:rFonts w:hint="eastAsia" w:ascii="宋体" w:hAnsi="宋体"/>
                <w:color w:val="auto"/>
                <w:szCs w:val="21"/>
                <w:highlight w:val="none"/>
              </w:rPr>
              <w:t>投标人有以下情形之一的：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1.本次投标</w:t>
            </w:r>
            <w:r>
              <w:rPr>
                <w:rFonts w:hint="eastAsia" w:ascii="宋体" w:hAnsi="宋体"/>
                <w:color w:val="auto"/>
                <w:kern w:val="0"/>
                <w:highlight w:val="none"/>
                <w:lang w:val="en-US" w:eastAsia="zh-CN"/>
              </w:rPr>
              <w:t>存在弄虚作假等其他</w:t>
            </w:r>
            <w:r>
              <w:rPr>
                <w:rFonts w:hint="eastAsia" w:ascii="宋体" w:hAnsi="宋体"/>
                <w:color w:val="auto"/>
                <w:szCs w:val="21"/>
                <w:highlight w:val="none"/>
              </w:rPr>
              <w:t>违反招投标相关法律、法规的行为的；</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投标函</w:t>
            </w:r>
            <w:r>
              <w:rPr>
                <w:rFonts w:hint="eastAsia" w:ascii="宋体" w:hAnsi="宋体"/>
                <w:color w:val="auto"/>
                <w:szCs w:val="21"/>
                <w:highlight w:val="none"/>
                <w:lang w:val="en-US" w:eastAsia="zh-CN"/>
              </w:rPr>
              <w:t>部分</w:t>
            </w:r>
            <w:r>
              <w:rPr>
                <w:rFonts w:hint="eastAsia" w:ascii="宋体" w:hAnsi="宋体"/>
                <w:color w:val="auto"/>
                <w:szCs w:val="21"/>
                <w:highlight w:val="none"/>
              </w:rPr>
              <w:t>评审</w:t>
            </w:r>
          </w:p>
        </w:tc>
        <w:tc>
          <w:tcPr>
            <w:tcW w:w="6333" w:type="dxa"/>
          </w:tcPr>
          <w:p>
            <w:pPr>
              <w:spacing w:line="400" w:lineRule="exact"/>
              <w:ind w:firstLine="420" w:firstLineChars="200"/>
              <w:rPr>
                <w:rFonts w:hint="eastAsia" w:ascii="宋体" w:hAnsi="宋体"/>
                <w:iCs/>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18</w:t>
            </w:r>
            <w:r>
              <w:rPr>
                <w:rFonts w:hint="eastAsia" w:ascii="宋体" w:hAnsi="宋体"/>
                <w:color w:val="auto"/>
                <w:szCs w:val="21"/>
                <w:highlight w:val="none"/>
              </w:rPr>
              <w:t>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shd w:val="clear" w:color="auto" w:fill="auto"/>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A-19</w:t>
            </w:r>
            <w:r>
              <w:rPr>
                <w:rFonts w:hint="eastAsia" w:ascii="宋体" w:hAnsi="宋体"/>
                <w:color w:val="auto"/>
                <w:szCs w:val="21"/>
                <w:highlight w:val="none"/>
              </w:rPr>
              <w:t>《投标函》中填写的项目经理与拟派项目经理的信息</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hint="eastAsia" w:ascii="宋体" w:hAnsi="宋体"/>
                <w:color w:val="auto"/>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shd w:val="clear" w:color="auto" w:fill="auto"/>
            <w:vAlign w:val="center"/>
          </w:tcPr>
          <w:p>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A-2</w:t>
            </w:r>
            <w:r>
              <w:rPr>
                <w:rFonts w:hint="eastAsia" w:ascii="宋体" w:hAnsi="宋体"/>
                <w:color w:val="auto"/>
                <w:szCs w:val="21"/>
                <w:highlight w:val="none"/>
                <w:lang w:val="en-US" w:eastAsia="zh-CN"/>
              </w:rPr>
              <w:t>0</w:t>
            </w:r>
            <w:r>
              <w:rPr>
                <w:rFonts w:hint="eastAsia" w:ascii="宋体" w:hAnsi="宋体"/>
                <w:color w:val="auto"/>
                <w:szCs w:val="21"/>
                <w:highlight w:val="none"/>
              </w:rPr>
              <w:t>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shd w:val="clear" w:color="auto" w:fill="auto"/>
            <w:vAlign w:val="center"/>
          </w:tcPr>
          <w:p>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A-2</w:t>
            </w:r>
            <w:r>
              <w:rPr>
                <w:rFonts w:hint="eastAsia" w:ascii="宋体" w:hAnsi="宋体"/>
                <w:color w:val="auto"/>
                <w:szCs w:val="21"/>
                <w:highlight w:val="none"/>
                <w:lang w:val="en-US" w:eastAsia="zh-CN"/>
              </w:rPr>
              <w:t>1</w:t>
            </w:r>
            <w:r>
              <w:rPr>
                <w:rFonts w:hint="eastAsia" w:ascii="宋体" w:hAnsi="宋体"/>
                <w:color w:val="auto"/>
                <w:szCs w:val="21"/>
                <w:highlight w:val="none"/>
              </w:rPr>
              <w:t>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shd w:val="clear" w:color="auto" w:fill="auto"/>
            <w:vAlign w:val="center"/>
          </w:tcPr>
          <w:p>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A-2</w:t>
            </w:r>
            <w:r>
              <w:rPr>
                <w:rFonts w:hint="eastAsia" w:ascii="宋体" w:hAnsi="宋体"/>
                <w:color w:val="auto"/>
                <w:szCs w:val="21"/>
                <w:highlight w:val="none"/>
                <w:lang w:val="en-US" w:eastAsia="zh-CN"/>
              </w:rPr>
              <w:t>2</w:t>
            </w:r>
            <w:r>
              <w:rPr>
                <w:rFonts w:hint="eastAsia" w:ascii="宋体" w:hAnsi="宋体"/>
                <w:color w:val="auto"/>
                <w:szCs w:val="21"/>
                <w:highlight w:val="none"/>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shd w:val="clear" w:color="auto" w:fill="auto"/>
            <w:vAlign w:val="center"/>
          </w:tcPr>
          <w:p>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w:t>
            </w:r>
            <w:r>
              <w:rPr>
                <w:rFonts w:hint="eastAsia" w:ascii="宋体" w:hAnsi="宋体"/>
                <w:color w:val="auto"/>
                <w:szCs w:val="21"/>
                <w:highlight w:val="none"/>
                <w:lang w:val="en-US" w:eastAsia="zh-CN"/>
              </w:rPr>
              <w:t>23投标函中</w:t>
            </w:r>
            <w:r>
              <w:rPr>
                <w:rFonts w:hint="eastAsia" w:ascii="宋体" w:hAnsi="宋体"/>
                <w:color w:val="auto"/>
                <w:szCs w:val="21"/>
                <w:highlight w:val="none"/>
              </w:rPr>
              <w:t>的投标总报价</w:t>
            </w:r>
            <w:r>
              <w:rPr>
                <w:rFonts w:hint="eastAsia" w:ascii="宋体" w:hAnsi="宋体"/>
                <w:color w:val="auto"/>
                <w:szCs w:val="21"/>
                <w:highlight w:val="none"/>
                <w:lang w:val="en-US" w:eastAsia="zh-CN"/>
              </w:rPr>
              <w:t>高于招标人公布的</w:t>
            </w:r>
            <w:r>
              <w:rPr>
                <w:rFonts w:hint="eastAsia" w:ascii="宋体" w:hAnsi="宋体"/>
                <w:color w:val="auto"/>
                <w:szCs w:val="21"/>
                <w:highlight w:val="none"/>
              </w:rPr>
              <w:t>投标总报价最高限价。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shd w:val="clear" w:color="auto" w:fill="auto"/>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24</w:t>
            </w:r>
            <w:r>
              <w:rPr>
                <w:rFonts w:hint="eastAsia" w:ascii="宋体" w:hAnsi="宋体"/>
                <w:color w:val="auto"/>
                <w:szCs w:val="21"/>
                <w:highlight w:val="none"/>
              </w:rPr>
              <w:t>投标函中的安全文明施工费金额未按照招标人给出的暂定金额填报。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shd w:val="clear" w:color="auto" w:fill="auto"/>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25</w:t>
            </w:r>
            <w:r>
              <w:rPr>
                <w:rFonts w:hint="eastAsia" w:ascii="宋体" w:hAnsi="宋体"/>
                <w:color w:val="auto"/>
                <w:szCs w:val="21"/>
                <w:highlight w:val="none"/>
              </w:rPr>
              <w:t>有</w:t>
            </w:r>
            <w:r>
              <w:rPr>
                <w:rFonts w:hint="eastAsia" w:ascii="宋体" w:hAnsi="宋体"/>
                <w:color w:val="auto"/>
                <w:szCs w:val="21"/>
                <w:highlight w:val="none"/>
                <w:lang w:val="en-US" w:eastAsia="zh-CN"/>
              </w:rPr>
              <w:t>多</w:t>
            </w:r>
            <w:r>
              <w:rPr>
                <w:rFonts w:hint="eastAsia" w:ascii="宋体" w:hAnsi="宋体"/>
                <w:color w:val="auto"/>
                <w:szCs w:val="21"/>
                <w:highlight w:val="none"/>
              </w:rPr>
              <w:t>个有效报价。在招标文件没有规定的情况下，提交选择性报价。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hint="eastAsia" w:ascii="宋体" w:hAnsi="宋体"/>
                <w:color w:val="auto"/>
                <w:szCs w:val="21"/>
                <w:highlight w:val="none"/>
              </w:rPr>
            </w:pPr>
          </w:p>
        </w:tc>
        <w:tc>
          <w:tcPr>
            <w:tcW w:w="6333" w:type="dxa"/>
            <w:shd w:val="clear" w:color="auto" w:fill="auto"/>
            <w:vAlign w:val="center"/>
          </w:tcPr>
          <w:p>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w:t>
            </w:r>
            <w:r>
              <w:rPr>
                <w:rFonts w:hint="eastAsia" w:ascii="宋体" w:hAnsi="宋体"/>
                <w:color w:val="auto"/>
                <w:szCs w:val="21"/>
                <w:highlight w:val="none"/>
                <w:lang w:val="en-US" w:eastAsia="zh-CN"/>
              </w:rPr>
              <w:t>26</w:t>
            </w:r>
            <w:r>
              <w:rPr>
                <w:rFonts w:hint="eastAsia" w:ascii="宋体" w:hAnsi="宋体"/>
                <w:color w:val="auto"/>
                <w:szCs w:val="21"/>
                <w:highlight w:val="none"/>
              </w:rPr>
              <w:t>投标报价有</w:t>
            </w:r>
            <w:r>
              <w:rPr>
                <w:rFonts w:hint="eastAsia" w:ascii="宋体" w:hAnsi="宋体"/>
                <w:color w:val="auto"/>
                <w:szCs w:val="21"/>
                <w:highlight w:val="none"/>
                <w:lang w:val="en-US" w:eastAsia="zh-CN"/>
              </w:rPr>
              <w:t>大小写不一致</w:t>
            </w:r>
            <w:r>
              <w:rPr>
                <w:rFonts w:hint="eastAsia" w:ascii="宋体" w:hAnsi="宋体"/>
                <w:color w:val="auto"/>
                <w:szCs w:val="21"/>
                <w:highlight w:val="none"/>
              </w:rPr>
              <w:t>的，</w:t>
            </w:r>
            <w:r>
              <w:rPr>
                <w:rFonts w:hint="eastAsia" w:ascii="宋体" w:hAnsi="宋体"/>
                <w:color w:val="auto"/>
                <w:szCs w:val="21"/>
                <w:highlight w:val="none"/>
                <w:lang w:val="en-US" w:eastAsia="zh-CN"/>
              </w:rPr>
              <w:t>未</w:t>
            </w:r>
            <w:r>
              <w:rPr>
                <w:rFonts w:hint="eastAsia" w:ascii="宋体" w:hAnsi="宋体"/>
                <w:color w:val="auto"/>
                <w:szCs w:val="21"/>
                <w:highlight w:val="none"/>
              </w:rPr>
              <w:t>按照第三章3.评标程序第3.1.</w:t>
            </w:r>
            <w:r>
              <w:rPr>
                <w:rFonts w:hint="eastAsia" w:ascii="宋体" w:hAnsi="宋体"/>
                <w:color w:val="auto"/>
                <w:szCs w:val="21"/>
                <w:highlight w:val="none"/>
                <w:lang w:val="en-US" w:eastAsia="zh-CN"/>
              </w:rPr>
              <w:t>2</w:t>
            </w:r>
            <w:r>
              <w:rPr>
                <w:rFonts w:hint="eastAsia" w:ascii="宋体" w:hAnsi="宋体"/>
                <w:color w:val="auto"/>
                <w:szCs w:val="21"/>
                <w:highlight w:val="none"/>
              </w:rPr>
              <w:t>项规定执行。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hint="eastAsia" w:ascii="宋体" w:hAnsi="宋体"/>
                <w:color w:val="auto"/>
                <w:szCs w:val="21"/>
                <w:highlight w:val="none"/>
              </w:rPr>
            </w:pPr>
            <w:r>
              <w:rPr>
                <w:rFonts w:ascii="宋体" w:hAnsi="宋体"/>
                <w:color w:val="auto"/>
                <w:szCs w:val="21"/>
                <w:highlight w:val="none"/>
              </w:rPr>
              <w:t>其他</w:t>
            </w:r>
          </w:p>
        </w:tc>
        <w:tc>
          <w:tcPr>
            <w:tcW w:w="1899" w:type="dxa"/>
            <w:vAlign w:val="center"/>
          </w:tcPr>
          <w:p>
            <w:pPr>
              <w:spacing w:line="400" w:lineRule="exact"/>
              <w:jc w:val="center"/>
              <w:rPr>
                <w:rFonts w:hint="eastAsia" w:ascii="宋体" w:hAnsi="宋体"/>
                <w:color w:val="auto"/>
                <w:szCs w:val="21"/>
                <w:highlight w:val="none"/>
              </w:rPr>
            </w:pPr>
          </w:p>
        </w:tc>
        <w:tc>
          <w:tcPr>
            <w:tcW w:w="6333" w:type="dxa"/>
          </w:tcPr>
          <w:p>
            <w:pPr>
              <w:spacing w:line="400" w:lineRule="exact"/>
              <w:ind w:firstLine="420" w:firstLineChars="200"/>
              <w:rPr>
                <w:rFonts w:hint="eastAsia" w:ascii="宋体" w:hAnsi="宋体"/>
                <w:iCs/>
                <w:color w:val="auto"/>
                <w:szCs w:val="21"/>
                <w:highlight w:val="none"/>
              </w:rPr>
            </w:pPr>
            <w:r>
              <w:rPr>
                <w:rFonts w:hint="eastAsia" w:ascii="宋体" w:hAnsi="宋体"/>
                <w:iCs/>
                <w:color w:val="auto"/>
                <w:szCs w:val="21"/>
                <w:highlight w:val="none"/>
              </w:rPr>
              <w:t>/</w:t>
            </w:r>
          </w:p>
        </w:tc>
      </w:tr>
    </w:tbl>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autoSpaceDE w:val="0"/>
        <w:autoSpaceDN w:val="0"/>
        <w:adjustRightInd w:val="0"/>
        <w:snapToGrid w:val="0"/>
        <w:spacing w:before="340" w:after="330" w:line="360" w:lineRule="auto"/>
        <w:jc w:val="left"/>
        <w:rPr>
          <w:rFonts w:hint="eastAsia" w:ascii="宋体" w:hAnsi="宋体"/>
          <w:color w:val="auto"/>
          <w:kern w:val="0"/>
          <w:sz w:val="52"/>
          <w:szCs w:val="52"/>
          <w:highlight w:val="none"/>
        </w:rPr>
      </w:pPr>
      <w:r>
        <w:rPr>
          <w:rFonts w:ascii="宋体" w:hAnsi="宋体"/>
          <w:color w:val="auto"/>
          <w:kern w:val="0"/>
          <w:highlight w:val="none"/>
        </w:rPr>
        <w:br w:type="page"/>
      </w:r>
    </w:p>
    <w:p>
      <w:pPr>
        <w:pStyle w:val="3"/>
        <w:spacing w:line="360" w:lineRule="auto"/>
        <w:jc w:val="center"/>
        <w:rPr>
          <w:rFonts w:hint="eastAsia" w:ascii="宋体" w:hAnsi="宋体"/>
          <w:color w:val="auto"/>
          <w:kern w:val="0"/>
          <w:highlight w:val="none"/>
        </w:rPr>
      </w:pPr>
      <w:bookmarkStart w:id="656" w:name="_Toc509218785"/>
      <w:bookmarkStart w:id="657" w:name="_Toc28526"/>
      <w:bookmarkStart w:id="658" w:name="_Toc430530509"/>
      <w:bookmarkStart w:id="659" w:name="_Toc8427"/>
      <w:r>
        <w:rPr>
          <w:rFonts w:hint="eastAsia" w:ascii="宋体" w:hAnsi="宋体"/>
          <w:color w:val="auto"/>
          <w:kern w:val="0"/>
          <w:highlight w:val="none"/>
        </w:rPr>
        <w:t>第四章  合同条款及格式</w:t>
      </w:r>
      <w:bookmarkEnd w:id="656"/>
      <w:bookmarkEnd w:id="657"/>
      <w:bookmarkEnd w:id="658"/>
      <w:bookmarkEnd w:id="659"/>
    </w:p>
    <w:p>
      <w:pPr>
        <w:rPr>
          <w:rFonts w:hint="eastAsia" w:ascii="宋体" w:hAnsi="宋体"/>
          <w:color w:val="auto"/>
          <w:sz w:val="44"/>
          <w:szCs w:val="44"/>
          <w:highlight w:val="none"/>
        </w:rPr>
      </w:pPr>
      <w:r>
        <w:rPr>
          <w:rFonts w:ascii="宋体" w:hAnsi="宋体"/>
          <w:color w:val="auto"/>
          <w:highlight w:val="none"/>
        </w:rPr>
        <w:br w:type="page"/>
      </w:r>
      <w:bookmarkStart w:id="660" w:name="_Toc351203480"/>
      <w:bookmarkStart w:id="661" w:name="_Toc296890982"/>
      <w:bookmarkStart w:id="662" w:name="_Toc296503025"/>
    </w:p>
    <w:p>
      <w:pPr>
        <w:spacing w:line="360" w:lineRule="auto"/>
        <w:jc w:val="center"/>
        <w:rPr>
          <w:rFonts w:hint="eastAsia" w:ascii="宋体" w:hAnsi="宋体"/>
          <w:color w:val="auto"/>
          <w:sz w:val="44"/>
          <w:szCs w:val="44"/>
          <w:highlight w:val="none"/>
        </w:rPr>
      </w:pPr>
      <w:r>
        <w:rPr>
          <w:rFonts w:hint="eastAsia" w:ascii="宋体" w:hAnsi="宋体"/>
          <w:color w:val="auto"/>
          <w:sz w:val="44"/>
          <w:szCs w:val="44"/>
          <w:highlight w:val="none"/>
        </w:rPr>
        <w:t>第一部分 合同协议书</w:t>
      </w:r>
    </w:p>
    <w:p>
      <w:pPr>
        <w:pStyle w:val="136"/>
        <w:snapToGrid w:val="0"/>
        <w:spacing w:before="0" w:line="360" w:lineRule="auto"/>
        <w:ind w:firstLine="562" w:firstLineChars="200"/>
        <w:rPr>
          <w:rFonts w:hint="eastAsia" w:ascii="宋体" w:hAnsi="宋体"/>
          <w:color w:val="auto"/>
          <w:highlight w:val="none"/>
        </w:rPr>
      </w:pPr>
    </w:p>
    <w:p>
      <w:pPr>
        <w:pStyle w:val="136"/>
        <w:snapToGrid w:val="0"/>
        <w:spacing w:before="0" w:line="360" w:lineRule="auto"/>
        <w:ind w:firstLine="480" w:firstLineChars="200"/>
        <w:rPr>
          <w:rFonts w:hint="eastAsia" w:ascii="宋体" w:hAnsi="宋体"/>
          <w:b w:val="0"/>
          <w:i/>
          <w:color w:val="auto"/>
          <w:sz w:val="24"/>
          <w:szCs w:val="24"/>
          <w:highlight w:val="none"/>
        </w:rPr>
      </w:pPr>
      <w:bookmarkStart w:id="663" w:name="_Toc9255"/>
      <w:bookmarkStart w:id="664" w:name="_Toc28182"/>
      <w:r>
        <w:rPr>
          <w:rFonts w:ascii="宋体" w:hAnsi="宋体"/>
          <w:b w:val="0"/>
          <w:i/>
          <w:color w:val="auto"/>
          <w:sz w:val="24"/>
          <w:szCs w:val="24"/>
          <w:highlight w:val="none"/>
        </w:rPr>
        <w:t>[提示</w:t>
      </w:r>
      <w:r>
        <w:rPr>
          <w:rFonts w:hint="eastAsia" w:ascii="宋体" w:hAnsi="宋体"/>
          <w:b w:val="0"/>
          <w:i/>
          <w:color w:val="auto"/>
          <w:sz w:val="24"/>
          <w:szCs w:val="24"/>
          <w:highlight w:val="none"/>
        </w:rPr>
        <w:t>：</w:t>
      </w:r>
      <w:r>
        <w:rPr>
          <w:rFonts w:ascii="宋体" w:hAnsi="宋体"/>
          <w:b w:val="0"/>
          <w:i/>
          <w:color w:val="auto"/>
          <w:sz w:val="21"/>
          <w:szCs w:val="21"/>
          <w:highlight w:val="none"/>
        </w:rPr>
        <w:t>合同协议书为示范性内容，招标人在编制招标文件时不必填写，供中标后签订合同时填写。</w:t>
      </w:r>
      <w:bookmarkEnd w:id="663"/>
      <w:bookmarkEnd w:id="664"/>
      <w:r>
        <w:rPr>
          <w:rFonts w:ascii="宋体" w:hAnsi="宋体"/>
          <w:b w:val="0"/>
          <w:i/>
          <w:color w:val="auto"/>
          <w:sz w:val="24"/>
          <w:szCs w:val="24"/>
          <w:highlight w:val="none"/>
        </w:rPr>
        <w:t>]</w:t>
      </w:r>
    </w:p>
    <w:p>
      <w:pPr>
        <w:rPr>
          <w:rFonts w:hint="eastAsia" w:ascii="宋体" w:hAnsi="宋体"/>
          <w:b/>
          <w:color w:val="auto"/>
          <w:highlight w:val="none"/>
        </w:rPr>
      </w:pPr>
      <w:r>
        <w:rPr>
          <w:rFonts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60288;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txbxContent>
                </v:textbox>
              </v:rect>
            </w:pict>
          </mc:Fallback>
        </mc:AlternateContent>
      </w:r>
      <w:r>
        <w:rPr>
          <w:rFonts w:ascii="宋体" w:hAnsi="宋体"/>
          <w:color w:val="auto"/>
          <w:highlight w:val="none"/>
        </w:rPr>
        <w:br w:type="page"/>
      </w:r>
    </w:p>
    <w:p>
      <w:pPr>
        <w:pStyle w:val="5"/>
        <w:jc w:val="center"/>
        <w:rPr>
          <w:rFonts w:hint="eastAsia" w:ascii="宋体" w:hAnsi="宋体"/>
          <w:b w:val="0"/>
          <w:color w:val="auto"/>
          <w:sz w:val="44"/>
          <w:szCs w:val="44"/>
          <w:highlight w:val="none"/>
        </w:rPr>
      </w:pPr>
      <w:bookmarkStart w:id="665" w:name="_Toc509218786"/>
      <w:bookmarkStart w:id="666" w:name="_Toc10630"/>
      <w:bookmarkStart w:id="667" w:name="_Toc12845"/>
      <w:bookmarkStart w:id="668" w:name="_Toc534185765"/>
      <w:bookmarkStart w:id="669" w:name="_Toc351203494"/>
      <w:r>
        <w:rPr>
          <w:rFonts w:ascii="宋体" w:hAnsi="宋体"/>
          <w:color w:val="auto"/>
          <w:sz w:val="44"/>
          <w:szCs w:val="44"/>
          <w:highlight w:val="none"/>
        </w:rPr>
        <w:t>第一部分 合同协议书</w:t>
      </w:r>
      <w:bookmarkEnd w:id="665"/>
      <w:bookmarkEnd w:id="666"/>
      <w:bookmarkEnd w:id="667"/>
      <w:bookmarkEnd w:id="668"/>
    </w:p>
    <w:bookmarkEnd w:id="669"/>
    <w:p>
      <w:pPr>
        <w:snapToGrid w:val="0"/>
        <w:spacing w:line="600" w:lineRule="exact"/>
        <w:ind w:firstLine="480" w:firstLineChars="200"/>
        <w:rPr>
          <w:rFonts w:hint="eastAsia" w:ascii="宋体" w:hAnsi="宋体"/>
          <w:color w:val="auto"/>
          <w:sz w:val="24"/>
          <w:highlight w:val="none"/>
        </w:rPr>
      </w:pPr>
      <w:bookmarkStart w:id="670" w:name="_Toc351203632"/>
    </w:p>
    <w:p>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b/>
          <w:bCs/>
          <w:color w:val="auto"/>
          <w:szCs w:val="21"/>
          <w:highlight w:val="none"/>
          <w:u w:val="single"/>
        </w:rPr>
        <w:t>重庆三峡银行股份有限公司</w:t>
      </w:r>
    </w:p>
    <w:p>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根据《中华人民共和国民法典》、《中华人民共和国建筑法》及有关法律、法规规定，遵循平等、自愿、公平和诚实信用的原则，双方就</w:t>
      </w:r>
      <w:r>
        <w:rPr>
          <w:rFonts w:hint="eastAsia" w:ascii="宋体" w:hAnsi="宋体"/>
          <w:color w:val="auto"/>
          <w:szCs w:val="21"/>
          <w:highlight w:val="none"/>
          <w:u w:val="single"/>
        </w:rPr>
        <w:t>重庆三峡银行</w:t>
      </w:r>
      <w:r>
        <w:rPr>
          <w:rFonts w:hint="eastAsia" w:ascii="宋体" w:hAnsi="宋体"/>
          <w:color w:val="auto"/>
          <w:szCs w:val="21"/>
          <w:highlight w:val="none"/>
          <w:u w:val="single"/>
          <w:lang w:eastAsia="zh-CN"/>
        </w:rPr>
        <w:t>南岸</w:t>
      </w:r>
      <w:r>
        <w:rPr>
          <w:rFonts w:hint="eastAsia" w:ascii="宋体" w:hAnsi="宋体"/>
          <w:color w:val="auto"/>
          <w:szCs w:val="21"/>
          <w:highlight w:val="none"/>
          <w:u w:val="single"/>
        </w:rPr>
        <w:t>支行搬迁装修工程</w:t>
      </w:r>
      <w:r>
        <w:rPr>
          <w:rFonts w:hint="eastAsia" w:ascii="宋体" w:hAnsi="宋体"/>
          <w:color w:val="auto"/>
          <w:szCs w:val="21"/>
          <w:highlight w:val="none"/>
        </w:rPr>
        <w:t>施工及有关事项协商一致，共同达成如下协议：</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671" w:name="_Toc532375573"/>
      <w:bookmarkStart w:id="672" w:name="_Toc532377166"/>
      <w:bookmarkStart w:id="673" w:name="_Toc351203481"/>
      <w:r>
        <w:rPr>
          <w:rFonts w:hint="eastAsia"/>
          <w:color w:val="auto"/>
          <w:kern w:val="2"/>
          <w:sz w:val="21"/>
          <w:szCs w:val="21"/>
          <w:highlight w:val="none"/>
        </w:rPr>
        <w:t>一、工程概况</w:t>
      </w:r>
      <w:bookmarkEnd w:id="671"/>
      <w:bookmarkEnd w:id="672"/>
      <w:bookmarkEnd w:id="673"/>
    </w:p>
    <w:p>
      <w:pPr>
        <w:snapToGrid w:val="0"/>
        <w:spacing w:line="360" w:lineRule="auto"/>
        <w:ind w:firstLine="420" w:firstLineChars="200"/>
        <w:rPr>
          <w:rFonts w:hint="eastAsia"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重庆三峡银行</w:t>
      </w:r>
      <w:r>
        <w:rPr>
          <w:rFonts w:hint="eastAsia" w:ascii="宋体" w:hAnsi="宋体"/>
          <w:color w:val="auto"/>
          <w:szCs w:val="21"/>
          <w:highlight w:val="none"/>
          <w:u w:val="single"/>
          <w:lang w:eastAsia="zh-CN"/>
        </w:rPr>
        <w:t>南岸</w:t>
      </w:r>
      <w:r>
        <w:rPr>
          <w:rFonts w:hint="eastAsia" w:ascii="宋体" w:hAnsi="宋体"/>
          <w:color w:val="auto"/>
          <w:szCs w:val="21"/>
          <w:highlight w:val="none"/>
          <w:u w:val="single"/>
        </w:rPr>
        <w:t>支行搬迁装修工程</w:t>
      </w:r>
      <w:r>
        <w:rPr>
          <w:rFonts w:hint="eastAsia" w:ascii="宋体" w:hAnsi="宋体"/>
          <w:color w:val="auto"/>
          <w:szCs w:val="21"/>
          <w:highlight w:val="none"/>
        </w:rPr>
        <w:t>。</w:t>
      </w:r>
    </w:p>
    <w:p>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snapToGrid w:val="0"/>
          <w:color w:val="auto"/>
          <w:kern w:val="0"/>
          <w:szCs w:val="21"/>
          <w:highlight w:val="none"/>
          <w:u w:val="single"/>
          <w:lang w:val="en-US" w:eastAsia="zh-CN"/>
        </w:rPr>
        <w:t xml:space="preserve">        </w:t>
      </w:r>
      <w:r>
        <w:rPr>
          <w:rFonts w:hint="eastAsia" w:ascii="宋体" w:hAnsi="宋体"/>
          <w:color w:val="auto"/>
          <w:szCs w:val="21"/>
          <w:highlight w:val="none"/>
        </w:rPr>
        <w:t>。</w:t>
      </w:r>
    </w:p>
    <w:p>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w:t>
      </w:r>
      <w:r>
        <w:rPr>
          <w:rFonts w:hint="eastAsia" w:ascii="宋体" w:hAnsi="宋体"/>
          <w:bCs/>
          <w:color w:val="auto"/>
          <w:szCs w:val="21"/>
          <w:highlight w:val="none"/>
        </w:rPr>
        <w:t>。</w:t>
      </w:r>
    </w:p>
    <w:p>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snapToGrid w:val="0"/>
          <w:color w:val="auto"/>
          <w:kern w:val="0"/>
          <w:szCs w:val="21"/>
          <w:highlight w:val="none"/>
          <w:u w:val="single"/>
        </w:rPr>
        <w:t>企业自筹</w:t>
      </w:r>
      <w:r>
        <w:rPr>
          <w:rFonts w:hint="eastAsia" w:ascii="宋体" w:hAnsi="宋体"/>
          <w:color w:val="auto"/>
          <w:szCs w:val="21"/>
          <w:highlight w:val="none"/>
        </w:rPr>
        <w:t>。</w:t>
      </w:r>
    </w:p>
    <w:p>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bCs/>
          <w:color w:val="auto"/>
          <w:szCs w:val="21"/>
          <w:highlight w:val="none"/>
          <w:u w:val="single"/>
        </w:rPr>
        <w:t>包</w:t>
      </w:r>
      <w:r>
        <w:rPr>
          <w:color w:val="auto"/>
          <w:szCs w:val="21"/>
          <w:highlight w:val="none"/>
          <w:u w:val="single"/>
        </w:rPr>
        <w:t>工、包材料、包安全、包质量、工程所有竣工资料、包竣工交验。</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674" w:name="_Toc351203482"/>
      <w:bookmarkStart w:id="675" w:name="_Toc532377167"/>
      <w:bookmarkStart w:id="676" w:name="_Toc532375574"/>
      <w:r>
        <w:rPr>
          <w:rFonts w:hint="eastAsia"/>
          <w:color w:val="auto"/>
          <w:kern w:val="2"/>
          <w:sz w:val="21"/>
          <w:szCs w:val="21"/>
          <w:highlight w:val="none"/>
        </w:rPr>
        <w:t>二、合同工期</w:t>
      </w:r>
      <w:bookmarkEnd w:id="674"/>
      <w:bookmarkEnd w:id="675"/>
      <w:bookmarkEnd w:id="676"/>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承包人投标函中承诺的工期：</w:t>
      </w:r>
      <w:r>
        <w:rPr>
          <w:rFonts w:hint="eastAsia" w:ascii="宋体" w:hAnsi="宋体"/>
          <w:bCs/>
          <w:color w:val="auto"/>
          <w:szCs w:val="21"/>
          <w:highlight w:val="none"/>
          <w:u w:val="single"/>
        </w:rPr>
        <w:t>日历天</w:t>
      </w:r>
      <w:r>
        <w:rPr>
          <w:rFonts w:hint="eastAsia" w:ascii="宋体" w:hAnsi="宋体"/>
          <w:bCs/>
          <w:color w:val="auto"/>
          <w:szCs w:val="21"/>
          <w:highlight w:val="none"/>
        </w:rPr>
        <w:t>。</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计划开工日期：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日，实际开工日期以监理工程师签发的工程开工通知明确的开工日期为准。</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计划竣工日期：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日，实际竣工日期以工程竣工验收合格之日为准。</w:t>
      </w:r>
    </w:p>
    <w:p>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工期总日历天数</w:t>
      </w:r>
      <w:r>
        <w:rPr>
          <w:rFonts w:hint="eastAsia" w:ascii="宋体" w:hAnsi="宋体"/>
          <w:bCs/>
          <w:color w:val="auto"/>
          <w:szCs w:val="21"/>
          <w:highlight w:val="none"/>
          <w:u w:val="single"/>
        </w:rPr>
        <w:t></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677" w:name="_Toc532377168"/>
      <w:bookmarkStart w:id="678" w:name="_Toc532375575"/>
      <w:bookmarkStart w:id="679" w:name="_Toc351203483"/>
      <w:r>
        <w:rPr>
          <w:rFonts w:hint="eastAsia"/>
          <w:color w:val="auto"/>
          <w:kern w:val="2"/>
          <w:sz w:val="21"/>
          <w:szCs w:val="21"/>
          <w:highlight w:val="none"/>
        </w:rPr>
        <w:t>三、质量标准</w:t>
      </w:r>
      <w:bookmarkEnd w:id="677"/>
      <w:bookmarkEnd w:id="678"/>
      <w:bookmarkEnd w:id="679"/>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符合国家和重庆市现行有关施工质量验收规范和标准要求，并达到合格</w:t>
      </w:r>
      <w:r>
        <w:rPr>
          <w:rFonts w:hint="eastAsia" w:ascii="宋体" w:hAnsi="宋体"/>
          <w:color w:val="auto"/>
          <w:szCs w:val="21"/>
          <w:highlight w:val="none"/>
        </w:rPr>
        <w:t>标准。</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680" w:name="_Toc532375576"/>
      <w:bookmarkStart w:id="681" w:name="_Toc351203484"/>
      <w:bookmarkStart w:id="682" w:name="_Toc532377169"/>
      <w:r>
        <w:rPr>
          <w:rFonts w:hint="eastAsia"/>
          <w:color w:val="auto"/>
          <w:kern w:val="2"/>
          <w:sz w:val="21"/>
          <w:szCs w:val="21"/>
          <w:highlight w:val="none"/>
        </w:rPr>
        <w:t>四、签约合同价与合同价格形式</w:t>
      </w:r>
      <w:bookmarkEnd w:id="680"/>
      <w:bookmarkEnd w:id="681"/>
      <w:bookmarkEnd w:id="682"/>
      <w:r>
        <w:rPr>
          <w:rFonts w:hint="eastAsia"/>
          <w:color w:val="auto"/>
          <w:kern w:val="2"/>
          <w:sz w:val="21"/>
          <w:szCs w:val="21"/>
          <w:highlight w:val="none"/>
        </w:rPr>
        <w:tab/>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1.承包人投标函中承诺的中标价为：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2.签约合同价为：</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其中：</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（1）安全文明施工费：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（2）材料和工程设备暂估价金额：</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（3）专业工程暂估价金额：</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（4）暂列金额：</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（5）人工费（工资款）</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该项目实行人工费（工资款）与其他工程款分账管理，发包人将应付工程款中的人工费（工资款），以不低于已完成合同价款的</w:t>
      </w:r>
      <w:r>
        <w:rPr>
          <w:rFonts w:hint="eastAsia" w:ascii="宋体" w:hAnsi="宋体"/>
          <w:color w:val="auto"/>
          <w:szCs w:val="21"/>
          <w:highlight w:val="none"/>
          <w:u w:val="single"/>
        </w:rPr>
        <w:t xml:space="preserve">    </w:t>
      </w:r>
      <w:r>
        <w:rPr>
          <w:rFonts w:hint="eastAsia" w:ascii="宋体" w:hAnsi="宋体"/>
          <w:color w:val="auto"/>
          <w:szCs w:val="21"/>
          <w:highlight w:val="none"/>
        </w:rPr>
        <w:t>，农民工工资单独支付至承包人设立的农民工工资专用账户。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3.合同价格形式：</w:t>
      </w:r>
      <w:r>
        <w:rPr>
          <w:rFonts w:hint="eastAsia" w:ascii="宋体" w:hAnsi="宋体"/>
          <w:color w:val="auto"/>
          <w:szCs w:val="21"/>
          <w:highlight w:val="none"/>
          <w:u w:val="single"/>
        </w:rPr>
        <w:t>总价包干</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683" w:name="_Toc351203485"/>
      <w:bookmarkStart w:id="684" w:name="_Toc532377170"/>
      <w:bookmarkStart w:id="685" w:name="_Toc532375577"/>
      <w:r>
        <w:rPr>
          <w:rFonts w:hint="eastAsia"/>
          <w:color w:val="auto"/>
          <w:kern w:val="2"/>
          <w:sz w:val="21"/>
          <w:szCs w:val="21"/>
          <w:highlight w:val="none"/>
        </w:rPr>
        <w:t>五、</w:t>
      </w:r>
      <w:bookmarkEnd w:id="683"/>
      <w:r>
        <w:rPr>
          <w:rFonts w:hint="eastAsia"/>
          <w:color w:val="auto"/>
          <w:kern w:val="2"/>
          <w:sz w:val="21"/>
          <w:szCs w:val="21"/>
          <w:highlight w:val="none"/>
        </w:rPr>
        <w:t>项目经理及技术负责人</w:t>
      </w:r>
      <w:bookmarkEnd w:id="684"/>
      <w:bookmarkEnd w:id="685"/>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承包人投标文件中承诺的项目经理：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承包人投标文件中承诺的技术负责人：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2"/>
        <w:spacing w:line="360" w:lineRule="auto"/>
        <w:rPr>
          <w:rFonts w:hint="eastAsia"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686" w:name="_Toc351203486"/>
      <w:bookmarkStart w:id="687" w:name="_Toc532375578"/>
      <w:bookmarkStart w:id="688" w:name="_Toc532377171"/>
      <w:r>
        <w:rPr>
          <w:rFonts w:hint="eastAsia"/>
          <w:color w:val="auto"/>
          <w:kern w:val="2"/>
          <w:sz w:val="21"/>
          <w:szCs w:val="21"/>
          <w:highlight w:val="none"/>
        </w:rPr>
        <w:t>六、合同文件构成</w:t>
      </w:r>
      <w:bookmarkEnd w:id="686"/>
      <w:bookmarkEnd w:id="687"/>
      <w:bookmarkEnd w:id="688"/>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合同由以下文件构成：</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（1）合同协议书；</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（2）中标通知书；</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（3）投标函及投标函附录；</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（4）专用合同条款及其附件；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（5）通用合同条款；</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（6）投标文件（投标函及投标函附录除外）；</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（7）招标文件及修改文件；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（8）技术标准和要求；</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（9）图纸；</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（10）其他合同文件。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689" w:name="_Toc532375579"/>
      <w:bookmarkStart w:id="690" w:name="_Toc532377172"/>
      <w:bookmarkStart w:id="691" w:name="_Toc351203487"/>
      <w:r>
        <w:rPr>
          <w:rFonts w:hint="eastAsia"/>
          <w:color w:val="auto"/>
          <w:kern w:val="2"/>
          <w:sz w:val="21"/>
          <w:szCs w:val="21"/>
          <w:highlight w:val="none"/>
        </w:rPr>
        <w:t>七、承诺</w:t>
      </w:r>
      <w:bookmarkEnd w:id="689"/>
      <w:bookmarkEnd w:id="690"/>
      <w:bookmarkEnd w:id="691"/>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692" w:name="_Toc351203488"/>
      <w:bookmarkStart w:id="693" w:name="_Toc532375580"/>
      <w:bookmarkStart w:id="694" w:name="_Toc532377173"/>
      <w:r>
        <w:rPr>
          <w:rFonts w:hint="eastAsia"/>
          <w:color w:val="auto"/>
          <w:kern w:val="2"/>
          <w:sz w:val="21"/>
          <w:szCs w:val="21"/>
          <w:highlight w:val="none"/>
        </w:rPr>
        <w:t>八、词语含义</w:t>
      </w:r>
      <w:bookmarkEnd w:id="692"/>
      <w:bookmarkEnd w:id="693"/>
      <w:bookmarkEnd w:id="694"/>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695" w:name="_Toc532375581"/>
      <w:bookmarkStart w:id="696" w:name="_Toc532377174"/>
      <w:r>
        <w:rPr>
          <w:rFonts w:hint="eastAsia"/>
          <w:color w:val="auto"/>
          <w:kern w:val="2"/>
          <w:sz w:val="21"/>
          <w:szCs w:val="21"/>
          <w:highlight w:val="none"/>
        </w:rPr>
        <w:t>九、签订时间</w:t>
      </w:r>
      <w:bookmarkEnd w:id="695"/>
      <w:bookmarkEnd w:id="696"/>
    </w:p>
    <w:p>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697" w:name="_Toc351203489"/>
      <w:bookmarkStart w:id="698" w:name="_Toc532377175"/>
      <w:bookmarkStart w:id="699" w:name="_Toc532375582"/>
      <w:r>
        <w:rPr>
          <w:rFonts w:hint="eastAsia"/>
          <w:color w:val="auto"/>
          <w:kern w:val="2"/>
          <w:sz w:val="21"/>
          <w:szCs w:val="21"/>
          <w:highlight w:val="none"/>
        </w:rPr>
        <w:t>十、</w:t>
      </w:r>
      <w:bookmarkEnd w:id="697"/>
      <w:bookmarkStart w:id="700" w:name="_Toc351203490"/>
      <w:r>
        <w:rPr>
          <w:rFonts w:hint="eastAsia"/>
          <w:color w:val="auto"/>
          <w:kern w:val="2"/>
          <w:sz w:val="21"/>
          <w:szCs w:val="21"/>
          <w:highlight w:val="none"/>
        </w:rPr>
        <w:t>签订地点</w:t>
      </w:r>
      <w:bookmarkEnd w:id="698"/>
      <w:bookmarkEnd w:id="699"/>
      <w:bookmarkEnd w:id="700"/>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701" w:name="_Toc532375583"/>
      <w:bookmarkStart w:id="702" w:name="_Toc351203491"/>
      <w:bookmarkStart w:id="703" w:name="_Toc532377176"/>
      <w:r>
        <w:rPr>
          <w:rFonts w:hint="eastAsia"/>
          <w:color w:val="auto"/>
          <w:kern w:val="2"/>
          <w:sz w:val="21"/>
          <w:szCs w:val="21"/>
          <w:highlight w:val="none"/>
        </w:rPr>
        <w:t>十一、补充协议</w:t>
      </w:r>
      <w:bookmarkEnd w:id="701"/>
      <w:bookmarkEnd w:id="702"/>
      <w:bookmarkEnd w:id="703"/>
    </w:p>
    <w:p>
      <w:pPr>
        <w:spacing w:line="360" w:lineRule="auto"/>
        <w:ind w:firstLine="420" w:firstLineChars="200"/>
        <w:rPr>
          <w:rFonts w:hint="eastAsia"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704" w:name="_Toc532377177"/>
      <w:bookmarkStart w:id="705" w:name="_Toc351203492"/>
      <w:bookmarkStart w:id="706" w:name="_Toc532375584"/>
      <w:r>
        <w:rPr>
          <w:rFonts w:hint="eastAsia"/>
          <w:color w:val="auto"/>
          <w:kern w:val="2"/>
          <w:sz w:val="21"/>
          <w:szCs w:val="21"/>
          <w:highlight w:val="none"/>
        </w:rPr>
        <w:t>十二、合同生效</w:t>
      </w:r>
      <w:bookmarkEnd w:id="704"/>
      <w:bookmarkEnd w:id="705"/>
      <w:bookmarkEnd w:id="706"/>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合同在以下条件全部满足之后生效：</w:t>
      </w:r>
    </w:p>
    <w:p>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经双方法定代表人或其委托代理人签名并加盖单位</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2.采用保函形式递交履约担保的，承包人按合同约定向发包人提交履约担保后；</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rFonts w:hint="eastAsia"/>
          <w:color w:val="auto"/>
          <w:kern w:val="2"/>
          <w:sz w:val="21"/>
          <w:szCs w:val="21"/>
          <w:highlight w:val="none"/>
        </w:rPr>
      </w:pPr>
      <w:bookmarkStart w:id="707" w:name="_Toc351203493"/>
      <w:bookmarkStart w:id="708" w:name="_Toc532375585"/>
      <w:bookmarkStart w:id="709" w:name="_Toc532377178"/>
      <w:r>
        <w:rPr>
          <w:rFonts w:hint="eastAsia"/>
          <w:color w:val="auto"/>
          <w:kern w:val="2"/>
          <w:sz w:val="21"/>
          <w:szCs w:val="21"/>
          <w:highlight w:val="none"/>
        </w:rPr>
        <w:t>十三、合同份数</w:t>
      </w:r>
      <w:bookmarkEnd w:id="707"/>
      <w:bookmarkEnd w:id="708"/>
      <w:bookmarkEnd w:id="709"/>
    </w:p>
    <w:p>
      <w:pPr>
        <w:spacing w:line="360" w:lineRule="auto"/>
        <w:ind w:firstLine="420" w:firstLineChars="200"/>
        <w:rPr>
          <w:rFonts w:hint="eastAsia"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pPr>
        <w:spacing w:line="360" w:lineRule="auto"/>
        <w:ind w:firstLine="420" w:firstLineChars="200"/>
        <w:rPr>
          <w:rFonts w:hint="eastAsia" w:ascii="宋体" w:hAnsi="宋体"/>
          <w:bCs/>
          <w:color w:val="auto"/>
          <w:szCs w:val="21"/>
          <w:highlight w:val="none"/>
        </w:rPr>
      </w:pP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（以下为签名盖章页）。</w:t>
      </w:r>
    </w:p>
    <w:p>
      <w:pPr>
        <w:pStyle w:val="2"/>
        <w:spacing w:line="360" w:lineRule="auto"/>
        <w:ind w:firstLine="420" w:firstLineChars="200"/>
        <w:rPr>
          <w:rFonts w:hint="eastAsia" w:ascii="宋体" w:hAnsi="宋体"/>
          <w:color w:val="auto"/>
          <w:szCs w:val="21"/>
          <w:highlight w:val="none"/>
        </w:rPr>
      </w:pPr>
    </w:p>
    <w:p>
      <w:pPr>
        <w:pStyle w:val="2"/>
        <w:spacing w:line="360" w:lineRule="auto"/>
        <w:ind w:firstLine="420" w:firstLineChars="200"/>
        <w:rPr>
          <w:rFonts w:hint="eastAsia" w:ascii="宋体" w:hAnsi="宋体"/>
          <w:color w:val="auto"/>
          <w:szCs w:val="21"/>
          <w:highlight w:val="none"/>
        </w:rPr>
      </w:pPr>
    </w:p>
    <w:p>
      <w:pPr>
        <w:adjustRightInd w:val="0"/>
        <w:spacing w:line="360" w:lineRule="auto"/>
        <w:ind w:firstLine="420" w:firstLineChars="200"/>
        <w:rPr>
          <w:rFonts w:hint="eastAsia" w:ascii="宋体" w:hAnsi="宋体"/>
          <w:snapToGrid w:val="0"/>
          <w:color w:val="auto"/>
          <w:kern w:val="0"/>
          <w:szCs w:val="21"/>
          <w:highlight w:val="none"/>
        </w:rPr>
      </w:pPr>
      <w:bookmarkStart w:id="710"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rPr>
          <w:rFonts w:hint="eastAsia" w:ascii="宋体" w:hAnsi="宋体"/>
          <w:snapToGrid w:val="0"/>
          <w:color w:val="auto"/>
          <w:kern w:val="0"/>
          <w:szCs w:val="21"/>
          <w:highlight w:val="none"/>
        </w:rPr>
      </w:pPr>
    </w:p>
    <w:p>
      <w:pPr>
        <w:spacing w:line="360" w:lineRule="auto"/>
        <w:ind w:firstLine="420" w:firstLineChars="200"/>
        <w:rPr>
          <w:rFonts w:hint="eastAsia"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Style w:val="2"/>
        <w:spacing w:line="360" w:lineRule="auto"/>
        <w:rPr>
          <w:rFonts w:hint="eastAsia" w:ascii="宋体" w:hAnsi="宋体"/>
          <w:color w:val="auto"/>
          <w:szCs w:val="21"/>
          <w:highlight w:val="none"/>
        </w:rPr>
      </w:pPr>
    </w:p>
    <w:p>
      <w:pPr>
        <w:spacing w:line="360" w:lineRule="auto"/>
        <w:jc w:val="right"/>
        <w:rPr>
          <w:rFonts w:hint="eastAsia" w:ascii="宋体" w:hAnsi="宋体"/>
          <w:snapToGrid w:val="0"/>
          <w:color w:val="auto"/>
          <w:kern w:val="0"/>
          <w:szCs w:val="21"/>
          <w:highlight w:val="none"/>
        </w:rPr>
      </w:pPr>
    </w:p>
    <w:p>
      <w:pPr>
        <w:spacing w:line="360" w:lineRule="auto"/>
        <w:jc w:val="right"/>
        <w:rPr>
          <w:rFonts w:hint="eastAsia" w:ascii="宋体" w:hAnsi="宋体"/>
          <w:snapToGrid w:val="0"/>
          <w:color w:val="auto"/>
          <w:kern w:val="0"/>
          <w:szCs w:val="21"/>
          <w:highlight w:val="none"/>
        </w:rPr>
      </w:pPr>
    </w:p>
    <w:p>
      <w:pPr>
        <w:spacing w:line="360" w:lineRule="auto"/>
        <w:jc w:val="righ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710"/>
    </w:p>
    <w:p>
      <w:pPr>
        <w:pStyle w:val="5"/>
        <w:jc w:val="center"/>
        <w:rPr>
          <w:rFonts w:hint="eastAsia"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711" w:name="_Toc529388289"/>
      <w:bookmarkStart w:id="712" w:name="_Toc26723"/>
      <w:bookmarkStart w:id="713" w:name="_Toc532375586"/>
      <w:bookmarkStart w:id="714" w:name="_Toc19856"/>
      <w:bookmarkStart w:id="715" w:name="_Toc532377179"/>
      <w:r>
        <w:rPr>
          <w:rFonts w:hint="eastAsia" w:ascii="宋体" w:hAnsi="宋体"/>
          <w:color w:val="auto"/>
          <w:sz w:val="44"/>
          <w:szCs w:val="44"/>
          <w:highlight w:val="none"/>
        </w:rPr>
        <w:t>第二部分 通用合同条款</w:t>
      </w:r>
      <w:bookmarkEnd w:id="711"/>
      <w:bookmarkEnd w:id="712"/>
      <w:bookmarkEnd w:id="713"/>
      <w:bookmarkEnd w:id="714"/>
      <w:bookmarkEnd w:id="715"/>
    </w:p>
    <w:p>
      <w:pPr>
        <w:pStyle w:val="6"/>
        <w:keepNext/>
        <w:keepLines/>
        <w:spacing w:before="156" w:beforeLines="50" w:beforeAutospacing="0" w:after="156" w:afterLines="50" w:afterAutospacing="0" w:line="360" w:lineRule="auto"/>
        <w:jc w:val="both"/>
        <w:rPr>
          <w:rFonts w:hint="eastAsia"/>
          <w:color w:val="auto"/>
          <w:kern w:val="2"/>
          <w:sz w:val="21"/>
          <w:szCs w:val="21"/>
          <w:highlight w:val="none"/>
        </w:rPr>
      </w:pPr>
      <w:bookmarkStart w:id="716" w:name="_Toc351203495"/>
      <w:bookmarkStart w:id="717" w:name="_Toc532377180"/>
      <w:bookmarkStart w:id="718" w:name="_Toc532375587"/>
      <w:r>
        <w:rPr>
          <w:rFonts w:hint="eastAsia"/>
          <w:color w:val="auto"/>
          <w:kern w:val="2"/>
          <w:sz w:val="21"/>
          <w:szCs w:val="21"/>
          <w:highlight w:val="none"/>
        </w:rPr>
        <w:t>1.</w:t>
      </w:r>
      <w:bookmarkStart w:id="719" w:name="_Toc303538972"/>
      <w:bookmarkEnd w:id="719"/>
      <w:bookmarkStart w:id="720" w:name="_Toc303538976"/>
      <w:bookmarkEnd w:id="720"/>
      <w:bookmarkStart w:id="721" w:name="_Toc303538973"/>
      <w:bookmarkEnd w:id="721"/>
      <w:bookmarkStart w:id="722" w:name="_Toc303538974"/>
      <w:bookmarkEnd w:id="722"/>
      <w:bookmarkStart w:id="723" w:name="_Toc303538975"/>
      <w:bookmarkEnd w:id="723"/>
      <w:bookmarkStart w:id="724" w:name="_Toc296346528"/>
      <w:bookmarkStart w:id="725" w:name="_Toc296503027"/>
      <w:r>
        <w:rPr>
          <w:rFonts w:hint="eastAsia"/>
          <w:color w:val="auto"/>
          <w:kern w:val="2"/>
          <w:sz w:val="21"/>
          <w:szCs w:val="21"/>
          <w:highlight w:val="none"/>
        </w:rPr>
        <w:t>一般约定</w:t>
      </w:r>
      <w:bookmarkEnd w:id="716"/>
      <w:bookmarkEnd w:id="717"/>
      <w:bookmarkEnd w:id="718"/>
      <w:bookmarkEnd w:id="724"/>
      <w:bookmarkEnd w:id="725"/>
    </w:p>
    <w:p>
      <w:pPr>
        <w:pStyle w:val="7"/>
        <w:spacing w:before="0" w:beforeAutospacing="0" w:after="0" w:afterAutospacing="0" w:line="360" w:lineRule="auto"/>
        <w:ind w:firstLine="422" w:firstLineChars="200"/>
        <w:rPr>
          <w:rFonts w:hint="eastAsia"/>
          <w:color w:val="auto"/>
          <w:sz w:val="21"/>
          <w:szCs w:val="21"/>
          <w:highlight w:val="none"/>
        </w:rPr>
      </w:pPr>
      <w:bookmarkStart w:id="726" w:name="_Toc337558728"/>
      <w:bookmarkStart w:id="727" w:name="_Toc296503028"/>
      <w:bookmarkStart w:id="728" w:name="_Toc296346529"/>
      <w:bookmarkStart w:id="729" w:name="_Toc532377181"/>
      <w:bookmarkStart w:id="730" w:name="_Toc351203496"/>
      <w:r>
        <w:rPr>
          <w:rFonts w:hint="eastAsia"/>
          <w:color w:val="auto"/>
          <w:sz w:val="21"/>
          <w:szCs w:val="21"/>
          <w:highlight w:val="none"/>
        </w:rPr>
        <w:t>1.1词语定义</w:t>
      </w:r>
      <w:bookmarkEnd w:id="726"/>
      <w:bookmarkEnd w:id="727"/>
      <w:bookmarkEnd w:id="728"/>
      <w:r>
        <w:rPr>
          <w:rFonts w:hint="eastAsia"/>
          <w:color w:val="auto"/>
          <w:sz w:val="21"/>
          <w:szCs w:val="21"/>
          <w:highlight w:val="none"/>
        </w:rPr>
        <w:t>与解释</w:t>
      </w:r>
      <w:bookmarkEnd w:id="729"/>
      <w:bookmarkEnd w:id="730"/>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合同协议书、通用合同条款、专用合同条款中的下列词语具有本款所赋予的含义：</w:t>
      </w:r>
    </w:p>
    <w:p>
      <w:pPr>
        <w:pStyle w:val="7"/>
        <w:spacing w:before="0" w:beforeAutospacing="0" w:after="0" w:afterAutospacing="0" w:line="360" w:lineRule="auto"/>
        <w:ind w:firstLine="420" w:firstLineChars="200"/>
        <w:rPr>
          <w:rFonts w:hint="eastAsia"/>
          <w:b w:val="0"/>
          <w:bCs w:val="0"/>
          <w:color w:val="auto"/>
          <w:sz w:val="21"/>
          <w:szCs w:val="21"/>
          <w:highlight w:val="none"/>
        </w:rPr>
      </w:pPr>
      <w:bookmarkStart w:id="731" w:name="_Toc532377182"/>
      <w:r>
        <w:rPr>
          <w:rFonts w:hint="eastAsia"/>
          <w:b w:val="0"/>
          <w:bCs w:val="0"/>
          <w:color w:val="auto"/>
          <w:sz w:val="21"/>
          <w:szCs w:val="21"/>
          <w:highlight w:val="none"/>
        </w:rPr>
        <w:t>1.1.1 合同</w:t>
      </w:r>
      <w:bookmarkEnd w:id="731"/>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color w:val="auto"/>
          <w:szCs w:val="21"/>
          <w:highlight w:val="none"/>
        </w:rPr>
        <w:t>及其附件</w:t>
      </w:r>
      <w:r>
        <w:rPr>
          <w:rFonts w:hint="eastAsia" w:ascii="宋体" w:hAnsi="宋体"/>
          <w:color w:val="auto"/>
          <w:kern w:val="0"/>
          <w:szCs w:val="21"/>
          <w:highlight w:val="none"/>
        </w:rPr>
        <w:t>、通用合同条款、技术标准和要求、图纸、已标价工程量清单或预算书以及其他合同文件。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1.1.1.2 合同协议书：是指构成合同的由发包人和承包人共同签署的称为“合同协议书”的书面文件。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1.1.1.3 中标通知书：是指构成合同的由发包人通知承包人中标的书面文件。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1.1.1.4 投标函：是指构成合同的由承包人填写并签署的用于投标的称为“投标函”的文件。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1.1.1.5 投标函附录：是指构成合同的附在投标函后的称为“投标函附录”的文件。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1.1.1.9 预算书：是指构成合同的由承包人按照发包人规定的格式和要求编制的工程预算文件。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 合同当事人及其他相关方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1.1.2.1 合同当事人：是指发包人和（或）承包人。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1.1.2.2 发包人：是指与承包人签订合同协议书的当事人及取得该当事人资格的合法继承人。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1.1.2.5 设计人：是指在专用合同条款中指明的，受发包人委托负责工程设计并具备相应工程设计资质的法人或其他组织。</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1.1.2.6 分包人：</w:t>
      </w:r>
      <w:bookmarkStart w:id="732" w:name="#go5"/>
      <w:bookmarkEnd w:id="732"/>
      <w:r>
        <w:rPr>
          <w:rFonts w:hint="eastAsia" w:ascii="宋体" w:hAnsi="宋体"/>
          <w:color w:val="auto"/>
          <w:kern w:val="0"/>
          <w:szCs w:val="21"/>
          <w:highlight w:val="none"/>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1.1.2.7 发包人代表：是指由发包人任命并派驻施工现场在发包人授权范围内行使发包人权利的人。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1.1.2.9 总监理工程师：是指由监理人任命并派驻施工现场进行工程监理的总负责人。</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 工程和设备</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1.1.3.1 工程：是指与合同协议书中工程承包范围对应的永久工程和（或）临时工程。</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1.1.3.2 永久工程：是指按合同约定建造并移交给发包人的工程，包括工程设备。</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1.1.3.3 临时工程：是指为完成合同约定的永久工程所修建的各类临时性工程，不包括施工设备。</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1.1.3.4 单位工程：是指在合同协议书中指明的，具备独立施工条件并能形成独立使用功能的永久工程。</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1.1.3.5 工程设备：是指构成永久工程的机电设备、金属结构设备、仪器及其他类似的设备和装置。</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1.1.3.6 施工设备：是指为完成合同约定的各项工作所需的设备、器具和其他物品，但不包括工程设备、临时工程和材料。</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1.1.3.8临时设施：是指为完成合同约定的各项工作所服务的临时性生产和生活设施。</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1.1.3.9 永久占地：是指专用合同条款中指明为实施工程需永久占用的土地。</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1.1.3.10 临时占地：是指专用合同条款中指明为实施工程需要临时占用的土地。</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 日期和期限</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1.1.4.3 工期：是指在合同协议书约定的承包人完成工程所需的期限，包括按照合同约定所作的期限变更。</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1.1.4.5 保修期：是指承包人按照合同约定对工程承担保修责任的期限，从工程竣工验收合格之日起计算。</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1.1.4.6 基准日期：招标发包的工程以投标截止日前28天的日期为基准日期，直接发包的工程以合同签订日前28天的日期为基准日期。</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 合同价格和费用</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1.1.5.1 签约合同价：是指</w:t>
      </w:r>
      <w:r>
        <w:rPr>
          <w:rFonts w:hint="eastAsia" w:ascii="宋体" w:hAnsi="宋体"/>
          <w:color w:val="auto"/>
          <w:szCs w:val="21"/>
          <w:highlight w:val="none"/>
        </w:rPr>
        <w:t>发包人和承包人在合同协议书中确定的总金额，包括安全文明施工费、暂估价及暂列金额等。</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1.1.5.3 费用：是指为履行合同所发生的或将要发生的所有必需的开支，包括管理费和应分摊的其他费用，但不包括利润。</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1.1.5.7 质量保证金</w:t>
      </w:r>
      <w:bookmarkStart w:id="733" w:name="#go2"/>
      <w:bookmarkEnd w:id="733"/>
      <w:r>
        <w:rPr>
          <w:rFonts w:hint="eastAsia" w:ascii="宋体" w:hAnsi="宋体"/>
          <w:color w:val="auto"/>
          <w:kern w:val="0"/>
          <w:szCs w:val="21"/>
          <w:highlight w:val="none"/>
        </w:rPr>
        <w:t>：是指按照第15.3款〔质量保证金〕约定承包人用于保证其在缺陷责任期内履行缺陷修补义务的担保</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1.1.6 其他</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1.1.6.1 书面形式：是指合同文件、信函、电报、传真等可以有形地表现所载内容的形式。</w:t>
      </w:r>
    </w:p>
    <w:p>
      <w:pPr>
        <w:pStyle w:val="7"/>
        <w:spacing w:before="0" w:beforeAutospacing="0" w:after="0" w:afterAutospacing="0" w:line="360" w:lineRule="auto"/>
        <w:ind w:firstLine="422" w:firstLineChars="200"/>
        <w:rPr>
          <w:rFonts w:hint="eastAsia"/>
          <w:color w:val="auto"/>
          <w:sz w:val="21"/>
          <w:szCs w:val="21"/>
          <w:highlight w:val="none"/>
        </w:rPr>
      </w:pPr>
      <w:bookmarkStart w:id="734" w:name="_Toc532377183"/>
      <w:r>
        <w:rPr>
          <w:rFonts w:hint="eastAsia"/>
          <w:color w:val="auto"/>
          <w:sz w:val="21"/>
          <w:szCs w:val="21"/>
          <w:highlight w:val="none"/>
        </w:rPr>
        <w:t>1.2 语言文字</w:t>
      </w:r>
      <w:bookmarkEnd w:id="734"/>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pPr>
        <w:pStyle w:val="7"/>
        <w:spacing w:before="0" w:beforeAutospacing="0" w:after="0" w:afterAutospacing="0" w:line="360" w:lineRule="auto"/>
        <w:ind w:firstLine="422" w:firstLineChars="200"/>
        <w:rPr>
          <w:rFonts w:hint="eastAsia"/>
          <w:color w:val="auto"/>
          <w:sz w:val="21"/>
          <w:szCs w:val="21"/>
          <w:highlight w:val="none"/>
        </w:rPr>
      </w:pPr>
      <w:bookmarkStart w:id="735" w:name="_Toc337558730"/>
      <w:bookmarkStart w:id="736" w:name="_Toc532377184"/>
      <w:bookmarkStart w:id="737" w:name="_Toc296346531"/>
      <w:bookmarkStart w:id="738" w:name="_Toc296503030"/>
      <w:bookmarkStart w:id="739" w:name="_Toc351203498"/>
      <w:r>
        <w:rPr>
          <w:rFonts w:hint="eastAsia"/>
          <w:color w:val="auto"/>
          <w:sz w:val="21"/>
          <w:szCs w:val="21"/>
          <w:highlight w:val="none"/>
        </w:rPr>
        <w:t>1.3法律</w:t>
      </w:r>
      <w:bookmarkEnd w:id="735"/>
      <w:bookmarkEnd w:id="736"/>
      <w:bookmarkEnd w:id="737"/>
      <w:bookmarkEnd w:id="738"/>
      <w:bookmarkEnd w:id="739"/>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合同当事人可以在专用合同条款中约定合同适用的其他规范性文件。</w:t>
      </w:r>
    </w:p>
    <w:p>
      <w:pPr>
        <w:pStyle w:val="7"/>
        <w:spacing w:before="0" w:beforeAutospacing="0" w:after="0" w:afterAutospacing="0" w:line="360" w:lineRule="auto"/>
        <w:ind w:firstLine="422" w:firstLineChars="200"/>
        <w:rPr>
          <w:rFonts w:hint="eastAsia"/>
          <w:color w:val="auto"/>
          <w:sz w:val="21"/>
          <w:szCs w:val="21"/>
          <w:highlight w:val="none"/>
        </w:rPr>
      </w:pPr>
      <w:bookmarkStart w:id="740" w:name="_Toc532377185"/>
      <w:bookmarkStart w:id="741" w:name="_Toc351203499"/>
      <w:r>
        <w:rPr>
          <w:rFonts w:hint="eastAsia"/>
          <w:color w:val="auto"/>
          <w:sz w:val="21"/>
          <w:szCs w:val="21"/>
          <w:highlight w:val="none"/>
        </w:rPr>
        <w:t>1.4 标准和规范</w:t>
      </w:r>
      <w:bookmarkEnd w:id="740"/>
      <w:bookmarkEnd w:id="741"/>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0" w:beforeAutospacing="0" w:after="0" w:afterAutospacing="0" w:line="360" w:lineRule="auto"/>
        <w:ind w:firstLine="422" w:firstLineChars="200"/>
        <w:rPr>
          <w:rFonts w:hint="eastAsia"/>
          <w:color w:val="auto"/>
          <w:sz w:val="21"/>
          <w:szCs w:val="21"/>
          <w:highlight w:val="none"/>
        </w:rPr>
      </w:pPr>
      <w:bookmarkStart w:id="742" w:name="_Toc532377186"/>
      <w:bookmarkStart w:id="743" w:name="_Toc351203500"/>
      <w:r>
        <w:rPr>
          <w:rFonts w:hint="eastAsia"/>
          <w:color w:val="auto"/>
          <w:sz w:val="21"/>
          <w:szCs w:val="21"/>
          <w:highlight w:val="none"/>
        </w:rPr>
        <w:t>1</w:t>
      </w:r>
      <w:bookmarkStart w:id="744" w:name="_Toc296346532"/>
      <w:bookmarkStart w:id="745" w:name="_Toc296503031"/>
      <w:bookmarkStart w:id="746" w:name="_Toc337558731"/>
      <w:r>
        <w:rPr>
          <w:rFonts w:hint="eastAsia"/>
          <w:color w:val="auto"/>
          <w:sz w:val="21"/>
          <w:szCs w:val="21"/>
          <w:highlight w:val="none"/>
        </w:rPr>
        <w:t>.5 合同文件的优先顺序</w:t>
      </w:r>
      <w:bookmarkEnd w:id="742"/>
      <w:bookmarkEnd w:id="743"/>
    </w:p>
    <w:bookmarkEnd w:id="744"/>
    <w:bookmarkEnd w:id="745"/>
    <w:bookmarkEnd w:id="746"/>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组成合同的各项文件应互相解释，互为说明。除专用合同条款另有约定外，解释合同文件的优先顺序如下：</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（1）合同协议书；</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（2）中标通知书（如有）；</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（3）投标函及其附录（如有）；</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（4）专用合同条款及其附件；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（5）通用合同条款；</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（6）技术标准和要求；</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（7）图纸；</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（8）已标价工程量清单或预算书；</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（9）其他合同文件。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上述各项合同文件包括合同当事人就该项合同文件所作出的补充和修改，属于同一类内容的文件，应以最新签署的为准。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在合同订立及履行过程中形成的与合同有关的文件均构成合同文件组成部分，并根据其性质确定优先解释顺序。</w:t>
      </w:r>
    </w:p>
    <w:p>
      <w:pPr>
        <w:pStyle w:val="7"/>
        <w:spacing w:before="0" w:beforeAutospacing="0" w:after="0" w:afterAutospacing="0" w:line="360" w:lineRule="auto"/>
        <w:ind w:firstLine="422" w:firstLineChars="200"/>
        <w:rPr>
          <w:rFonts w:hint="eastAsia"/>
          <w:color w:val="auto"/>
          <w:sz w:val="21"/>
          <w:szCs w:val="21"/>
          <w:highlight w:val="none"/>
        </w:rPr>
      </w:pPr>
      <w:bookmarkStart w:id="747" w:name="_Toc532377187"/>
      <w:bookmarkStart w:id="748" w:name="_Toc351203501"/>
      <w:r>
        <w:rPr>
          <w:rFonts w:hint="eastAsia"/>
          <w:color w:val="auto"/>
          <w:sz w:val="21"/>
          <w:szCs w:val="21"/>
          <w:highlight w:val="none"/>
        </w:rPr>
        <w:t>1</w:t>
      </w:r>
      <w:bookmarkStart w:id="749" w:name="_Toc296346533"/>
      <w:bookmarkStart w:id="750" w:name="_Toc337558732"/>
      <w:bookmarkStart w:id="751" w:name="_Toc296503032"/>
      <w:r>
        <w:rPr>
          <w:rFonts w:hint="eastAsia"/>
          <w:color w:val="auto"/>
          <w:sz w:val="21"/>
          <w:szCs w:val="21"/>
          <w:highlight w:val="none"/>
        </w:rPr>
        <w:t>.6图纸和承包人文件</w:t>
      </w:r>
      <w:bookmarkEnd w:id="747"/>
      <w:bookmarkEnd w:id="748"/>
    </w:p>
    <w:bookmarkEnd w:id="749"/>
    <w:bookmarkEnd w:id="750"/>
    <w:bookmarkEnd w:id="751"/>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1.6.1 图纸的提供和交底</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因发包人未按合同约定提供图纸导致承包人费用增加和（或）工期延误的，按照第7.5.1项〔因发包人原因导致工期延误〕约定办理。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 图纸的错误</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1.6.3 图纸的修改和补充</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1.6.4 承包人文件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1.6.5 图纸和承包人文件的保管</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除专用合同条款另有约定外，承包人应在施工现场另外保存一套完整的图纸和承包人文件，供发包人、监理人及有关人员进行工程检查时使用。</w:t>
      </w:r>
    </w:p>
    <w:p>
      <w:pPr>
        <w:pStyle w:val="7"/>
        <w:spacing w:before="0" w:beforeAutospacing="0" w:after="0" w:afterAutospacing="0" w:line="360" w:lineRule="auto"/>
        <w:ind w:firstLine="422" w:firstLineChars="200"/>
        <w:rPr>
          <w:rFonts w:hint="eastAsia"/>
          <w:color w:val="auto"/>
          <w:sz w:val="21"/>
          <w:szCs w:val="21"/>
          <w:highlight w:val="none"/>
        </w:rPr>
      </w:pPr>
      <w:bookmarkStart w:id="752" w:name="_Toc351203502"/>
      <w:bookmarkStart w:id="753" w:name="_Toc532377188"/>
      <w:r>
        <w:rPr>
          <w:rFonts w:hint="eastAsia"/>
          <w:color w:val="auto"/>
          <w:sz w:val="21"/>
          <w:szCs w:val="21"/>
          <w:highlight w:val="none"/>
        </w:rPr>
        <w:t>1</w:t>
      </w:r>
      <w:bookmarkStart w:id="754" w:name="_Toc296346534"/>
      <w:bookmarkStart w:id="755" w:name="_Toc337558733"/>
      <w:bookmarkStart w:id="756" w:name="_Toc296503033"/>
      <w:r>
        <w:rPr>
          <w:rFonts w:hint="eastAsia"/>
          <w:color w:val="auto"/>
          <w:sz w:val="21"/>
          <w:szCs w:val="21"/>
          <w:highlight w:val="none"/>
        </w:rPr>
        <w:t>.7联络</w:t>
      </w:r>
      <w:bookmarkEnd w:id="752"/>
      <w:bookmarkEnd w:id="753"/>
    </w:p>
    <w:bookmarkEnd w:id="754"/>
    <w:bookmarkEnd w:id="755"/>
    <w:bookmarkEnd w:id="756"/>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1.7.3 发包人和承包人应当及时签收另一方送达至送达地点和指定接收人的来往信函。拒不签收的，由此增加的费用和（或）延误的工期由拒绝接收一方承担。</w:t>
      </w:r>
    </w:p>
    <w:p>
      <w:pPr>
        <w:pStyle w:val="7"/>
        <w:spacing w:before="0" w:beforeAutospacing="0" w:after="0" w:afterAutospacing="0" w:line="360" w:lineRule="auto"/>
        <w:ind w:firstLine="422" w:firstLineChars="200"/>
        <w:rPr>
          <w:rFonts w:hint="eastAsia"/>
          <w:color w:val="auto"/>
          <w:sz w:val="21"/>
          <w:szCs w:val="21"/>
          <w:highlight w:val="none"/>
        </w:rPr>
      </w:pPr>
      <w:bookmarkStart w:id="757" w:name="_Toc351203503"/>
      <w:bookmarkStart w:id="758" w:name="_Toc532377189"/>
      <w:r>
        <w:rPr>
          <w:rFonts w:hint="eastAsia"/>
          <w:color w:val="auto"/>
          <w:sz w:val="21"/>
          <w:szCs w:val="21"/>
          <w:highlight w:val="none"/>
        </w:rPr>
        <w:t>1</w:t>
      </w:r>
      <w:bookmarkStart w:id="759" w:name="_Toc337558734"/>
      <w:bookmarkStart w:id="760" w:name="_Toc296346536"/>
      <w:bookmarkStart w:id="761" w:name="_Toc296503035"/>
      <w:r>
        <w:rPr>
          <w:rFonts w:hint="eastAsia"/>
          <w:color w:val="auto"/>
          <w:sz w:val="21"/>
          <w:szCs w:val="21"/>
          <w:highlight w:val="none"/>
        </w:rPr>
        <w:t>.8严禁贿赂</w:t>
      </w:r>
      <w:bookmarkEnd w:id="757"/>
      <w:bookmarkEnd w:id="758"/>
    </w:p>
    <w:bookmarkEnd w:id="759"/>
    <w:bookmarkEnd w:id="760"/>
    <w:bookmarkEnd w:id="761"/>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0" w:beforeAutospacing="0" w:after="0" w:afterAutospacing="0" w:line="360" w:lineRule="auto"/>
        <w:ind w:firstLine="422" w:firstLineChars="200"/>
        <w:rPr>
          <w:rFonts w:hint="eastAsia"/>
          <w:color w:val="auto"/>
          <w:sz w:val="21"/>
          <w:szCs w:val="21"/>
          <w:highlight w:val="none"/>
        </w:rPr>
      </w:pPr>
      <w:bookmarkStart w:id="762" w:name="_Toc532377190"/>
      <w:bookmarkStart w:id="763" w:name="_Toc351203504"/>
      <w:r>
        <w:rPr>
          <w:rFonts w:hint="eastAsia"/>
          <w:color w:val="auto"/>
          <w:sz w:val="21"/>
          <w:szCs w:val="21"/>
          <w:highlight w:val="none"/>
        </w:rPr>
        <w:t>1</w:t>
      </w:r>
      <w:bookmarkStart w:id="764" w:name="_Toc337558735"/>
      <w:bookmarkStart w:id="765" w:name="_Toc296346537"/>
      <w:bookmarkStart w:id="766" w:name="_Toc296503036"/>
      <w:r>
        <w:rPr>
          <w:rFonts w:hint="eastAsia"/>
          <w:color w:val="auto"/>
          <w:sz w:val="21"/>
          <w:szCs w:val="21"/>
          <w:highlight w:val="none"/>
        </w:rPr>
        <w:t>.9化石、文物</w:t>
      </w:r>
      <w:bookmarkEnd w:id="762"/>
      <w:bookmarkEnd w:id="763"/>
    </w:p>
    <w:bookmarkEnd w:id="764"/>
    <w:bookmarkEnd w:id="765"/>
    <w:bookmarkEnd w:id="766"/>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承包人发现文物后不及时报告或隐瞒不报，致使文物丢失或损坏的，应赔偿损失，并承担相应的法律责任。</w:t>
      </w:r>
    </w:p>
    <w:p>
      <w:pPr>
        <w:pStyle w:val="7"/>
        <w:spacing w:before="0" w:beforeAutospacing="0" w:after="0" w:afterAutospacing="0" w:line="360" w:lineRule="auto"/>
        <w:ind w:firstLine="422" w:firstLineChars="200"/>
        <w:rPr>
          <w:rFonts w:hint="eastAsia"/>
          <w:color w:val="auto"/>
          <w:sz w:val="21"/>
          <w:szCs w:val="21"/>
          <w:highlight w:val="none"/>
        </w:rPr>
      </w:pPr>
      <w:bookmarkStart w:id="767" w:name="_Toc351203505"/>
      <w:bookmarkStart w:id="768" w:name="_Toc532377191"/>
      <w:r>
        <w:rPr>
          <w:rFonts w:hint="eastAsia"/>
          <w:color w:val="auto"/>
          <w:sz w:val="21"/>
          <w:szCs w:val="21"/>
          <w:highlight w:val="none"/>
        </w:rPr>
        <w:t>1</w:t>
      </w:r>
      <w:bookmarkStart w:id="769" w:name="_Toc337558736"/>
      <w:r>
        <w:rPr>
          <w:rFonts w:hint="eastAsia"/>
          <w:color w:val="auto"/>
          <w:sz w:val="21"/>
          <w:szCs w:val="21"/>
          <w:highlight w:val="none"/>
        </w:rPr>
        <w:t>.10交通运输</w:t>
      </w:r>
      <w:bookmarkEnd w:id="767"/>
      <w:bookmarkEnd w:id="768"/>
    </w:p>
    <w:bookmarkEnd w:id="769"/>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1.10.1 出入现场的权利</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1.10.2 场外交通</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1.10.3场内交通</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场外交通和场内交通的边界由合同当事人在专用合同条款中约定。</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1.10.4 超大件和超重件的运输</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1.10.5 道路和桥梁的损坏责任</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因承包人运输造成施工场地内外公共道路和桥梁损坏的，由承包人承担修复损坏的全部费用和可能引起的赔偿。</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1.10.6 水路和航空运输</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0" w:beforeAutospacing="0" w:after="0" w:afterAutospacing="0" w:line="360" w:lineRule="auto"/>
        <w:ind w:firstLine="422" w:firstLineChars="200"/>
        <w:rPr>
          <w:rFonts w:hint="eastAsia"/>
          <w:color w:val="auto"/>
          <w:sz w:val="21"/>
          <w:szCs w:val="21"/>
          <w:highlight w:val="none"/>
        </w:rPr>
      </w:pPr>
      <w:bookmarkStart w:id="770" w:name="_Toc351203506"/>
      <w:bookmarkStart w:id="771" w:name="_Toc532377192"/>
      <w:r>
        <w:rPr>
          <w:rFonts w:hint="eastAsia"/>
          <w:color w:val="auto"/>
          <w:sz w:val="21"/>
          <w:szCs w:val="21"/>
          <w:highlight w:val="none"/>
        </w:rPr>
        <w:t>1</w:t>
      </w:r>
      <w:bookmarkStart w:id="772" w:name="_Toc337558737"/>
      <w:bookmarkStart w:id="773" w:name="_Toc296346538"/>
      <w:bookmarkStart w:id="774" w:name="_Toc296503037"/>
      <w:r>
        <w:rPr>
          <w:rFonts w:hint="eastAsia"/>
          <w:color w:val="auto"/>
          <w:sz w:val="21"/>
          <w:szCs w:val="21"/>
          <w:highlight w:val="none"/>
        </w:rPr>
        <w:t>.11知识产权</w:t>
      </w:r>
      <w:bookmarkEnd w:id="770"/>
      <w:bookmarkEnd w:id="771"/>
      <w:bookmarkEnd w:id="772"/>
    </w:p>
    <w:bookmarkEnd w:id="773"/>
    <w:bookmarkEnd w:id="774"/>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1.11.4 除专用合同条款另有约定外，承包人在合同签订前和签订时已确定采用的专利、专有技术、技术秘密的使用费已包含在签约合同价中。</w:t>
      </w:r>
    </w:p>
    <w:p>
      <w:pPr>
        <w:pStyle w:val="7"/>
        <w:spacing w:before="0" w:beforeAutospacing="0" w:after="0" w:afterAutospacing="0" w:line="360" w:lineRule="auto"/>
        <w:ind w:firstLine="422" w:firstLineChars="200"/>
        <w:rPr>
          <w:rFonts w:hint="eastAsia"/>
          <w:color w:val="auto"/>
          <w:sz w:val="21"/>
          <w:szCs w:val="21"/>
          <w:highlight w:val="none"/>
        </w:rPr>
      </w:pPr>
      <w:bookmarkStart w:id="775" w:name="_Toc532377193"/>
      <w:bookmarkStart w:id="776" w:name="_Toc351203507"/>
      <w:r>
        <w:rPr>
          <w:rFonts w:hint="eastAsia"/>
          <w:color w:val="auto"/>
          <w:sz w:val="21"/>
          <w:szCs w:val="21"/>
          <w:highlight w:val="none"/>
        </w:rPr>
        <w:t>1</w:t>
      </w:r>
      <w:bookmarkStart w:id="777" w:name="_Toc337558738"/>
      <w:r>
        <w:rPr>
          <w:rFonts w:hint="eastAsia"/>
          <w:color w:val="auto"/>
          <w:sz w:val="21"/>
          <w:szCs w:val="21"/>
          <w:highlight w:val="none"/>
        </w:rPr>
        <w:t>.12保密</w:t>
      </w:r>
      <w:bookmarkEnd w:id="775"/>
      <w:bookmarkEnd w:id="776"/>
    </w:p>
    <w:bookmarkEnd w:id="777"/>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除法律规定或合同另有约定外，未经承包人同意，发包人不得将承包人提供的技术秘密及声明需要保密的资料信息等商业秘密泄露给第三方。</w:t>
      </w:r>
    </w:p>
    <w:p>
      <w:pPr>
        <w:pStyle w:val="7"/>
        <w:spacing w:before="0" w:beforeAutospacing="0" w:after="0" w:afterAutospacing="0" w:line="360" w:lineRule="auto"/>
        <w:ind w:firstLine="422" w:firstLineChars="200"/>
        <w:rPr>
          <w:rFonts w:hint="eastAsia"/>
          <w:color w:val="auto"/>
          <w:sz w:val="21"/>
          <w:szCs w:val="21"/>
          <w:highlight w:val="none"/>
        </w:rPr>
      </w:pPr>
      <w:bookmarkStart w:id="778" w:name="_Toc351203508"/>
      <w:bookmarkStart w:id="779" w:name="_Toc532377194"/>
      <w:r>
        <w:rPr>
          <w:rFonts w:hint="eastAsia"/>
          <w:color w:val="auto"/>
          <w:sz w:val="21"/>
          <w:szCs w:val="21"/>
          <w:highlight w:val="none"/>
        </w:rPr>
        <w:t>1.13工程量清单错误的修正</w:t>
      </w:r>
      <w:bookmarkEnd w:id="778"/>
      <w:bookmarkEnd w:id="779"/>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（1）工程量清单存在缺项、漏项的；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（2）工程量清单偏差超出专用合同条款约定的工程量偏差范围的；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（3）未按照国家现行计量规范强制性规定计量的。</w:t>
      </w:r>
    </w:p>
    <w:p>
      <w:pPr>
        <w:pStyle w:val="6"/>
        <w:keepNext/>
        <w:keepLines/>
        <w:spacing w:before="156" w:beforeLines="50" w:beforeAutospacing="0" w:after="156" w:afterLines="50" w:afterAutospacing="0" w:line="360" w:lineRule="auto"/>
        <w:jc w:val="both"/>
        <w:rPr>
          <w:rFonts w:hint="eastAsia"/>
          <w:color w:val="auto"/>
          <w:kern w:val="2"/>
          <w:sz w:val="21"/>
          <w:szCs w:val="21"/>
          <w:highlight w:val="none"/>
        </w:rPr>
      </w:pPr>
      <w:bookmarkStart w:id="780" w:name="_Toc532375588"/>
      <w:bookmarkStart w:id="781" w:name="_Toc532377195"/>
      <w:bookmarkStart w:id="782" w:name="_Toc351203509"/>
      <w:r>
        <w:rPr>
          <w:rFonts w:hint="eastAsia"/>
          <w:color w:val="auto"/>
          <w:kern w:val="2"/>
          <w:sz w:val="21"/>
          <w:szCs w:val="21"/>
          <w:highlight w:val="none"/>
        </w:rPr>
        <w:t>2</w:t>
      </w:r>
      <w:bookmarkStart w:id="783" w:name="_Toc337558739"/>
      <w:bookmarkStart w:id="784" w:name="_Toc296346539"/>
      <w:bookmarkStart w:id="785" w:name="_Toc296503038"/>
      <w:bookmarkStart w:id="786" w:name="OLE_LINK2"/>
      <w:r>
        <w:rPr>
          <w:rFonts w:hint="eastAsia"/>
          <w:color w:val="auto"/>
          <w:kern w:val="2"/>
          <w:sz w:val="21"/>
          <w:szCs w:val="21"/>
          <w:highlight w:val="none"/>
        </w:rPr>
        <w:t>. 发包人</w:t>
      </w:r>
      <w:bookmarkEnd w:id="780"/>
      <w:bookmarkEnd w:id="781"/>
      <w:bookmarkEnd w:id="782"/>
    </w:p>
    <w:bookmarkEnd w:id="783"/>
    <w:bookmarkEnd w:id="784"/>
    <w:bookmarkEnd w:id="785"/>
    <w:p>
      <w:pPr>
        <w:pStyle w:val="7"/>
        <w:spacing w:before="0" w:beforeAutospacing="0" w:after="0" w:afterAutospacing="0" w:line="360" w:lineRule="auto"/>
        <w:ind w:firstLine="422" w:firstLineChars="200"/>
        <w:rPr>
          <w:rFonts w:hint="eastAsia"/>
          <w:color w:val="auto"/>
          <w:sz w:val="21"/>
          <w:szCs w:val="21"/>
          <w:highlight w:val="none"/>
        </w:rPr>
      </w:pPr>
      <w:bookmarkStart w:id="787" w:name="_Toc532377196"/>
      <w:bookmarkStart w:id="788" w:name="_Toc351203510"/>
      <w:r>
        <w:rPr>
          <w:rFonts w:hint="eastAsia"/>
          <w:color w:val="auto"/>
          <w:sz w:val="21"/>
          <w:szCs w:val="21"/>
          <w:highlight w:val="none"/>
        </w:rPr>
        <w:t>2</w:t>
      </w:r>
      <w:bookmarkStart w:id="789" w:name="_Toc296503039"/>
      <w:bookmarkStart w:id="790" w:name="_Toc337558740"/>
      <w:bookmarkStart w:id="791" w:name="_Toc296346540"/>
      <w:r>
        <w:rPr>
          <w:rFonts w:hint="eastAsia"/>
          <w:color w:val="auto"/>
          <w:sz w:val="21"/>
          <w:szCs w:val="21"/>
          <w:highlight w:val="none"/>
        </w:rPr>
        <w:t>.1 许可或批准</w:t>
      </w:r>
      <w:bookmarkEnd w:id="787"/>
      <w:bookmarkEnd w:id="788"/>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因发包人原因未能及时办理完毕前述许可、批准或备案，由发包人承担由此增加的费用和（或）延误的工期，并支付承包人合理的利润。</w:t>
      </w:r>
    </w:p>
    <w:p>
      <w:pPr>
        <w:pStyle w:val="7"/>
        <w:spacing w:before="0" w:beforeAutospacing="0" w:after="0" w:afterAutospacing="0" w:line="360" w:lineRule="auto"/>
        <w:ind w:firstLine="422" w:firstLineChars="200"/>
        <w:rPr>
          <w:rFonts w:hint="eastAsia"/>
          <w:color w:val="auto"/>
          <w:sz w:val="21"/>
          <w:szCs w:val="21"/>
          <w:highlight w:val="none"/>
        </w:rPr>
      </w:pPr>
      <w:bookmarkStart w:id="792" w:name="_Toc532377197"/>
      <w:bookmarkStart w:id="793" w:name="_Toc351203511"/>
      <w:r>
        <w:rPr>
          <w:rFonts w:hint="eastAsia"/>
          <w:color w:val="auto"/>
          <w:sz w:val="21"/>
          <w:szCs w:val="21"/>
          <w:highlight w:val="none"/>
        </w:rPr>
        <w:t>2.2 发包人代表</w:t>
      </w:r>
      <w:bookmarkEnd w:id="792"/>
      <w:bookmarkEnd w:id="793"/>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发包人代表不能按照合同约定履行其职责及义务，并导致合同无法继续正常履行的，承包人可以要求发包人撤换发包人代表。</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不属于法定必须监理的工程，监理人的职权可以由发包人代表或发包人指定的其他人员行使。</w:t>
      </w:r>
    </w:p>
    <w:p>
      <w:pPr>
        <w:pStyle w:val="7"/>
        <w:spacing w:before="0" w:beforeAutospacing="0" w:after="0" w:afterAutospacing="0" w:line="360" w:lineRule="auto"/>
        <w:ind w:firstLine="422" w:firstLineChars="200"/>
        <w:rPr>
          <w:rFonts w:hint="eastAsia"/>
          <w:color w:val="auto"/>
          <w:sz w:val="21"/>
          <w:szCs w:val="21"/>
          <w:highlight w:val="none"/>
        </w:rPr>
      </w:pPr>
      <w:bookmarkStart w:id="794" w:name="_Toc532377198"/>
      <w:bookmarkStart w:id="795" w:name="_Toc351203512"/>
      <w:r>
        <w:rPr>
          <w:rFonts w:hint="eastAsia"/>
          <w:color w:val="auto"/>
          <w:sz w:val="21"/>
          <w:szCs w:val="21"/>
          <w:highlight w:val="none"/>
        </w:rPr>
        <w:t>2.3 发包人人员</w:t>
      </w:r>
      <w:bookmarkEnd w:id="794"/>
      <w:bookmarkEnd w:id="795"/>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发包人人员包括发包人代表及其他由发包人派驻施工现场的人员。</w:t>
      </w:r>
      <w:bookmarkEnd w:id="789"/>
      <w:bookmarkEnd w:id="790"/>
      <w:bookmarkEnd w:id="791"/>
    </w:p>
    <w:p>
      <w:pPr>
        <w:pStyle w:val="7"/>
        <w:spacing w:before="0" w:beforeAutospacing="0" w:after="0" w:afterAutospacing="0" w:line="360" w:lineRule="auto"/>
        <w:ind w:firstLine="422" w:firstLineChars="200"/>
        <w:rPr>
          <w:rFonts w:hint="eastAsia"/>
          <w:color w:val="auto"/>
          <w:sz w:val="21"/>
          <w:szCs w:val="21"/>
          <w:highlight w:val="none"/>
        </w:rPr>
      </w:pPr>
      <w:bookmarkStart w:id="796" w:name="_Toc351203513"/>
      <w:bookmarkStart w:id="797" w:name="_Toc532377199"/>
      <w:r>
        <w:rPr>
          <w:rFonts w:hint="eastAsia"/>
          <w:color w:val="auto"/>
          <w:sz w:val="21"/>
          <w:szCs w:val="21"/>
          <w:highlight w:val="none"/>
        </w:rPr>
        <w:t>2</w:t>
      </w:r>
      <w:bookmarkStart w:id="798" w:name="_Toc296503040"/>
      <w:bookmarkStart w:id="799" w:name="_Toc296346541"/>
      <w:bookmarkStart w:id="800" w:name="_Toc337558741"/>
      <w:r>
        <w:rPr>
          <w:rFonts w:hint="eastAsia"/>
          <w:color w:val="auto"/>
          <w:sz w:val="21"/>
          <w:szCs w:val="21"/>
          <w:highlight w:val="none"/>
        </w:rPr>
        <w:t>.4 施工现场、施工条件和基础资料的提供</w:t>
      </w:r>
      <w:bookmarkEnd w:id="796"/>
      <w:bookmarkEnd w:id="797"/>
      <w:bookmarkEnd w:id="798"/>
      <w:bookmarkEnd w:id="799"/>
      <w:bookmarkEnd w:id="800"/>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2.4.1 提供施工现场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w:t>
      </w:r>
      <w:bookmarkEnd w:id="786"/>
      <w:r>
        <w:rPr>
          <w:rFonts w:hint="eastAsia" w:ascii="宋体" w:hAnsi="宋体"/>
          <w:color w:val="auto"/>
          <w:kern w:val="0"/>
          <w:szCs w:val="21"/>
          <w:highlight w:val="none"/>
        </w:rPr>
        <w:t>专用合同条款另有约定外，发包人应最迟于开工日期7天前向承包人移交施工现场。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2.4.2 提供施工条件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除专用合同条款另有约定外，发包人应负责提供施工所需要的条件，包括：</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（1）将施工用水、电力、通讯线路等施工所必需的条件接至施工现场内；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（2）保证向承包人提供正常施工所需要的进入施工现场的交通条件；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（3）协调处理施工现场周围地下管线和邻近建筑物、构筑物、古树名木的保护工作，并承担相关费用；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（4）按照专用合同条款约定应提供的其他设施和条件。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2.4.3 提供基础资料</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2.4.4 逾期提供的责任</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因发包人原因未能按合同约定及时向承包人提供施工现场、施工条件、基础资料的，由发包人承担由此增加的费用和（或）延误的工期。</w:t>
      </w:r>
    </w:p>
    <w:p>
      <w:pPr>
        <w:pStyle w:val="7"/>
        <w:spacing w:before="0" w:beforeAutospacing="0" w:after="0" w:afterAutospacing="0" w:line="360" w:lineRule="auto"/>
        <w:ind w:firstLine="422" w:firstLineChars="200"/>
        <w:rPr>
          <w:rFonts w:hint="eastAsia"/>
          <w:color w:val="auto"/>
          <w:sz w:val="21"/>
          <w:szCs w:val="21"/>
          <w:highlight w:val="none"/>
        </w:rPr>
      </w:pPr>
      <w:bookmarkStart w:id="801" w:name="_Toc351203514"/>
      <w:bookmarkStart w:id="802" w:name="_Toc532377200"/>
      <w:r>
        <w:rPr>
          <w:rFonts w:hint="eastAsia"/>
          <w:color w:val="auto"/>
          <w:sz w:val="21"/>
          <w:szCs w:val="21"/>
          <w:highlight w:val="none"/>
        </w:rPr>
        <w:t>2</w:t>
      </w:r>
      <w:bookmarkStart w:id="803" w:name="_Toc337558745"/>
      <w:bookmarkStart w:id="804" w:name="_Toc296346543"/>
      <w:bookmarkStart w:id="805" w:name="_Toc296503042"/>
      <w:r>
        <w:rPr>
          <w:rFonts w:hint="eastAsia"/>
          <w:color w:val="auto"/>
          <w:sz w:val="21"/>
          <w:szCs w:val="21"/>
          <w:highlight w:val="none"/>
        </w:rPr>
        <w:t>.5 资</w:t>
      </w:r>
      <w:bookmarkEnd w:id="803"/>
      <w:bookmarkEnd w:id="804"/>
      <w:bookmarkEnd w:id="805"/>
      <w:r>
        <w:rPr>
          <w:rFonts w:hint="eastAsia"/>
          <w:color w:val="auto"/>
          <w:sz w:val="21"/>
          <w:szCs w:val="21"/>
          <w:highlight w:val="none"/>
        </w:rPr>
        <w:t>金来源证明及支付担保</w:t>
      </w:r>
      <w:bookmarkEnd w:id="801"/>
      <w:bookmarkEnd w:id="802"/>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0" w:beforeAutospacing="0" w:after="0" w:afterAutospacing="0" w:line="360" w:lineRule="auto"/>
        <w:ind w:firstLine="422" w:firstLineChars="200"/>
        <w:rPr>
          <w:rFonts w:hint="eastAsia"/>
          <w:color w:val="auto"/>
          <w:sz w:val="21"/>
          <w:szCs w:val="21"/>
          <w:highlight w:val="none"/>
        </w:rPr>
      </w:pPr>
      <w:bookmarkStart w:id="806" w:name="_Toc532377201"/>
      <w:bookmarkStart w:id="807" w:name="_Toc351203515"/>
      <w:r>
        <w:rPr>
          <w:rFonts w:hint="eastAsia"/>
          <w:color w:val="auto"/>
          <w:sz w:val="21"/>
          <w:szCs w:val="21"/>
          <w:highlight w:val="none"/>
        </w:rPr>
        <w:t>2.6 支付合同价款</w:t>
      </w:r>
      <w:bookmarkEnd w:id="806"/>
      <w:bookmarkEnd w:id="807"/>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发包人应按合同约定向承包人及时支付合同价款。</w:t>
      </w:r>
    </w:p>
    <w:p>
      <w:pPr>
        <w:pStyle w:val="7"/>
        <w:spacing w:before="0" w:beforeAutospacing="0" w:after="0" w:afterAutospacing="0" w:line="360" w:lineRule="auto"/>
        <w:ind w:firstLine="422" w:firstLineChars="200"/>
        <w:rPr>
          <w:rFonts w:hint="eastAsia"/>
          <w:color w:val="auto"/>
          <w:sz w:val="21"/>
          <w:szCs w:val="21"/>
          <w:highlight w:val="none"/>
        </w:rPr>
      </w:pPr>
      <w:bookmarkStart w:id="808" w:name="_Toc532377202"/>
      <w:bookmarkStart w:id="809" w:name="_Toc351203516"/>
      <w:r>
        <w:rPr>
          <w:rFonts w:hint="eastAsia"/>
          <w:color w:val="auto"/>
          <w:sz w:val="21"/>
          <w:szCs w:val="21"/>
          <w:highlight w:val="none"/>
        </w:rPr>
        <w:t>2.7 组织竣工验收</w:t>
      </w:r>
      <w:bookmarkEnd w:id="808"/>
      <w:bookmarkEnd w:id="809"/>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发包人应按合同约定及时组织竣工验收。</w:t>
      </w:r>
    </w:p>
    <w:p>
      <w:pPr>
        <w:pStyle w:val="7"/>
        <w:spacing w:before="0" w:beforeAutospacing="0" w:after="0" w:afterAutospacing="0" w:line="360" w:lineRule="auto"/>
        <w:ind w:firstLine="422" w:firstLineChars="200"/>
        <w:rPr>
          <w:rFonts w:hint="eastAsia"/>
          <w:color w:val="auto"/>
          <w:sz w:val="21"/>
          <w:szCs w:val="21"/>
          <w:highlight w:val="none"/>
        </w:rPr>
      </w:pPr>
      <w:bookmarkStart w:id="810" w:name="_Toc351203517"/>
      <w:bookmarkStart w:id="811" w:name="_Toc532377203"/>
      <w:r>
        <w:rPr>
          <w:rFonts w:hint="eastAsia"/>
          <w:color w:val="auto"/>
          <w:sz w:val="21"/>
          <w:szCs w:val="21"/>
          <w:highlight w:val="none"/>
        </w:rPr>
        <w:t>2.8 现场统一管理协议</w:t>
      </w:r>
      <w:bookmarkEnd w:id="810"/>
      <w:bookmarkEnd w:id="811"/>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812" w:name="_Toc532377204"/>
      <w:bookmarkStart w:id="813" w:name="_Toc351203518"/>
      <w:bookmarkStart w:id="814" w:name="_Toc532375589"/>
      <w:r>
        <w:rPr>
          <w:rFonts w:hint="eastAsia"/>
          <w:color w:val="auto"/>
          <w:kern w:val="2"/>
          <w:sz w:val="21"/>
          <w:szCs w:val="21"/>
          <w:highlight w:val="none"/>
        </w:rPr>
        <w:t>3</w:t>
      </w:r>
      <w:bookmarkStart w:id="815" w:name="_Toc337558746"/>
      <w:bookmarkStart w:id="816" w:name="_Toc296346546"/>
      <w:bookmarkStart w:id="817" w:name="_Toc296503045"/>
      <w:r>
        <w:rPr>
          <w:rFonts w:hint="eastAsia"/>
          <w:color w:val="auto"/>
          <w:kern w:val="2"/>
          <w:sz w:val="21"/>
          <w:szCs w:val="21"/>
          <w:highlight w:val="none"/>
        </w:rPr>
        <w:t>. 承包人</w:t>
      </w:r>
      <w:bookmarkEnd w:id="812"/>
      <w:bookmarkEnd w:id="813"/>
      <w:bookmarkEnd w:id="814"/>
    </w:p>
    <w:bookmarkEnd w:id="815"/>
    <w:bookmarkEnd w:id="816"/>
    <w:bookmarkEnd w:id="817"/>
    <w:p>
      <w:pPr>
        <w:pStyle w:val="7"/>
        <w:spacing w:before="0" w:beforeAutospacing="0" w:after="0" w:afterAutospacing="0" w:line="360" w:lineRule="auto"/>
        <w:ind w:firstLine="422" w:firstLineChars="200"/>
        <w:rPr>
          <w:rFonts w:hint="eastAsia"/>
          <w:color w:val="auto"/>
          <w:sz w:val="21"/>
          <w:szCs w:val="21"/>
          <w:highlight w:val="none"/>
        </w:rPr>
      </w:pPr>
      <w:bookmarkStart w:id="818" w:name="_Toc351203519"/>
      <w:bookmarkStart w:id="819" w:name="_Toc532377205"/>
      <w:r>
        <w:rPr>
          <w:rFonts w:hint="eastAsia"/>
          <w:color w:val="auto"/>
          <w:sz w:val="21"/>
          <w:szCs w:val="21"/>
          <w:highlight w:val="none"/>
        </w:rPr>
        <w:t>3</w:t>
      </w:r>
      <w:bookmarkStart w:id="820" w:name="_Toc296346547"/>
      <w:bookmarkStart w:id="821" w:name="_Toc337558747"/>
      <w:bookmarkStart w:id="822" w:name="_Toc296503046"/>
      <w:r>
        <w:rPr>
          <w:rFonts w:hint="eastAsia"/>
          <w:color w:val="auto"/>
          <w:sz w:val="21"/>
          <w:szCs w:val="21"/>
          <w:highlight w:val="none"/>
        </w:rPr>
        <w:t>.1 承包人的一般义务</w:t>
      </w:r>
      <w:bookmarkEnd w:id="818"/>
      <w:bookmarkEnd w:id="819"/>
    </w:p>
    <w:bookmarkEnd w:id="820"/>
    <w:bookmarkEnd w:id="821"/>
    <w:bookmarkEnd w:id="822"/>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承包人在履行合同过程中应遵守法律和工程建设标准规范，并履行以下义务：</w:t>
      </w:r>
    </w:p>
    <w:p>
      <w:pPr>
        <w:numPr>
          <w:ilvl w:val="0"/>
          <w:numId w:val="1"/>
        </w:num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办理法律规定应由承包人办理的许可和批准，并将办理结果书面报送发包人留存；</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（2）按法律规定和合同约定完成工程，并在保修期内承担保修义务；</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（6）按照第6.3款〔环境保护〕约定负责施工场地及其周边环境与生态的保护工作；</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（10）应履行的其他义务。</w:t>
      </w:r>
    </w:p>
    <w:p>
      <w:pPr>
        <w:pStyle w:val="7"/>
        <w:spacing w:before="0" w:beforeAutospacing="0" w:after="0" w:afterAutospacing="0" w:line="360" w:lineRule="auto"/>
        <w:ind w:firstLine="422" w:firstLineChars="200"/>
        <w:rPr>
          <w:rFonts w:hint="eastAsia"/>
          <w:color w:val="auto"/>
          <w:sz w:val="21"/>
          <w:szCs w:val="21"/>
          <w:highlight w:val="none"/>
        </w:rPr>
      </w:pPr>
      <w:bookmarkStart w:id="823" w:name="_Toc351203520"/>
      <w:bookmarkStart w:id="824" w:name="_Toc532377206"/>
      <w:r>
        <w:rPr>
          <w:rFonts w:hint="eastAsia"/>
          <w:color w:val="auto"/>
          <w:sz w:val="21"/>
          <w:szCs w:val="21"/>
          <w:highlight w:val="none"/>
        </w:rPr>
        <w:t>3</w:t>
      </w:r>
      <w:bookmarkStart w:id="825" w:name="_Toc337558748"/>
      <w:bookmarkStart w:id="826" w:name="_Toc296503047"/>
      <w:bookmarkStart w:id="827" w:name="_Toc296346548"/>
      <w:r>
        <w:rPr>
          <w:rFonts w:hint="eastAsia"/>
          <w:color w:val="auto"/>
          <w:sz w:val="21"/>
          <w:szCs w:val="21"/>
          <w:highlight w:val="none"/>
        </w:rPr>
        <w:t xml:space="preserve">.2 </w:t>
      </w:r>
      <w:bookmarkEnd w:id="823"/>
      <w:r>
        <w:rPr>
          <w:rFonts w:hint="eastAsia"/>
          <w:color w:val="auto"/>
          <w:sz w:val="21"/>
          <w:szCs w:val="21"/>
          <w:highlight w:val="none"/>
        </w:rPr>
        <w:t>项目经理</w:t>
      </w:r>
      <w:bookmarkEnd w:id="824"/>
    </w:p>
    <w:bookmarkEnd w:id="825"/>
    <w:bookmarkEnd w:id="826"/>
    <w:bookmarkEnd w:id="827"/>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承包人违反上述约定的，应按照专用合同条款的约定，承担违约责任。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0" w:beforeAutospacing="0" w:after="0" w:afterAutospacing="0" w:line="360" w:lineRule="auto"/>
        <w:ind w:firstLine="422" w:firstLineChars="200"/>
        <w:rPr>
          <w:rFonts w:hint="eastAsia"/>
          <w:color w:val="auto"/>
          <w:sz w:val="21"/>
          <w:szCs w:val="21"/>
          <w:highlight w:val="none"/>
        </w:rPr>
      </w:pPr>
      <w:bookmarkStart w:id="828" w:name="_Toc532377207"/>
      <w:bookmarkStart w:id="829" w:name="_Toc351203521"/>
      <w:r>
        <w:rPr>
          <w:rFonts w:hint="eastAsia"/>
          <w:color w:val="auto"/>
          <w:sz w:val="21"/>
          <w:szCs w:val="21"/>
          <w:highlight w:val="none"/>
        </w:rPr>
        <w:t>3</w:t>
      </w:r>
      <w:bookmarkStart w:id="830" w:name="_Toc296503048"/>
      <w:bookmarkStart w:id="831" w:name="_Toc296346549"/>
      <w:bookmarkStart w:id="832" w:name="_Toc337558749"/>
      <w:r>
        <w:rPr>
          <w:rFonts w:hint="eastAsia"/>
          <w:color w:val="auto"/>
          <w:sz w:val="21"/>
          <w:szCs w:val="21"/>
          <w:highlight w:val="none"/>
        </w:rPr>
        <w:t xml:space="preserve">.3 </w:t>
      </w:r>
      <w:bookmarkEnd w:id="830"/>
      <w:bookmarkEnd w:id="831"/>
      <w:r>
        <w:rPr>
          <w:rFonts w:hint="eastAsia"/>
          <w:color w:val="auto"/>
          <w:sz w:val="21"/>
          <w:szCs w:val="21"/>
          <w:highlight w:val="none"/>
        </w:rPr>
        <w:t>承包人人员</w:t>
      </w:r>
      <w:bookmarkEnd w:id="828"/>
      <w:bookmarkEnd w:id="829"/>
    </w:p>
    <w:bookmarkEnd w:id="832"/>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特殊工种作业人员均应持有相应的资格证明，监理人可以随时检查。</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3.3.5 承包人擅自更换主要施工管理人员，或前述人员未经监理人或发包人同意擅自离开施工现场的，应按照专用合同条款约定承担违约责任。</w:t>
      </w:r>
    </w:p>
    <w:p>
      <w:pPr>
        <w:pStyle w:val="7"/>
        <w:spacing w:before="0" w:beforeAutospacing="0" w:after="0" w:afterAutospacing="0" w:line="360" w:lineRule="auto"/>
        <w:ind w:firstLine="422" w:firstLineChars="200"/>
        <w:rPr>
          <w:rFonts w:hint="eastAsia"/>
          <w:color w:val="auto"/>
          <w:sz w:val="21"/>
          <w:szCs w:val="21"/>
          <w:highlight w:val="none"/>
        </w:rPr>
      </w:pPr>
      <w:bookmarkStart w:id="833" w:name="_Toc351203522"/>
      <w:bookmarkStart w:id="834" w:name="_Toc532377208"/>
      <w:r>
        <w:rPr>
          <w:rFonts w:hint="eastAsia"/>
          <w:color w:val="auto"/>
          <w:sz w:val="21"/>
          <w:szCs w:val="21"/>
          <w:highlight w:val="none"/>
        </w:rPr>
        <w:t>3</w:t>
      </w:r>
      <w:bookmarkStart w:id="835" w:name="_Toc337558750"/>
      <w:bookmarkStart w:id="836" w:name="_Toc296503050"/>
      <w:bookmarkStart w:id="837" w:name="_Toc296346551"/>
      <w:r>
        <w:rPr>
          <w:rFonts w:hint="eastAsia"/>
          <w:color w:val="auto"/>
          <w:sz w:val="21"/>
          <w:szCs w:val="21"/>
          <w:highlight w:val="none"/>
        </w:rPr>
        <w:t>.4 承包人现场查勘</w:t>
      </w:r>
      <w:bookmarkEnd w:id="833"/>
      <w:bookmarkEnd w:id="834"/>
    </w:p>
    <w:bookmarkEnd w:id="835"/>
    <w:bookmarkEnd w:id="836"/>
    <w:bookmarkEnd w:id="837"/>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0" w:beforeAutospacing="0" w:after="0" w:afterAutospacing="0" w:line="360" w:lineRule="auto"/>
        <w:ind w:firstLine="422" w:firstLineChars="200"/>
        <w:rPr>
          <w:rFonts w:hint="eastAsia"/>
          <w:color w:val="auto"/>
          <w:sz w:val="21"/>
          <w:szCs w:val="21"/>
          <w:highlight w:val="none"/>
        </w:rPr>
      </w:pPr>
      <w:bookmarkStart w:id="838" w:name="_Toc351203523"/>
      <w:bookmarkStart w:id="839" w:name="_Toc532377209"/>
      <w:r>
        <w:rPr>
          <w:rFonts w:hint="eastAsia"/>
          <w:color w:val="auto"/>
          <w:sz w:val="21"/>
          <w:szCs w:val="21"/>
          <w:highlight w:val="none"/>
        </w:rPr>
        <w:t>3</w:t>
      </w:r>
      <w:bookmarkStart w:id="840" w:name="_Toc337558751"/>
      <w:bookmarkStart w:id="841" w:name="_Toc296346552"/>
      <w:bookmarkStart w:id="842" w:name="_Toc296503051"/>
      <w:r>
        <w:rPr>
          <w:rFonts w:hint="eastAsia"/>
          <w:color w:val="auto"/>
          <w:sz w:val="21"/>
          <w:szCs w:val="21"/>
          <w:highlight w:val="none"/>
        </w:rPr>
        <w:t>.5 分包</w:t>
      </w:r>
      <w:bookmarkEnd w:id="838"/>
      <w:bookmarkEnd w:id="839"/>
    </w:p>
    <w:bookmarkEnd w:id="840"/>
    <w:bookmarkEnd w:id="841"/>
    <w:bookmarkEnd w:id="842"/>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3.5.1 分包的一般约定</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承包人不得以劳务分包的名义转包或违法分包工程。</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3.5.2 分包的确定</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3.5.3 分包管理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3.5.4 分包合同价款</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（2）生效法律文书要求发包人向分包人支付分包合同价款的，发包人有权从应付承包人工程款中扣除该部分款项。</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3.5.5 分包合同权益的转让</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3" w:name="_Toc351203524"/>
    </w:p>
    <w:p>
      <w:pPr>
        <w:pStyle w:val="7"/>
        <w:spacing w:before="0" w:beforeAutospacing="0" w:after="0" w:afterAutospacing="0" w:line="360" w:lineRule="auto"/>
        <w:ind w:firstLine="422" w:firstLineChars="200"/>
        <w:rPr>
          <w:rFonts w:hint="eastAsia"/>
          <w:color w:val="auto"/>
          <w:sz w:val="21"/>
          <w:szCs w:val="21"/>
          <w:highlight w:val="none"/>
        </w:rPr>
      </w:pPr>
      <w:bookmarkStart w:id="844" w:name="_Toc532377210"/>
      <w:r>
        <w:rPr>
          <w:rFonts w:hint="eastAsia"/>
          <w:color w:val="auto"/>
          <w:sz w:val="21"/>
          <w:szCs w:val="21"/>
          <w:highlight w:val="none"/>
        </w:rPr>
        <w:t>3.6 工程照管与成品、半成品保护</w:t>
      </w:r>
      <w:bookmarkEnd w:id="843"/>
      <w:bookmarkEnd w:id="844"/>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0" w:beforeAutospacing="0" w:after="0" w:afterAutospacing="0" w:line="360" w:lineRule="auto"/>
        <w:ind w:firstLine="422" w:firstLineChars="200"/>
        <w:rPr>
          <w:rFonts w:hint="eastAsia"/>
          <w:color w:val="auto"/>
          <w:sz w:val="21"/>
          <w:szCs w:val="21"/>
          <w:highlight w:val="none"/>
        </w:rPr>
      </w:pPr>
      <w:bookmarkStart w:id="845" w:name="_Toc351203525"/>
      <w:bookmarkStart w:id="846" w:name="_Toc532377211"/>
      <w:r>
        <w:rPr>
          <w:rFonts w:hint="eastAsia"/>
          <w:color w:val="auto"/>
          <w:sz w:val="21"/>
          <w:szCs w:val="21"/>
          <w:highlight w:val="none"/>
        </w:rPr>
        <w:t>3</w:t>
      </w:r>
      <w:bookmarkStart w:id="847" w:name="_Toc296346553"/>
      <w:bookmarkStart w:id="848" w:name="_Toc296503052"/>
      <w:bookmarkStart w:id="849" w:name="_Toc337558752"/>
      <w:r>
        <w:rPr>
          <w:rFonts w:hint="eastAsia"/>
          <w:color w:val="auto"/>
          <w:sz w:val="21"/>
          <w:szCs w:val="21"/>
          <w:highlight w:val="none"/>
        </w:rPr>
        <w:t>.7 履约担保</w:t>
      </w:r>
      <w:bookmarkEnd w:id="845"/>
      <w:bookmarkEnd w:id="846"/>
    </w:p>
    <w:bookmarkEnd w:id="847"/>
    <w:bookmarkEnd w:id="848"/>
    <w:bookmarkEnd w:id="849"/>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850" w:name="_Toc351203526"/>
      <w:bookmarkStart w:id="851" w:name="_Toc532377212"/>
      <w:r>
        <w:rPr>
          <w:rFonts w:hint="eastAsia"/>
          <w:color w:val="auto"/>
          <w:sz w:val="21"/>
          <w:szCs w:val="21"/>
          <w:highlight w:val="none"/>
        </w:rPr>
        <w:t>3.8 联合体</w:t>
      </w:r>
      <w:bookmarkEnd w:id="850"/>
      <w:bookmarkEnd w:id="851"/>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3.8.2 </w:t>
      </w:r>
      <w:r>
        <w:rPr>
          <w:rFonts w:hint="eastAsia" w:ascii="宋体" w:hAnsi="宋体"/>
          <w:color w:val="auto"/>
          <w:kern w:val="0"/>
          <w:szCs w:val="21"/>
          <w:highlight w:val="none"/>
          <w:lang w:val="en-US" w:eastAsia="zh-CN"/>
        </w:rPr>
        <w:t>共同投标</w:t>
      </w:r>
      <w:r>
        <w:rPr>
          <w:rFonts w:hint="eastAsia" w:ascii="宋体" w:hAnsi="宋体"/>
          <w:color w:val="auto"/>
          <w:kern w:val="0"/>
          <w:szCs w:val="21"/>
          <w:highlight w:val="none"/>
        </w:rPr>
        <w:t>协议经发包人确认后作为合同附件。在履行合同过程中，未经发包人同意，不得修改</w:t>
      </w:r>
      <w:r>
        <w:rPr>
          <w:rFonts w:hint="eastAsia" w:ascii="宋体" w:hAnsi="宋体"/>
          <w:color w:val="auto"/>
          <w:kern w:val="0"/>
          <w:szCs w:val="21"/>
          <w:highlight w:val="none"/>
          <w:lang w:val="en-US" w:eastAsia="zh-CN"/>
        </w:rPr>
        <w:t>共同投标</w:t>
      </w:r>
      <w:r>
        <w:rPr>
          <w:rFonts w:hint="eastAsia" w:ascii="宋体" w:hAnsi="宋体"/>
          <w:color w:val="auto"/>
          <w:kern w:val="0"/>
          <w:szCs w:val="21"/>
          <w:highlight w:val="none"/>
        </w:rPr>
        <w:t>协议。</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3.8.3 联合体牵头人负责与发包人和监理人联系，并接受指示，负责组织联合体各成员全面履行合同。</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852" w:name="_Toc532375590"/>
      <w:bookmarkStart w:id="853" w:name="_Toc532377213"/>
      <w:bookmarkStart w:id="854" w:name="_Toc351203527"/>
      <w:r>
        <w:rPr>
          <w:rFonts w:hint="eastAsia"/>
          <w:color w:val="auto"/>
          <w:kern w:val="2"/>
          <w:sz w:val="21"/>
          <w:szCs w:val="21"/>
          <w:highlight w:val="none"/>
        </w:rPr>
        <w:t>4</w:t>
      </w:r>
      <w:bookmarkStart w:id="855" w:name="_Toc296346554"/>
      <w:bookmarkStart w:id="856" w:name="_Toc296503053"/>
      <w:bookmarkStart w:id="857" w:name="_Toc337558753"/>
      <w:r>
        <w:rPr>
          <w:rFonts w:hint="eastAsia"/>
          <w:color w:val="auto"/>
          <w:kern w:val="2"/>
          <w:sz w:val="21"/>
          <w:szCs w:val="21"/>
          <w:highlight w:val="none"/>
        </w:rPr>
        <w:t>. 监</w:t>
      </w:r>
      <w:bookmarkEnd w:id="855"/>
      <w:bookmarkEnd w:id="856"/>
      <w:r>
        <w:rPr>
          <w:rFonts w:hint="eastAsia"/>
          <w:color w:val="auto"/>
          <w:kern w:val="2"/>
          <w:sz w:val="21"/>
          <w:szCs w:val="21"/>
          <w:highlight w:val="none"/>
        </w:rPr>
        <w:t>理人</w:t>
      </w:r>
      <w:bookmarkEnd w:id="852"/>
      <w:bookmarkEnd w:id="853"/>
      <w:bookmarkEnd w:id="854"/>
    </w:p>
    <w:bookmarkEnd w:id="857"/>
    <w:p>
      <w:pPr>
        <w:pStyle w:val="7"/>
        <w:spacing w:before="0" w:beforeAutospacing="0" w:after="0" w:afterAutospacing="0" w:line="360" w:lineRule="auto"/>
        <w:ind w:firstLine="422" w:firstLineChars="200"/>
        <w:rPr>
          <w:rFonts w:hint="eastAsia"/>
          <w:color w:val="auto"/>
          <w:sz w:val="21"/>
          <w:szCs w:val="21"/>
          <w:highlight w:val="none"/>
        </w:rPr>
      </w:pPr>
      <w:bookmarkStart w:id="858" w:name="_Toc532377214"/>
      <w:bookmarkStart w:id="859" w:name="_Toc351203528"/>
      <w:r>
        <w:rPr>
          <w:rFonts w:hint="eastAsia"/>
          <w:color w:val="auto"/>
          <w:sz w:val="21"/>
          <w:szCs w:val="21"/>
          <w:highlight w:val="none"/>
        </w:rPr>
        <w:t>4</w:t>
      </w:r>
      <w:bookmarkStart w:id="860" w:name="_Toc296503054"/>
      <w:bookmarkStart w:id="861" w:name="_Toc296346555"/>
      <w:bookmarkStart w:id="862" w:name="_Toc337558754"/>
      <w:r>
        <w:rPr>
          <w:rFonts w:hint="eastAsia"/>
          <w:color w:val="auto"/>
          <w:sz w:val="21"/>
          <w:szCs w:val="21"/>
          <w:highlight w:val="none"/>
        </w:rPr>
        <w:t>.1监理人的一般规定</w:t>
      </w:r>
      <w:bookmarkEnd w:id="858"/>
      <w:bookmarkEnd w:id="859"/>
    </w:p>
    <w:bookmarkEnd w:id="860"/>
    <w:bookmarkEnd w:id="861"/>
    <w:bookmarkEnd w:id="862"/>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除专用合同条款另有约定外，监理人在施工现场的办公场所、生活场所由承包人提供，所发生的费用由发包人承担。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863" w:name="_Toc351203529"/>
      <w:bookmarkStart w:id="864" w:name="_Toc532377215"/>
      <w:r>
        <w:rPr>
          <w:rFonts w:hint="eastAsia"/>
          <w:color w:val="auto"/>
          <w:sz w:val="21"/>
          <w:szCs w:val="21"/>
          <w:highlight w:val="none"/>
        </w:rPr>
        <w:t>4</w:t>
      </w:r>
      <w:bookmarkStart w:id="865" w:name="_Toc337558755"/>
      <w:r>
        <w:rPr>
          <w:rFonts w:hint="eastAsia"/>
          <w:color w:val="auto"/>
          <w:sz w:val="21"/>
          <w:szCs w:val="21"/>
          <w:highlight w:val="none"/>
        </w:rPr>
        <w:t>.2监理人员</w:t>
      </w:r>
      <w:bookmarkEnd w:id="863"/>
      <w:bookmarkEnd w:id="864"/>
    </w:p>
    <w:bookmarkEnd w:id="865"/>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0" w:beforeAutospacing="0" w:after="0" w:afterAutospacing="0" w:line="360" w:lineRule="auto"/>
        <w:ind w:firstLine="422" w:firstLineChars="200"/>
        <w:rPr>
          <w:rFonts w:hint="eastAsia"/>
          <w:color w:val="auto"/>
          <w:sz w:val="21"/>
          <w:szCs w:val="21"/>
          <w:highlight w:val="none"/>
        </w:rPr>
      </w:pPr>
      <w:bookmarkStart w:id="866" w:name="_Toc351203530"/>
      <w:bookmarkStart w:id="867" w:name="_Toc532377216"/>
      <w:r>
        <w:rPr>
          <w:rFonts w:hint="eastAsia"/>
          <w:color w:val="auto"/>
          <w:sz w:val="21"/>
          <w:szCs w:val="21"/>
          <w:highlight w:val="none"/>
        </w:rPr>
        <w:t>4</w:t>
      </w:r>
      <w:bookmarkStart w:id="868" w:name="_Toc296503055"/>
      <w:bookmarkStart w:id="869" w:name="_Toc296346556"/>
      <w:bookmarkStart w:id="870" w:name="_Toc337558756"/>
      <w:r>
        <w:rPr>
          <w:rFonts w:hint="eastAsia"/>
          <w:color w:val="auto"/>
          <w:sz w:val="21"/>
          <w:szCs w:val="21"/>
          <w:highlight w:val="none"/>
        </w:rPr>
        <w:t>.3</w:t>
      </w:r>
      <w:bookmarkEnd w:id="868"/>
      <w:bookmarkEnd w:id="869"/>
      <w:r>
        <w:rPr>
          <w:rFonts w:hint="eastAsia"/>
          <w:color w:val="auto"/>
          <w:sz w:val="21"/>
          <w:szCs w:val="21"/>
          <w:highlight w:val="none"/>
        </w:rPr>
        <w:t>监理人的指</w:t>
      </w:r>
      <w:bookmarkEnd w:id="870"/>
      <w:r>
        <w:rPr>
          <w:rFonts w:hint="eastAsia"/>
          <w:color w:val="auto"/>
          <w:sz w:val="21"/>
          <w:szCs w:val="21"/>
          <w:highlight w:val="none"/>
        </w:rPr>
        <w:t>示</w:t>
      </w:r>
      <w:bookmarkEnd w:id="866"/>
      <w:bookmarkEnd w:id="867"/>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0" w:beforeAutospacing="0" w:after="0" w:afterAutospacing="0" w:line="360" w:lineRule="auto"/>
        <w:ind w:firstLine="422" w:firstLineChars="200"/>
        <w:rPr>
          <w:rFonts w:hint="eastAsia"/>
          <w:color w:val="auto"/>
          <w:sz w:val="21"/>
          <w:szCs w:val="21"/>
          <w:highlight w:val="none"/>
        </w:rPr>
      </w:pPr>
      <w:bookmarkStart w:id="871" w:name="_Toc532377217"/>
      <w:bookmarkStart w:id="872" w:name="_Toc351203531"/>
      <w:r>
        <w:rPr>
          <w:rFonts w:hint="eastAsia"/>
          <w:color w:val="auto"/>
          <w:sz w:val="21"/>
          <w:szCs w:val="21"/>
          <w:highlight w:val="none"/>
        </w:rPr>
        <w:t>4</w:t>
      </w:r>
      <w:bookmarkStart w:id="873" w:name="_Toc337558757"/>
      <w:bookmarkStart w:id="874" w:name="_Toc296346558"/>
      <w:bookmarkStart w:id="875" w:name="_Toc296503057"/>
      <w:r>
        <w:rPr>
          <w:rFonts w:hint="eastAsia"/>
          <w:color w:val="auto"/>
          <w:sz w:val="21"/>
          <w:szCs w:val="21"/>
          <w:highlight w:val="none"/>
        </w:rPr>
        <w:t>.4 商定或确定</w:t>
      </w:r>
      <w:bookmarkEnd w:id="871"/>
      <w:bookmarkEnd w:id="872"/>
    </w:p>
    <w:bookmarkEnd w:id="873"/>
    <w:bookmarkEnd w:id="874"/>
    <w:bookmarkEnd w:id="875"/>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876" w:name="_Toc532375591"/>
      <w:bookmarkStart w:id="877" w:name="_Toc351203532"/>
      <w:bookmarkStart w:id="878" w:name="_Toc532377218"/>
      <w:r>
        <w:rPr>
          <w:rFonts w:hint="eastAsia"/>
          <w:color w:val="auto"/>
          <w:kern w:val="2"/>
          <w:sz w:val="21"/>
          <w:szCs w:val="21"/>
          <w:highlight w:val="none"/>
        </w:rPr>
        <w:t>5</w:t>
      </w:r>
      <w:bookmarkStart w:id="879" w:name="_Toc337558758"/>
      <w:r>
        <w:rPr>
          <w:rFonts w:hint="eastAsia"/>
          <w:color w:val="auto"/>
          <w:kern w:val="2"/>
          <w:sz w:val="21"/>
          <w:szCs w:val="21"/>
          <w:highlight w:val="none"/>
        </w:rPr>
        <w:t>. 工程质量</w:t>
      </w:r>
      <w:bookmarkEnd w:id="876"/>
      <w:bookmarkEnd w:id="877"/>
      <w:bookmarkEnd w:id="878"/>
    </w:p>
    <w:bookmarkEnd w:id="879"/>
    <w:p>
      <w:pPr>
        <w:pStyle w:val="7"/>
        <w:spacing w:before="0" w:beforeAutospacing="0" w:after="0" w:afterAutospacing="0" w:line="360" w:lineRule="auto"/>
        <w:ind w:firstLine="422" w:firstLineChars="200"/>
        <w:rPr>
          <w:rFonts w:hint="eastAsia"/>
          <w:color w:val="auto"/>
          <w:sz w:val="21"/>
          <w:szCs w:val="21"/>
          <w:highlight w:val="none"/>
        </w:rPr>
      </w:pPr>
      <w:bookmarkStart w:id="880" w:name="_Toc532377219"/>
      <w:bookmarkStart w:id="881" w:name="_Toc351203533"/>
      <w:r>
        <w:rPr>
          <w:rFonts w:hint="eastAsia"/>
          <w:color w:val="auto"/>
          <w:sz w:val="21"/>
          <w:szCs w:val="21"/>
          <w:highlight w:val="none"/>
        </w:rPr>
        <w:t>5</w:t>
      </w:r>
      <w:bookmarkStart w:id="882" w:name="_Toc337558759"/>
      <w:r>
        <w:rPr>
          <w:rFonts w:hint="eastAsia"/>
          <w:color w:val="auto"/>
          <w:sz w:val="21"/>
          <w:szCs w:val="21"/>
          <w:highlight w:val="none"/>
        </w:rPr>
        <w:t>.1质量要求</w:t>
      </w:r>
      <w:bookmarkEnd w:id="880"/>
      <w:bookmarkEnd w:id="881"/>
    </w:p>
    <w:bookmarkEnd w:id="882"/>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pPr>
        <w:pStyle w:val="7"/>
        <w:spacing w:before="0" w:beforeAutospacing="0" w:after="0" w:afterAutospacing="0" w:line="360" w:lineRule="auto"/>
        <w:ind w:firstLine="422" w:firstLineChars="200"/>
        <w:rPr>
          <w:rFonts w:hint="eastAsia"/>
          <w:color w:val="auto"/>
          <w:sz w:val="21"/>
          <w:szCs w:val="21"/>
          <w:highlight w:val="none"/>
        </w:rPr>
      </w:pPr>
      <w:bookmarkStart w:id="883" w:name="_Toc532377220"/>
      <w:bookmarkStart w:id="884" w:name="_Toc351203534"/>
      <w:r>
        <w:rPr>
          <w:rFonts w:hint="eastAsia"/>
          <w:color w:val="auto"/>
          <w:sz w:val="21"/>
          <w:szCs w:val="21"/>
          <w:highlight w:val="none"/>
        </w:rPr>
        <w:t>5</w:t>
      </w:r>
      <w:bookmarkStart w:id="885" w:name="_Toc337558760"/>
      <w:r>
        <w:rPr>
          <w:rFonts w:hint="eastAsia"/>
          <w:color w:val="auto"/>
          <w:sz w:val="21"/>
          <w:szCs w:val="21"/>
          <w:highlight w:val="none"/>
        </w:rPr>
        <w:t>.2质量保证措施</w:t>
      </w:r>
      <w:bookmarkEnd w:id="883"/>
      <w:bookmarkEnd w:id="884"/>
    </w:p>
    <w:bookmarkEnd w:id="885"/>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5.2.1 发包人的质量管理</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发包人应按照法律规定及合同约定完成与工程质量有关的各项工作。</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5.2.2 承包人的质量管理</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5.2.3 监理人的质量检查和检验</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886" w:name="_Toc532377221"/>
      <w:bookmarkStart w:id="887" w:name="_Toc351203535"/>
      <w:r>
        <w:rPr>
          <w:rFonts w:hint="eastAsia"/>
          <w:color w:val="auto"/>
          <w:sz w:val="21"/>
          <w:szCs w:val="21"/>
          <w:highlight w:val="none"/>
        </w:rPr>
        <w:t>5</w:t>
      </w:r>
      <w:bookmarkStart w:id="888" w:name="_Toc337558761"/>
      <w:r>
        <w:rPr>
          <w:rFonts w:hint="eastAsia"/>
          <w:color w:val="auto"/>
          <w:sz w:val="21"/>
          <w:szCs w:val="21"/>
          <w:highlight w:val="none"/>
        </w:rPr>
        <w:t>.3 隐蔽工程检查</w:t>
      </w:r>
      <w:bookmarkEnd w:id="886"/>
      <w:bookmarkEnd w:id="887"/>
    </w:p>
    <w:bookmarkEnd w:id="888"/>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5.3.1承包人自检</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承包人应当对工程隐蔽部位进行自检，并经自检确认是否具备覆盖条件。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5.3.2检查程序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5.3.3 重新检查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5.3.4 承包人私自覆盖</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889" w:name="_Toc532377222"/>
      <w:r>
        <w:rPr>
          <w:rFonts w:hint="eastAsia"/>
          <w:color w:val="auto"/>
          <w:sz w:val="21"/>
          <w:szCs w:val="21"/>
          <w:highlight w:val="none"/>
        </w:rPr>
        <w:t>5.4不合格工程的处理</w:t>
      </w:r>
      <w:bookmarkEnd w:id="889"/>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5.4.2 因发包人原因造成工程不合格的，由此增加的费用和（或）延误的工期由发包人承担，并支付承包人合理的利润。</w:t>
      </w:r>
    </w:p>
    <w:p>
      <w:pPr>
        <w:pStyle w:val="7"/>
        <w:spacing w:before="0" w:beforeAutospacing="0" w:after="0" w:afterAutospacing="0" w:line="360" w:lineRule="auto"/>
        <w:ind w:firstLine="422" w:firstLineChars="200"/>
        <w:rPr>
          <w:rFonts w:hint="eastAsia"/>
          <w:color w:val="auto"/>
          <w:sz w:val="21"/>
          <w:szCs w:val="21"/>
          <w:highlight w:val="none"/>
        </w:rPr>
      </w:pPr>
      <w:bookmarkStart w:id="890" w:name="_Toc351203537"/>
      <w:bookmarkStart w:id="891" w:name="_Toc532377223"/>
      <w:r>
        <w:rPr>
          <w:rFonts w:hint="eastAsia"/>
          <w:color w:val="auto"/>
          <w:sz w:val="21"/>
          <w:szCs w:val="21"/>
          <w:highlight w:val="none"/>
        </w:rPr>
        <w:t>5.5 质量争议检测</w:t>
      </w:r>
      <w:bookmarkEnd w:id="890"/>
      <w:bookmarkEnd w:id="891"/>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合同当事人均有责任的，由双方根据其责任分别承担。合同当事人无法达成一致的，按照第4.4款〔商定或确定〕执行。</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892" w:name="_Toc532375592"/>
      <w:bookmarkStart w:id="893" w:name="_Toc351203538"/>
      <w:bookmarkStart w:id="894" w:name="_Toc532377224"/>
      <w:r>
        <w:rPr>
          <w:rFonts w:hint="eastAsia"/>
          <w:color w:val="auto"/>
          <w:kern w:val="2"/>
          <w:sz w:val="21"/>
          <w:szCs w:val="21"/>
          <w:highlight w:val="none"/>
        </w:rPr>
        <w:t>6</w:t>
      </w:r>
      <w:bookmarkStart w:id="895" w:name="_Toc337558763"/>
      <w:r>
        <w:rPr>
          <w:rFonts w:hint="eastAsia"/>
          <w:color w:val="auto"/>
          <w:kern w:val="2"/>
          <w:sz w:val="21"/>
          <w:szCs w:val="21"/>
          <w:highlight w:val="none"/>
        </w:rPr>
        <w:t>. 安全文明施工与环境保护</w:t>
      </w:r>
      <w:bookmarkEnd w:id="892"/>
      <w:bookmarkEnd w:id="893"/>
      <w:bookmarkEnd w:id="894"/>
    </w:p>
    <w:bookmarkEnd w:id="895"/>
    <w:p>
      <w:pPr>
        <w:pStyle w:val="7"/>
        <w:spacing w:before="0" w:beforeAutospacing="0" w:after="0" w:afterAutospacing="0" w:line="360" w:lineRule="auto"/>
        <w:ind w:firstLine="422" w:firstLineChars="200"/>
        <w:rPr>
          <w:rFonts w:hint="eastAsia"/>
          <w:color w:val="auto"/>
          <w:sz w:val="21"/>
          <w:szCs w:val="21"/>
          <w:highlight w:val="none"/>
        </w:rPr>
      </w:pPr>
      <w:bookmarkStart w:id="896" w:name="_Toc532377225"/>
      <w:bookmarkStart w:id="897" w:name="_Toc351203539"/>
      <w:r>
        <w:rPr>
          <w:rFonts w:hint="eastAsia"/>
          <w:color w:val="auto"/>
          <w:sz w:val="21"/>
          <w:szCs w:val="21"/>
          <w:highlight w:val="none"/>
        </w:rPr>
        <w:t>6</w:t>
      </w:r>
      <w:bookmarkStart w:id="898" w:name="_Toc337558764"/>
      <w:r>
        <w:rPr>
          <w:rFonts w:hint="eastAsia"/>
          <w:color w:val="auto"/>
          <w:sz w:val="21"/>
          <w:szCs w:val="21"/>
          <w:highlight w:val="none"/>
        </w:rPr>
        <w:t>.1安全文明施工</w:t>
      </w:r>
      <w:bookmarkEnd w:id="896"/>
      <w:bookmarkEnd w:id="897"/>
    </w:p>
    <w:bookmarkEnd w:id="898"/>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6.1.1安全生产要求</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因安全生产需要暂停施工的，按照第7.8款〔暂停施工〕的约定执行。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6.1.2 安全生产保证措施</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6.1.3特别安全生产事项</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6.1.4 治安保卫</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6.1.5 文明施工</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6.1.6 安全文明施工费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6.1.7 紧急情况处理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6.1.8 事故处理</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6.1.9 安全生产责任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6.1.9.1 发包人的安全责任</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发包人应负责赔偿以下各种情况造成的损失：</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（1）工程或工程的任何部分对土地的占用所造成的第三者财产损失；</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（2）由于发包人原因在施工场地及其毗邻地带造成的第三者人身伤亡和财产损失；</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（3）由于发包人原因对承包人、监理人造成的人员人身伤亡和财产损失；</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（4）由于发包人原因造成的发包人自身人员的人身伤害以及财产损失。</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6.1.9.2 承包人的安全责任</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由于承包人原因在施工场地内及其毗邻地带造成的发包人、监理人以及第三者人员伤亡和财产损失，由承包人负责赔偿。</w:t>
      </w:r>
    </w:p>
    <w:p>
      <w:pPr>
        <w:pStyle w:val="7"/>
        <w:spacing w:before="0" w:beforeAutospacing="0" w:after="0" w:afterAutospacing="0" w:line="360" w:lineRule="auto"/>
        <w:ind w:firstLine="422" w:firstLineChars="200"/>
        <w:rPr>
          <w:rFonts w:hint="eastAsia"/>
          <w:color w:val="auto"/>
          <w:sz w:val="21"/>
          <w:szCs w:val="21"/>
          <w:highlight w:val="none"/>
        </w:rPr>
      </w:pPr>
      <w:bookmarkStart w:id="899" w:name="_Toc532377226"/>
      <w:bookmarkStart w:id="900" w:name="_Toc351203540"/>
      <w:r>
        <w:rPr>
          <w:rFonts w:hint="eastAsia"/>
          <w:color w:val="auto"/>
          <w:sz w:val="21"/>
          <w:szCs w:val="21"/>
          <w:highlight w:val="none"/>
        </w:rPr>
        <w:t>6</w:t>
      </w:r>
      <w:bookmarkStart w:id="901" w:name="_Toc337558765"/>
      <w:r>
        <w:rPr>
          <w:rFonts w:hint="eastAsia"/>
          <w:color w:val="auto"/>
          <w:sz w:val="21"/>
          <w:szCs w:val="21"/>
          <w:highlight w:val="none"/>
        </w:rPr>
        <w:t>.2 职业健康</w:t>
      </w:r>
      <w:bookmarkEnd w:id="899"/>
      <w:bookmarkEnd w:id="900"/>
    </w:p>
    <w:bookmarkEnd w:id="901"/>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6.2.1 劳动保护</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6.2.2 生活条件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0" w:beforeAutospacing="0" w:after="0" w:afterAutospacing="0" w:line="360" w:lineRule="auto"/>
        <w:ind w:firstLine="422" w:firstLineChars="200"/>
        <w:rPr>
          <w:rFonts w:hint="eastAsia"/>
          <w:color w:val="auto"/>
          <w:sz w:val="21"/>
          <w:szCs w:val="21"/>
          <w:highlight w:val="none"/>
        </w:rPr>
      </w:pPr>
      <w:bookmarkStart w:id="902" w:name="_Toc532377227"/>
      <w:bookmarkStart w:id="903" w:name="_Toc351203541"/>
      <w:r>
        <w:rPr>
          <w:rFonts w:hint="eastAsia"/>
          <w:color w:val="auto"/>
          <w:sz w:val="21"/>
          <w:szCs w:val="21"/>
          <w:highlight w:val="none"/>
        </w:rPr>
        <w:t>6</w:t>
      </w:r>
      <w:bookmarkStart w:id="904" w:name="_Toc337558766"/>
      <w:r>
        <w:rPr>
          <w:rFonts w:hint="eastAsia"/>
          <w:color w:val="auto"/>
          <w:sz w:val="21"/>
          <w:szCs w:val="21"/>
          <w:highlight w:val="none"/>
        </w:rPr>
        <w:t>.3 环境保护</w:t>
      </w:r>
      <w:bookmarkEnd w:id="902"/>
      <w:bookmarkEnd w:id="903"/>
    </w:p>
    <w:bookmarkEnd w:id="904"/>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905" w:name="_Toc532375593"/>
      <w:bookmarkStart w:id="906" w:name="_Toc351203542"/>
      <w:bookmarkStart w:id="907" w:name="_Toc532377228"/>
      <w:r>
        <w:rPr>
          <w:rFonts w:hint="eastAsia"/>
          <w:color w:val="auto"/>
          <w:kern w:val="2"/>
          <w:sz w:val="21"/>
          <w:szCs w:val="21"/>
          <w:highlight w:val="none"/>
        </w:rPr>
        <w:t>7</w:t>
      </w:r>
      <w:bookmarkStart w:id="908" w:name="_Toc337558767"/>
      <w:r>
        <w:rPr>
          <w:rFonts w:hint="eastAsia"/>
          <w:color w:val="auto"/>
          <w:kern w:val="2"/>
          <w:sz w:val="21"/>
          <w:szCs w:val="21"/>
          <w:highlight w:val="none"/>
        </w:rPr>
        <w:t>. 工期和进度</w:t>
      </w:r>
      <w:bookmarkEnd w:id="905"/>
      <w:bookmarkEnd w:id="906"/>
      <w:bookmarkEnd w:id="907"/>
    </w:p>
    <w:bookmarkEnd w:id="908"/>
    <w:p>
      <w:pPr>
        <w:pStyle w:val="7"/>
        <w:spacing w:before="0" w:beforeAutospacing="0" w:after="0" w:afterAutospacing="0" w:line="360" w:lineRule="auto"/>
        <w:ind w:firstLine="422" w:firstLineChars="200"/>
        <w:rPr>
          <w:rFonts w:hint="eastAsia"/>
          <w:color w:val="auto"/>
          <w:sz w:val="21"/>
          <w:szCs w:val="21"/>
          <w:highlight w:val="none"/>
        </w:rPr>
      </w:pPr>
      <w:bookmarkStart w:id="909" w:name="_Toc532377229"/>
      <w:bookmarkStart w:id="910" w:name="_Toc351203543"/>
      <w:r>
        <w:rPr>
          <w:rFonts w:hint="eastAsia"/>
          <w:color w:val="auto"/>
          <w:sz w:val="21"/>
          <w:szCs w:val="21"/>
          <w:highlight w:val="none"/>
        </w:rPr>
        <w:t>7</w:t>
      </w:r>
      <w:bookmarkStart w:id="911" w:name="_Toc337558768"/>
      <w:bookmarkStart w:id="912" w:name="_Toc296503066"/>
      <w:bookmarkStart w:id="913" w:name="_Toc296346567"/>
      <w:r>
        <w:rPr>
          <w:rFonts w:hint="eastAsia"/>
          <w:color w:val="auto"/>
          <w:sz w:val="21"/>
          <w:szCs w:val="21"/>
          <w:highlight w:val="none"/>
        </w:rPr>
        <w:t>.1施工组织设计</w:t>
      </w:r>
      <w:bookmarkEnd w:id="909"/>
      <w:bookmarkEnd w:id="910"/>
    </w:p>
    <w:bookmarkEnd w:id="911"/>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7.1.1 施工组织设计的内容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施工组织设计应包含以下内容：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（1）施工方案； </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（2）施工现场平面布置图；</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（3）施工进度计划和保证措施； </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（4）劳动力及材料供应计划；</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（5）施工机械设备的选用；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（6）质量保证体系及措施；</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（7）安全生产、文明施工措施；</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（8）环境保护、成本控制措施；</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（9）合同当事人约定的其他内容。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7.1.2 施工组织设计的提交和修改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施工进度计划的编制和修改按照第7.2款〔施工进度计划〕执行。</w:t>
      </w:r>
    </w:p>
    <w:p>
      <w:pPr>
        <w:pStyle w:val="7"/>
        <w:spacing w:before="0" w:beforeAutospacing="0" w:after="0" w:afterAutospacing="0" w:line="360" w:lineRule="auto"/>
        <w:ind w:firstLine="422" w:firstLineChars="200"/>
        <w:rPr>
          <w:rFonts w:hint="eastAsia"/>
          <w:color w:val="auto"/>
          <w:sz w:val="21"/>
          <w:szCs w:val="21"/>
          <w:highlight w:val="none"/>
        </w:rPr>
      </w:pPr>
      <w:bookmarkStart w:id="914" w:name="_Toc351203544"/>
      <w:bookmarkStart w:id="915" w:name="_Toc532377230"/>
      <w:r>
        <w:rPr>
          <w:rFonts w:hint="eastAsia"/>
          <w:color w:val="auto"/>
          <w:sz w:val="21"/>
          <w:szCs w:val="21"/>
          <w:highlight w:val="none"/>
        </w:rPr>
        <w:t>7</w:t>
      </w:r>
      <w:bookmarkStart w:id="916" w:name="_Toc337558769"/>
      <w:r>
        <w:rPr>
          <w:rFonts w:hint="eastAsia"/>
          <w:color w:val="auto"/>
          <w:sz w:val="21"/>
          <w:szCs w:val="21"/>
          <w:highlight w:val="none"/>
        </w:rPr>
        <w:t>.2 施工进度计划</w:t>
      </w:r>
      <w:bookmarkEnd w:id="914"/>
      <w:bookmarkEnd w:id="915"/>
    </w:p>
    <w:bookmarkEnd w:id="916"/>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7.2.1 施工进度计划的编制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7.2.2 施工进度计划的修订</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0" w:beforeAutospacing="0" w:after="0" w:afterAutospacing="0" w:line="360" w:lineRule="auto"/>
        <w:ind w:firstLine="422" w:firstLineChars="200"/>
        <w:rPr>
          <w:rFonts w:hint="eastAsia"/>
          <w:color w:val="auto"/>
          <w:sz w:val="21"/>
          <w:szCs w:val="21"/>
          <w:highlight w:val="none"/>
        </w:rPr>
      </w:pPr>
      <w:bookmarkStart w:id="917" w:name="_Toc351203545"/>
      <w:bookmarkStart w:id="918" w:name="_Toc532377231"/>
      <w:r>
        <w:rPr>
          <w:rFonts w:hint="eastAsia"/>
          <w:color w:val="auto"/>
          <w:sz w:val="21"/>
          <w:szCs w:val="21"/>
          <w:highlight w:val="none"/>
        </w:rPr>
        <w:t>7</w:t>
      </w:r>
      <w:bookmarkStart w:id="919" w:name="_Toc337558770"/>
      <w:r>
        <w:rPr>
          <w:rFonts w:hint="eastAsia"/>
          <w:color w:val="auto"/>
          <w:sz w:val="21"/>
          <w:szCs w:val="21"/>
          <w:highlight w:val="none"/>
        </w:rPr>
        <w:t>.3 开工</w:t>
      </w:r>
      <w:bookmarkEnd w:id="917"/>
      <w:bookmarkEnd w:id="918"/>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7.3.1 开工准备</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除专用合同条款另有约定外，合同当事人应按约定完成开工准备工作。</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7.3.2 开工通知</w:t>
      </w:r>
    </w:p>
    <w:bookmarkEnd w:id="919"/>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0" w:beforeAutospacing="0" w:after="0" w:afterAutospacing="0" w:line="360" w:lineRule="auto"/>
        <w:ind w:firstLine="422" w:firstLineChars="200"/>
        <w:rPr>
          <w:rFonts w:hint="eastAsia"/>
          <w:color w:val="auto"/>
          <w:sz w:val="21"/>
          <w:szCs w:val="21"/>
          <w:highlight w:val="none"/>
        </w:rPr>
      </w:pPr>
      <w:bookmarkStart w:id="920" w:name="_Toc351203546"/>
      <w:bookmarkStart w:id="921" w:name="_Toc532377232"/>
      <w:r>
        <w:rPr>
          <w:rFonts w:hint="eastAsia"/>
          <w:color w:val="auto"/>
          <w:sz w:val="21"/>
          <w:szCs w:val="21"/>
          <w:highlight w:val="none"/>
        </w:rPr>
        <w:t>7.4测量放线</w:t>
      </w:r>
      <w:bookmarkEnd w:id="920"/>
      <w:bookmarkEnd w:id="921"/>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施工过程中对施工现场内水准点等测量标志物的保护工作由承包人负责。</w:t>
      </w:r>
      <w:bookmarkStart w:id="922" w:name="_Toc351203547"/>
    </w:p>
    <w:p>
      <w:pPr>
        <w:pStyle w:val="7"/>
        <w:spacing w:before="0" w:beforeAutospacing="0" w:after="0" w:afterAutospacing="0" w:line="360" w:lineRule="auto"/>
        <w:ind w:firstLine="422" w:firstLineChars="200"/>
        <w:rPr>
          <w:rFonts w:hint="eastAsia"/>
          <w:color w:val="auto"/>
          <w:sz w:val="21"/>
          <w:szCs w:val="21"/>
          <w:highlight w:val="none"/>
        </w:rPr>
      </w:pPr>
      <w:bookmarkStart w:id="923" w:name="_Toc532377233"/>
      <w:r>
        <w:rPr>
          <w:rFonts w:hint="eastAsia"/>
          <w:color w:val="auto"/>
          <w:sz w:val="21"/>
          <w:szCs w:val="21"/>
          <w:highlight w:val="none"/>
        </w:rPr>
        <w:t>7</w:t>
      </w:r>
      <w:bookmarkEnd w:id="912"/>
      <w:bookmarkEnd w:id="913"/>
      <w:bookmarkStart w:id="924" w:name="_Toc337558772"/>
      <w:bookmarkStart w:id="925" w:name="_Toc296503073"/>
      <w:bookmarkStart w:id="926" w:name="_Toc296346574"/>
      <w:r>
        <w:rPr>
          <w:rFonts w:hint="eastAsia"/>
          <w:color w:val="auto"/>
          <w:sz w:val="21"/>
          <w:szCs w:val="21"/>
          <w:highlight w:val="none"/>
        </w:rPr>
        <w:t>.5 工期延误</w:t>
      </w:r>
      <w:bookmarkEnd w:id="922"/>
      <w:bookmarkEnd w:id="923"/>
    </w:p>
    <w:bookmarkEnd w:id="924"/>
    <w:bookmarkEnd w:id="925"/>
    <w:bookmarkEnd w:id="926"/>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7.5.1 因发包人原因导致工期延误</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（1）发包人未能按合同约定提供图纸或所提供图纸不符合合同约定的；</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（2）发包人未能按合同约定提供施工现场、施工条件、基础资料、许可、批准等开工条件的；</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（3）发包人提供的测量基准点、基准线和水准点及其书面资料存在错误或疏漏的；</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（4）发包人未能在计划开工日期之日起7天内同意下达开工通知的；</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（5）发包人未能按合同约定日期支付工程预付款、进度款或竣工结算款的；</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（6）监理人未按合同约定发出指示、批准等文件的；</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（7）专用合同条款中约定的其他情形。</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7.5.2 因承包人原因导致工期延误</w:t>
      </w:r>
    </w:p>
    <w:p>
      <w:pPr>
        <w:autoSpaceDE w:val="0"/>
        <w:autoSpaceDN w:val="0"/>
        <w:spacing w:line="360" w:lineRule="auto"/>
        <w:ind w:firstLine="420" w:firstLineChars="200"/>
        <w:jc w:val="left"/>
        <w:rPr>
          <w:rFonts w:hint="eastAsia" w:ascii="宋体" w:hAnsi="宋体"/>
          <w:color w:val="auto"/>
          <w:kern w:val="0"/>
          <w:szCs w:val="21"/>
          <w:highlight w:val="none"/>
        </w:rPr>
      </w:pPr>
      <w:bookmarkStart w:id="927" w:name="_Toc296503076"/>
      <w:bookmarkStart w:id="928" w:name="_Toc296346577"/>
      <w:r>
        <w:rPr>
          <w:rFonts w:hint="eastAsia" w:ascii="宋体" w:hAnsi="宋体"/>
          <w:color w:val="auto"/>
          <w:kern w:val="0"/>
          <w:szCs w:val="21"/>
          <w:highlight w:val="none"/>
        </w:rPr>
        <w:t>因</w:t>
      </w:r>
      <w:bookmarkEnd w:id="927"/>
      <w:bookmarkEnd w:id="928"/>
      <w:r>
        <w:rPr>
          <w:rFonts w:hint="eastAsia" w:ascii="宋体" w:hAnsi="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0" w:beforeAutospacing="0" w:after="0" w:afterAutospacing="0" w:line="360" w:lineRule="auto"/>
        <w:ind w:firstLine="422" w:firstLineChars="200"/>
        <w:rPr>
          <w:rFonts w:hint="eastAsia"/>
          <w:color w:val="auto"/>
          <w:sz w:val="21"/>
          <w:szCs w:val="21"/>
          <w:highlight w:val="none"/>
        </w:rPr>
      </w:pPr>
      <w:bookmarkStart w:id="929" w:name="_Toc351203548"/>
      <w:bookmarkStart w:id="930" w:name="_Toc532377234"/>
      <w:r>
        <w:rPr>
          <w:rFonts w:hint="eastAsia"/>
          <w:color w:val="auto"/>
          <w:sz w:val="21"/>
          <w:szCs w:val="21"/>
          <w:highlight w:val="none"/>
        </w:rPr>
        <w:t>7</w:t>
      </w:r>
      <w:bookmarkStart w:id="931" w:name="_Toc296346575"/>
      <w:bookmarkStart w:id="932" w:name="_Toc296503074"/>
      <w:bookmarkStart w:id="933" w:name="_Toc337558773"/>
      <w:bookmarkStart w:id="934" w:name="_Toc296346578"/>
      <w:bookmarkStart w:id="935" w:name="_Toc296503077"/>
      <w:r>
        <w:rPr>
          <w:rFonts w:hint="eastAsia"/>
          <w:color w:val="auto"/>
          <w:sz w:val="21"/>
          <w:szCs w:val="21"/>
          <w:highlight w:val="none"/>
        </w:rPr>
        <w:t>.6 不利物质条件</w:t>
      </w:r>
      <w:bookmarkEnd w:id="929"/>
      <w:bookmarkEnd w:id="930"/>
    </w:p>
    <w:bookmarkEnd w:id="931"/>
    <w:bookmarkEnd w:id="932"/>
    <w:bookmarkEnd w:id="933"/>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936" w:name="_Toc532377235"/>
      <w:bookmarkStart w:id="937" w:name="_Toc351203549"/>
      <w:r>
        <w:rPr>
          <w:rFonts w:hint="eastAsia"/>
          <w:color w:val="auto"/>
          <w:sz w:val="21"/>
          <w:szCs w:val="21"/>
          <w:highlight w:val="none"/>
        </w:rPr>
        <w:t>7</w:t>
      </w:r>
      <w:bookmarkStart w:id="938" w:name="_Toc337558774"/>
      <w:bookmarkStart w:id="939" w:name="_Toc296346576"/>
      <w:bookmarkStart w:id="940" w:name="_Toc296503075"/>
      <w:r>
        <w:rPr>
          <w:rFonts w:hint="eastAsia"/>
          <w:color w:val="auto"/>
          <w:sz w:val="21"/>
          <w:szCs w:val="21"/>
          <w:highlight w:val="none"/>
        </w:rPr>
        <w:t>.7 异常恶劣的气候条件</w:t>
      </w:r>
      <w:bookmarkEnd w:id="936"/>
      <w:bookmarkEnd w:id="937"/>
    </w:p>
    <w:bookmarkEnd w:id="938"/>
    <w:bookmarkEnd w:id="939"/>
    <w:bookmarkEnd w:id="940"/>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41" w:name="_Toc351203550"/>
    </w:p>
    <w:p>
      <w:pPr>
        <w:pStyle w:val="7"/>
        <w:spacing w:before="0" w:beforeAutospacing="0" w:after="0" w:afterAutospacing="0" w:line="360" w:lineRule="auto"/>
        <w:ind w:firstLine="422" w:firstLineChars="200"/>
        <w:rPr>
          <w:rFonts w:hint="eastAsia"/>
          <w:color w:val="auto"/>
          <w:sz w:val="21"/>
          <w:szCs w:val="21"/>
          <w:highlight w:val="none"/>
        </w:rPr>
      </w:pPr>
      <w:bookmarkStart w:id="942" w:name="_Toc532377236"/>
      <w:r>
        <w:rPr>
          <w:rFonts w:hint="eastAsia"/>
          <w:color w:val="auto"/>
          <w:sz w:val="21"/>
          <w:szCs w:val="21"/>
          <w:highlight w:val="none"/>
        </w:rPr>
        <w:t>7</w:t>
      </w:r>
      <w:bookmarkStart w:id="943" w:name="_Toc337558775"/>
      <w:r>
        <w:rPr>
          <w:rFonts w:hint="eastAsia"/>
          <w:color w:val="auto"/>
          <w:sz w:val="21"/>
          <w:szCs w:val="21"/>
          <w:highlight w:val="none"/>
        </w:rPr>
        <w:t>.8 暂停施工</w:t>
      </w:r>
      <w:bookmarkEnd w:id="941"/>
      <w:bookmarkEnd w:id="942"/>
    </w:p>
    <w:bookmarkEnd w:id="934"/>
    <w:bookmarkEnd w:id="935"/>
    <w:bookmarkEnd w:id="943"/>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7.8.1发包人原因引起的暂停施工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因发包人原因引起的暂停施工，发包人应承担由此增加的费用和（或）延误的工期，并支付承包人合理的利润。</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7.8.2 承包人原因引起的暂停施工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7.8.3 指示暂停施工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监理人认为有必要时，并经发包人批准后，可向承包人作出暂停施工的指示，承包人应按监理人指示暂停施工。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7.8.4 紧急情况下的暂停施工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7.8.5 暂停施工后的复工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7.8.6 暂停施工持续56天以上</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7.8.7 暂停施工期间的工程照管</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暂停施工期间，承包人应负责妥善照管工程并提供安全保障，由此增加的费用由责任方承担。</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7.8.8 暂停施工的措施</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暂停施工期间，发包人和承包人均应采取必要的措施确保工程质量及安全，防止因暂停施工扩大损失。</w:t>
      </w:r>
    </w:p>
    <w:p>
      <w:pPr>
        <w:pStyle w:val="7"/>
        <w:spacing w:before="0" w:beforeAutospacing="0" w:after="0" w:afterAutospacing="0" w:line="360" w:lineRule="auto"/>
        <w:ind w:firstLine="422" w:firstLineChars="200"/>
        <w:rPr>
          <w:rFonts w:hint="eastAsia"/>
          <w:color w:val="auto"/>
          <w:sz w:val="21"/>
          <w:szCs w:val="21"/>
          <w:highlight w:val="none"/>
        </w:rPr>
      </w:pPr>
      <w:bookmarkStart w:id="944" w:name="_Toc532377237"/>
      <w:bookmarkStart w:id="945" w:name="_Toc351203551"/>
      <w:r>
        <w:rPr>
          <w:rFonts w:hint="eastAsia"/>
          <w:color w:val="auto"/>
          <w:sz w:val="21"/>
          <w:szCs w:val="21"/>
          <w:highlight w:val="none"/>
        </w:rPr>
        <w:t>7.9提前竣工</w:t>
      </w:r>
      <w:bookmarkEnd w:id="944"/>
      <w:bookmarkEnd w:id="945"/>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7.9.2 发包人要求承包人提前竣工，或承包人提出提前竣工的建议能够给发包人带来效益的，合同当事人可以在专用合同条款中约定提前竣工的奖励。</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946" w:name="_Toc532375594"/>
      <w:bookmarkStart w:id="947" w:name="_Toc351203552"/>
      <w:bookmarkStart w:id="948" w:name="_Toc532377238"/>
      <w:r>
        <w:rPr>
          <w:rFonts w:hint="eastAsia"/>
          <w:color w:val="auto"/>
          <w:kern w:val="2"/>
          <w:sz w:val="21"/>
          <w:szCs w:val="21"/>
          <w:highlight w:val="none"/>
        </w:rPr>
        <w:t>8</w:t>
      </w:r>
      <w:bookmarkStart w:id="949" w:name="_Toc296503058"/>
      <w:bookmarkStart w:id="950" w:name="_Toc296346559"/>
      <w:bookmarkStart w:id="951" w:name="_Toc337558776"/>
      <w:r>
        <w:rPr>
          <w:rFonts w:hint="eastAsia"/>
          <w:color w:val="auto"/>
          <w:kern w:val="2"/>
          <w:sz w:val="21"/>
          <w:szCs w:val="21"/>
          <w:highlight w:val="none"/>
        </w:rPr>
        <w:t>. 材料与设备</w:t>
      </w:r>
      <w:bookmarkEnd w:id="946"/>
      <w:bookmarkEnd w:id="947"/>
      <w:bookmarkEnd w:id="948"/>
    </w:p>
    <w:bookmarkEnd w:id="949"/>
    <w:bookmarkEnd w:id="950"/>
    <w:bookmarkEnd w:id="951"/>
    <w:p>
      <w:pPr>
        <w:pStyle w:val="7"/>
        <w:spacing w:before="0" w:beforeAutospacing="0" w:after="0" w:afterAutospacing="0" w:line="360" w:lineRule="auto"/>
        <w:ind w:firstLine="422" w:firstLineChars="200"/>
        <w:rPr>
          <w:rFonts w:hint="eastAsia"/>
          <w:color w:val="auto"/>
          <w:sz w:val="21"/>
          <w:szCs w:val="21"/>
          <w:highlight w:val="none"/>
        </w:rPr>
      </w:pPr>
      <w:bookmarkStart w:id="952" w:name="_Toc532377239"/>
      <w:bookmarkStart w:id="953" w:name="_Toc351203553"/>
      <w:r>
        <w:rPr>
          <w:rFonts w:hint="eastAsia"/>
          <w:color w:val="auto"/>
          <w:sz w:val="21"/>
          <w:szCs w:val="21"/>
          <w:highlight w:val="none"/>
        </w:rPr>
        <w:t>8</w:t>
      </w:r>
      <w:bookmarkStart w:id="954" w:name="_Toc296503059"/>
      <w:bookmarkStart w:id="955" w:name="_Toc296346560"/>
      <w:bookmarkStart w:id="956" w:name="_Toc337558777"/>
      <w:bookmarkStart w:id="957" w:name="_Toc468936960"/>
      <w:r>
        <w:rPr>
          <w:rFonts w:hint="eastAsia"/>
          <w:color w:val="auto"/>
          <w:sz w:val="21"/>
          <w:szCs w:val="21"/>
          <w:highlight w:val="none"/>
        </w:rPr>
        <w:t>.1发包人供应材料与工程设备</w:t>
      </w:r>
      <w:bookmarkEnd w:id="952"/>
      <w:bookmarkEnd w:id="953"/>
    </w:p>
    <w:bookmarkEnd w:id="954"/>
    <w:bookmarkEnd w:id="955"/>
    <w:bookmarkEnd w:id="956"/>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0" w:beforeAutospacing="0" w:after="0" w:afterAutospacing="0" w:line="360" w:lineRule="auto"/>
        <w:ind w:firstLine="422" w:firstLineChars="200"/>
        <w:rPr>
          <w:rFonts w:hint="eastAsia"/>
          <w:color w:val="auto"/>
          <w:sz w:val="21"/>
          <w:szCs w:val="21"/>
          <w:highlight w:val="none"/>
        </w:rPr>
      </w:pPr>
      <w:bookmarkStart w:id="958" w:name="_Toc532377240"/>
      <w:r>
        <w:rPr>
          <w:rFonts w:hint="eastAsia"/>
          <w:color w:val="auto"/>
          <w:sz w:val="21"/>
          <w:szCs w:val="21"/>
          <w:highlight w:val="none"/>
        </w:rPr>
        <w:t>8.2承包人采购材料与工程设备</w:t>
      </w:r>
      <w:bookmarkEnd w:id="958"/>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0" w:beforeAutospacing="0" w:after="0" w:afterAutospacing="0" w:line="360" w:lineRule="auto"/>
        <w:ind w:firstLine="422" w:firstLineChars="200"/>
        <w:rPr>
          <w:rFonts w:hint="eastAsia"/>
          <w:color w:val="auto"/>
          <w:sz w:val="21"/>
          <w:szCs w:val="21"/>
          <w:highlight w:val="none"/>
        </w:rPr>
      </w:pPr>
      <w:bookmarkStart w:id="959" w:name="_Toc532377241"/>
      <w:bookmarkStart w:id="960" w:name="_Toc351203555"/>
      <w:r>
        <w:rPr>
          <w:rFonts w:hint="eastAsia"/>
          <w:color w:val="auto"/>
          <w:sz w:val="21"/>
          <w:szCs w:val="21"/>
          <w:highlight w:val="none"/>
        </w:rPr>
        <w:t>8</w:t>
      </w:r>
      <w:bookmarkStart w:id="961" w:name="_Toc296346562"/>
      <w:bookmarkStart w:id="962" w:name="_Toc337558779"/>
      <w:bookmarkStart w:id="963" w:name="_Toc296503061"/>
      <w:r>
        <w:rPr>
          <w:rFonts w:hint="eastAsia"/>
          <w:color w:val="auto"/>
          <w:sz w:val="21"/>
          <w:szCs w:val="21"/>
          <w:highlight w:val="none"/>
        </w:rPr>
        <w:t>.3材料与工程设备的接收与拒收</w:t>
      </w:r>
      <w:bookmarkEnd w:id="959"/>
      <w:bookmarkEnd w:id="960"/>
    </w:p>
    <w:bookmarkEnd w:id="961"/>
    <w:bookmarkEnd w:id="962"/>
    <w:bookmarkEnd w:id="963"/>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8.3.2 承包人采购的材料和工程设备，应保证产品质量合格，承包人应在材料和工程设备到货前24小时通知监理人检验。承</w:t>
      </w:r>
      <w:bookmarkStart w:id="964" w:name="_Toc250655469"/>
      <w:r>
        <w:rPr>
          <w:rFonts w:hint="eastAsia" w:ascii="宋体" w:hAnsi="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964"/>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965" w:name="_Toc351203556"/>
      <w:bookmarkStart w:id="966" w:name="_Toc532377242"/>
      <w:r>
        <w:rPr>
          <w:rFonts w:hint="eastAsia"/>
          <w:color w:val="auto"/>
          <w:sz w:val="21"/>
          <w:szCs w:val="21"/>
          <w:highlight w:val="none"/>
        </w:rPr>
        <w:t>8</w:t>
      </w:r>
      <w:bookmarkStart w:id="967" w:name="_Toc337558780"/>
      <w:bookmarkStart w:id="968" w:name="_Toc296503062"/>
      <w:bookmarkStart w:id="969" w:name="_Toc296346563"/>
      <w:r>
        <w:rPr>
          <w:rFonts w:hint="eastAsia"/>
          <w:color w:val="auto"/>
          <w:sz w:val="21"/>
          <w:szCs w:val="21"/>
          <w:highlight w:val="none"/>
        </w:rPr>
        <w:t>.4材料与工程设备的保管与使用</w:t>
      </w:r>
      <w:bookmarkEnd w:id="965"/>
      <w:bookmarkEnd w:id="966"/>
    </w:p>
    <w:bookmarkEnd w:id="967"/>
    <w:bookmarkEnd w:id="968"/>
    <w:bookmarkEnd w:id="969"/>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8.4.1 发包人供应材料与工程设备的保管与使用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8.4.2 承包人采购材料与工程设备的保管与使用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970" w:name="_Toc351203557"/>
      <w:bookmarkStart w:id="971" w:name="_Toc532377243"/>
      <w:r>
        <w:rPr>
          <w:rFonts w:hint="eastAsia"/>
          <w:color w:val="auto"/>
          <w:sz w:val="21"/>
          <w:szCs w:val="21"/>
          <w:highlight w:val="none"/>
        </w:rPr>
        <w:t>8.5禁止使用不合格的材料和工程设备</w:t>
      </w:r>
      <w:bookmarkEnd w:id="970"/>
      <w:bookmarkEnd w:id="971"/>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pPr>
        <w:pStyle w:val="7"/>
        <w:spacing w:before="0" w:beforeAutospacing="0" w:after="0" w:afterAutospacing="0" w:line="360" w:lineRule="auto"/>
        <w:ind w:firstLine="422" w:firstLineChars="200"/>
        <w:rPr>
          <w:rFonts w:hint="eastAsia"/>
          <w:color w:val="auto"/>
          <w:sz w:val="21"/>
          <w:szCs w:val="21"/>
          <w:highlight w:val="none"/>
        </w:rPr>
      </w:pPr>
      <w:bookmarkStart w:id="972" w:name="_Toc532377244"/>
      <w:bookmarkStart w:id="973" w:name="_Toc351203558"/>
      <w:r>
        <w:rPr>
          <w:rFonts w:hint="eastAsia"/>
          <w:color w:val="auto"/>
          <w:sz w:val="21"/>
          <w:szCs w:val="21"/>
          <w:highlight w:val="none"/>
        </w:rPr>
        <w:t>8.6 样品</w:t>
      </w:r>
      <w:bookmarkEnd w:id="972"/>
      <w:bookmarkEnd w:id="973"/>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8.6.1</w:t>
      </w:r>
      <w:r>
        <w:rPr>
          <w:rFonts w:hint="eastAsia" w:ascii="宋体" w:hAnsi="宋体"/>
          <w:color w:val="auto"/>
          <w:kern w:val="0"/>
          <w:szCs w:val="21"/>
          <w:highlight w:val="none"/>
        </w:rPr>
        <w:tab/>
      </w:r>
      <w:r>
        <w:rPr>
          <w:rFonts w:hint="eastAsia" w:ascii="宋体" w:hAnsi="宋体"/>
          <w:color w:val="auto"/>
          <w:kern w:val="0"/>
          <w:szCs w:val="21"/>
          <w:highlight w:val="none"/>
        </w:rPr>
        <w:t>样品的报送与封存</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8.6.2 样品的保管</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经批准的样品应由监理人负责封存于现场，承包人应在现场为保存样品提供适当和固定的场所并保持适当和良好的存储环境条件。</w:t>
      </w:r>
    </w:p>
    <w:p>
      <w:pPr>
        <w:pStyle w:val="7"/>
        <w:spacing w:before="0" w:beforeAutospacing="0" w:after="0" w:afterAutospacing="0" w:line="360" w:lineRule="auto"/>
        <w:ind w:firstLine="422" w:firstLineChars="200"/>
        <w:rPr>
          <w:rFonts w:hint="eastAsia"/>
          <w:color w:val="auto"/>
          <w:sz w:val="21"/>
          <w:szCs w:val="21"/>
          <w:highlight w:val="none"/>
        </w:rPr>
      </w:pPr>
      <w:bookmarkStart w:id="974" w:name="_Toc532377245"/>
      <w:bookmarkStart w:id="975" w:name="_Toc351203559"/>
      <w:r>
        <w:rPr>
          <w:rFonts w:hint="eastAsia"/>
          <w:color w:val="auto"/>
          <w:sz w:val="21"/>
          <w:szCs w:val="21"/>
          <w:highlight w:val="none"/>
        </w:rPr>
        <w:t>8.7材料与工程设备的替代</w:t>
      </w:r>
      <w:bookmarkEnd w:id="974"/>
      <w:bookmarkEnd w:id="975"/>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8.7.1 出现下列情况需要使用替代材料和工程设备的，承包人应按照第8.7.2项约定的程序执行：</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（1）基准日期后生效的法律规定禁止使用的；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（2）发包人要求使用替代品的；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（3）因其他原因必须使用替代品的。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8.7.2 承包人应在使用替代材料和工程设备28天前书面通知监理人，并附下列文件：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（1）被替代的材料和工程设备的名称、数量、规格、型号、品牌、性能、价格及其他相关资料；</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（2）替代品的名称、数量、规格、型号、品牌、性能、价格及其他相关资料；</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（3）替代品与被替代产品之间的差异以及使用替代品可能对工程产生的影响；</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（4）替代品与被替代产品的价格差异；</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（5）使用替代品的理由和原因说明；</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（6）监理人要求的其他文件。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0" w:beforeAutospacing="0" w:after="0" w:afterAutospacing="0" w:line="360" w:lineRule="auto"/>
        <w:ind w:firstLine="422" w:firstLineChars="200"/>
        <w:rPr>
          <w:rFonts w:hint="eastAsia"/>
          <w:color w:val="auto"/>
          <w:sz w:val="21"/>
          <w:szCs w:val="21"/>
          <w:highlight w:val="none"/>
        </w:rPr>
      </w:pPr>
      <w:bookmarkStart w:id="976" w:name="_Toc532377246"/>
      <w:bookmarkStart w:id="977" w:name="_Toc351203560"/>
      <w:r>
        <w:rPr>
          <w:rFonts w:hint="eastAsia"/>
          <w:color w:val="auto"/>
          <w:sz w:val="21"/>
          <w:szCs w:val="21"/>
          <w:highlight w:val="none"/>
        </w:rPr>
        <w:t>8.8施工设备和临时设施</w:t>
      </w:r>
      <w:bookmarkEnd w:id="976"/>
      <w:bookmarkEnd w:id="977"/>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8.8.1 承包人提供的施工设备和临时设施</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8.8.2发包人提供的施工设备和临时设施</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发包人提供的施工设备或临时设施在专用合同条款中约定。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8.8.3要求承包人增加或更换施工设备</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978" w:name="_Toc351203561"/>
      <w:bookmarkStart w:id="979" w:name="_Toc532377247"/>
      <w:r>
        <w:rPr>
          <w:rFonts w:hint="eastAsia"/>
          <w:color w:val="auto"/>
          <w:sz w:val="21"/>
          <w:szCs w:val="21"/>
          <w:highlight w:val="none"/>
        </w:rPr>
        <w:t>8</w:t>
      </w:r>
      <w:bookmarkStart w:id="980" w:name="_Toc337558781"/>
      <w:bookmarkStart w:id="981" w:name="_Toc296346564"/>
      <w:bookmarkStart w:id="982" w:name="_Toc296503063"/>
      <w:r>
        <w:rPr>
          <w:rFonts w:hint="eastAsia"/>
          <w:color w:val="auto"/>
          <w:sz w:val="21"/>
          <w:szCs w:val="21"/>
          <w:highlight w:val="none"/>
        </w:rPr>
        <w:t>.9材料与设备专用</w:t>
      </w:r>
      <w:bookmarkEnd w:id="978"/>
      <w:r>
        <w:rPr>
          <w:rFonts w:hint="eastAsia"/>
          <w:color w:val="auto"/>
          <w:sz w:val="21"/>
          <w:szCs w:val="21"/>
          <w:highlight w:val="none"/>
        </w:rPr>
        <w:t>要求</w:t>
      </w:r>
      <w:bookmarkEnd w:id="979"/>
    </w:p>
    <w:bookmarkEnd w:id="980"/>
    <w:bookmarkEnd w:id="981"/>
    <w:bookmarkEnd w:id="982"/>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57"/>
      <w:r>
        <w:rPr>
          <w:rFonts w:hint="eastAsia" w:ascii="宋体" w:hAnsi="宋体"/>
          <w:color w:val="auto"/>
          <w:kern w:val="0"/>
          <w:szCs w:val="21"/>
          <w:highlight w:val="none"/>
        </w:rPr>
        <w:t>经发包人批准，承包人可以根据施工进度计划撤走闲置的施工设备和其他物品。</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983" w:name="_Toc532377248"/>
      <w:bookmarkStart w:id="984" w:name="_Toc532375595"/>
      <w:bookmarkStart w:id="985" w:name="_Toc351203562"/>
      <w:r>
        <w:rPr>
          <w:rFonts w:hint="eastAsia"/>
          <w:color w:val="auto"/>
          <w:kern w:val="2"/>
          <w:sz w:val="21"/>
          <w:szCs w:val="21"/>
          <w:highlight w:val="none"/>
        </w:rPr>
        <w:t>9</w:t>
      </w:r>
      <w:bookmarkStart w:id="986" w:name="_Toc337558782"/>
      <w:bookmarkStart w:id="987" w:name="_Toc296503083"/>
      <w:bookmarkStart w:id="988" w:name="_Toc296346584"/>
      <w:r>
        <w:rPr>
          <w:rFonts w:hint="eastAsia"/>
          <w:color w:val="auto"/>
          <w:kern w:val="2"/>
          <w:sz w:val="21"/>
          <w:szCs w:val="21"/>
          <w:highlight w:val="none"/>
        </w:rPr>
        <w:t>. 试验与检验</w:t>
      </w:r>
      <w:bookmarkEnd w:id="983"/>
      <w:bookmarkEnd w:id="984"/>
      <w:bookmarkEnd w:id="985"/>
    </w:p>
    <w:bookmarkEnd w:id="986"/>
    <w:p>
      <w:pPr>
        <w:pStyle w:val="7"/>
        <w:spacing w:before="0" w:beforeAutospacing="0" w:after="0" w:afterAutospacing="0" w:line="360" w:lineRule="auto"/>
        <w:ind w:firstLine="422" w:firstLineChars="200"/>
        <w:rPr>
          <w:rFonts w:hint="eastAsia"/>
          <w:color w:val="auto"/>
          <w:sz w:val="21"/>
          <w:szCs w:val="21"/>
          <w:highlight w:val="none"/>
        </w:rPr>
      </w:pPr>
      <w:bookmarkStart w:id="989" w:name="_Toc351203563"/>
      <w:bookmarkStart w:id="990" w:name="_Toc532377249"/>
      <w:r>
        <w:rPr>
          <w:rFonts w:hint="eastAsia"/>
          <w:color w:val="auto"/>
          <w:sz w:val="21"/>
          <w:szCs w:val="21"/>
          <w:highlight w:val="none"/>
        </w:rPr>
        <w:t>9</w:t>
      </w:r>
      <w:bookmarkStart w:id="991" w:name="_Toc337558783"/>
      <w:r>
        <w:rPr>
          <w:rFonts w:hint="eastAsia"/>
          <w:color w:val="auto"/>
          <w:sz w:val="21"/>
          <w:szCs w:val="21"/>
          <w:highlight w:val="none"/>
        </w:rPr>
        <w:t>.1试验设备与试验人员</w:t>
      </w:r>
      <w:bookmarkEnd w:id="989"/>
      <w:bookmarkEnd w:id="990"/>
    </w:p>
    <w:bookmarkEnd w:id="991"/>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9.1.2 承包人应按专用合同条款的约定提供试验设备、取样装置、试验场所和试验条件，并向监理人提交相应进场计划表。</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pPr>
        <w:pStyle w:val="7"/>
        <w:spacing w:before="0" w:beforeAutospacing="0" w:after="0" w:afterAutospacing="0" w:line="360" w:lineRule="auto"/>
        <w:ind w:firstLine="422" w:firstLineChars="200"/>
        <w:rPr>
          <w:rFonts w:hint="eastAsia"/>
          <w:color w:val="auto"/>
          <w:sz w:val="21"/>
          <w:szCs w:val="21"/>
          <w:highlight w:val="none"/>
        </w:rPr>
      </w:pPr>
      <w:bookmarkStart w:id="992" w:name="_Toc351203564"/>
      <w:bookmarkStart w:id="993" w:name="_Toc532377250"/>
      <w:r>
        <w:rPr>
          <w:rFonts w:hint="eastAsia"/>
          <w:color w:val="auto"/>
          <w:sz w:val="21"/>
          <w:szCs w:val="21"/>
          <w:highlight w:val="none"/>
        </w:rPr>
        <w:t>9</w:t>
      </w:r>
      <w:bookmarkStart w:id="994" w:name="_Toc337558784"/>
      <w:r>
        <w:rPr>
          <w:rFonts w:hint="eastAsia"/>
          <w:color w:val="auto"/>
          <w:sz w:val="21"/>
          <w:szCs w:val="21"/>
          <w:highlight w:val="none"/>
        </w:rPr>
        <w:t>.2取样</w:t>
      </w:r>
      <w:bookmarkEnd w:id="992"/>
      <w:bookmarkEnd w:id="993"/>
    </w:p>
    <w:bookmarkEnd w:id="994"/>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试验属于自检性质的，承包人可以单独取样。试验属于监理人抽检性质的，可由监理人取样，也可由承包人的试验人员在监理人的监督下取样。</w:t>
      </w:r>
    </w:p>
    <w:p>
      <w:pPr>
        <w:pStyle w:val="7"/>
        <w:spacing w:before="0" w:beforeAutospacing="0" w:after="0" w:afterAutospacing="0" w:line="360" w:lineRule="auto"/>
        <w:ind w:firstLine="422" w:firstLineChars="200"/>
        <w:rPr>
          <w:rFonts w:hint="eastAsia"/>
          <w:color w:val="auto"/>
          <w:sz w:val="21"/>
          <w:szCs w:val="21"/>
          <w:highlight w:val="none"/>
        </w:rPr>
      </w:pPr>
      <w:bookmarkStart w:id="995" w:name="_Toc532377251"/>
      <w:bookmarkStart w:id="996" w:name="_Toc351203565"/>
      <w:r>
        <w:rPr>
          <w:rFonts w:hint="eastAsia"/>
          <w:color w:val="auto"/>
          <w:sz w:val="21"/>
          <w:szCs w:val="21"/>
          <w:highlight w:val="none"/>
        </w:rPr>
        <w:t>9</w:t>
      </w:r>
      <w:bookmarkStart w:id="997" w:name="_Toc337558785"/>
      <w:r>
        <w:rPr>
          <w:rFonts w:hint="eastAsia"/>
          <w:color w:val="auto"/>
          <w:sz w:val="21"/>
          <w:szCs w:val="21"/>
          <w:highlight w:val="none"/>
        </w:rPr>
        <w:t>.3材料、工程设备和工程的试验和检验</w:t>
      </w:r>
      <w:bookmarkEnd w:id="995"/>
      <w:bookmarkEnd w:id="996"/>
    </w:p>
    <w:bookmarkEnd w:id="997"/>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998" w:name="_Toc351203566"/>
      <w:bookmarkStart w:id="999" w:name="_Toc532377252"/>
      <w:r>
        <w:rPr>
          <w:rFonts w:hint="eastAsia"/>
          <w:color w:val="auto"/>
          <w:sz w:val="21"/>
          <w:szCs w:val="21"/>
          <w:highlight w:val="none"/>
        </w:rPr>
        <w:t>9</w:t>
      </w:r>
      <w:bookmarkStart w:id="1000" w:name="_Toc337558786"/>
      <w:r>
        <w:rPr>
          <w:rFonts w:hint="eastAsia"/>
          <w:color w:val="auto"/>
          <w:sz w:val="21"/>
          <w:szCs w:val="21"/>
          <w:highlight w:val="none"/>
        </w:rPr>
        <w:t>.4现场工艺试验</w:t>
      </w:r>
      <w:bookmarkEnd w:id="998"/>
      <w:bookmarkEnd w:id="999"/>
    </w:p>
    <w:bookmarkEnd w:id="1000"/>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001" w:name="_Toc351203567"/>
      <w:bookmarkStart w:id="1002" w:name="_Toc532377253"/>
      <w:bookmarkStart w:id="1003" w:name="_Toc532375596"/>
      <w:r>
        <w:rPr>
          <w:rFonts w:hint="eastAsia"/>
          <w:color w:val="auto"/>
          <w:kern w:val="2"/>
          <w:sz w:val="21"/>
          <w:szCs w:val="21"/>
          <w:highlight w:val="none"/>
        </w:rPr>
        <w:t>1</w:t>
      </w:r>
      <w:bookmarkStart w:id="1004" w:name="_Toc337558787"/>
      <w:r>
        <w:rPr>
          <w:rFonts w:hint="eastAsia"/>
          <w:color w:val="auto"/>
          <w:kern w:val="2"/>
          <w:sz w:val="21"/>
          <w:szCs w:val="21"/>
          <w:highlight w:val="none"/>
        </w:rPr>
        <w:t>0. 变更</w:t>
      </w:r>
      <w:bookmarkEnd w:id="987"/>
      <w:bookmarkEnd w:id="988"/>
      <w:bookmarkEnd w:id="1001"/>
      <w:bookmarkEnd w:id="1002"/>
      <w:bookmarkEnd w:id="1003"/>
    </w:p>
    <w:bookmarkEnd w:id="1004"/>
    <w:p>
      <w:pPr>
        <w:pStyle w:val="7"/>
        <w:spacing w:before="0" w:beforeAutospacing="0" w:after="0" w:afterAutospacing="0" w:line="360" w:lineRule="auto"/>
        <w:ind w:firstLine="422" w:firstLineChars="200"/>
        <w:rPr>
          <w:rFonts w:hint="eastAsia"/>
          <w:color w:val="auto"/>
          <w:sz w:val="21"/>
          <w:szCs w:val="21"/>
          <w:highlight w:val="none"/>
        </w:rPr>
      </w:pPr>
      <w:bookmarkStart w:id="1005" w:name="_Toc532377254"/>
      <w:bookmarkStart w:id="1006" w:name="_Toc351203568"/>
      <w:r>
        <w:rPr>
          <w:rFonts w:hint="eastAsia"/>
          <w:color w:val="auto"/>
          <w:sz w:val="21"/>
          <w:szCs w:val="21"/>
          <w:highlight w:val="none"/>
        </w:rPr>
        <w:t>1</w:t>
      </w:r>
      <w:bookmarkStart w:id="1007" w:name="_Toc337558788"/>
      <w:bookmarkStart w:id="1008" w:name="_Toc296346585"/>
      <w:bookmarkStart w:id="1009" w:name="_Toc296503084"/>
      <w:r>
        <w:rPr>
          <w:rFonts w:hint="eastAsia"/>
          <w:color w:val="auto"/>
          <w:sz w:val="21"/>
          <w:szCs w:val="21"/>
          <w:highlight w:val="none"/>
        </w:rPr>
        <w:t>0.1变更的范围</w:t>
      </w:r>
      <w:bookmarkEnd w:id="1005"/>
      <w:bookmarkEnd w:id="1006"/>
    </w:p>
    <w:bookmarkEnd w:id="1007"/>
    <w:bookmarkEnd w:id="1008"/>
    <w:bookmarkEnd w:id="1009"/>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除专用合同条款另有约定外，合同履行过程中发生以下情形的，应按照本条约定进行变更：</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（1）增加或减少合同中任何工作，或追加额外的工作；</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（2）取消合同中任何工作，但转由他人实施的工作除外；</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（3）改变合同中任何工作的质量标准或其他特性；</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（4）改变工程的基线、标高、位置和尺寸；</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（5）改变工程的时间安排或实施顺序。</w:t>
      </w:r>
    </w:p>
    <w:p>
      <w:pPr>
        <w:pStyle w:val="7"/>
        <w:spacing w:before="0" w:beforeAutospacing="0" w:after="0" w:afterAutospacing="0" w:line="360" w:lineRule="auto"/>
        <w:ind w:firstLine="422" w:firstLineChars="200"/>
        <w:rPr>
          <w:rFonts w:hint="eastAsia"/>
          <w:color w:val="auto"/>
          <w:sz w:val="21"/>
          <w:szCs w:val="21"/>
          <w:highlight w:val="none"/>
        </w:rPr>
      </w:pPr>
      <w:bookmarkStart w:id="1010" w:name="_Toc532377255"/>
      <w:r>
        <w:rPr>
          <w:rFonts w:hint="eastAsia"/>
          <w:color w:val="auto"/>
          <w:sz w:val="21"/>
          <w:szCs w:val="21"/>
          <w:highlight w:val="none"/>
        </w:rPr>
        <w:t>10.2变更权</w:t>
      </w:r>
      <w:bookmarkEnd w:id="1010"/>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涉及设计变更的，应由设计人提供变更后的图纸和说明。如变更超过原设计标准或批准的建设规模时，发包人应及时办理规划、设计变更等审批手续。</w:t>
      </w:r>
    </w:p>
    <w:p>
      <w:pPr>
        <w:pStyle w:val="7"/>
        <w:spacing w:before="0" w:beforeAutospacing="0" w:after="0" w:afterAutospacing="0" w:line="360" w:lineRule="auto"/>
        <w:ind w:firstLine="422" w:firstLineChars="200"/>
        <w:rPr>
          <w:rFonts w:hint="eastAsia"/>
          <w:color w:val="auto"/>
          <w:sz w:val="21"/>
          <w:szCs w:val="21"/>
          <w:highlight w:val="none"/>
        </w:rPr>
      </w:pPr>
      <w:bookmarkStart w:id="1011" w:name="_Toc532377256"/>
      <w:r>
        <w:rPr>
          <w:rFonts w:hint="eastAsia"/>
          <w:color w:val="auto"/>
          <w:sz w:val="21"/>
          <w:szCs w:val="21"/>
          <w:highlight w:val="none"/>
        </w:rPr>
        <w:t>10.3变更程序</w:t>
      </w:r>
      <w:bookmarkEnd w:id="1011"/>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10.3.1 发包人提出变更</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10.3.2 监理人提出变更建议</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10.3.3 变更执行</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0" w:beforeAutospacing="0" w:after="0" w:afterAutospacing="0" w:line="360" w:lineRule="auto"/>
        <w:ind w:firstLine="422" w:firstLineChars="200"/>
        <w:rPr>
          <w:rFonts w:hint="eastAsia"/>
          <w:color w:val="auto"/>
          <w:sz w:val="21"/>
          <w:szCs w:val="21"/>
          <w:highlight w:val="none"/>
        </w:rPr>
      </w:pPr>
      <w:bookmarkStart w:id="1012" w:name="_Toc351203571"/>
      <w:bookmarkStart w:id="1013" w:name="_Toc532377257"/>
      <w:r>
        <w:rPr>
          <w:rFonts w:hint="eastAsia"/>
          <w:color w:val="auto"/>
          <w:sz w:val="21"/>
          <w:szCs w:val="21"/>
          <w:highlight w:val="none"/>
        </w:rPr>
        <w:t>1</w:t>
      </w:r>
      <w:bookmarkStart w:id="1014" w:name="_Toc296503087"/>
      <w:bookmarkStart w:id="1015" w:name="_Toc296346588"/>
      <w:bookmarkStart w:id="1016" w:name="_Toc337558791"/>
      <w:r>
        <w:rPr>
          <w:rFonts w:hint="eastAsia"/>
          <w:color w:val="auto"/>
          <w:sz w:val="21"/>
          <w:szCs w:val="21"/>
          <w:highlight w:val="none"/>
        </w:rPr>
        <w:t>0.4变更估价</w:t>
      </w:r>
      <w:bookmarkEnd w:id="1012"/>
      <w:bookmarkEnd w:id="1013"/>
    </w:p>
    <w:bookmarkEnd w:id="1014"/>
    <w:bookmarkEnd w:id="1015"/>
    <w:bookmarkEnd w:id="1016"/>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10.4.1 变更估价原则</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除专用合同条款另有约定外，变更估价按照本款约定处理：</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（1）已标价工程量清单或预算书有相同项目的，按照相同项目单价认定；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（2）已标价工程量清单或预算书中无相同项目，但有类似项目的，参照类似项目的单价认定；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10.4.2 变更估价程序</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因变更引起的价格调整应计入最近一期的进度款中支付。</w:t>
      </w:r>
    </w:p>
    <w:p>
      <w:pPr>
        <w:pStyle w:val="7"/>
        <w:spacing w:before="0" w:beforeAutospacing="0" w:after="0" w:afterAutospacing="0" w:line="360" w:lineRule="auto"/>
        <w:ind w:firstLine="422" w:firstLineChars="200"/>
        <w:rPr>
          <w:rFonts w:hint="eastAsia"/>
          <w:color w:val="auto"/>
          <w:sz w:val="21"/>
          <w:szCs w:val="21"/>
          <w:highlight w:val="none"/>
        </w:rPr>
      </w:pPr>
      <w:bookmarkStart w:id="1017" w:name="_Toc532377258"/>
      <w:bookmarkStart w:id="1018" w:name="_Toc351203572"/>
      <w:r>
        <w:rPr>
          <w:rFonts w:hint="eastAsia"/>
          <w:color w:val="auto"/>
          <w:sz w:val="21"/>
          <w:szCs w:val="21"/>
          <w:highlight w:val="none"/>
        </w:rPr>
        <w:t>1</w:t>
      </w:r>
      <w:bookmarkStart w:id="1019" w:name="_Toc337558792"/>
      <w:bookmarkStart w:id="1020" w:name="_Toc296503094"/>
      <w:bookmarkStart w:id="1021" w:name="_Toc296346595"/>
      <w:r>
        <w:rPr>
          <w:rFonts w:hint="eastAsia"/>
          <w:color w:val="auto"/>
          <w:sz w:val="21"/>
          <w:szCs w:val="21"/>
          <w:highlight w:val="none"/>
        </w:rPr>
        <w:t>0.5承包人的合理化建议</w:t>
      </w:r>
      <w:bookmarkEnd w:id="1017"/>
      <w:bookmarkEnd w:id="1018"/>
    </w:p>
    <w:bookmarkEnd w:id="1019"/>
    <w:bookmarkEnd w:id="1020"/>
    <w:bookmarkEnd w:id="1021"/>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合理化建议降低了合同价格或者提高了工程经济效益的，发包人可对承包人给予奖励，奖励的方法和金额在专用合同条款中约定。</w:t>
      </w:r>
    </w:p>
    <w:p>
      <w:pPr>
        <w:pStyle w:val="7"/>
        <w:spacing w:before="0" w:beforeAutospacing="0" w:after="0" w:afterAutospacing="0" w:line="360" w:lineRule="auto"/>
        <w:ind w:firstLine="422" w:firstLineChars="200"/>
        <w:rPr>
          <w:rFonts w:hint="eastAsia"/>
          <w:color w:val="auto"/>
          <w:sz w:val="21"/>
          <w:szCs w:val="21"/>
          <w:highlight w:val="none"/>
        </w:rPr>
      </w:pPr>
      <w:bookmarkStart w:id="1022" w:name="_Toc351203573"/>
      <w:bookmarkStart w:id="1023" w:name="_Toc532377259"/>
      <w:r>
        <w:rPr>
          <w:rFonts w:hint="eastAsia"/>
          <w:color w:val="auto"/>
          <w:sz w:val="21"/>
          <w:szCs w:val="21"/>
          <w:highlight w:val="none"/>
        </w:rPr>
        <w:t>1</w:t>
      </w:r>
      <w:bookmarkStart w:id="1024" w:name="_Toc337558793"/>
      <w:r>
        <w:rPr>
          <w:rFonts w:hint="eastAsia"/>
          <w:color w:val="auto"/>
          <w:sz w:val="21"/>
          <w:szCs w:val="21"/>
          <w:highlight w:val="none"/>
        </w:rPr>
        <w:t>0.6变更引起的工期调整</w:t>
      </w:r>
      <w:bookmarkEnd w:id="1022"/>
      <w:bookmarkEnd w:id="1023"/>
      <w:bookmarkEnd w:id="1024"/>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因变更引起工期变化的，合同当事人均可要求调整合同工期，由合同当事人按照第4.4款〔商定或确定〕并参考工程所在地的工期定额标准确定增减工期天数。</w:t>
      </w:r>
    </w:p>
    <w:p>
      <w:pPr>
        <w:pStyle w:val="7"/>
        <w:spacing w:before="0" w:beforeAutospacing="0" w:after="0" w:afterAutospacing="0" w:line="360" w:lineRule="auto"/>
        <w:ind w:firstLine="422" w:firstLineChars="200"/>
        <w:rPr>
          <w:rFonts w:hint="eastAsia"/>
          <w:color w:val="auto"/>
          <w:sz w:val="21"/>
          <w:szCs w:val="21"/>
          <w:highlight w:val="none"/>
        </w:rPr>
      </w:pPr>
      <w:bookmarkStart w:id="1025" w:name="_Toc532377260"/>
      <w:bookmarkStart w:id="1026" w:name="_Toc351203574"/>
      <w:r>
        <w:rPr>
          <w:rFonts w:hint="eastAsia"/>
          <w:color w:val="auto"/>
          <w:sz w:val="21"/>
          <w:szCs w:val="21"/>
          <w:highlight w:val="none"/>
        </w:rPr>
        <w:t>10.7暂估价</w:t>
      </w:r>
      <w:bookmarkEnd w:id="1025"/>
      <w:bookmarkEnd w:id="1026"/>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暂估价专业分包工程、服务、材料和工程设备的明细由合同当事人在专用合同条款中约定。</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10.7.1 依法必须招标的暂估价项目</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对于依法必须招标的暂估价项目，采取以下第1种方式确定。合同当事人也可以在专用合同条款中选择其他招标方式。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第1种方式：对于依法必须招标的暂估价项目，由承包人招标，对该暂估价项目的确认和批准按照以下约定执行：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10.7.2不属于依法必须招标的暂估价项目</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除专用合同条款另有约定外，对于不属于依法必须招标的暂估价项目，采取以下第1种方式确定： </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第1种方式：对于不属于依法必须招标的暂估价项目，按本项约定确认和批准：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（3）承包人应当在签订暂估价合同后7天内，将暂估价合同副本报送发包人留存。</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第2种方式：承包人按照第10.7.1项〔依法必须招标的暂估价项目〕约定的第1种方式确定暂估价项目。</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第3种方式：承包人直接实施的暂估价项目</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1027" w:name="_Toc351203575"/>
      <w:bookmarkStart w:id="1028" w:name="_Toc532377261"/>
      <w:r>
        <w:rPr>
          <w:rFonts w:hint="eastAsia"/>
          <w:color w:val="auto"/>
          <w:sz w:val="21"/>
          <w:szCs w:val="21"/>
          <w:highlight w:val="none"/>
        </w:rPr>
        <w:t>1</w:t>
      </w:r>
      <w:bookmarkStart w:id="1029" w:name="_Toc337558794"/>
      <w:bookmarkStart w:id="1030" w:name="_Toc322522561"/>
      <w:bookmarkStart w:id="1031" w:name="_Toc296503090"/>
      <w:bookmarkStart w:id="1032" w:name="_Toc296346591"/>
      <w:r>
        <w:rPr>
          <w:rFonts w:hint="eastAsia"/>
          <w:color w:val="auto"/>
          <w:sz w:val="21"/>
          <w:szCs w:val="21"/>
          <w:highlight w:val="none"/>
        </w:rPr>
        <w:t>0.8暂列金额</w:t>
      </w:r>
      <w:bookmarkEnd w:id="1027"/>
      <w:bookmarkEnd w:id="1028"/>
    </w:p>
    <w:bookmarkEnd w:id="1029"/>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暂列金额应按照发包人的要求使用，发包人的要求应通过监理人发出。合同当事人可以在专用合同条款中协商确定有关事项。</w:t>
      </w:r>
    </w:p>
    <w:bookmarkEnd w:id="1030"/>
    <w:bookmarkEnd w:id="1031"/>
    <w:bookmarkEnd w:id="1032"/>
    <w:p>
      <w:pPr>
        <w:pStyle w:val="7"/>
        <w:spacing w:before="0" w:beforeAutospacing="0" w:after="0" w:afterAutospacing="0" w:line="360" w:lineRule="auto"/>
        <w:ind w:firstLine="422" w:firstLineChars="200"/>
        <w:rPr>
          <w:rFonts w:hint="eastAsia"/>
          <w:color w:val="auto"/>
          <w:sz w:val="21"/>
          <w:szCs w:val="21"/>
          <w:highlight w:val="none"/>
        </w:rPr>
      </w:pPr>
      <w:bookmarkStart w:id="1033" w:name="_Toc351203576"/>
      <w:bookmarkStart w:id="1034" w:name="_Toc532377262"/>
      <w:r>
        <w:rPr>
          <w:rFonts w:hint="eastAsia"/>
          <w:color w:val="auto"/>
          <w:sz w:val="21"/>
          <w:szCs w:val="21"/>
          <w:highlight w:val="none"/>
        </w:rPr>
        <w:t>1</w:t>
      </w:r>
      <w:bookmarkStart w:id="1035" w:name="_Toc296503091"/>
      <w:bookmarkStart w:id="1036" w:name="_Toc296346592"/>
      <w:bookmarkStart w:id="1037" w:name="_Toc337558796"/>
      <w:r>
        <w:rPr>
          <w:rFonts w:hint="eastAsia"/>
          <w:color w:val="auto"/>
          <w:sz w:val="21"/>
          <w:szCs w:val="21"/>
          <w:highlight w:val="none"/>
        </w:rPr>
        <w:t>0.9计日工</w:t>
      </w:r>
      <w:bookmarkEnd w:id="1033"/>
      <w:bookmarkEnd w:id="1034"/>
      <w:bookmarkEnd w:id="1035"/>
      <w:bookmarkEnd w:id="1036"/>
      <w:bookmarkEnd w:id="1037"/>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采用计日工计价的任何一项工作，承包人应在该项工作实施过程中，每天提交以下报表和有关凭证报送监理人审查：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（1）工作名称、内容和数量；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（2）投入该工作的所有人员的姓名、专业、工种、级别和耗用工时；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（3）投入该工作的材料类别和数量；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（4）投入该工作的施工设备型号、台数和耗用台时；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（5）其他有关资料和凭证。</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计日工由承包人汇总后，列入最近一期进度付款申请单，由监理人审查并经发包人批准后列入进度付款。</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038" w:name="_Toc532375597"/>
      <w:bookmarkStart w:id="1039" w:name="_Toc351203577"/>
      <w:bookmarkStart w:id="1040" w:name="_Toc532377263"/>
      <w:r>
        <w:rPr>
          <w:rFonts w:hint="eastAsia"/>
          <w:color w:val="auto"/>
          <w:kern w:val="2"/>
          <w:sz w:val="21"/>
          <w:szCs w:val="21"/>
          <w:highlight w:val="none"/>
        </w:rPr>
        <w:t>11. 价格调整</w:t>
      </w:r>
      <w:bookmarkEnd w:id="1038"/>
      <w:bookmarkEnd w:id="1039"/>
      <w:bookmarkEnd w:id="1040"/>
    </w:p>
    <w:p>
      <w:pPr>
        <w:pStyle w:val="7"/>
        <w:spacing w:before="0" w:beforeAutospacing="0" w:after="0" w:afterAutospacing="0" w:line="360" w:lineRule="auto"/>
        <w:ind w:firstLine="422" w:firstLineChars="200"/>
        <w:rPr>
          <w:rFonts w:hint="eastAsia"/>
          <w:color w:val="auto"/>
          <w:sz w:val="21"/>
          <w:szCs w:val="21"/>
          <w:highlight w:val="none"/>
        </w:rPr>
      </w:pPr>
      <w:bookmarkStart w:id="1041" w:name="_Toc532377264"/>
      <w:bookmarkStart w:id="1042" w:name="_Toc351203578"/>
      <w:bookmarkStart w:id="1043" w:name="_Toc296346593"/>
      <w:bookmarkStart w:id="1044" w:name="_Toc296503092"/>
      <w:bookmarkStart w:id="1045" w:name="_Toc337558797"/>
      <w:r>
        <w:rPr>
          <w:rFonts w:hint="eastAsia"/>
          <w:color w:val="auto"/>
          <w:sz w:val="21"/>
          <w:szCs w:val="21"/>
          <w:highlight w:val="none"/>
        </w:rPr>
        <w:t>11.1市场价格波动引起的调整</w:t>
      </w:r>
      <w:bookmarkEnd w:id="1041"/>
      <w:bookmarkEnd w:id="1042"/>
    </w:p>
    <w:bookmarkEnd w:id="1043"/>
    <w:bookmarkEnd w:id="1044"/>
    <w:bookmarkEnd w:id="1045"/>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第1种方式：采用价格指数进行价格调整。</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（1）价格调整公式</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object>
          <v:shape id="_x0000_i1025" o:spt="75" type="#_x0000_t75" style="height:42.75pt;width:360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pPr>
        <w:tabs>
          <w:tab w:val="left" w:pos="0"/>
          <w:tab w:val="left" w:pos="360"/>
          <w:tab w:val="left" w:pos="540"/>
        </w:tabs>
        <w:spacing w:line="360" w:lineRule="auto"/>
        <w:ind w:firstLine="200"/>
        <w:jc w:val="left"/>
        <w:rPr>
          <w:rFonts w:hint="eastAsia" w:ascii="宋体" w:hAnsi="宋体"/>
          <w:color w:val="auto"/>
          <w:kern w:val="0"/>
          <w:szCs w:val="21"/>
          <w:highlight w:val="none"/>
        </w:rPr>
      </w:pPr>
      <w:r>
        <w:rPr>
          <w:rFonts w:hint="eastAsia" w:ascii="宋体" w:hAnsi="宋体"/>
          <w:color w:val="auto"/>
          <w:kern w:val="0"/>
          <w:szCs w:val="21"/>
          <w:highlight w:val="none"/>
        </w:rPr>
        <w:t>公式中：ΔP——需调整的价格差额；</w:t>
      </w:r>
    </w:p>
    <w:p>
      <w:pPr>
        <w:tabs>
          <w:tab w:val="left" w:pos="0"/>
          <w:tab w:val="left" w:pos="360"/>
          <w:tab w:val="left" w:pos="540"/>
        </w:tabs>
        <w:spacing w:line="360" w:lineRule="auto"/>
        <w:ind w:firstLine="1260" w:firstLineChars="600"/>
        <w:jc w:val="left"/>
        <w:rPr>
          <w:rFonts w:hint="eastAsia" w:ascii="宋体" w:hAnsi="宋体"/>
          <w:color w:val="auto"/>
          <w:kern w:val="0"/>
          <w:szCs w:val="21"/>
          <w:highlight w:val="none"/>
        </w:rPr>
      </w:pPr>
      <w:r>
        <w:rPr>
          <w:rFonts w:hint="eastAsia" w:ascii="宋体" w:hAnsi="宋体"/>
          <w:color w:val="auto"/>
          <w:kern w:val="0"/>
          <w:szCs w:val="21"/>
          <w:highlight w:val="none"/>
        </w:rPr>
        <w:object>
          <v:shape id="_x0000_i1026" o:spt="75" type="#_x0000_t75" style="height:18.7pt;width:18.7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宋体" w:hAnsi="宋体"/>
          <w:color w:val="auto"/>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A——定值权重（即不调部分的权重）；</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object>
          <v:shape id="_x0000_i1027" o:spt="75" type="#_x0000_t75" style="height:21.75pt;width:100.5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宋体" w:hAnsi="宋体"/>
          <w:color w:val="auto"/>
          <w:kern w:val="0"/>
          <w:szCs w:val="21"/>
          <w:highlight w:val="none"/>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object>
          <v:shape id="_x0000_i1028" o:spt="75" type="#_x0000_t75" style="height:21.75pt;width:102.0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宋体" w:hAnsi="宋体"/>
          <w:color w:val="auto"/>
          <w:kern w:val="0"/>
          <w:szCs w:val="21"/>
          <w:highlight w:val="none"/>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object>
          <v:shape id="_x0000_i1029" o:spt="75" type="#_x0000_t75" style="height:21.75pt;width:108.7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宋体" w:hAnsi="宋体"/>
          <w:color w:val="auto"/>
          <w:kern w:val="0"/>
          <w:szCs w:val="21"/>
          <w:highlight w:val="none"/>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（2）暂时确定调整差额</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（3）权重的调整</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（4）因承包人原因工期延误后的价格调整</w:t>
      </w:r>
    </w:p>
    <w:p>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第2种方式：采用造价信息进行价格调整。</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（2）材料、工程设备价格变化的价款调整按照发包人提供的基准价格，按以下风险范围规定执行: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hint="eastAsia" w:ascii="宋体" w:hAnsi="宋体"/>
          <w:color w:val="auto"/>
          <w:kern w:val="0"/>
          <w:szCs w:val="21"/>
          <w:highlight w:val="none"/>
        </w:rPr>
      </w:pPr>
      <w:bookmarkStart w:id="1046" w:name="OLE_LINK3"/>
      <w:r>
        <w:rPr>
          <w:rFonts w:hint="eastAsia" w:ascii="宋体" w:hAnsi="宋体"/>
          <w:color w:val="auto"/>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第3种方式：专用合同条款约定的其他方式。</w:t>
      </w:r>
    </w:p>
    <w:p>
      <w:pPr>
        <w:pStyle w:val="7"/>
        <w:spacing w:before="0" w:beforeAutospacing="0" w:after="0" w:afterAutospacing="0" w:line="360" w:lineRule="auto"/>
        <w:ind w:firstLine="422" w:firstLineChars="200"/>
        <w:rPr>
          <w:rFonts w:hint="eastAsia"/>
          <w:color w:val="auto"/>
          <w:sz w:val="21"/>
          <w:szCs w:val="21"/>
          <w:highlight w:val="none"/>
        </w:rPr>
      </w:pPr>
      <w:bookmarkStart w:id="1047" w:name="_Toc532377265"/>
      <w:bookmarkStart w:id="1048" w:name="_Toc351203579"/>
      <w:bookmarkStart w:id="1049" w:name="_Toc337558798"/>
      <w:bookmarkStart w:id="1050" w:name="_Toc296503093"/>
      <w:bookmarkStart w:id="1051" w:name="_Toc296346594"/>
      <w:r>
        <w:rPr>
          <w:rFonts w:hint="eastAsia"/>
          <w:color w:val="auto"/>
          <w:sz w:val="21"/>
          <w:szCs w:val="21"/>
          <w:highlight w:val="none"/>
        </w:rPr>
        <w:t>11.2法律变化引起的调整</w:t>
      </w:r>
      <w:bookmarkEnd w:id="1047"/>
      <w:bookmarkEnd w:id="1048"/>
    </w:p>
    <w:bookmarkEnd w:id="1049"/>
    <w:bookmarkEnd w:id="1050"/>
    <w:bookmarkEnd w:id="1051"/>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因法律变化引起的合同价格和工期调整，合同当事人无法达成一致的，由总监理工程师按第4.4款〔商定或确定〕的约定处理。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因承包人原因造成工期延误，在工期延误期间出现法律变化的，由此增加的费用和（或）延误的工期由承包人承担。</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052" w:name="_Toc532375598"/>
      <w:bookmarkStart w:id="1053" w:name="_Toc532377266"/>
      <w:bookmarkStart w:id="1054" w:name="_Toc351203580"/>
      <w:bookmarkStart w:id="1055" w:name="_Toc337558799"/>
      <w:bookmarkStart w:id="1056" w:name="_Toc296503096"/>
      <w:bookmarkStart w:id="1057" w:name="_Toc296346597"/>
      <w:r>
        <w:rPr>
          <w:rFonts w:hint="eastAsia"/>
          <w:color w:val="auto"/>
          <w:kern w:val="2"/>
          <w:sz w:val="21"/>
          <w:szCs w:val="21"/>
          <w:highlight w:val="none"/>
        </w:rPr>
        <w:t>12. 合同价格、计量与支付</w:t>
      </w:r>
      <w:bookmarkEnd w:id="1052"/>
      <w:bookmarkEnd w:id="1053"/>
      <w:bookmarkEnd w:id="1054"/>
    </w:p>
    <w:bookmarkEnd w:id="1055"/>
    <w:p>
      <w:pPr>
        <w:pStyle w:val="7"/>
        <w:spacing w:before="0" w:beforeAutospacing="0" w:after="0" w:afterAutospacing="0" w:line="360" w:lineRule="auto"/>
        <w:ind w:firstLine="422" w:firstLineChars="200"/>
        <w:rPr>
          <w:rFonts w:hint="eastAsia"/>
          <w:color w:val="auto"/>
          <w:sz w:val="21"/>
          <w:szCs w:val="21"/>
          <w:highlight w:val="none"/>
        </w:rPr>
      </w:pPr>
      <w:bookmarkStart w:id="1058" w:name="_Toc351203581"/>
      <w:bookmarkStart w:id="1059" w:name="_Toc532377267"/>
      <w:bookmarkStart w:id="1060" w:name="_Toc337558800"/>
      <w:r>
        <w:rPr>
          <w:rFonts w:hint="eastAsia"/>
          <w:color w:val="auto"/>
          <w:sz w:val="21"/>
          <w:szCs w:val="21"/>
          <w:highlight w:val="none"/>
        </w:rPr>
        <w:t>12.1 合同价</w:t>
      </w:r>
      <w:bookmarkEnd w:id="1056"/>
      <w:bookmarkEnd w:id="1057"/>
      <w:r>
        <w:rPr>
          <w:rFonts w:hint="eastAsia"/>
          <w:color w:val="auto"/>
          <w:sz w:val="21"/>
          <w:szCs w:val="21"/>
          <w:highlight w:val="none"/>
        </w:rPr>
        <w:t>格形式</w:t>
      </w:r>
      <w:bookmarkEnd w:id="1058"/>
      <w:bookmarkEnd w:id="1059"/>
    </w:p>
    <w:bookmarkEnd w:id="1060"/>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发包人和承包人应在合同协议书中选择下列一种合同价格形式： </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1.单价合同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7"/>
        <w:spacing w:before="0" w:beforeAutospacing="0" w:after="0" w:afterAutospacing="0" w:line="360" w:lineRule="auto"/>
        <w:ind w:firstLine="420" w:firstLineChars="200"/>
        <w:rPr>
          <w:rFonts w:hint="eastAsia"/>
          <w:b w:val="0"/>
          <w:color w:val="auto"/>
          <w:sz w:val="21"/>
          <w:szCs w:val="21"/>
          <w:highlight w:val="none"/>
        </w:rPr>
      </w:pPr>
      <w:bookmarkStart w:id="1061" w:name="_Toc532377268"/>
      <w:r>
        <w:rPr>
          <w:rFonts w:hint="eastAsia"/>
          <w:b w:val="0"/>
          <w:color w:val="auto"/>
          <w:sz w:val="21"/>
          <w:szCs w:val="21"/>
          <w:highlight w:val="none"/>
        </w:rPr>
        <w:t>2.总价合同</w:t>
      </w:r>
      <w:bookmarkEnd w:id="1061"/>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7"/>
        <w:spacing w:before="0" w:beforeAutospacing="0" w:after="0" w:afterAutospacing="0" w:line="360" w:lineRule="auto"/>
        <w:ind w:firstLine="420" w:firstLineChars="200"/>
        <w:rPr>
          <w:rFonts w:hint="eastAsia"/>
          <w:b w:val="0"/>
          <w:color w:val="auto"/>
          <w:sz w:val="21"/>
          <w:szCs w:val="21"/>
          <w:highlight w:val="none"/>
        </w:rPr>
      </w:pPr>
      <w:bookmarkStart w:id="1062" w:name="_Toc532377269"/>
      <w:r>
        <w:rPr>
          <w:rFonts w:hint="eastAsia"/>
          <w:b w:val="0"/>
          <w:color w:val="auto"/>
          <w:sz w:val="21"/>
          <w:szCs w:val="21"/>
          <w:highlight w:val="none"/>
        </w:rPr>
        <w:t>3.其它价格形式</w:t>
      </w:r>
      <w:bookmarkEnd w:id="1062"/>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合同当事人可在专用合同条款中约定其他合同价格形式。</w:t>
      </w:r>
    </w:p>
    <w:p>
      <w:pPr>
        <w:pStyle w:val="7"/>
        <w:spacing w:before="0" w:beforeAutospacing="0" w:after="0" w:afterAutospacing="0" w:line="360" w:lineRule="auto"/>
        <w:ind w:firstLine="422" w:firstLineChars="200"/>
        <w:rPr>
          <w:rFonts w:hint="eastAsia"/>
          <w:color w:val="auto"/>
          <w:sz w:val="21"/>
          <w:szCs w:val="21"/>
          <w:highlight w:val="none"/>
        </w:rPr>
      </w:pPr>
      <w:bookmarkStart w:id="1063" w:name="_Toc296503097"/>
      <w:bookmarkStart w:id="1064" w:name="_Toc296346598"/>
      <w:bookmarkStart w:id="1065" w:name="_Toc532377270"/>
      <w:bookmarkStart w:id="1066" w:name="_Toc351203582"/>
      <w:bookmarkStart w:id="1067" w:name="_Toc337558801"/>
      <w:r>
        <w:rPr>
          <w:rFonts w:hint="eastAsia"/>
          <w:color w:val="auto"/>
          <w:sz w:val="21"/>
          <w:szCs w:val="21"/>
          <w:highlight w:val="none"/>
        </w:rPr>
        <w:t>12.2预</w:t>
      </w:r>
      <w:bookmarkEnd w:id="1063"/>
      <w:bookmarkEnd w:id="1064"/>
      <w:bookmarkStart w:id="1068" w:name="_Toc296346601"/>
      <w:bookmarkStart w:id="1069" w:name="_Toc296503100"/>
      <w:r>
        <w:rPr>
          <w:rFonts w:hint="eastAsia"/>
          <w:color w:val="auto"/>
          <w:sz w:val="21"/>
          <w:szCs w:val="21"/>
          <w:highlight w:val="none"/>
        </w:rPr>
        <w:t>付款</w:t>
      </w:r>
      <w:bookmarkEnd w:id="1065"/>
      <w:bookmarkEnd w:id="1066"/>
    </w:p>
    <w:bookmarkEnd w:id="1067"/>
    <w:bookmarkEnd w:id="1068"/>
    <w:bookmarkEnd w:id="1069"/>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12.2.1预付款的支付</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除专用合同条款另有约定外，预付款在进度付款中同比例扣回。</w:t>
      </w:r>
      <w:bookmarkEnd w:id="1046"/>
      <w:r>
        <w:rPr>
          <w:rFonts w:hint="eastAsia" w:ascii="宋体" w:hAnsi="宋体"/>
          <w:color w:val="auto"/>
          <w:kern w:val="0"/>
          <w:szCs w:val="21"/>
          <w:highlight w:val="none"/>
        </w:rPr>
        <w:t>在颁发工程接收证书前，提前解除合同的，尚未扣完的预付款应与合同价款一并结算。</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12.2.2 预付款担保</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发包人在工程款中逐期扣回预付款后，预付款担保额度应相应减少，但剩余的预付款担保金额不得低于未被扣回的预付款金额。</w:t>
      </w:r>
    </w:p>
    <w:p>
      <w:pPr>
        <w:pStyle w:val="7"/>
        <w:spacing w:before="0" w:beforeAutospacing="0" w:after="0" w:afterAutospacing="0" w:line="360" w:lineRule="auto"/>
        <w:ind w:firstLine="422" w:firstLineChars="200"/>
        <w:rPr>
          <w:rFonts w:hint="eastAsia"/>
          <w:color w:val="auto"/>
          <w:sz w:val="21"/>
          <w:szCs w:val="21"/>
          <w:highlight w:val="none"/>
        </w:rPr>
      </w:pPr>
      <w:bookmarkStart w:id="1070" w:name="_Toc532377271"/>
      <w:bookmarkStart w:id="1071" w:name="_Toc351203583"/>
      <w:bookmarkStart w:id="1072" w:name="_Toc337558802"/>
      <w:r>
        <w:rPr>
          <w:rFonts w:hint="eastAsia"/>
          <w:color w:val="auto"/>
          <w:sz w:val="21"/>
          <w:szCs w:val="21"/>
          <w:highlight w:val="none"/>
        </w:rPr>
        <w:t>12.3计量</w:t>
      </w:r>
      <w:bookmarkEnd w:id="1070"/>
      <w:bookmarkEnd w:id="1071"/>
    </w:p>
    <w:bookmarkEnd w:id="1072"/>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12.3.1 计量原则</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12.3.2 计量周期</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除专用合同条款另有约定外，工程量的计量按月进行。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12.3.3 单价合同的计量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除专用合同条款另有约定外，单价合同的计量按照本项约定执行：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12.3.4 总价合同的计量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除专用合同条款另有约定外，按月计量支付的总价合同，按照本项约定执行：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12.3.6 其他价格形式合同的计量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合同当事人可在专用合同条款中约定其他价格形式合同的计量方式和程序。</w:t>
      </w:r>
    </w:p>
    <w:p>
      <w:pPr>
        <w:pStyle w:val="7"/>
        <w:spacing w:before="0" w:beforeAutospacing="0" w:after="0" w:afterAutospacing="0" w:line="360" w:lineRule="auto"/>
        <w:ind w:firstLine="422" w:firstLineChars="200"/>
        <w:rPr>
          <w:rFonts w:hint="eastAsia"/>
          <w:color w:val="auto"/>
          <w:sz w:val="21"/>
          <w:szCs w:val="21"/>
          <w:highlight w:val="none"/>
        </w:rPr>
      </w:pPr>
      <w:bookmarkStart w:id="1073" w:name="_Toc296503101"/>
      <w:bookmarkStart w:id="1074" w:name="_Toc296346602"/>
      <w:bookmarkStart w:id="1075" w:name="_Toc532377272"/>
      <w:bookmarkStart w:id="1076" w:name="_Toc351203584"/>
      <w:bookmarkStart w:id="1077" w:name="_Toc337558803"/>
      <w:r>
        <w:rPr>
          <w:rFonts w:hint="eastAsia"/>
          <w:color w:val="auto"/>
          <w:sz w:val="21"/>
          <w:szCs w:val="21"/>
          <w:highlight w:val="none"/>
        </w:rPr>
        <w:t>12.4工程进度款支</w:t>
      </w:r>
      <w:bookmarkEnd w:id="1073"/>
      <w:bookmarkEnd w:id="1074"/>
      <w:r>
        <w:rPr>
          <w:rFonts w:hint="eastAsia"/>
          <w:color w:val="auto"/>
          <w:sz w:val="21"/>
          <w:szCs w:val="21"/>
          <w:highlight w:val="none"/>
        </w:rPr>
        <w:t>付</w:t>
      </w:r>
      <w:bookmarkEnd w:id="1075"/>
      <w:bookmarkEnd w:id="1076"/>
    </w:p>
    <w:bookmarkEnd w:id="1077"/>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12.4.1 付款周期</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除专用合同条款另有约定外，付款周期应按照第12.3.2项〔计量周期〕的约定与计量周期保持一致。</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12.4.2 进度付款申请单的编制</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除专用合同条款另有约定外，进度付款申请单应包括下列内容：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（1）截至本次付款周期已完成工作对应的金额；</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（2）根据第10条〔变更〕应增加和扣减的变更金额；</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（3）根据第12.2款〔预付款〕约定应支付的预付款和扣减的返还预付款；</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（4）根据第15.3款〔质量保证金〕约定应扣减的质量保证金；</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（5）根据第19条〔索赔〕应增加和扣减的索赔金额；</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（6）对已签发的进度款支付证书中出现错误的修正，应在本次进度付款中支付或扣除的金额；</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（7）根据合同约定应增加和扣减的其他金额。</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12.4.3 进度付款申请单的提交</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（1）单价合同进度付款申请单的提交</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（2）总价合同进度付款申请单的提交</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（3）其他价格形式合同的进度付款申请单的提交</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合同当事人可在专用合同条款中约定其他价格形式合同的进度付款申请单的编制和提交程序。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12.4.4 进度款审核和支付</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12.4.5 进度付款的修正</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12.4.6 支付分解表</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1.支付分解表的编制要求</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（1）支付分解表中所列的每期付款金额，应为第12.4.2项〔进度付款申请单的编制〕第（1）目的估算金额；</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（2）实际进度与施工进度计划不一致的，合同当事人可按照第4.4款〔商定或确定〕修改支付分解表；</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（3）不采用支付分解表的，承包人应向发包人和监理人提交按季度编制的支付估算分解表，用于支付参考。</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2.总价合同支付分解表的编制与审批</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3.单价合同的总价项目支付分解表的编制与审批</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0" w:beforeAutospacing="0" w:after="0" w:afterAutospacing="0" w:line="360" w:lineRule="auto"/>
        <w:ind w:firstLine="422" w:firstLineChars="200"/>
        <w:rPr>
          <w:rFonts w:hint="eastAsia"/>
          <w:color w:val="auto"/>
          <w:sz w:val="21"/>
          <w:szCs w:val="21"/>
          <w:highlight w:val="none"/>
        </w:rPr>
      </w:pPr>
      <w:bookmarkStart w:id="1078" w:name="_Toc532377273"/>
      <w:r>
        <w:rPr>
          <w:rFonts w:hint="eastAsia"/>
          <w:color w:val="auto"/>
          <w:sz w:val="21"/>
          <w:szCs w:val="21"/>
          <w:highlight w:val="none"/>
        </w:rPr>
        <w:t>12.5支付账户</w:t>
      </w:r>
      <w:bookmarkEnd w:id="1078"/>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发包人应将合同价款支付至合同协议书中约定的承包人账户。</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079" w:name="_Toc351203586"/>
      <w:bookmarkStart w:id="1080" w:name="_Toc532375599"/>
      <w:bookmarkStart w:id="1081" w:name="_Toc532377274"/>
      <w:bookmarkStart w:id="1082" w:name="_Toc337558804"/>
      <w:bookmarkStart w:id="1083" w:name="_Toc322522574"/>
      <w:bookmarkStart w:id="1084" w:name="_Toc296346607"/>
      <w:bookmarkStart w:id="1085" w:name="_Toc296503106"/>
      <w:r>
        <w:rPr>
          <w:rFonts w:hint="eastAsia"/>
          <w:color w:val="auto"/>
          <w:kern w:val="2"/>
          <w:sz w:val="21"/>
          <w:szCs w:val="21"/>
          <w:highlight w:val="none"/>
        </w:rPr>
        <w:t>13. 验收和工程试车</w:t>
      </w:r>
      <w:bookmarkEnd w:id="1079"/>
      <w:bookmarkEnd w:id="1080"/>
      <w:bookmarkEnd w:id="1081"/>
    </w:p>
    <w:bookmarkEnd w:id="1082"/>
    <w:bookmarkEnd w:id="1083"/>
    <w:bookmarkEnd w:id="1084"/>
    <w:bookmarkEnd w:id="1085"/>
    <w:p>
      <w:pPr>
        <w:pStyle w:val="7"/>
        <w:spacing w:before="0" w:beforeAutospacing="0" w:after="0" w:afterAutospacing="0" w:line="360" w:lineRule="auto"/>
        <w:ind w:firstLine="422" w:firstLineChars="200"/>
        <w:rPr>
          <w:rFonts w:hint="eastAsia"/>
          <w:color w:val="auto"/>
          <w:sz w:val="21"/>
          <w:szCs w:val="21"/>
          <w:highlight w:val="none"/>
        </w:rPr>
      </w:pPr>
      <w:bookmarkStart w:id="1086" w:name="_Toc532377275"/>
      <w:bookmarkStart w:id="1087" w:name="_Toc351203587"/>
      <w:bookmarkStart w:id="1088" w:name="_Toc337558805"/>
      <w:bookmarkStart w:id="1089" w:name="_Toc296346611"/>
      <w:bookmarkStart w:id="1090" w:name="_Toc296503110"/>
      <w:r>
        <w:rPr>
          <w:rFonts w:hint="eastAsia"/>
          <w:color w:val="auto"/>
          <w:sz w:val="21"/>
          <w:szCs w:val="21"/>
          <w:highlight w:val="none"/>
        </w:rPr>
        <w:t>13.1分部分项工程验收</w:t>
      </w:r>
      <w:bookmarkEnd w:id="1086"/>
      <w:bookmarkEnd w:id="1087"/>
    </w:p>
    <w:bookmarkEnd w:id="1088"/>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分部分项工程的验收资料应当作为竣工资料的组成部分。</w:t>
      </w:r>
    </w:p>
    <w:p>
      <w:pPr>
        <w:pStyle w:val="7"/>
        <w:spacing w:before="0" w:beforeAutospacing="0" w:after="0" w:afterAutospacing="0" w:line="360" w:lineRule="auto"/>
        <w:ind w:firstLine="422" w:firstLineChars="200"/>
        <w:rPr>
          <w:rFonts w:hint="eastAsia"/>
          <w:color w:val="auto"/>
          <w:sz w:val="21"/>
          <w:szCs w:val="21"/>
          <w:highlight w:val="none"/>
        </w:rPr>
      </w:pPr>
      <w:bookmarkStart w:id="1091" w:name="_Toc351203588"/>
      <w:bookmarkStart w:id="1092" w:name="_Toc532377276"/>
      <w:bookmarkStart w:id="1093" w:name="_Toc337558806"/>
      <w:r>
        <w:rPr>
          <w:rFonts w:hint="eastAsia"/>
          <w:color w:val="auto"/>
          <w:sz w:val="21"/>
          <w:szCs w:val="21"/>
          <w:highlight w:val="none"/>
        </w:rPr>
        <w:t>13.2竣工验收</w:t>
      </w:r>
      <w:bookmarkEnd w:id="1091"/>
      <w:bookmarkEnd w:id="1092"/>
    </w:p>
    <w:bookmarkEnd w:id="1089"/>
    <w:bookmarkEnd w:id="1090"/>
    <w:bookmarkEnd w:id="1093"/>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13.2.1竣工验收条件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工程具备以下条件的，承包人可以申请竣工验收：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（2）已按合同约定编制了甩项工作和缺陷修补工作清单以及相应的施工计划；</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（3）已按合同约定的内容和份数备齐竣工资料。</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13.2.2竣工验收程序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除专用合同条款另有约定外，承包人申请竣工验收的，应当按照以下程序进行：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13.2.3竣工日期</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94" w:name="#go14"/>
      <w:bookmarkEnd w:id="1094"/>
      <w:r>
        <w:rPr>
          <w:rFonts w:hint="eastAsia" w:ascii="宋体" w:hAnsi="宋体"/>
          <w:color w:val="auto"/>
          <w:kern w:val="0"/>
          <w:szCs w:val="21"/>
          <w:highlight w:val="none"/>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13.2.4 拒绝接收全部或部分工程</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13.2.5 移交、接收全部与部分工程</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除专用合同条款另有约定外，合同当事人应当在颁发工程接收证书后7天内完成工程的移交。</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0" w:beforeAutospacing="0" w:after="0" w:afterAutospacing="0" w:line="360" w:lineRule="auto"/>
        <w:ind w:firstLine="422" w:firstLineChars="200"/>
        <w:rPr>
          <w:rFonts w:hint="eastAsia"/>
          <w:color w:val="auto"/>
          <w:sz w:val="21"/>
          <w:szCs w:val="21"/>
          <w:highlight w:val="none"/>
        </w:rPr>
      </w:pPr>
      <w:bookmarkStart w:id="1095" w:name="_Toc351203589"/>
      <w:bookmarkStart w:id="1096" w:name="_Toc532377277"/>
      <w:bookmarkStart w:id="1097" w:name="_Toc296503111"/>
      <w:bookmarkStart w:id="1098" w:name="_Toc337558807"/>
      <w:bookmarkStart w:id="1099" w:name="_Toc296346612"/>
      <w:r>
        <w:rPr>
          <w:rFonts w:hint="eastAsia"/>
          <w:color w:val="auto"/>
          <w:sz w:val="21"/>
          <w:szCs w:val="21"/>
          <w:highlight w:val="none"/>
        </w:rPr>
        <w:t>13.3工程试车</w:t>
      </w:r>
      <w:bookmarkEnd w:id="1095"/>
      <w:bookmarkEnd w:id="1096"/>
    </w:p>
    <w:bookmarkEnd w:id="1097"/>
    <w:bookmarkEnd w:id="1098"/>
    <w:bookmarkEnd w:id="1099"/>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13.3.1试车程序</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13.3.2 试车中的责任</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13.3.3 投料试车</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1100" w:name="_Toc532377278"/>
      <w:r>
        <w:rPr>
          <w:rFonts w:hint="eastAsia"/>
          <w:color w:val="auto"/>
          <w:sz w:val="21"/>
          <w:szCs w:val="21"/>
          <w:highlight w:val="none"/>
        </w:rPr>
        <w:t>13.4提前交付单位工程的验收</w:t>
      </w:r>
      <w:bookmarkEnd w:id="1100"/>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pPr>
        <w:pStyle w:val="7"/>
        <w:spacing w:before="0" w:beforeAutospacing="0" w:after="0" w:afterAutospacing="0" w:line="360" w:lineRule="auto"/>
        <w:ind w:firstLine="422" w:firstLineChars="200"/>
        <w:rPr>
          <w:rFonts w:hint="eastAsia"/>
          <w:color w:val="auto"/>
          <w:sz w:val="21"/>
          <w:szCs w:val="21"/>
          <w:highlight w:val="none"/>
        </w:rPr>
      </w:pPr>
      <w:bookmarkStart w:id="1101" w:name="_Toc532377279"/>
      <w:bookmarkStart w:id="1102" w:name="_Toc351203591"/>
      <w:r>
        <w:rPr>
          <w:rFonts w:hint="eastAsia"/>
          <w:color w:val="auto"/>
          <w:sz w:val="21"/>
          <w:szCs w:val="21"/>
          <w:highlight w:val="none"/>
        </w:rPr>
        <w:t>13.5 施工期运行</w:t>
      </w:r>
      <w:bookmarkEnd w:id="1101"/>
      <w:bookmarkEnd w:id="1102"/>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13.5.2 在施工期运行中发现工程或工程设备损坏或存在缺陷的，由承包人按第15.2款〔缺陷责任期〕约定进行修复。</w:t>
      </w:r>
    </w:p>
    <w:p>
      <w:pPr>
        <w:pStyle w:val="7"/>
        <w:spacing w:before="0" w:beforeAutospacing="0" w:after="0" w:afterAutospacing="0" w:line="360" w:lineRule="auto"/>
        <w:ind w:firstLine="422" w:firstLineChars="200"/>
        <w:rPr>
          <w:rFonts w:hint="eastAsia"/>
          <w:color w:val="auto"/>
          <w:sz w:val="21"/>
          <w:szCs w:val="21"/>
          <w:highlight w:val="none"/>
        </w:rPr>
      </w:pPr>
      <w:bookmarkStart w:id="1103" w:name="_Toc296503112"/>
      <w:bookmarkStart w:id="1104" w:name="_Toc296346613"/>
      <w:bookmarkStart w:id="1105" w:name="_Toc532377280"/>
      <w:bookmarkStart w:id="1106" w:name="_Toc351203592"/>
      <w:bookmarkStart w:id="1107" w:name="_Toc337558809"/>
      <w:r>
        <w:rPr>
          <w:rFonts w:hint="eastAsia"/>
          <w:color w:val="auto"/>
          <w:sz w:val="21"/>
          <w:szCs w:val="21"/>
          <w:highlight w:val="none"/>
        </w:rPr>
        <w:t>13.6 竣工退</w:t>
      </w:r>
      <w:bookmarkEnd w:id="1103"/>
      <w:bookmarkEnd w:id="1104"/>
      <w:r>
        <w:rPr>
          <w:rFonts w:hint="eastAsia"/>
          <w:color w:val="auto"/>
          <w:sz w:val="21"/>
          <w:szCs w:val="21"/>
          <w:highlight w:val="none"/>
        </w:rPr>
        <w:t>场</w:t>
      </w:r>
      <w:bookmarkEnd w:id="1105"/>
      <w:bookmarkEnd w:id="1106"/>
    </w:p>
    <w:bookmarkEnd w:id="1107"/>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13.6.1 竣工退场</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颁发工程接收证书后，承包人应按以下要求对施工现场进行清理：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（1）施工现场内残留的垃圾已全部清除出场；</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（2）临时工程已拆除，场地已进行清理、平整或复原；</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（3）按合同约定应撤离的人员、承包人施工设备和剩余的材料，包括废弃的施工设备和材料，已按计划撤离施工现场；</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（4）施工现场周边及其附近道路、河道的施工堆积物，已全部清理；</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（5）施工现场其他场地清理工作已全部完成。</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13.6.2 地表还原</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108" w:name="_Toc532377281"/>
      <w:bookmarkStart w:id="1109" w:name="_Toc532375600"/>
      <w:bookmarkStart w:id="1110" w:name="_Toc351203593"/>
      <w:bookmarkStart w:id="1111" w:name="_Toc337558810"/>
      <w:bookmarkStart w:id="1112" w:name="_Toc296346614"/>
      <w:bookmarkStart w:id="1113" w:name="_Toc296503113"/>
      <w:r>
        <w:rPr>
          <w:rFonts w:hint="eastAsia"/>
          <w:color w:val="auto"/>
          <w:kern w:val="2"/>
          <w:sz w:val="21"/>
          <w:szCs w:val="21"/>
          <w:highlight w:val="none"/>
        </w:rPr>
        <w:t>14. 竣工结算</w:t>
      </w:r>
      <w:bookmarkEnd w:id="1108"/>
      <w:bookmarkEnd w:id="1109"/>
      <w:bookmarkEnd w:id="1110"/>
    </w:p>
    <w:bookmarkEnd w:id="1111"/>
    <w:p>
      <w:pPr>
        <w:pStyle w:val="7"/>
        <w:spacing w:before="0" w:beforeAutospacing="0" w:after="0" w:afterAutospacing="0" w:line="360" w:lineRule="auto"/>
        <w:ind w:firstLine="422" w:firstLineChars="200"/>
        <w:rPr>
          <w:rFonts w:hint="eastAsia"/>
          <w:color w:val="auto"/>
          <w:sz w:val="21"/>
          <w:szCs w:val="21"/>
          <w:highlight w:val="none"/>
        </w:rPr>
      </w:pPr>
      <w:bookmarkStart w:id="1114" w:name="_Toc351203594"/>
      <w:bookmarkStart w:id="1115" w:name="_Toc532377282"/>
      <w:bookmarkStart w:id="1116" w:name="_Toc337558811"/>
      <w:r>
        <w:rPr>
          <w:rFonts w:hint="eastAsia"/>
          <w:color w:val="auto"/>
          <w:sz w:val="21"/>
          <w:szCs w:val="21"/>
          <w:highlight w:val="none"/>
        </w:rPr>
        <w:t>14.1 竣工结算申请</w:t>
      </w:r>
      <w:bookmarkEnd w:id="1114"/>
      <w:bookmarkEnd w:id="1115"/>
    </w:p>
    <w:bookmarkEnd w:id="1116"/>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除专用合同条款另有约定外，竣工结算申请单应包括以下内容：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（1）竣工结算合同价格；</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（2）发包人已支付承包人的款项；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（4）发包人应支付承包人的合同价款。</w:t>
      </w:r>
    </w:p>
    <w:p>
      <w:pPr>
        <w:pStyle w:val="7"/>
        <w:spacing w:before="0" w:beforeAutospacing="0" w:after="0" w:afterAutospacing="0" w:line="360" w:lineRule="auto"/>
        <w:ind w:firstLine="422" w:firstLineChars="200"/>
        <w:rPr>
          <w:rFonts w:hint="eastAsia"/>
          <w:color w:val="auto"/>
          <w:sz w:val="21"/>
          <w:szCs w:val="21"/>
          <w:highlight w:val="none"/>
        </w:rPr>
      </w:pPr>
      <w:bookmarkStart w:id="1117" w:name="_Toc351203595"/>
      <w:bookmarkStart w:id="1118" w:name="_Toc532377283"/>
      <w:bookmarkStart w:id="1119" w:name="_Toc337558812"/>
      <w:r>
        <w:rPr>
          <w:rFonts w:hint="eastAsia"/>
          <w:color w:val="auto"/>
          <w:sz w:val="21"/>
          <w:szCs w:val="21"/>
          <w:highlight w:val="none"/>
        </w:rPr>
        <w:t>14.2 竣工结算审核</w:t>
      </w:r>
      <w:bookmarkEnd w:id="1117"/>
      <w:bookmarkEnd w:id="1118"/>
    </w:p>
    <w:bookmarkEnd w:id="1119"/>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0" w:beforeAutospacing="0" w:after="0" w:afterAutospacing="0" w:line="360" w:lineRule="auto"/>
        <w:ind w:firstLine="422" w:firstLineChars="200"/>
        <w:rPr>
          <w:rFonts w:hint="eastAsia"/>
          <w:color w:val="auto"/>
          <w:sz w:val="21"/>
          <w:szCs w:val="21"/>
          <w:highlight w:val="none"/>
        </w:rPr>
      </w:pPr>
      <w:bookmarkStart w:id="1120" w:name="_Toc351203596"/>
      <w:bookmarkStart w:id="1121" w:name="_Toc532377284"/>
      <w:bookmarkStart w:id="1122" w:name="_Toc337558813"/>
      <w:r>
        <w:rPr>
          <w:rFonts w:hint="eastAsia"/>
          <w:color w:val="auto"/>
          <w:sz w:val="21"/>
          <w:szCs w:val="21"/>
          <w:highlight w:val="none"/>
        </w:rPr>
        <w:t>14.3 甩项竣工协议</w:t>
      </w:r>
      <w:bookmarkEnd w:id="1120"/>
      <w:bookmarkEnd w:id="1121"/>
    </w:p>
    <w:bookmarkEnd w:id="1122"/>
    <w:p>
      <w:pPr>
        <w:autoSpaceDE w:val="0"/>
        <w:autoSpaceDN w:val="0"/>
        <w:spacing w:line="360" w:lineRule="auto"/>
        <w:ind w:firstLine="411" w:firstLineChars="196"/>
        <w:jc w:val="left"/>
        <w:rPr>
          <w:rFonts w:hint="eastAsia" w:ascii="宋体" w:hAnsi="宋体"/>
          <w:color w:val="auto"/>
          <w:kern w:val="0"/>
          <w:szCs w:val="21"/>
          <w:highlight w:val="none"/>
        </w:rPr>
      </w:pPr>
      <w:r>
        <w:rPr>
          <w:rFonts w:hint="eastAsia" w:ascii="宋体" w:hAnsi="宋体"/>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0" w:beforeAutospacing="0" w:after="0" w:afterAutospacing="0" w:line="360" w:lineRule="auto"/>
        <w:ind w:firstLine="422" w:firstLineChars="200"/>
        <w:rPr>
          <w:rFonts w:hint="eastAsia"/>
          <w:color w:val="auto"/>
          <w:sz w:val="21"/>
          <w:szCs w:val="21"/>
          <w:highlight w:val="none"/>
        </w:rPr>
      </w:pPr>
      <w:bookmarkStart w:id="1123" w:name="_Toc532377285"/>
      <w:bookmarkStart w:id="1124" w:name="_Toc351203597"/>
      <w:bookmarkStart w:id="1125" w:name="_Toc337558814"/>
      <w:r>
        <w:rPr>
          <w:rFonts w:hint="eastAsia"/>
          <w:color w:val="auto"/>
          <w:sz w:val="21"/>
          <w:szCs w:val="21"/>
          <w:highlight w:val="none"/>
        </w:rPr>
        <w:t>14.4 最终结清</w:t>
      </w:r>
      <w:bookmarkEnd w:id="1123"/>
      <w:bookmarkEnd w:id="1124"/>
    </w:p>
    <w:bookmarkEnd w:id="1125"/>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14.4.1 最终结清申请单</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14.4.2 最终结清证书和支付</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（3）承包人对发包人颁发的最终结清证书有异议的，按第20条〔争议解决〕的约定办理。</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126" w:name="_Toc532377286"/>
      <w:bookmarkStart w:id="1127" w:name="_Toc532375601"/>
      <w:bookmarkStart w:id="1128" w:name="_Toc351203598"/>
      <w:bookmarkStart w:id="1129" w:name="_Toc337558815"/>
      <w:r>
        <w:rPr>
          <w:rFonts w:hint="eastAsia"/>
          <w:color w:val="auto"/>
          <w:kern w:val="2"/>
          <w:sz w:val="21"/>
          <w:szCs w:val="21"/>
          <w:highlight w:val="none"/>
        </w:rPr>
        <w:t>15. 缺陷责任与保修</w:t>
      </w:r>
      <w:bookmarkEnd w:id="1126"/>
      <w:bookmarkEnd w:id="1127"/>
      <w:bookmarkEnd w:id="1128"/>
    </w:p>
    <w:bookmarkEnd w:id="1112"/>
    <w:bookmarkEnd w:id="1113"/>
    <w:bookmarkEnd w:id="1129"/>
    <w:p>
      <w:pPr>
        <w:pStyle w:val="7"/>
        <w:spacing w:before="0" w:beforeAutospacing="0" w:after="0" w:afterAutospacing="0" w:line="360" w:lineRule="auto"/>
        <w:ind w:firstLine="422" w:firstLineChars="200"/>
        <w:rPr>
          <w:rFonts w:hint="eastAsia"/>
          <w:color w:val="auto"/>
          <w:sz w:val="21"/>
          <w:szCs w:val="21"/>
          <w:highlight w:val="none"/>
        </w:rPr>
      </w:pPr>
      <w:bookmarkStart w:id="1130" w:name="_Toc532377287"/>
      <w:bookmarkStart w:id="1131" w:name="_Toc351203599"/>
      <w:bookmarkStart w:id="1132" w:name="_Toc337558816"/>
      <w:bookmarkStart w:id="1133" w:name="_Toc296503114"/>
      <w:bookmarkStart w:id="1134" w:name="_Toc296346615"/>
      <w:r>
        <w:rPr>
          <w:rFonts w:hint="eastAsia"/>
          <w:color w:val="auto"/>
          <w:sz w:val="21"/>
          <w:szCs w:val="21"/>
          <w:highlight w:val="none"/>
        </w:rPr>
        <w:t>15.1 工程保修的原则</w:t>
      </w:r>
      <w:bookmarkEnd w:id="1130"/>
      <w:bookmarkEnd w:id="1131"/>
    </w:p>
    <w:bookmarkEnd w:id="1132"/>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pPr>
        <w:pStyle w:val="7"/>
        <w:spacing w:before="0" w:beforeAutospacing="0" w:after="0" w:afterAutospacing="0" w:line="360" w:lineRule="auto"/>
        <w:ind w:firstLine="422" w:firstLineChars="200"/>
        <w:rPr>
          <w:rFonts w:hint="eastAsia"/>
          <w:color w:val="auto"/>
          <w:sz w:val="21"/>
          <w:szCs w:val="21"/>
          <w:highlight w:val="none"/>
        </w:rPr>
      </w:pPr>
      <w:bookmarkStart w:id="1135" w:name="_Toc351203600"/>
      <w:bookmarkStart w:id="1136" w:name="_Toc532377288"/>
      <w:bookmarkStart w:id="1137" w:name="_Toc337558817"/>
      <w:r>
        <w:rPr>
          <w:rFonts w:hint="eastAsia"/>
          <w:color w:val="auto"/>
          <w:sz w:val="21"/>
          <w:szCs w:val="21"/>
          <w:highlight w:val="none"/>
        </w:rPr>
        <w:t>15.2 缺陷责任期</w:t>
      </w:r>
      <w:bookmarkEnd w:id="1133"/>
      <w:bookmarkEnd w:id="1134"/>
      <w:bookmarkEnd w:id="1135"/>
      <w:bookmarkEnd w:id="1136"/>
    </w:p>
    <w:bookmarkEnd w:id="1137"/>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0" w:beforeAutospacing="0" w:after="0" w:afterAutospacing="0" w:line="360" w:lineRule="auto"/>
        <w:ind w:firstLine="422" w:firstLineChars="200"/>
        <w:rPr>
          <w:rFonts w:hint="eastAsia"/>
          <w:color w:val="auto"/>
          <w:sz w:val="21"/>
          <w:szCs w:val="21"/>
          <w:highlight w:val="none"/>
        </w:rPr>
      </w:pPr>
      <w:bookmarkStart w:id="1138" w:name="_Toc532377289"/>
      <w:bookmarkStart w:id="1139" w:name="_Toc351203601"/>
      <w:bookmarkStart w:id="1140" w:name="_Toc337558818"/>
      <w:bookmarkStart w:id="1141" w:name="_Toc296346616"/>
      <w:bookmarkStart w:id="1142" w:name="_Toc296503115"/>
      <w:r>
        <w:rPr>
          <w:rFonts w:hint="eastAsia"/>
          <w:color w:val="auto"/>
          <w:sz w:val="21"/>
          <w:szCs w:val="21"/>
          <w:highlight w:val="none"/>
        </w:rPr>
        <w:t>15.3 质量保证金</w:t>
      </w:r>
      <w:bookmarkEnd w:id="1138"/>
      <w:bookmarkEnd w:id="1139"/>
    </w:p>
    <w:bookmarkEnd w:id="1140"/>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经合同当事人协商一致扣留质量保证金的，应在专用合同条款中予以明确。</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在工程项目竣工前，承包人已经提供履约担保的，发包人不得同时预留工程质量保证金。</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15.3.1 承包人提供质量保证金的方式</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承包人提供质量保证金有以下三种方式：</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（1）质量保证金保函；</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（2）相应比例的工程款；</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（3）双方约定的其他方式。</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除专用合同条款另有约定外，质量保证金原则上采用上述第（1）种方式。</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15.3.2 质量保证金的扣留</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质量保证金的扣留有以下三种方式：</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（2）工</w:t>
      </w:r>
      <w:bookmarkStart w:id="1143" w:name="#go6"/>
      <w:bookmarkEnd w:id="1143"/>
      <w:r>
        <w:rPr>
          <w:rFonts w:hint="eastAsia" w:ascii="宋体" w:hAnsi="宋体"/>
          <w:color w:val="auto"/>
          <w:kern w:val="0"/>
          <w:szCs w:val="21"/>
          <w:highlight w:val="none"/>
        </w:rPr>
        <w:t>程竣工结算时一次性扣留质量保证金；</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（3）双方约定的其他扣留方式。</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除专用合同条款另有约定外，质量保证金的扣留原则上采用上述第（1）种方式。</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w:t>
      </w:r>
      <w:bookmarkStart w:id="1144" w:name="#go4"/>
      <w:bookmarkEnd w:id="1144"/>
      <w:r>
        <w:rPr>
          <w:rFonts w:hint="eastAsia" w:ascii="宋体" w:hAnsi="宋体"/>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发包人在退还质量保证金的同时按照中国人民银行发布的同期同类贷款基准利率支付利息。</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15.3.3 质量保证金的退还</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缺陷责任期内，承包人认真履行合同约定的责任，到期后，承包人可向发包人申请返还保证金。</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发包人和承包人对保证金预留、返还以及工程维修质量、费用有争议的，按合同第20条约定的争议和纠纷解决程序处理。</w:t>
      </w:r>
    </w:p>
    <w:p>
      <w:pPr>
        <w:pStyle w:val="7"/>
        <w:spacing w:before="0" w:beforeAutospacing="0" w:after="0" w:afterAutospacing="0" w:line="360" w:lineRule="auto"/>
        <w:ind w:firstLine="422" w:firstLineChars="200"/>
        <w:rPr>
          <w:rFonts w:hint="eastAsia"/>
          <w:color w:val="auto"/>
          <w:sz w:val="21"/>
          <w:szCs w:val="21"/>
          <w:highlight w:val="none"/>
        </w:rPr>
      </w:pPr>
      <w:bookmarkStart w:id="1145" w:name="_Toc351203602"/>
      <w:bookmarkStart w:id="1146" w:name="_Toc532377290"/>
      <w:bookmarkStart w:id="1147" w:name="_Toc337558819"/>
      <w:r>
        <w:rPr>
          <w:rFonts w:hint="eastAsia"/>
          <w:color w:val="auto"/>
          <w:sz w:val="21"/>
          <w:szCs w:val="21"/>
          <w:highlight w:val="none"/>
        </w:rPr>
        <w:t>15.4 保修</w:t>
      </w:r>
      <w:bookmarkEnd w:id="1145"/>
      <w:bookmarkEnd w:id="1146"/>
    </w:p>
    <w:bookmarkEnd w:id="1141"/>
    <w:bookmarkEnd w:id="1142"/>
    <w:bookmarkEnd w:id="1147"/>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15.4.1保修责任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发包人未经竣工验收擅自使用工程的，保修期自转移占有之日起算。</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15.4.2 修复费用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保修期内，修复的费用按照以下约定处理：</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15.4.3 修复通知</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15.4.4 未能修复</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15.4.5 承包人出入权</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148" w:name="_Toc532377291"/>
      <w:bookmarkStart w:id="1149" w:name="_Toc532375602"/>
      <w:bookmarkStart w:id="1150" w:name="_Toc351203603"/>
      <w:bookmarkStart w:id="1151" w:name="_Toc337558820"/>
      <w:r>
        <w:rPr>
          <w:rFonts w:hint="eastAsia"/>
          <w:color w:val="auto"/>
          <w:kern w:val="2"/>
          <w:sz w:val="21"/>
          <w:szCs w:val="21"/>
          <w:highlight w:val="none"/>
        </w:rPr>
        <w:t>16. 违约</w:t>
      </w:r>
      <w:bookmarkEnd w:id="1148"/>
      <w:bookmarkEnd w:id="1149"/>
      <w:bookmarkEnd w:id="1150"/>
    </w:p>
    <w:bookmarkEnd w:id="1151"/>
    <w:p>
      <w:pPr>
        <w:pStyle w:val="7"/>
        <w:spacing w:before="0" w:beforeAutospacing="0" w:after="0" w:afterAutospacing="0" w:line="360" w:lineRule="auto"/>
        <w:ind w:firstLine="422" w:firstLineChars="200"/>
        <w:rPr>
          <w:rFonts w:hint="eastAsia"/>
          <w:color w:val="auto"/>
          <w:sz w:val="21"/>
          <w:szCs w:val="21"/>
          <w:highlight w:val="none"/>
        </w:rPr>
      </w:pPr>
      <w:bookmarkStart w:id="1152" w:name="_Toc296346630"/>
      <w:bookmarkStart w:id="1153" w:name="_Toc296503129"/>
      <w:bookmarkStart w:id="1154" w:name="_Toc351203604"/>
      <w:bookmarkStart w:id="1155" w:name="_Toc532377292"/>
      <w:bookmarkStart w:id="1156" w:name="_Toc337558821"/>
      <w:r>
        <w:rPr>
          <w:rFonts w:hint="eastAsia"/>
          <w:color w:val="auto"/>
          <w:sz w:val="21"/>
          <w:szCs w:val="21"/>
          <w:highlight w:val="none"/>
        </w:rPr>
        <w:t>16.1 发</w:t>
      </w:r>
      <w:bookmarkEnd w:id="1152"/>
      <w:bookmarkEnd w:id="1153"/>
      <w:r>
        <w:rPr>
          <w:rFonts w:hint="eastAsia"/>
          <w:color w:val="auto"/>
          <w:sz w:val="21"/>
          <w:szCs w:val="21"/>
          <w:highlight w:val="none"/>
        </w:rPr>
        <w:t>包人违约</w:t>
      </w:r>
      <w:bookmarkEnd w:id="1154"/>
      <w:bookmarkEnd w:id="1155"/>
    </w:p>
    <w:bookmarkEnd w:id="1156"/>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16.1.1 发包人违约的情形</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在合同履行过程中发生的下列情形，属于发包人违约：</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（1）因发包人原因未能在计划开工日期前7天内下达开工通知的；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（2）因发包人原因未能按合同约定支付合同价款的；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（3）发包人违反第10.1款〔变更的范围〕第（2）项约定，自行实施被取消的工作或转由他人实施的；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（5）因发包人违反合同约定造成暂停施工的；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（6）发包人无正当理由没有在约定期限内发出复工指示，导致承包人无法复工的；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（7）发包人明确表示或者以其行为表明不履行合同主要义务的；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（8）发包人未能按照合同约定履行其他义务的。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16.1.2 发包人违约的责任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16.1.3 因发包人违约解除合同</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16.1.4 因发包人违约解除合同后的付款</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承包人按照本款约定解除合同的，发包人应在解除合同后28天内支付下列款项，并解除履约担保：</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（1）合同解除前所完成工作的价款；</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（2）承包人为工程施工订购并已付款的材料、工程设备和其他物品的价款；</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（3）承包人撤离施工现场以及遣散承包人人员的款项；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（4）按照合同约定在合同解除前应支付的违约金；</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（5）按照合同约定应当支付给承包人的其他款项；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（6）按照合同约定应退还的质量保证金；</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（7）因解除合同给承包人造成的损失。</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合同当事人未能就解除合同后的结清达成一致的，按照第20条〔争议解决〕的约定处理。</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rFonts w:hint="eastAsia"/>
          <w:color w:val="auto"/>
          <w:sz w:val="21"/>
          <w:szCs w:val="21"/>
          <w:highlight w:val="none"/>
        </w:rPr>
      </w:pPr>
      <w:bookmarkStart w:id="1157" w:name="_Toc532377293"/>
      <w:bookmarkStart w:id="1158" w:name="_Toc351203605"/>
      <w:bookmarkStart w:id="1159" w:name="_Toc296346632"/>
      <w:bookmarkStart w:id="1160" w:name="_Toc337558822"/>
      <w:bookmarkStart w:id="1161" w:name="_Toc296503131"/>
      <w:r>
        <w:rPr>
          <w:rFonts w:hint="eastAsia"/>
          <w:color w:val="auto"/>
          <w:sz w:val="21"/>
          <w:szCs w:val="21"/>
          <w:highlight w:val="none"/>
        </w:rPr>
        <w:t>16.2 承包人违约</w:t>
      </w:r>
      <w:bookmarkEnd w:id="1157"/>
      <w:bookmarkEnd w:id="1158"/>
    </w:p>
    <w:bookmarkEnd w:id="1159"/>
    <w:bookmarkEnd w:id="1160"/>
    <w:bookmarkEnd w:id="1161"/>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16.2.1 承包人违约的情形</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在合同履行过程中发生的下列情形，属于承包人违约：</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（1）承包人违反合同约定进行转包或违法分包的；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（2）承包人违反合同约定采购和使用不合格的材料和工程设备的；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（3）因承包人原因导致工程质量不符合合同要求的； </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（5）承包人未能按施工进度计划及时完成合同约定的工作，造成工期延误的；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（7）承包人明确表示或者以其行为表明不履行合同主要义务的；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（8）承包人未能按照合同约定履行其他义务的。</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16.2.2 承包人违约的责任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16.2.3 因承包人违约解除合同</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16.2.4因承包人违约解除合同后的处理</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（2）合同解除后，承包人应支付的违约金；</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（3）合同解除后，因解除合同给发包人造成的损失；</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（4）合同解除后，承包人应按照发包人要求和监理人的指示完成现场的清理和撤离；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（5）发包人和承包人应在合同解除后进行清算，出具最终结清付款证书，结清全部款项。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16.2.5采购合同权益转让</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0" w:beforeAutospacing="0" w:after="0" w:afterAutospacing="0" w:line="360" w:lineRule="auto"/>
        <w:ind w:firstLine="422" w:firstLineChars="200"/>
        <w:rPr>
          <w:rFonts w:hint="eastAsia"/>
          <w:color w:val="auto"/>
          <w:sz w:val="21"/>
          <w:szCs w:val="21"/>
          <w:highlight w:val="none"/>
        </w:rPr>
      </w:pPr>
      <w:bookmarkStart w:id="1162" w:name="_Toc532377294"/>
      <w:bookmarkStart w:id="1163" w:name="_Toc351203606"/>
      <w:r>
        <w:rPr>
          <w:rFonts w:hint="eastAsia"/>
          <w:color w:val="auto"/>
          <w:sz w:val="21"/>
          <w:szCs w:val="21"/>
          <w:highlight w:val="none"/>
        </w:rPr>
        <w:t>16.3 第三人造成的违约</w:t>
      </w:r>
      <w:bookmarkEnd w:id="1162"/>
      <w:bookmarkEnd w:id="1163"/>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164" w:name="_Toc532377295"/>
      <w:bookmarkStart w:id="1165" w:name="_Toc296346617"/>
      <w:bookmarkStart w:id="1166" w:name="_Toc296503116"/>
      <w:bookmarkStart w:id="1167" w:name="_Toc532375603"/>
      <w:bookmarkStart w:id="1168" w:name="_Toc337558823"/>
      <w:bookmarkStart w:id="1169" w:name="_Toc351203607"/>
      <w:r>
        <w:rPr>
          <w:rFonts w:hint="eastAsia"/>
          <w:color w:val="auto"/>
          <w:kern w:val="2"/>
          <w:sz w:val="21"/>
          <w:szCs w:val="21"/>
          <w:highlight w:val="none"/>
        </w:rPr>
        <w:t>17. 不可抗力</w:t>
      </w:r>
      <w:bookmarkEnd w:id="1164"/>
      <w:bookmarkEnd w:id="1165"/>
      <w:bookmarkEnd w:id="1166"/>
      <w:bookmarkEnd w:id="1167"/>
      <w:bookmarkEnd w:id="1168"/>
      <w:bookmarkEnd w:id="1169"/>
    </w:p>
    <w:p>
      <w:pPr>
        <w:pStyle w:val="7"/>
        <w:spacing w:before="0" w:beforeAutospacing="0" w:after="0" w:afterAutospacing="0" w:line="360" w:lineRule="auto"/>
        <w:ind w:firstLine="422" w:firstLineChars="200"/>
        <w:rPr>
          <w:rFonts w:hint="eastAsia"/>
          <w:color w:val="auto"/>
          <w:sz w:val="21"/>
          <w:szCs w:val="21"/>
          <w:highlight w:val="none"/>
        </w:rPr>
      </w:pPr>
      <w:bookmarkStart w:id="1170" w:name="_Toc351203608"/>
      <w:bookmarkStart w:id="1171" w:name="_Toc532377296"/>
      <w:bookmarkStart w:id="1172" w:name="_Toc296503117"/>
      <w:bookmarkStart w:id="1173" w:name="_Toc337558824"/>
      <w:bookmarkStart w:id="1174" w:name="_Toc296346618"/>
      <w:r>
        <w:rPr>
          <w:rFonts w:hint="eastAsia"/>
          <w:color w:val="auto"/>
          <w:sz w:val="21"/>
          <w:szCs w:val="21"/>
          <w:highlight w:val="none"/>
        </w:rPr>
        <w:t>17.1 不可抗力的确认</w:t>
      </w:r>
      <w:bookmarkEnd w:id="1170"/>
      <w:bookmarkEnd w:id="1171"/>
    </w:p>
    <w:bookmarkEnd w:id="1172"/>
    <w:bookmarkEnd w:id="1173"/>
    <w:bookmarkEnd w:id="1174"/>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0" w:beforeAutospacing="0" w:after="0" w:afterAutospacing="0" w:line="360" w:lineRule="auto"/>
        <w:ind w:firstLine="422" w:firstLineChars="200"/>
        <w:rPr>
          <w:rFonts w:hint="eastAsia"/>
          <w:color w:val="auto"/>
          <w:sz w:val="21"/>
          <w:szCs w:val="21"/>
          <w:highlight w:val="none"/>
        </w:rPr>
      </w:pPr>
      <w:bookmarkStart w:id="1175" w:name="_Toc351203609"/>
      <w:bookmarkStart w:id="1176" w:name="_Toc532377297"/>
      <w:bookmarkStart w:id="1177" w:name="_Toc296346619"/>
      <w:bookmarkStart w:id="1178" w:name="_Toc337558825"/>
      <w:bookmarkStart w:id="1179" w:name="_Toc296503118"/>
      <w:r>
        <w:rPr>
          <w:rFonts w:hint="eastAsia"/>
          <w:color w:val="auto"/>
          <w:sz w:val="21"/>
          <w:szCs w:val="21"/>
          <w:highlight w:val="none"/>
        </w:rPr>
        <w:t>17.2 不可抗力的通知</w:t>
      </w:r>
      <w:bookmarkEnd w:id="1175"/>
      <w:bookmarkEnd w:id="1176"/>
    </w:p>
    <w:bookmarkEnd w:id="1177"/>
    <w:bookmarkEnd w:id="1178"/>
    <w:bookmarkEnd w:id="1179"/>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0" w:beforeAutospacing="0" w:after="0" w:afterAutospacing="0" w:line="360" w:lineRule="auto"/>
        <w:ind w:firstLine="422" w:firstLineChars="200"/>
        <w:rPr>
          <w:rFonts w:hint="eastAsia"/>
          <w:color w:val="auto"/>
          <w:sz w:val="21"/>
          <w:szCs w:val="21"/>
          <w:highlight w:val="none"/>
        </w:rPr>
      </w:pPr>
      <w:bookmarkStart w:id="1180" w:name="_Toc532377298"/>
      <w:r>
        <w:rPr>
          <w:rFonts w:hint="eastAsia"/>
          <w:color w:val="auto"/>
          <w:sz w:val="21"/>
          <w:szCs w:val="21"/>
          <w:highlight w:val="none"/>
        </w:rPr>
        <w:t>17.3 不可抗力后果的承担</w:t>
      </w:r>
      <w:bookmarkEnd w:id="1180"/>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（2）承包人施工设备的损坏由承包人承担；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（3）发包人和承包人承担各自人员伤亡和财产的损失；</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（5）因不可抗力引起或将引起工期延误，发包人要求赶工的，由此增加的赶工费用由发包人承担；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（6）承包人在停工期间按照发包人要求照管、清理和修复工程的费用由发包人承担。</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因合同一方迟延履行合同义务，在迟延履行期间遭遇不可抗力的，不免除其违约责任。</w:t>
      </w:r>
    </w:p>
    <w:p>
      <w:pPr>
        <w:pStyle w:val="7"/>
        <w:spacing w:before="0" w:beforeAutospacing="0" w:after="0" w:afterAutospacing="0" w:line="360" w:lineRule="auto"/>
        <w:ind w:firstLine="422" w:firstLineChars="200"/>
        <w:rPr>
          <w:rFonts w:hint="eastAsia"/>
          <w:color w:val="auto"/>
          <w:sz w:val="21"/>
          <w:szCs w:val="21"/>
          <w:highlight w:val="none"/>
        </w:rPr>
      </w:pPr>
      <w:bookmarkStart w:id="1181" w:name="_Toc532377299"/>
      <w:bookmarkStart w:id="1182" w:name="_Toc351203611"/>
      <w:bookmarkStart w:id="1183" w:name="_Toc337558827"/>
      <w:r>
        <w:rPr>
          <w:rFonts w:hint="eastAsia"/>
          <w:color w:val="auto"/>
          <w:sz w:val="21"/>
          <w:szCs w:val="21"/>
          <w:highlight w:val="none"/>
        </w:rPr>
        <w:t>17.4 因不可抗力解除合同</w:t>
      </w:r>
      <w:bookmarkEnd w:id="1181"/>
      <w:bookmarkEnd w:id="1182"/>
    </w:p>
    <w:bookmarkEnd w:id="1183"/>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（1）合同解除前承包人已完成工作的价款；</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（4）承包人撤离施工现场以及遣散承包人人员的费用；</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（5）按照合同约定在合同解除前应支付给承包人的其他款项；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（6）扣减承包人按照合同约定应向发包人支付的款项；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（7）双方商定或确定的其他款项。</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除专用合同条款另有约定外，合同解除后，发包人应在商定或确定上述款项后28天内完成上述款项的支付。</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184" w:name="_Toc532377300"/>
      <w:bookmarkStart w:id="1185" w:name="_Toc351203612"/>
      <w:bookmarkStart w:id="1186" w:name="_Toc532375604"/>
      <w:bookmarkStart w:id="1187" w:name="_Toc337558828"/>
      <w:bookmarkStart w:id="1188" w:name="_Toc296346621"/>
      <w:bookmarkStart w:id="1189" w:name="_Toc296503120"/>
      <w:r>
        <w:rPr>
          <w:rFonts w:hint="eastAsia"/>
          <w:color w:val="auto"/>
          <w:kern w:val="2"/>
          <w:sz w:val="21"/>
          <w:szCs w:val="21"/>
          <w:highlight w:val="none"/>
        </w:rPr>
        <w:t>18. 保险</w:t>
      </w:r>
      <w:bookmarkEnd w:id="1184"/>
      <w:bookmarkEnd w:id="1185"/>
      <w:bookmarkEnd w:id="1186"/>
    </w:p>
    <w:bookmarkEnd w:id="1187"/>
    <w:bookmarkEnd w:id="1188"/>
    <w:bookmarkEnd w:id="1189"/>
    <w:p>
      <w:pPr>
        <w:pStyle w:val="7"/>
        <w:spacing w:before="0" w:beforeAutospacing="0" w:after="0" w:afterAutospacing="0" w:line="360" w:lineRule="auto"/>
        <w:ind w:firstLine="422" w:firstLineChars="200"/>
        <w:rPr>
          <w:rFonts w:hint="eastAsia"/>
          <w:color w:val="auto"/>
          <w:sz w:val="21"/>
          <w:szCs w:val="21"/>
          <w:highlight w:val="none"/>
        </w:rPr>
      </w:pPr>
      <w:bookmarkStart w:id="1190" w:name="_Toc351203613"/>
      <w:bookmarkStart w:id="1191" w:name="_Toc532377301"/>
      <w:bookmarkStart w:id="1192" w:name="_Toc337558829"/>
      <w:bookmarkStart w:id="1193" w:name="_Toc296346622"/>
      <w:bookmarkStart w:id="1194" w:name="_Toc296503121"/>
      <w:r>
        <w:rPr>
          <w:rFonts w:hint="eastAsia"/>
          <w:color w:val="auto"/>
          <w:sz w:val="21"/>
          <w:szCs w:val="21"/>
          <w:highlight w:val="none"/>
        </w:rPr>
        <w:t>18.1 工程保险</w:t>
      </w:r>
      <w:bookmarkEnd w:id="1190"/>
      <w:bookmarkEnd w:id="1191"/>
    </w:p>
    <w:bookmarkEnd w:id="1192"/>
    <w:bookmarkEnd w:id="1193"/>
    <w:bookmarkEnd w:id="1194"/>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1195" w:name="_Toc532377302"/>
      <w:bookmarkStart w:id="1196" w:name="_Toc351203614"/>
      <w:bookmarkStart w:id="1197" w:name="_Toc337558830"/>
      <w:bookmarkStart w:id="1198" w:name="_Toc296503122"/>
      <w:bookmarkStart w:id="1199" w:name="_Toc296346623"/>
      <w:r>
        <w:rPr>
          <w:rFonts w:hint="eastAsia"/>
          <w:color w:val="auto"/>
          <w:sz w:val="21"/>
          <w:szCs w:val="21"/>
          <w:highlight w:val="none"/>
        </w:rPr>
        <w:t>18.2 工伤保险</w:t>
      </w:r>
      <w:bookmarkEnd w:id="1195"/>
      <w:bookmarkEnd w:id="1196"/>
    </w:p>
    <w:bookmarkEnd w:id="1197"/>
    <w:bookmarkEnd w:id="1198"/>
    <w:bookmarkEnd w:id="1199"/>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pPr>
        <w:pStyle w:val="7"/>
        <w:spacing w:before="0" w:beforeAutospacing="0" w:after="0" w:afterAutospacing="0" w:line="360" w:lineRule="auto"/>
        <w:ind w:firstLine="422" w:firstLineChars="200"/>
        <w:rPr>
          <w:rFonts w:hint="eastAsia"/>
          <w:color w:val="auto"/>
          <w:sz w:val="21"/>
          <w:szCs w:val="21"/>
          <w:highlight w:val="none"/>
        </w:rPr>
      </w:pPr>
      <w:bookmarkStart w:id="1200" w:name="_Toc532377303"/>
      <w:bookmarkStart w:id="1201" w:name="_Toc351203615"/>
      <w:bookmarkStart w:id="1202" w:name="_Toc296346626"/>
      <w:bookmarkStart w:id="1203" w:name="_Toc337558831"/>
      <w:bookmarkStart w:id="1204" w:name="_Toc296503125"/>
      <w:r>
        <w:rPr>
          <w:rFonts w:hint="eastAsia"/>
          <w:color w:val="auto"/>
          <w:sz w:val="21"/>
          <w:szCs w:val="21"/>
          <w:highlight w:val="none"/>
        </w:rPr>
        <w:t>18.3其他保险</w:t>
      </w:r>
      <w:bookmarkEnd w:id="1200"/>
      <w:bookmarkEnd w:id="1201"/>
    </w:p>
    <w:bookmarkEnd w:id="1202"/>
    <w:bookmarkEnd w:id="1203"/>
    <w:bookmarkEnd w:id="1204"/>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除专用合同条款另有约定外，承包人应为其施工设备等办理财产保险。</w:t>
      </w:r>
    </w:p>
    <w:p>
      <w:pPr>
        <w:pStyle w:val="7"/>
        <w:spacing w:before="0" w:beforeAutospacing="0" w:after="0" w:afterAutospacing="0" w:line="360" w:lineRule="auto"/>
        <w:ind w:firstLine="422" w:firstLineChars="200"/>
        <w:rPr>
          <w:rFonts w:hint="eastAsia"/>
          <w:color w:val="auto"/>
          <w:sz w:val="21"/>
          <w:szCs w:val="21"/>
          <w:highlight w:val="none"/>
        </w:rPr>
      </w:pPr>
      <w:bookmarkStart w:id="1205" w:name="_Toc351203616"/>
      <w:bookmarkStart w:id="1206" w:name="_Toc532377304"/>
      <w:r>
        <w:rPr>
          <w:rFonts w:hint="eastAsia"/>
          <w:color w:val="auto"/>
          <w:sz w:val="21"/>
          <w:szCs w:val="21"/>
          <w:highlight w:val="none"/>
        </w:rPr>
        <w:t>18.4持续保险</w:t>
      </w:r>
      <w:bookmarkEnd w:id="1205"/>
      <w:bookmarkEnd w:id="1206"/>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合同当事人应与保险人保持联系，使保险人能够随时了解工程实施中的变动，并确保按保险合同条款要求持续保险。</w:t>
      </w:r>
    </w:p>
    <w:p>
      <w:pPr>
        <w:pStyle w:val="7"/>
        <w:spacing w:before="0" w:beforeAutospacing="0" w:after="0" w:afterAutospacing="0" w:line="360" w:lineRule="auto"/>
        <w:ind w:firstLine="422" w:firstLineChars="200"/>
        <w:rPr>
          <w:rFonts w:hint="eastAsia"/>
          <w:color w:val="auto"/>
          <w:sz w:val="21"/>
          <w:szCs w:val="21"/>
          <w:highlight w:val="none"/>
        </w:rPr>
      </w:pPr>
      <w:bookmarkStart w:id="1207" w:name="_Toc351203617"/>
      <w:bookmarkStart w:id="1208" w:name="_Toc532377305"/>
      <w:bookmarkStart w:id="1209" w:name="_Toc296346627"/>
      <w:bookmarkStart w:id="1210" w:name="_Toc337558832"/>
      <w:bookmarkStart w:id="1211" w:name="_Toc296503126"/>
      <w:r>
        <w:rPr>
          <w:rFonts w:hint="eastAsia"/>
          <w:color w:val="auto"/>
          <w:sz w:val="21"/>
          <w:szCs w:val="21"/>
          <w:highlight w:val="none"/>
        </w:rPr>
        <w:t>18.5 保险凭证</w:t>
      </w:r>
      <w:bookmarkEnd w:id="1207"/>
      <w:bookmarkEnd w:id="1208"/>
    </w:p>
    <w:bookmarkEnd w:id="1209"/>
    <w:bookmarkEnd w:id="1210"/>
    <w:bookmarkEnd w:id="1211"/>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合同当事人应及时向另一方当事人提交其已投保的各项保险的凭证和保险单复印件。</w:t>
      </w:r>
    </w:p>
    <w:p>
      <w:pPr>
        <w:pStyle w:val="7"/>
        <w:spacing w:before="0" w:beforeAutospacing="0" w:after="0" w:afterAutospacing="0" w:line="360" w:lineRule="auto"/>
        <w:ind w:firstLine="422" w:firstLineChars="200"/>
        <w:rPr>
          <w:rFonts w:hint="eastAsia"/>
          <w:color w:val="auto"/>
          <w:sz w:val="21"/>
          <w:szCs w:val="21"/>
          <w:highlight w:val="none"/>
        </w:rPr>
      </w:pPr>
      <w:bookmarkStart w:id="1212" w:name="_Toc532377306"/>
      <w:bookmarkStart w:id="1213" w:name="_Toc351203618"/>
      <w:bookmarkStart w:id="1214" w:name="_Toc337558833"/>
      <w:bookmarkStart w:id="1215" w:name="_Toc296503127"/>
      <w:bookmarkStart w:id="1216" w:name="_Toc296346628"/>
      <w:r>
        <w:rPr>
          <w:rFonts w:hint="eastAsia"/>
          <w:color w:val="auto"/>
          <w:sz w:val="21"/>
          <w:szCs w:val="21"/>
          <w:highlight w:val="none"/>
        </w:rPr>
        <w:t>18.6 未按约定投保的补救</w:t>
      </w:r>
      <w:bookmarkEnd w:id="1212"/>
      <w:bookmarkEnd w:id="1213"/>
    </w:p>
    <w:bookmarkEnd w:id="1214"/>
    <w:bookmarkEnd w:id="1215"/>
    <w:bookmarkEnd w:id="1216"/>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0" w:beforeAutospacing="0" w:after="0" w:afterAutospacing="0" w:line="360" w:lineRule="auto"/>
        <w:ind w:firstLine="422" w:firstLineChars="200"/>
        <w:rPr>
          <w:rFonts w:hint="eastAsia"/>
          <w:color w:val="auto"/>
          <w:sz w:val="21"/>
          <w:szCs w:val="21"/>
          <w:highlight w:val="none"/>
        </w:rPr>
      </w:pPr>
      <w:bookmarkStart w:id="1217" w:name="_Toc532377307"/>
      <w:bookmarkStart w:id="1218" w:name="_Toc351203619"/>
      <w:bookmarkStart w:id="1219" w:name="_Toc337558834"/>
      <w:r>
        <w:rPr>
          <w:rFonts w:hint="eastAsia"/>
          <w:color w:val="auto"/>
          <w:sz w:val="21"/>
          <w:szCs w:val="21"/>
          <w:highlight w:val="none"/>
        </w:rPr>
        <w:t>18.7 通知义务</w:t>
      </w:r>
      <w:bookmarkEnd w:id="1217"/>
      <w:bookmarkEnd w:id="1218"/>
    </w:p>
    <w:bookmarkEnd w:id="1219"/>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保险事故发生时，投保人应按照保险合同规定的条件和期限及时向保险人报告。发包人和承包人应当在知道保险事故发生后及时通知对方。</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220" w:name="_Toc532375605"/>
      <w:bookmarkStart w:id="1221" w:name="_Toc532377308"/>
      <w:r>
        <w:rPr>
          <w:rFonts w:hint="eastAsia"/>
          <w:color w:val="auto"/>
          <w:kern w:val="2"/>
          <w:sz w:val="21"/>
          <w:szCs w:val="21"/>
          <w:highlight w:val="none"/>
        </w:rPr>
        <w:t>19. 索赔</w:t>
      </w:r>
      <w:bookmarkEnd w:id="1220"/>
      <w:bookmarkEnd w:id="1221"/>
    </w:p>
    <w:p>
      <w:pPr>
        <w:pStyle w:val="7"/>
        <w:spacing w:before="0" w:beforeAutospacing="0" w:after="0" w:afterAutospacing="0" w:line="360" w:lineRule="auto"/>
        <w:ind w:firstLine="422" w:firstLineChars="200"/>
        <w:rPr>
          <w:rFonts w:hint="eastAsia"/>
          <w:color w:val="auto"/>
          <w:sz w:val="21"/>
          <w:szCs w:val="21"/>
          <w:highlight w:val="none"/>
        </w:rPr>
      </w:pPr>
      <w:bookmarkStart w:id="1222" w:name="_Toc532377309"/>
      <w:r>
        <w:rPr>
          <w:rFonts w:hint="eastAsia"/>
          <w:color w:val="auto"/>
          <w:sz w:val="21"/>
          <w:szCs w:val="21"/>
          <w:highlight w:val="none"/>
        </w:rPr>
        <w:t>19.1承包人的索赔</w:t>
      </w:r>
      <w:bookmarkEnd w:id="1222"/>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（4）在索赔事件影响结束后28天内，承包人应向监理人递交最终索赔报告，说明最终要求索赔的追加付款金额和（或）延长的工期，并附必要的记录和证明材料。</w:t>
      </w:r>
    </w:p>
    <w:p>
      <w:pPr>
        <w:pStyle w:val="7"/>
        <w:spacing w:before="0" w:beforeAutospacing="0" w:after="0" w:afterAutospacing="0" w:line="360" w:lineRule="auto"/>
        <w:ind w:firstLine="422" w:firstLineChars="200"/>
        <w:rPr>
          <w:rFonts w:hint="eastAsia"/>
          <w:color w:val="auto"/>
          <w:sz w:val="21"/>
          <w:szCs w:val="21"/>
          <w:highlight w:val="none"/>
        </w:rPr>
      </w:pPr>
      <w:bookmarkStart w:id="1223" w:name="_Toc351203622"/>
      <w:bookmarkStart w:id="1224" w:name="_Toc532377310"/>
      <w:bookmarkStart w:id="1225" w:name="_Toc337558837"/>
      <w:bookmarkStart w:id="1226" w:name="_Toc296346643"/>
      <w:bookmarkStart w:id="1227" w:name="_Toc296503142"/>
      <w:r>
        <w:rPr>
          <w:rFonts w:hint="eastAsia"/>
          <w:color w:val="auto"/>
          <w:sz w:val="21"/>
          <w:szCs w:val="21"/>
          <w:highlight w:val="none"/>
        </w:rPr>
        <w:t>19.2 对承包人索赔的处理</w:t>
      </w:r>
      <w:bookmarkEnd w:id="1223"/>
      <w:bookmarkEnd w:id="1224"/>
    </w:p>
    <w:bookmarkEnd w:id="1225"/>
    <w:bookmarkEnd w:id="1226"/>
    <w:bookmarkEnd w:id="1227"/>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对承包人索赔的处理如下：</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（3）承包人接受索赔处理结果的，索赔款项在当期进度款中进行支付；承包人不接受索赔处理结果的，按照第20条〔争议解决〕约定处理。</w:t>
      </w:r>
    </w:p>
    <w:p>
      <w:pPr>
        <w:pStyle w:val="7"/>
        <w:spacing w:before="0" w:beforeAutospacing="0" w:after="0" w:afterAutospacing="0" w:line="360" w:lineRule="auto"/>
        <w:ind w:firstLine="422" w:firstLineChars="200"/>
        <w:rPr>
          <w:rFonts w:hint="eastAsia"/>
          <w:color w:val="auto"/>
          <w:sz w:val="21"/>
          <w:szCs w:val="21"/>
          <w:highlight w:val="none"/>
        </w:rPr>
      </w:pPr>
      <w:bookmarkStart w:id="1228" w:name="_Toc351203623"/>
      <w:bookmarkStart w:id="1229" w:name="_Toc532377311"/>
      <w:bookmarkStart w:id="1230" w:name="_Toc296503143"/>
      <w:bookmarkStart w:id="1231" w:name="_Toc337558838"/>
      <w:bookmarkStart w:id="1232" w:name="_Toc296346644"/>
      <w:r>
        <w:rPr>
          <w:rFonts w:hint="eastAsia"/>
          <w:color w:val="auto"/>
          <w:sz w:val="21"/>
          <w:szCs w:val="21"/>
          <w:highlight w:val="none"/>
        </w:rPr>
        <w:t>19.3发包人的索赔</w:t>
      </w:r>
      <w:bookmarkEnd w:id="1228"/>
      <w:bookmarkEnd w:id="1229"/>
    </w:p>
    <w:bookmarkEnd w:id="1230"/>
    <w:bookmarkEnd w:id="1231"/>
    <w:bookmarkEnd w:id="1232"/>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0" w:beforeAutospacing="0" w:after="0" w:afterAutospacing="0" w:line="360" w:lineRule="auto"/>
        <w:ind w:firstLine="422" w:firstLineChars="200"/>
        <w:rPr>
          <w:rFonts w:hint="eastAsia"/>
          <w:color w:val="auto"/>
          <w:sz w:val="21"/>
          <w:szCs w:val="21"/>
          <w:highlight w:val="none"/>
        </w:rPr>
      </w:pPr>
      <w:bookmarkStart w:id="1233" w:name="_Toc351203624"/>
      <w:bookmarkStart w:id="1234" w:name="_Toc532377312"/>
      <w:bookmarkStart w:id="1235" w:name="_Toc337558839"/>
      <w:bookmarkStart w:id="1236" w:name="_Toc296503144"/>
      <w:bookmarkStart w:id="1237" w:name="_Toc296346645"/>
      <w:r>
        <w:rPr>
          <w:rFonts w:hint="eastAsia"/>
          <w:color w:val="auto"/>
          <w:sz w:val="21"/>
          <w:szCs w:val="21"/>
          <w:highlight w:val="none"/>
        </w:rPr>
        <w:t>19.4 对发包人索赔的处理</w:t>
      </w:r>
      <w:bookmarkEnd w:id="1233"/>
      <w:bookmarkEnd w:id="1234"/>
    </w:p>
    <w:bookmarkEnd w:id="1235"/>
    <w:bookmarkEnd w:id="1236"/>
    <w:bookmarkEnd w:id="1237"/>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对发包人索赔的处理如下：</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（1）承包人收到发包人提交的索赔报告后，应及时审查索赔报告的内容、查验发包人证明材料；</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0" w:firstLineChars="200"/>
        <w:rPr>
          <w:rFonts w:hint="eastAsia"/>
          <w:b w:val="0"/>
          <w:color w:val="auto"/>
          <w:sz w:val="21"/>
          <w:szCs w:val="21"/>
          <w:highlight w:val="none"/>
        </w:rPr>
      </w:pPr>
      <w:bookmarkStart w:id="1238" w:name="_Toc351203625"/>
      <w:bookmarkStart w:id="1239" w:name="_Toc532377313"/>
      <w:r>
        <w:rPr>
          <w:rFonts w:hint="eastAsia"/>
          <w:b w:val="0"/>
          <w:color w:val="auto"/>
          <w:sz w:val="21"/>
          <w:szCs w:val="21"/>
          <w:highlight w:val="none"/>
        </w:rPr>
        <w:t>19.5 提出索赔的期限</w:t>
      </w:r>
      <w:bookmarkEnd w:id="1238"/>
      <w:bookmarkEnd w:id="1239"/>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（2）承包人按第14.4款〔最终结清〕提交的最终结清申请单中，只限于提出工程接收证书颁发后发生的索赔。提出索赔的期限自接受最终结清证书时终止。</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240" w:name="_Toc532377314"/>
      <w:bookmarkStart w:id="1241" w:name="_Toc532375606"/>
      <w:bookmarkStart w:id="1242" w:name="_Toc351203626"/>
      <w:r>
        <w:rPr>
          <w:rFonts w:hint="eastAsia"/>
          <w:color w:val="auto"/>
          <w:kern w:val="2"/>
          <w:sz w:val="21"/>
          <w:szCs w:val="21"/>
          <w:highlight w:val="none"/>
        </w:rPr>
        <w:t>20</w:t>
      </w:r>
      <w:bookmarkStart w:id="1243" w:name="_Toc337558840"/>
      <w:bookmarkStart w:id="1244" w:name="_Toc296346647"/>
      <w:bookmarkStart w:id="1245" w:name="_Toc296503146"/>
      <w:r>
        <w:rPr>
          <w:rFonts w:hint="eastAsia"/>
          <w:color w:val="auto"/>
          <w:kern w:val="2"/>
          <w:sz w:val="21"/>
          <w:szCs w:val="21"/>
          <w:highlight w:val="none"/>
        </w:rPr>
        <w:t>. 争议解决</w:t>
      </w:r>
      <w:bookmarkEnd w:id="1240"/>
      <w:bookmarkEnd w:id="1241"/>
      <w:bookmarkEnd w:id="1242"/>
    </w:p>
    <w:bookmarkEnd w:id="1243"/>
    <w:bookmarkEnd w:id="1244"/>
    <w:bookmarkEnd w:id="1245"/>
    <w:p>
      <w:pPr>
        <w:pStyle w:val="7"/>
        <w:spacing w:before="0" w:beforeAutospacing="0" w:after="0" w:afterAutospacing="0" w:line="360" w:lineRule="auto"/>
        <w:ind w:firstLine="422" w:firstLineChars="200"/>
        <w:rPr>
          <w:rFonts w:hint="eastAsia"/>
          <w:color w:val="auto"/>
          <w:sz w:val="21"/>
          <w:szCs w:val="21"/>
          <w:highlight w:val="none"/>
        </w:rPr>
      </w:pPr>
      <w:bookmarkStart w:id="1246" w:name="_Toc532377315"/>
      <w:bookmarkStart w:id="1247" w:name="_Toc351203627"/>
      <w:bookmarkStart w:id="1248" w:name="_Toc337558841"/>
      <w:bookmarkStart w:id="1249" w:name="_Toc296503147"/>
      <w:bookmarkStart w:id="1250" w:name="_Toc296346648"/>
      <w:r>
        <w:rPr>
          <w:rFonts w:hint="eastAsia"/>
          <w:color w:val="auto"/>
          <w:sz w:val="21"/>
          <w:szCs w:val="21"/>
          <w:highlight w:val="none"/>
        </w:rPr>
        <w:t>20.1和解</w:t>
      </w:r>
      <w:bookmarkEnd w:id="1246"/>
      <w:bookmarkEnd w:id="1247"/>
    </w:p>
    <w:bookmarkEnd w:id="1248"/>
    <w:bookmarkEnd w:id="1249"/>
    <w:bookmarkEnd w:id="1250"/>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合同当事人可以就争议自行和解，自行和解达成协议的经双方签名并盖章后作为合同补充文件，双方均应遵照执行。</w:t>
      </w:r>
    </w:p>
    <w:p>
      <w:pPr>
        <w:pStyle w:val="7"/>
        <w:spacing w:before="0" w:beforeAutospacing="0" w:after="0" w:afterAutospacing="0" w:line="360" w:lineRule="auto"/>
        <w:ind w:firstLine="422" w:firstLineChars="200"/>
        <w:rPr>
          <w:rFonts w:hint="eastAsia"/>
          <w:color w:val="auto"/>
          <w:sz w:val="21"/>
          <w:szCs w:val="21"/>
          <w:highlight w:val="none"/>
        </w:rPr>
      </w:pPr>
      <w:bookmarkStart w:id="1251" w:name="_Toc351203628"/>
      <w:bookmarkStart w:id="1252" w:name="_Toc532377316"/>
      <w:r>
        <w:rPr>
          <w:rFonts w:hint="eastAsia"/>
          <w:color w:val="auto"/>
          <w:sz w:val="21"/>
          <w:szCs w:val="21"/>
          <w:highlight w:val="none"/>
        </w:rPr>
        <w:t>20</w:t>
      </w:r>
      <w:bookmarkStart w:id="1253" w:name="_Toc337558842"/>
      <w:bookmarkStart w:id="1254" w:name="_Toc296346649"/>
      <w:bookmarkStart w:id="1255" w:name="_Toc296503148"/>
      <w:r>
        <w:rPr>
          <w:rFonts w:hint="eastAsia"/>
          <w:color w:val="auto"/>
          <w:sz w:val="21"/>
          <w:szCs w:val="21"/>
          <w:highlight w:val="none"/>
        </w:rPr>
        <w:t>.2调解</w:t>
      </w:r>
      <w:bookmarkEnd w:id="1251"/>
      <w:bookmarkEnd w:id="1252"/>
    </w:p>
    <w:bookmarkEnd w:id="1253"/>
    <w:bookmarkEnd w:id="1254"/>
    <w:bookmarkEnd w:id="1255"/>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合同当事人可以就争议请求建设行政主管部门、行业协会或其他第三方进行调解，调解达成协议的，经双方签名并盖章后作为合同补充文件，双方均应遵照执行。</w:t>
      </w:r>
    </w:p>
    <w:p>
      <w:pPr>
        <w:pStyle w:val="7"/>
        <w:spacing w:before="0" w:beforeAutospacing="0" w:after="0" w:afterAutospacing="0" w:line="360" w:lineRule="auto"/>
        <w:ind w:firstLine="422" w:firstLineChars="200"/>
        <w:rPr>
          <w:rFonts w:hint="eastAsia"/>
          <w:color w:val="auto"/>
          <w:sz w:val="21"/>
          <w:szCs w:val="21"/>
          <w:highlight w:val="none"/>
        </w:rPr>
      </w:pPr>
      <w:bookmarkStart w:id="1256" w:name="_Toc532377317"/>
      <w:bookmarkStart w:id="1257" w:name="_Toc351203629"/>
      <w:bookmarkStart w:id="1258" w:name="_Toc337558843"/>
      <w:bookmarkStart w:id="1259" w:name="_Toc296346650"/>
      <w:bookmarkStart w:id="1260" w:name="_Toc296503149"/>
      <w:r>
        <w:rPr>
          <w:rFonts w:hint="eastAsia"/>
          <w:color w:val="auto"/>
          <w:sz w:val="21"/>
          <w:szCs w:val="21"/>
          <w:highlight w:val="none"/>
        </w:rPr>
        <w:t>20.3争议评审</w:t>
      </w:r>
      <w:bookmarkEnd w:id="1256"/>
      <w:bookmarkEnd w:id="1257"/>
    </w:p>
    <w:bookmarkEnd w:id="1258"/>
    <w:bookmarkEnd w:id="1259"/>
    <w:bookmarkEnd w:id="1260"/>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20.3.1 争议评审小组的确定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除专用合同条款另有约定外，评审员报酬由发包人和承包人各承担一半。</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20.3.2 争议评审小组的决定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20.3.3 争议评审小组决定的效力</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争议评审小组作出的书面决定经合同当事人签名确认后，对双方具有约束力，双方应遵照执行。</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任何一方当事人不接受争议评审小组决定或不履行争议评审小组决定的，双方可选择采用其他争议解决方式。</w:t>
      </w:r>
    </w:p>
    <w:p>
      <w:pPr>
        <w:pStyle w:val="7"/>
        <w:spacing w:before="0" w:beforeAutospacing="0" w:after="0" w:afterAutospacing="0" w:line="360" w:lineRule="auto"/>
        <w:ind w:firstLine="422" w:firstLineChars="200"/>
        <w:rPr>
          <w:rFonts w:hint="eastAsia"/>
          <w:color w:val="auto"/>
          <w:sz w:val="21"/>
          <w:szCs w:val="21"/>
          <w:highlight w:val="none"/>
        </w:rPr>
      </w:pPr>
      <w:bookmarkStart w:id="1261" w:name="_Toc351203630"/>
      <w:bookmarkStart w:id="1262" w:name="_Toc532377318"/>
      <w:bookmarkStart w:id="1263" w:name="_Toc337558844"/>
      <w:bookmarkStart w:id="1264" w:name="_Toc296503150"/>
      <w:bookmarkStart w:id="1265" w:name="_Toc296346651"/>
      <w:r>
        <w:rPr>
          <w:rFonts w:hint="eastAsia"/>
          <w:color w:val="auto"/>
          <w:sz w:val="21"/>
          <w:szCs w:val="21"/>
          <w:highlight w:val="none"/>
        </w:rPr>
        <w:t>20.4仲裁或诉讼</w:t>
      </w:r>
      <w:bookmarkEnd w:id="1261"/>
      <w:bookmarkEnd w:id="1262"/>
    </w:p>
    <w:bookmarkEnd w:id="1263"/>
    <w:bookmarkEnd w:id="1264"/>
    <w:bookmarkEnd w:id="1265"/>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（1）向约定的仲裁委员会申请仲裁；</w:t>
      </w:r>
    </w:p>
    <w:p>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（2）向有管辖权的人民法院起诉。</w:t>
      </w:r>
    </w:p>
    <w:p>
      <w:pPr>
        <w:pStyle w:val="7"/>
        <w:spacing w:before="0" w:beforeAutospacing="0" w:after="0" w:afterAutospacing="0" w:line="360" w:lineRule="auto"/>
        <w:ind w:firstLine="420" w:firstLineChars="200"/>
        <w:rPr>
          <w:rFonts w:hint="eastAsia"/>
          <w:b w:val="0"/>
          <w:color w:val="auto"/>
          <w:sz w:val="21"/>
          <w:szCs w:val="21"/>
          <w:highlight w:val="none"/>
        </w:rPr>
      </w:pPr>
      <w:bookmarkStart w:id="1266" w:name="_Toc351203631"/>
      <w:bookmarkStart w:id="1267" w:name="_Toc532377319"/>
      <w:bookmarkStart w:id="1268" w:name="_Toc296346653"/>
      <w:bookmarkStart w:id="1269" w:name="_Toc296503152"/>
      <w:bookmarkStart w:id="1270" w:name="_Toc337558845"/>
      <w:r>
        <w:rPr>
          <w:rFonts w:hint="eastAsia"/>
          <w:b w:val="0"/>
          <w:color w:val="auto"/>
          <w:sz w:val="21"/>
          <w:szCs w:val="21"/>
          <w:highlight w:val="none"/>
        </w:rPr>
        <w:t>20.5争议解决条款效力</w:t>
      </w:r>
      <w:bookmarkEnd w:id="1266"/>
      <w:bookmarkEnd w:id="1267"/>
    </w:p>
    <w:bookmarkEnd w:id="1268"/>
    <w:bookmarkEnd w:id="1269"/>
    <w:bookmarkEnd w:id="1270"/>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合同有关争议解决的条款独立存在，合同的变更、解除、终止、无效或者被撤销均不影响其效力。</w:t>
      </w:r>
    </w:p>
    <w:p>
      <w:pPr>
        <w:keepNext/>
        <w:keepLines/>
        <w:snapToGrid w:val="0"/>
        <w:spacing w:before="260" w:after="260" w:line="360" w:lineRule="auto"/>
        <w:outlineLvl w:val="2"/>
        <w:rPr>
          <w:rFonts w:hint="eastAsia" w:ascii="宋体" w:hAnsi="宋体"/>
          <w:b/>
          <w:bCs/>
          <w:color w:val="auto"/>
          <w:szCs w:val="21"/>
          <w:highlight w:val="none"/>
          <w:lang w:val="zh-CN"/>
        </w:rPr>
      </w:pPr>
      <w:r>
        <w:rPr>
          <w:rFonts w:hint="eastAsia" w:ascii="宋体" w:hAnsi="宋体"/>
          <w:b/>
          <w:bCs/>
          <w:color w:val="auto"/>
          <w:szCs w:val="21"/>
          <w:highlight w:val="none"/>
          <w:lang w:val="zh-CN"/>
        </w:rPr>
        <w:br w:type="page"/>
      </w:r>
    </w:p>
    <w:p>
      <w:pPr>
        <w:pStyle w:val="5"/>
        <w:jc w:val="center"/>
        <w:rPr>
          <w:rFonts w:hint="eastAsia" w:ascii="宋体" w:hAnsi="宋体"/>
          <w:color w:val="auto"/>
          <w:sz w:val="44"/>
          <w:szCs w:val="44"/>
          <w:highlight w:val="none"/>
        </w:rPr>
      </w:pPr>
      <w:bookmarkStart w:id="1271" w:name="_Toc6413"/>
      <w:bookmarkStart w:id="1272" w:name="_Toc17694"/>
      <w:bookmarkStart w:id="1273" w:name="_Toc532375607"/>
      <w:bookmarkStart w:id="1274" w:name="_Toc529388290"/>
      <w:bookmarkStart w:id="1275" w:name="_Toc532377320"/>
      <w:r>
        <w:rPr>
          <w:rFonts w:hint="eastAsia" w:ascii="宋体" w:hAnsi="宋体"/>
          <w:color w:val="auto"/>
          <w:sz w:val="44"/>
          <w:szCs w:val="44"/>
          <w:highlight w:val="none"/>
        </w:rPr>
        <w:t>第三部分 专用合同条款</w:t>
      </w:r>
      <w:bookmarkEnd w:id="1271"/>
      <w:bookmarkEnd w:id="1272"/>
      <w:bookmarkEnd w:id="1273"/>
      <w:bookmarkEnd w:id="1274"/>
      <w:bookmarkEnd w:id="1275"/>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276" w:name="_Toc532375608"/>
      <w:bookmarkStart w:id="1277" w:name="_Toc351203633"/>
      <w:bookmarkStart w:id="1278" w:name="_Toc532377321"/>
      <w:bookmarkStart w:id="1279" w:name="_Hlk528927191"/>
      <w:r>
        <w:rPr>
          <w:rFonts w:hint="eastAsia"/>
          <w:color w:val="auto"/>
          <w:kern w:val="2"/>
          <w:sz w:val="21"/>
          <w:szCs w:val="21"/>
          <w:highlight w:val="none"/>
        </w:rPr>
        <w:t>1</w:t>
      </w:r>
      <w:bookmarkStart w:id="1280" w:name="_Toc296891196"/>
      <w:bookmarkStart w:id="1281" w:name="_Toc297048342"/>
      <w:bookmarkStart w:id="1282" w:name="_Toc296347155"/>
      <w:bookmarkStart w:id="1283" w:name="_Toc296944495"/>
      <w:bookmarkStart w:id="1284" w:name="_Toc297120456"/>
      <w:bookmarkStart w:id="1285" w:name="_Toc296503156"/>
      <w:bookmarkStart w:id="1286" w:name="_Toc296346657"/>
      <w:bookmarkStart w:id="1287" w:name="_Toc296890984"/>
      <w:bookmarkStart w:id="1288" w:name="_Toc292559866"/>
      <w:bookmarkStart w:id="1289" w:name="_Toc292559361"/>
      <w:r>
        <w:rPr>
          <w:rFonts w:hint="eastAsia"/>
          <w:color w:val="auto"/>
          <w:kern w:val="2"/>
          <w:sz w:val="21"/>
          <w:szCs w:val="21"/>
          <w:highlight w:val="none"/>
        </w:rPr>
        <w:t>. 一般约定</w:t>
      </w:r>
      <w:bookmarkEnd w:id="1276"/>
      <w:bookmarkEnd w:id="1277"/>
      <w:bookmarkEnd w:id="1278"/>
    </w:p>
    <w:bookmarkEnd w:id="1280"/>
    <w:bookmarkEnd w:id="1281"/>
    <w:bookmarkEnd w:id="1282"/>
    <w:bookmarkEnd w:id="1283"/>
    <w:bookmarkEnd w:id="1284"/>
    <w:bookmarkEnd w:id="1285"/>
    <w:bookmarkEnd w:id="1286"/>
    <w:bookmarkEnd w:id="1287"/>
    <w:bookmarkEnd w:id="1288"/>
    <w:bookmarkEnd w:id="1289"/>
    <w:p>
      <w:pPr>
        <w:pStyle w:val="7"/>
        <w:spacing w:before="0" w:beforeAutospacing="0" w:after="0" w:afterAutospacing="0" w:line="360" w:lineRule="auto"/>
        <w:ind w:firstLine="422" w:firstLineChars="200"/>
        <w:rPr>
          <w:rFonts w:hint="eastAsia"/>
          <w:color w:val="auto"/>
          <w:sz w:val="21"/>
          <w:szCs w:val="21"/>
          <w:highlight w:val="none"/>
        </w:rPr>
      </w:pPr>
      <w:bookmarkStart w:id="1290" w:name="_Toc532377322"/>
      <w:r>
        <w:rPr>
          <w:rFonts w:hint="eastAsia"/>
          <w:color w:val="auto"/>
          <w:sz w:val="21"/>
          <w:szCs w:val="21"/>
          <w:highlight w:val="none"/>
        </w:rPr>
        <w:t>1.1词语定义与解释</w:t>
      </w:r>
      <w:bookmarkEnd w:id="1290"/>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 合同</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1.1.1.8 已标价工程量清单：</w:t>
      </w:r>
      <w:r>
        <w:rPr>
          <w:rFonts w:hint="eastAsia" w:ascii="宋体" w:hAns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本项补充1.1.1.11～1.1.1.16目：</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1.1.1.11 招标文件：</w:t>
      </w:r>
      <w:r>
        <w:rPr>
          <w:rFonts w:hint="eastAsia" w:ascii="宋体" w:hAnsi="宋体"/>
          <w:color w:val="auto"/>
          <w:kern w:val="0"/>
          <w:szCs w:val="21"/>
          <w:highlight w:val="none"/>
          <w:u w:val="single"/>
        </w:rPr>
        <w:t>指本工程的招标文件、图纸、其他技术资料及招标人发出的对招标文件所作的澄清、修改等资料</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1279"/>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1.1.2 合同当事人及其他相关方</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1.1.2.4 监理人：</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1.1.2.5 设计人：</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1.1.3 工程和设备</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1.1.6 其他</w:t>
      </w:r>
    </w:p>
    <w:p>
      <w:pPr>
        <w:spacing w:line="360" w:lineRule="auto"/>
        <w:ind w:firstLine="420" w:firstLineChars="200"/>
        <w:jc w:val="left"/>
        <w:rPr>
          <w:rFonts w:hint="eastAsia" w:ascii="宋体" w:hAnsi="宋体"/>
          <w:color w:val="auto"/>
          <w:szCs w:val="21"/>
          <w:highlight w:val="none"/>
        </w:rPr>
      </w:pPr>
      <w:bookmarkStart w:id="1291" w:name="_Hlk528927262"/>
      <w:r>
        <w:rPr>
          <w:rFonts w:hint="eastAsia" w:ascii="宋体" w:hAnsi="宋体"/>
          <w:color w:val="auto"/>
          <w:szCs w:val="21"/>
          <w:highlight w:val="none"/>
        </w:rPr>
        <w:t>本项补充1.1.6.2～1.1.6.3目：</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1291"/>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7"/>
        <w:spacing w:before="0" w:beforeAutospacing="0" w:after="0" w:afterAutospacing="0" w:line="360" w:lineRule="auto"/>
        <w:ind w:firstLine="422" w:firstLineChars="200"/>
        <w:rPr>
          <w:rFonts w:hint="eastAsia"/>
          <w:color w:val="auto"/>
          <w:sz w:val="21"/>
          <w:szCs w:val="21"/>
          <w:highlight w:val="none"/>
        </w:rPr>
      </w:pPr>
      <w:bookmarkStart w:id="1292" w:name="_Toc532377323"/>
      <w:r>
        <w:rPr>
          <w:rFonts w:hint="eastAsia"/>
          <w:color w:val="auto"/>
          <w:sz w:val="21"/>
          <w:szCs w:val="21"/>
          <w:highlight w:val="none"/>
        </w:rPr>
        <w:t>1.4 标准和规范</w:t>
      </w:r>
      <w:bookmarkEnd w:id="1292"/>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1.4.1 适用于工程的标准规范包括：</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（1）施工图所涉及的技术标准、规范、规程、图集等；</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hint="eastAsia"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293" w:name="_Toc532377324"/>
      <w:r>
        <w:rPr>
          <w:rFonts w:hint="eastAsia"/>
          <w:color w:val="auto"/>
          <w:sz w:val="21"/>
          <w:szCs w:val="21"/>
          <w:highlight w:val="none"/>
        </w:rPr>
        <w:t>1.5 合同文件的优先顺序</w:t>
      </w:r>
      <w:bookmarkEnd w:id="1293"/>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294" w:name="_Toc532377325"/>
      <w:r>
        <w:rPr>
          <w:rFonts w:hint="eastAsia"/>
          <w:color w:val="auto"/>
          <w:sz w:val="21"/>
          <w:szCs w:val="21"/>
          <w:highlight w:val="none"/>
        </w:rPr>
        <w:t>1.6 图纸和承包人文件</w:t>
      </w:r>
      <w:bookmarkEnd w:id="1294"/>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1.6.1 图纸的提供和交底</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通用合同条款第7.3.2款</w:t>
      </w:r>
      <w:r>
        <w:rPr>
          <w:rFonts w:hint="eastAsia" w:ascii="宋体" w:hAnsi="宋体"/>
          <w:bCs/>
          <w:color w:val="auto"/>
          <w:szCs w:val="21"/>
          <w:highlight w:val="none"/>
          <w:u w:val="single"/>
        </w:rPr>
        <w:t>〔</w:t>
      </w:r>
      <w:r>
        <w:rPr>
          <w:rFonts w:hint="eastAsia" w:ascii="宋体" w:hAnsi="宋体"/>
          <w:color w:val="auto"/>
          <w:szCs w:val="21"/>
          <w:highlight w:val="none"/>
          <w:u w:val="single"/>
        </w:rPr>
        <w:t>开工通知</w:t>
      </w:r>
      <w:r>
        <w:rPr>
          <w:rFonts w:hint="eastAsia" w:ascii="宋体" w:hAnsi="宋体"/>
          <w:bCs/>
          <w:color w:val="auto"/>
          <w:szCs w:val="21"/>
          <w:highlight w:val="none"/>
          <w:u w:val="single"/>
        </w:rPr>
        <w:t>〕</w:t>
      </w:r>
      <w:r>
        <w:rPr>
          <w:rFonts w:hint="eastAsia" w:ascii="宋体" w:hAnsi="宋体"/>
          <w:color w:val="auto"/>
          <w:szCs w:val="21"/>
          <w:highlight w:val="none"/>
          <w:u w:val="single"/>
        </w:rPr>
        <w:t>载明的开工日期前14天</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3套</w:t>
      </w:r>
      <w:r>
        <w:rPr>
          <w:rFonts w:hint="eastAsia" w:ascii="宋体" w:hAnsi="宋体"/>
          <w:color w:val="auto"/>
          <w:szCs w:val="21"/>
          <w:highlight w:val="none"/>
        </w:rPr>
        <w:t xml:space="preserve">；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工程承包范围内工程的施工图设计文件</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rPr>
        <w:t>提供施工图后7天内</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1.6.2 图纸的错误</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1.6.4 承包人文件</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施工组织设计、专项施工方案、</w:t>
      </w:r>
      <w:r>
        <w:rPr>
          <w:rFonts w:ascii="宋体" w:hAnsi="宋体"/>
          <w:color w:val="auto"/>
          <w:szCs w:val="21"/>
          <w:highlight w:val="none"/>
          <w:u w:val="single"/>
        </w:rPr>
        <w:t>危险性较大分部分项工程施工方案</w:t>
      </w:r>
      <w:r>
        <w:rPr>
          <w:rFonts w:hint="eastAsia" w:ascii="宋体" w:hAns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承包人提供文件的期限、数量：</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每月25日前报送月工程进度完成报表</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（3）合同另有约定的，按照其约定。</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295" w:name="_Toc532377326"/>
      <w:r>
        <w:rPr>
          <w:rFonts w:hint="eastAsia"/>
          <w:color w:val="auto"/>
          <w:sz w:val="21"/>
          <w:szCs w:val="21"/>
          <w:highlight w:val="none"/>
        </w:rPr>
        <w:t>1.7 联络</w:t>
      </w:r>
      <w:bookmarkEnd w:id="1295"/>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发包人指定的接收人：</w:t>
      </w:r>
      <w:bookmarkStart w:id="1296" w:name="_Hlk528493983"/>
      <w:bookmarkEnd w:id="1296"/>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tabs>
          <w:tab w:val="left" w:pos="7513"/>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tabs>
          <w:tab w:val="left" w:pos="737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297" w:name="_Toc532377327"/>
      <w:r>
        <w:rPr>
          <w:rFonts w:hint="eastAsia"/>
          <w:color w:val="auto"/>
          <w:sz w:val="21"/>
          <w:szCs w:val="21"/>
          <w:highlight w:val="none"/>
        </w:rPr>
        <w:t>1.8 严禁贿赂</w:t>
      </w:r>
      <w:bookmarkEnd w:id="1297"/>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本款补充以下内容：</w:t>
      </w:r>
    </w:p>
    <w:p>
      <w:pPr>
        <w:spacing w:line="360" w:lineRule="auto"/>
        <w:ind w:firstLine="42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pPr>
        <w:pStyle w:val="7"/>
        <w:spacing w:before="0" w:beforeAutospacing="0" w:after="0" w:afterAutospacing="0" w:line="360" w:lineRule="auto"/>
        <w:ind w:firstLine="422" w:firstLineChars="200"/>
        <w:rPr>
          <w:rFonts w:hint="eastAsia"/>
          <w:color w:val="auto"/>
          <w:sz w:val="21"/>
          <w:szCs w:val="21"/>
          <w:highlight w:val="none"/>
        </w:rPr>
      </w:pPr>
      <w:bookmarkStart w:id="1298" w:name="_Toc532377328"/>
      <w:r>
        <w:rPr>
          <w:rFonts w:hint="eastAsia"/>
          <w:color w:val="auto"/>
          <w:sz w:val="21"/>
          <w:szCs w:val="21"/>
          <w:highlight w:val="none"/>
        </w:rPr>
        <w:t>1.10 交通运输</w:t>
      </w:r>
      <w:bookmarkEnd w:id="1298"/>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bookmarkStart w:id="1299" w:name="_Toc304295521"/>
      <w:bookmarkStart w:id="1300" w:name="_Toc300934943"/>
      <w:bookmarkStart w:id="1301" w:name="_Toc303539100"/>
      <w:bookmarkStart w:id="1302" w:name="_Toc318581155"/>
      <w:bookmarkStart w:id="1303" w:name="_Toc312677986"/>
      <w:r>
        <w:rPr>
          <w:rFonts w:hint="eastAsia" w:ascii="宋体" w:hAnsi="宋体"/>
          <w:color w:val="auto"/>
          <w:szCs w:val="21"/>
          <w:highlight w:val="none"/>
        </w:rPr>
        <w:t>.10.1 出入现场的权利</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按通用合同条款执行 </w:t>
      </w:r>
      <w:r>
        <w:rPr>
          <w:rFonts w:hint="eastAsia" w:ascii="宋体" w:hAnsi="宋体"/>
          <w:color w:val="auto"/>
          <w:szCs w:val="21"/>
          <w:highlight w:val="none"/>
        </w:rPr>
        <w:t>。</w:t>
      </w:r>
    </w:p>
    <w:bookmarkEnd w:id="1299"/>
    <w:bookmarkEnd w:id="1300"/>
    <w:bookmarkEnd w:id="1301"/>
    <w:bookmarkEnd w:id="1302"/>
    <w:bookmarkEnd w:id="1303"/>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1.10.2 场外交通</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bookmarkStart w:id="1304" w:name="_Toc300934944"/>
      <w:bookmarkStart w:id="1305" w:name="_Toc318581156"/>
      <w:bookmarkStart w:id="1306" w:name="_Toc303539101"/>
      <w:bookmarkStart w:id="1307" w:name="_Toc312677987"/>
      <w:bookmarkStart w:id="1308" w:name="_Toc304295522"/>
      <w:r>
        <w:rPr>
          <w:rFonts w:hint="eastAsia" w:ascii="宋体" w:hAnsi="宋体"/>
          <w:color w:val="auto"/>
          <w:szCs w:val="21"/>
          <w:highlight w:val="none"/>
        </w:rPr>
        <w:t>.10.3 场内交通</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1304"/>
    <w:bookmarkEnd w:id="1305"/>
    <w:bookmarkEnd w:id="1306"/>
    <w:bookmarkEnd w:id="1307"/>
    <w:bookmarkEnd w:id="1308"/>
    <w:p>
      <w:pPr>
        <w:spacing w:line="360" w:lineRule="auto"/>
        <w:ind w:firstLine="420" w:firstLineChars="200"/>
        <w:jc w:val="left"/>
        <w:rPr>
          <w:rFonts w:hint="eastAsia" w:ascii="宋体" w:hAnsi="宋体"/>
          <w:color w:val="auto"/>
          <w:szCs w:val="21"/>
          <w:highlight w:val="none"/>
        </w:rPr>
      </w:pPr>
      <w:bookmarkStart w:id="1309" w:name="_Toc318581157"/>
      <w:r>
        <w:rPr>
          <w:rFonts w:hint="eastAsia" w:ascii="宋体" w:hAnsi="宋体"/>
          <w:color w:val="auto"/>
          <w:szCs w:val="21"/>
          <w:highlight w:val="none"/>
        </w:rPr>
        <w:t>1.10.4 超大件和超重件的运输</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1309"/>
    <w:p>
      <w:pPr>
        <w:pStyle w:val="7"/>
        <w:spacing w:before="0" w:beforeAutospacing="0" w:after="0" w:afterAutospacing="0" w:line="360" w:lineRule="auto"/>
        <w:ind w:firstLine="422" w:firstLineChars="200"/>
        <w:rPr>
          <w:rFonts w:hint="eastAsia"/>
          <w:color w:val="auto"/>
          <w:sz w:val="21"/>
          <w:szCs w:val="21"/>
          <w:highlight w:val="none"/>
        </w:rPr>
      </w:pPr>
      <w:bookmarkStart w:id="1310" w:name="_Toc532377329"/>
      <w:r>
        <w:rPr>
          <w:rFonts w:hint="eastAsia"/>
          <w:color w:val="auto"/>
          <w:sz w:val="21"/>
          <w:szCs w:val="21"/>
          <w:highlight w:val="none"/>
        </w:rPr>
        <w:t>1.11 知识产权</w:t>
      </w:r>
      <w:bookmarkEnd w:id="1310"/>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承包人自行承担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11" w:name="_Toc532377330"/>
      <w:r>
        <w:rPr>
          <w:rFonts w:hint="eastAsia"/>
          <w:color w:val="auto"/>
          <w:sz w:val="21"/>
          <w:szCs w:val="21"/>
          <w:highlight w:val="none"/>
        </w:rPr>
        <w:t>1.13工程量清单错误的修正</w:t>
      </w:r>
      <w:bookmarkEnd w:id="1311"/>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按招标文件执行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按招标文件执行</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按招标文件执行</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312" w:name="_Toc351203634"/>
      <w:bookmarkStart w:id="1313" w:name="_Toc532375609"/>
      <w:bookmarkStart w:id="1314" w:name="_Toc532377331"/>
      <w:r>
        <w:rPr>
          <w:rFonts w:hint="eastAsia"/>
          <w:color w:val="auto"/>
          <w:kern w:val="2"/>
          <w:sz w:val="21"/>
          <w:szCs w:val="21"/>
          <w:highlight w:val="none"/>
        </w:rPr>
        <w:t>2</w:t>
      </w:r>
      <w:bookmarkStart w:id="1315" w:name="_Toc296503157"/>
      <w:bookmarkStart w:id="1316" w:name="_Toc296891197"/>
      <w:bookmarkStart w:id="1317" w:name="_Toc297120457"/>
      <w:bookmarkStart w:id="1318" w:name="_Toc297048343"/>
      <w:bookmarkStart w:id="1319" w:name="_Toc292559867"/>
      <w:bookmarkStart w:id="1320" w:name="_Toc296944496"/>
      <w:bookmarkStart w:id="1321" w:name="_Toc296890985"/>
      <w:bookmarkStart w:id="1322" w:name="_Toc296346658"/>
      <w:bookmarkStart w:id="1323" w:name="_Toc292559362"/>
      <w:bookmarkStart w:id="1324" w:name="_Toc296347156"/>
      <w:r>
        <w:rPr>
          <w:rFonts w:hint="eastAsia"/>
          <w:color w:val="auto"/>
          <w:kern w:val="2"/>
          <w:sz w:val="21"/>
          <w:szCs w:val="21"/>
          <w:highlight w:val="none"/>
        </w:rPr>
        <w:t>. 发包人</w:t>
      </w:r>
      <w:bookmarkEnd w:id="1312"/>
      <w:bookmarkEnd w:id="1313"/>
      <w:bookmarkEnd w:id="1314"/>
    </w:p>
    <w:bookmarkEnd w:id="1315"/>
    <w:bookmarkEnd w:id="1316"/>
    <w:bookmarkEnd w:id="1317"/>
    <w:bookmarkEnd w:id="1318"/>
    <w:bookmarkEnd w:id="1319"/>
    <w:bookmarkEnd w:id="1320"/>
    <w:bookmarkEnd w:id="1321"/>
    <w:bookmarkEnd w:id="1322"/>
    <w:bookmarkEnd w:id="1323"/>
    <w:bookmarkEnd w:id="1324"/>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2.2.1 发包人代表</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发包人代表：</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25" w:name="_Toc532377332"/>
      <w:r>
        <w:rPr>
          <w:rFonts w:hint="eastAsia"/>
          <w:color w:val="auto"/>
          <w:sz w:val="21"/>
          <w:szCs w:val="21"/>
          <w:highlight w:val="none"/>
        </w:rPr>
        <w:t>2.4 施工现场、施工条件和基础资料的提供</w:t>
      </w:r>
      <w:bookmarkEnd w:id="1325"/>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2.4.1 提供施工现场</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2.4.1.1 提供场地：</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2.4.2 提供施工条件</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关于发包人应负责提供施工所需要的条件：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26" w:name="_Toc532377333"/>
      <w:r>
        <w:rPr>
          <w:rFonts w:hint="eastAsia"/>
          <w:color w:val="auto"/>
          <w:sz w:val="21"/>
          <w:szCs w:val="21"/>
          <w:highlight w:val="none"/>
        </w:rPr>
        <w:t>2.5 资金来源证明及支付担保</w:t>
      </w:r>
      <w:bookmarkEnd w:id="1326"/>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不采用</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不提供</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支付担保的形式：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327" w:name="_Toc532375610"/>
      <w:bookmarkStart w:id="1328" w:name="_Toc351203635"/>
      <w:bookmarkStart w:id="1329" w:name="_Toc532377334"/>
      <w:r>
        <w:rPr>
          <w:rFonts w:hint="eastAsia"/>
          <w:color w:val="auto"/>
          <w:kern w:val="2"/>
          <w:sz w:val="21"/>
          <w:szCs w:val="21"/>
          <w:highlight w:val="none"/>
        </w:rPr>
        <w:t>3</w:t>
      </w:r>
      <w:bookmarkStart w:id="1330" w:name="_Toc296346659"/>
      <w:bookmarkStart w:id="1331" w:name="_Toc296891198"/>
      <w:bookmarkStart w:id="1332" w:name="_Toc297120458"/>
      <w:bookmarkStart w:id="1333" w:name="_Toc296503158"/>
      <w:bookmarkStart w:id="1334" w:name="_Toc296890986"/>
      <w:bookmarkStart w:id="1335" w:name="_Toc297048344"/>
      <w:bookmarkStart w:id="1336" w:name="_Toc292559868"/>
      <w:bookmarkStart w:id="1337" w:name="_Toc296347157"/>
      <w:bookmarkStart w:id="1338" w:name="_Toc296944497"/>
      <w:bookmarkStart w:id="1339" w:name="_Toc292559363"/>
      <w:r>
        <w:rPr>
          <w:rFonts w:hint="eastAsia"/>
          <w:color w:val="auto"/>
          <w:kern w:val="2"/>
          <w:sz w:val="21"/>
          <w:szCs w:val="21"/>
          <w:highlight w:val="none"/>
        </w:rPr>
        <w:t>. 承包人</w:t>
      </w:r>
      <w:bookmarkEnd w:id="1327"/>
      <w:bookmarkEnd w:id="1328"/>
      <w:bookmarkEnd w:id="1329"/>
    </w:p>
    <w:bookmarkEnd w:id="1330"/>
    <w:bookmarkEnd w:id="1331"/>
    <w:bookmarkEnd w:id="1332"/>
    <w:bookmarkEnd w:id="1333"/>
    <w:bookmarkEnd w:id="1334"/>
    <w:bookmarkEnd w:id="1335"/>
    <w:bookmarkEnd w:id="1336"/>
    <w:bookmarkEnd w:id="1337"/>
    <w:bookmarkEnd w:id="1338"/>
    <w:bookmarkEnd w:id="1339"/>
    <w:p>
      <w:pPr>
        <w:pStyle w:val="7"/>
        <w:spacing w:before="0" w:beforeAutospacing="0" w:after="0" w:afterAutospacing="0" w:line="360" w:lineRule="auto"/>
        <w:ind w:firstLine="422" w:firstLineChars="200"/>
        <w:rPr>
          <w:rFonts w:hint="eastAsia"/>
          <w:color w:val="auto"/>
          <w:sz w:val="21"/>
          <w:szCs w:val="21"/>
          <w:highlight w:val="none"/>
        </w:rPr>
      </w:pPr>
      <w:bookmarkStart w:id="1340" w:name="_Toc532377335"/>
      <w:r>
        <w:rPr>
          <w:rFonts w:hint="eastAsia"/>
          <w:color w:val="auto"/>
          <w:sz w:val="21"/>
          <w:szCs w:val="21"/>
          <w:highlight w:val="none"/>
        </w:rPr>
        <w:t>3.1 承包人的一般义务</w:t>
      </w:r>
      <w:bookmarkEnd w:id="1340"/>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本款细化为3.1.1～3.1.10项：</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highlight w:val="none"/>
        </w:rPr>
        <w:t>。</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承包人需要提交的竣工资料套数：完整竣工资料一式</w:t>
      </w:r>
      <w:r>
        <w:rPr>
          <w:rFonts w:hint="eastAsia" w:ascii="宋体" w:hAnsi="宋体"/>
          <w:color w:val="auto"/>
          <w:szCs w:val="21"/>
          <w:highlight w:val="none"/>
          <w:u w:val="single"/>
        </w:rPr>
        <w:t xml:space="preserve"> 5 </w:t>
      </w:r>
      <w:r>
        <w:rPr>
          <w:rFonts w:hint="eastAsia" w:ascii="宋体" w:hAnsi="宋体"/>
          <w:color w:val="auto"/>
          <w:szCs w:val="21"/>
          <w:highlight w:val="none"/>
        </w:rPr>
        <w:t>套（含电子文档）。</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工程竣工验收合格后3个月内移交给发包人</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完整的书面文件及电子文档</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3.1.10承包人应履行的其他义务：</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bookmarkStart w:id="1341" w:name="_Toc532377336"/>
      <w:r>
        <w:rPr>
          <w:rFonts w:hint="eastAsia" w:ascii="宋体" w:hAnsi="宋体"/>
          <w:color w:val="auto"/>
          <w:szCs w:val="21"/>
          <w:highlight w:val="none"/>
        </w:rPr>
        <w:t>3.1.10.6</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3.2 项目经理</w:t>
      </w:r>
      <w:bookmarkEnd w:id="1341"/>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建造师执业印章号：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3.2.2 技术负责人</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pPr>
        <w:pStyle w:val="2"/>
        <w:spacing w:after="0" w:line="360" w:lineRule="auto"/>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1342" w:name="_Hlk528927599"/>
    </w:p>
    <w:bookmarkEnd w:id="1342"/>
    <w:p>
      <w:pPr>
        <w:spacing w:line="360" w:lineRule="auto"/>
        <w:ind w:firstLine="420" w:firstLineChars="200"/>
        <w:jc w:val="left"/>
        <w:rPr>
          <w:rFonts w:hint="eastAsia" w:ascii="宋体" w:hAnsi="宋体"/>
          <w:color w:val="auto"/>
          <w:szCs w:val="21"/>
          <w:highlight w:val="none"/>
        </w:rPr>
      </w:pPr>
      <w:bookmarkStart w:id="1343"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43"/>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1、死亡；</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3、按《职工非因工伤残或因病丧失劳动能力程度鉴定标准（试行）》规定鉴定为完全丧失劳动能力和大部分丧失劳动能力；</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4、非承包人原因导致中标3个月不能开工；</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5、被公安或者司法机关限制人身自由；</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6、被取消职称或者执业资格，不满足项目管理要求；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7、非承包人原因导致确需变更的其它情形。</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本款补充3.2.6项</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3.2.6 国有资金投资项目其他主要人员变更参照《重庆市政府投资项目合同变更管理暂行办法》的规定。</w:t>
      </w:r>
    </w:p>
    <w:p>
      <w:pPr>
        <w:pStyle w:val="7"/>
        <w:spacing w:before="0" w:beforeAutospacing="0" w:after="0" w:afterAutospacing="0" w:line="360" w:lineRule="auto"/>
        <w:ind w:firstLine="422" w:firstLineChars="200"/>
        <w:rPr>
          <w:rFonts w:hint="eastAsia"/>
          <w:color w:val="auto"/>
          <w:sz w:val="21"/>
          <w:szCs w:val="21"/>
          <w:highlight w:val="none"/>
        </w:rPr>
      </w:pPr>
      <w:bookmarkStart w:id="1344" w:name="_Toc532377337"/>
      <w:r>
        <w:rPr>
          <w:rFonts w:hint="eastAsia"/>
          <w:color w:val="auto"/>
          <w:sz w:val="21"/>
          <w:szCs w:val="21"/>
          <w:highlight w:val="none"/>
        </w:rPr>
        <w:t>3.3 承包人人员</w:t>
      </w:r>
      <w:bookmarkEnd w:id="1344"/>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3.3.1 承包人应按建设行政主管部门现行规定配备现场施工从业人员，具体要求如下：</w:t>
      </w:r>
      <w:r>
        <w:rPr>
          <w:rFonts w:hint="eastAsia" w:ascii="宋体" w:hAnsi="宋体"/>
          <w:color w:val="auto"/>
          <w:szCs w:val="21"/>
          <w:highlight w:val="none"/>
          <w:u w:val="single"/>
        </w:rPr>
        <w:t xml:space="preserve">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《重庆市房屋建筑与市政基础设施工程现场施工从业人员配备标准》（DBJ50-157-2013）的相应要求</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345" w:name="_Toc532377338"/>
      <w:r>
        <w:rPr>
          <w:rFonts w:hint="eastAsia"/>
          <w:color w:val="auto"/>
          <w:sz w:val="21"/>
          <w:szCs w:val="21"/>
          <w:highlight w:val="none"/>
        </w:rPr>
        <w:t>3</w:t>
      </w:r>
      <w:bookmarkStart w:id="1346" w:name="_Toc297123492"/>
      <w:bookmarkStart w:id="1347" w:name="_Toc297216151"/>
      <w:bookmarkStart w:id="1348" w:name="_Toc303539102"/>
      <w:bookmarkStart w:id="1349" w:name="_Toc297048345"/>
      <w:bookmarkStart w:id="1350" w:name="_Toc296890987"/>
      <w:bookmarkStart w:id="1351" w:name="_Toc296503159"/>
      <w:bookmarkStart w:id="1352" w:name="_Toc297120459"/>
      <w:bookmarkStart w:id="1353" w:name="_Toc312677988"/>
      <w:bookmarkStart w:id="1354" w:name="_Toc296944498"/>
      <w:bookmarkStart w:id="1355" w:name="_Toc292559869"/>
      <w:bookmarkStart w:id="1356" w:name="_Toc292559364"/>
      <w:bookmarkStart w:id="1357" w:name="_Toc296891199"/>
      <w:bookmarkStart w:id="1358" w:name="_Toc304295523"/>
      <w:bookmarkStart w:id="1359" w:name="_Toc296347158"/>
      <w:bookmarkStart w:id="1360" w:name="_Toc300934945"/>
      <w:bookmarkStart w:id="1361" w:name="_Toc296346660"/>
      <w:r>
        <w:rPr>
          <w:rFonts w:hint="eastAsia"/>
          <w:color w:val="auto"/>
          <w:sz w:val="21"/>
          <w:szCs w:val="21"/>
          <w:highlight w:val="none"/>
        </w:rPr>
        <w:t>.5 分包</w:t>
      </w:r>
      <w:bookmarkEnd w:id="1345"/>
    </w:p>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bookmarkStart w:id="1362" w:name="_Toc296503160"/>
      <w:bookmarkStart w:id="1363" w:name="_Toc304295524"/>
      <w:bookmarkStart w:id="1364" w:name="_Toc318581158"/>
      <w:bookmarkStart w:id="1365" w:name="_Toc297048346"/>
      <w:bookmarkStart w:id="1366" w:name="_Toc296890988"/>
      <w:bookmarkStart w:id="1367" w:name="_Toc297123493"/>
      <w:bookmarkStart w:id="1368" w:name="_Toc297120460"/>
      <w:bookmarkStart w:id="1369" w:name="_Toc300934946"/>
      <w:bookmarkStart w:id="1370" w:name="_Toc292559870"/>
      <w:bookmarkStart w:id="1371" w:name="_Toc312677989"/>
      <w:bookmarkStart w:id="1372" w:name="_Toc296944499"/>
      <w:bookmarkStart w:id="1373" w:name="_Toc297216152"/>
      <w:bookmarkStart w:id="1374" w:name="_Toc292559365"/>
      <w:bookmarkStart w:id="1375" w:name="_Toc296347159"/>
      <w:bookmarkStart w:id="1376" w:name="_Toc303539103"/>
      <w:bookmarkStart w:id="1377" w:name="_Toc296346661"/>
      <w:bookmarkStart w:id="1378" w:name="_Toc296891200"/>
      <w:r>
        <w:rPr>
          <w:rFonts w:hint="eastAsia" w:ascii="宋体" w:hAnsi="宋体"/>
          <w:color w:val="auto"/>
          <w:szCs w:val="21"/>
          <w:highlight w:val="none"/>
        </w:rPr>
        <w:t>.5.1 分包的一般约定</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1379" w:name="_Toc297216153"/>
      <w:bookmarkStart w:id="1380" w:name="_Toc296890989"/>
      <w:bookmarkStart w:id="1381" w:name="_Toc296347160"/>
      <w:bookmarkStart w:id="1382" w:name="_Toc297123494"/>
      <w:bookmarkStart w:id="1383" w:name="_Toc296891201"/>
      <w:bookmarkStart w:id="1384" w:name="_Toc296503161"/>
      <w:bookmarkStart w:id="1385" w:name="_Toc297120461"/>
      <w:bookmarkStart w:id="1386" w:name="_Toc296944500"/>
      <w:bookmarkStart w:id="1387" w:name="_Toc300934947"/>
      <w:bookmarkStart w:id="1388" w:name="_Toc296346662"/>
      <w:bookmarkStart w:id="1389" w:name="_Toc297048347"/>
      <w:bookmarkStart w:id="1390" w:name="_Toc303539104"/>
      <w:bookmarkStart w:id="1391" w:name="_Toc304295525"/>
      <w:r>
        <w:rPr>
          <w:rFonts w:hint="eastAsia" w:ascii="宋体" w:hAnsi="宋体"/>
          <w:color w:val="auto"/>
          <w:szCs w:val="21"/>
          <w:highlight w:val="none"/>
        </w:rPr>
        <w:t>；关键性工作指梁、板、柱等部位。</w:t>
      </w:r>
    </w:p>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bookmarkStart w:id="1392" w:name="_Toc312677990"/>
      <w:bookmarkStart w:id="1393" w:name="_Toc318581159"/>
      <w:r>
        <w:rPr>
          <w:rFonts w:hint="eastAsia" w:ascii="宋体" w:hAnsi="宋体"/>
          <w:color w:val="auto"/>
          <w:szCs w:val="21"/>
          <w:highlight w:val="none"/>
        </w:rPr>
        <w:t>.5.2分包的确定</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i/>
          <w:iCs/>
          <w:color w:val="auto"/>
          <w:szCs w:val="21"/>
          <w:highlight w:val="none"/>
        </w:rPr>
        <w:t>[提示：符合《中华人民共和国建筑法》和《中华人民共和国招标投标法》的相关规定。]</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3.5.4 分包合同价款</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关于分包合同价款支付的约定：</w:t>
      </w:r>
      <w:bookmarkEnd w:id="1392"/>
      <w:bookmarkEnd w:id="1393"/>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本款补充3.5.6项：</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3.5.6严禁违法分包</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7"/>
        <w:spacing w:before="0" w:beforeAutospacing="0" w:after="0" w:afterAutospacing="0" w:line="360" w:lineRule="auto"/>
        <w:ind w:firstLine="422" w:firstLineChars="200"/>
        <w:rPr>
          <w:rFonts w:hint="eastAsia"/>
          <w:color w:val="auto"/>
          <w:sz w:val="21"/>
          <w:szCs w:val="21"/>
          <w:highlight w:val="none"/>
        </w:rPr>
      </w:pPr>
      <w:bookmarkStart w:id="1394" w:name="_Toc532377339"/>
      <w:r>
        <w:rPr>
          <w:rFonts w:hint="eastAsia"/>
          <w:color w:val="auto"/>
          <w:sz w:val="21"/>
          <w:szCs w:val="21"/>
          <w:highlight w:val="none"/>
        </w:rPr>
        <w:t>3.7 履约担保</w:t>
      </w:r>
      <w:bookmarkEnd w:id="1394"/>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3.7.2承包人提供履约担保的形式、金额及期限：</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1）履约担保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pPr>
        <w:snapToGrid w:val="0"/>
        <w:spacing w:line="400" w:lineRule="exact"/>
        <w:ind w:firstLine="420" w:firstLineChars="200"/>
        <w:rPr>
          <w:rFonts w:hint="eastAsia" w:ascii="宋体" w:hAnsi="宋体"/>
          <w:i/>
          <w:color w:val="auto"/>
          <w:kern w:val="0"/>
          <w:szCs w:val="21"/>
          <w:highlight w:val="none"/>
        </w:rPr>
      </w:pPr>
      <w:r>
        <w:rPr>
          <w:rFonts w:hint="eastAsia" w:ascii="宋体" w:hAnsi="宋体"/>
          <w:color w:val="auto"/>
          <w:szCs w:val="21"/>
          <w:highlight w:val="none"/>
        </w:rPr>
        <w:t>（3）履约担保的金额：</w:t>
      </w:r>
      <w:r>
        <w:rPr>
          <w:rFonts w:hint="eastAsia" w:ascii="宋体" w:hAnsi="宋体"/>
          <w:color w:val="auto"/>
          <w:szCs w:val="21"/>
          <w:highlight w:val="none"/>
          <w:lang w:val="en-US" w:eastAsia="zh-CN"/>
        </w:rPr>
        <w:t>各标段</w:t>
      </w:r>
      <w:r>
        <w:rPr>
          <w:rFonts w:hint="eastAsia" w:ascii="宋体" w:hAnsi="宋体"/>
          <w:color w:val="auto"/>
          <w:kern w:val="0"/>
          <w:szCs w:val="21"/>
          <w:highlight w:val="none"/>
          <w:u w:val="single"/>
        </w:rPr>
        <w:t>合同金额的5%。</w:t>
      </w:r>
    </w:p>
    <w:p>
      <w:pPr>
        <w:tabs>
          <w:tab w:val="left" w:pos="1134"/>
        </w:tabs>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olor w:val="auto"/>
          <w:szCs w:val="21"/>
          <w:highlight w:val="none"/>
        </w:rPr>
        <w:t>。</w:t>
      </w:r>
    </w:p>
    <w:p>
      <w:pPr>
        <w:tabs>
          <w:tab w:val="left" w:pos="1134"/>
        </w:tabs>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（5）履约担保的期限：</w:t>
      </w:r>
      <w:r>
        <w:rPr>
          <w:rFonts w:hint="eastAsia" w:ascii="宋体" w:hAnsi="宋体"/>
          <w:color w:val="auto"/>
          <w:szCs w:val="21"/>
          <w:highlight w:val="none"/>
          <w:u w:val="single"/>
        </w:rPr>
        <w:t>自</w:t>
      </w:r>
      <w:r>
        <w:rPr>
          <w:rFonts w:hint="eastAsia" w:ascii="宋体" w:hAnsi="宋体"/>
          <w:color w:val="auto"/>
          <w:szCs w:val="21"/>
          <w:highlight w:val="none"/>
          <w:u w:val="single"/>
          <w:lang w:val="en-US" w:eastAsia="zh-CN"/>
        </w:rPr>
        <w:t>乙</w:t>
      </w:r>
      <w:r>
        <w:rPr>
          <w:rFonts w:hint="eastAsia" w:ascii="宋体" w:hAnsi="宋体"/>
          <w:color w:val="auto"/>
          <w:szCs w:val="21"/>
          <w:highlight w:val="none"/>
          <w:u w:val="single"/>
        </w:rPr>
        <w:t>方法定代表人（或其委托代理人）签名并加盖单位公章之日起至你</w:t>
      </w:r>
      <w:r>
        <w:rPr>
          <w:rFonts w:hint="eastAsia" w:ascii="宋体" w:hAnsi="宋体"/>
          <w:color w:val="auto"/>
          <w:szCs w:val="21"/>
          <w:highlight w:val="none"/>
          <w:u w:val="single"/>
          <w:lang w:val="en-US" w:eastAsia="zh-CN"/>
        </w:rPr>
        <w:t>甲</w:t>
      </w:r>
      <w:r>
        <w:rPr>
          <w:rFonts w:hint="eastAsia" w:ascii="宋体" w:hAnsi="宋体"/>
          <w:color w:val="auto"/>
          <w:szCs w:val="21"/>
          <w:highlight w:val="none"/>
          <w:u w:val="single"/>
        </w:rPr>
        <w:t>签发或应签发工程接收证书之日止</w:t>
      </w:r>
      <w:r>
        <w:rPr>
          <w:rFonts w:hint="eastAsia" w:ascii="宋体" w:hAnsi="宋体"/>
          <w:color w:val="auto"/>
          <w:szCs w:val="21"/>
          <w:highlight w:val="none"/>
        </w:rPr>
        <w:t>。</w:t>
      </w:r>
    </w:p>
    <w:p>
      <w:pPr>
        <w:tabs>
          <w:tab w:val="left" w:pos="1134"/>
        </w:tabs>
        <w:spacing w:line="360" w:lineRule="auto"/>
        <w:jc w:val="left"/>
        <w:rPr>
          <w:rFonts w:hint="eastAsia" w:ascii="宋体" w:hAnsi="宋体"/>
          <w:color w:val="auto"/>
          <w:szCs w:val="21"/>
          <w:highlight w:val="none"/>
        </w:rPr>
      </w:pPr>
      <w:r>
        <w:rPr>
          <w:rFonts w:hint="eastAsia" w:ascii="宋体" w:hAnsi="宋体"/>
          <w:color w:val="auto"/>
          <w:szCs w:val="21"/>
          <w:highlight w:val="none"/>
        </w:rPr>
        <w:t>（6）履约担保的退还时间：</w:t>
      </w:r>
      <w:r>
        <w:rPr>
          <w:rFonts w:hint="eastAsia" w:ascii="宋体" w:hAnsi="宋体"/>
          <w:color w:val="auto"/>
          <w:szCs w:val="21"/>
          <w:highlight w:val="none"/>
          <w:u w:val="single"/>
        </w:rPr>
        <w:t>采用现金担保的，工程竣工验收合格后14天内退还；采用履约保函的，工程竣工验收合格后14天内退还</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395" w:name="_Toc351203636"/>
      <w:bookmarkStart w:id="1396" w:name="_Toc532377340"/>
      <w:bookmarkStart w:id="1397" w:name="_Toc532375611"/>
      <w:r>
        <w:rPr>
          <w:rFonts w:hint="eastAsia"/>
          <w:color w:val="auto"/>
          <w:kern w:val="2"/>
          <w:sz w:val="21"/>
          <w:szCs w:val="21"/>
          <w:highlight w:val="none"/>
        </w:rPr>
        <w:t>4</w:t>
      </w:r>
      <w:bookmarkStart w:id="1398" w:name="_Toc297048348"/>
      <w:bookmarkStart w:id="1399" w:name="_Toc296891202"/>
      <w:bookmarkStart w:id="1400" w:name="_Toc296347161"/>
      <w:bookmarkStart w:id="1401" w:name="_Toc296346663"/>
      <w:bookmarkStart w:id="1402" w:name="_Toc292559871"/>
      <w:bookmarkStart w:id="1403" w:name="_Toc267251413"/>
      <w:bookmarkStart w:id="1404" w:name="_Toc296503162"/>
      <w:bookmarkStart w:id="1405" w:name="_Toc292559366"/>
      <w:bookmarkStart w:id="1406" w:name="_Toc296890990"/>
      <w:bookmarkStart w:id="1407" w:name="_Toc296944501"/>
      <w:bookmarkStart w:id="1408" w:name="_Toc297120462"/>
      <w:r>
        <w:rPr>
          <w:rFonts w:hint="eastAsia"/>
          <w:color w:val="auto"/>
          <w:kern w:val="2"/>
          <w:sz w:val="21"/>
          <w:szCs w:val="21"/>
          <w:highlight w:val="none"/>
        </w:rPr>
        <w:t>. 监</w:t>
      </w:r>
      <w:bookmarkEnd w:id="1398"/>
      <w:bookmarkEnd w:id="1399"/>
      <w:bookmarkEnd w:id="1400"/>
      <w:bookmarkEnd w:id="1401"/>
      <w:bookmarkEnd w:id="1402"/>
      <w:bookmarkEnd w:id="1403"/>
      <w:bookmarkEnd w:id="1404"/>
      <w:bookmarkEnd w:id="1405"/>
      <w:bookmarkEnd w:id="1406"/>
      <w:bookmarkEnd w:id="1407"/>
      <w:bookmarkEnd w:id="1408"/>
      <w:r>
        <w:rPr>
          <w:rFonts w:hint="eastAsia"/>
          <w:color w:val="auto"/>
          <w:kern w:val="2"/>
          <w:sz w:val="21"/>
          <w:szCs w:val="21"/>
          <w:highlight w:val="none"/>
        </w:rPr>
        <w:t>理人</w:t>
      </w:r>
      <w:bookmarkEnd w:id="1395"/>
      <w:bookmarkEnd w:id="1396"/>
      <w:bookmarkEnd w:id="1397"/>
    </w:p>
    <w:p>
      <w:pPr>
        <w:pStyle w:val="7"/>
        <w:spacing w:before="0" w:beforeAutospacing="0" w:after="0" w:afterAutospacing="0" w:line="360" w:lineRule="auto"/>
        <w:ind w:firstLine="422" w:firstLineChars="200"/>
        <w:rPr>
          <w:rFonts w:hint="eastAsia"/>
          <w:color w:val="auto"/>
          <w:sz w:val="21"/>
          <w:szCs w:val="21"/>
          <w:highlight w:val="none"/>
        </w:rPr>
      </w:pPr>
      <w:bookmarkStart w:id="1409" w:name="_Toc532377341"/>
      <w:r>
        <w:rPr>
          <w:rFonts w:hint="eastAsia"/>
          <w:color w:val="auto"/>
          <w:sz w:val="21"/>
          <w:szCs w:val="21"/>
          <w:highlight w:val="none"/>
        </w:rPr>
        <w:t>4.1 监理人的一般规定</w:t>
      </w:r>
      <w:bookmarkEnd w:id="1409"/>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410" w:name="_Toc532377342"/>
      <w:r>
        <w:rPr>
          <w:rFonts w:hint="eastAsia"/>
          <w:color w:val="auto"/>
          <w:sz w:val="21"/>
          <w:szCs w:val="21"/>
          <w:highlight w:val="none"/>
        </w:rPr>
        <w:t>4.2 监理人员</w:t>
      </w:r>
      <w:bookmarkEnd w:id="1410"/>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总监理工程师：</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pPr>
        <w:pStyle w:val="7"/>
        <w:spacing w:before="0" w:beforeAutospacing="0" w:after="0" w:afterAutospacing="0" w:line="360" w:lineRule="auto"/>
        <w:ind w:firstLine="420" w:firstLineChars="200"/>
        <w:rPr>
          <w:rFonts w:hint="eastAsia"/>
          <w:b w:val="0"/>
          <w:color w:val="auto"/>
          <w:sz w:val="21"/>
          <w:szCs w:val="21"/>
          <w:highlight w:val="none"/>
        </w:rPr>
      </w:pPr>
      <w:bookmarkStart w:id="1411" w:name="_Toc532377343"/>
      <w:r>
        <w:rPr>
          <w:rFonts w:hint="eastAsia"/>
          <w:b w:val="0"/>
          <w:color w:val="auto"/>
          <w:sz w:val="21"/>
          <w:szCs w:val="21"/>
          <w:highlight w:val="none"/>
        </w:rPr>
        <w:t>4.4 商定或确定</w:t>
      </w:r>
      <w:bookmarkEnd w:id="1411"/>
    </w:p>
    <w:p>
      <w:pPr>
        <w:spacing w:line="360" w:lineRule="auto"/>
        <w:ind w:firstLine="420" w:firstLineChars="200"/>
        <w:jc w:val="left"/>
        <w:rPr>
          <w:rFonts w:hint="eastAsia" w:ascii="宋体" w:hAnsi="宋体"/>
          <w:color w:val="auto"/>
          <w:szCs w:val="21"/>
          <w:highlight w:val="none"/>
        </w:rPr>
      </w:pPr>
      <w:bookmarkStart w:id="1412" w:name="_Toc267251418"/>
      <w:r>
        <w:rPr>
          <w:rFonts w:hint="eastAsia" w:ascii="宋体" w:hAnsi="宋体"/>
          <w:color w:val="auto"/>
          <w:szCs w:val="21"/>
          <w:highlight w:val="none"/>
        </w:rPr>
        <w:t>在发包人和承包人不能通过协商达成一致意见时，发包人授权监理人对以下事项进行确定：</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 xml:space="preserve">                         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413" w:name="_Toc532375612"/>
      <w:bookmarkStart w:id="1414" w:name="_Toc351203637"/>
      <w:bookmarkStart w:id="1415" w:name="_Toc532377344"/>
      <w:r>
        <w:rPr>
          <w:rFonts w:hint="eastAsia"/>
          <w:color w:val="auto"/>
          <w:kern w:val="2"/>
          <w:sz w:val="21"/>
          <w:szCs w:val="21"/>
          <w:highlight w:val="none"/>
        </w:rPr>
        <w:t>5</w:t>
      </w:r>
      <w:bookmarkEnd w:id="1412"/>
      <w:bookmarkStart w:id="1416" w:name="_Toc292559872"/>
      <w:bookmarkStart w:id="1417" w:name="_Toc296944502"/>
      <w:bookmarkStart w:id="1418" w:name="_Toc297048349"/>
      <w:bookmarkStart w:id="1419" w:name="_Toc296346664"/>
      <w:bookmarkStart w:id="1420" w:name="_Toc296347162"/>
      <w:bookmarkStart w:id="1421" w:name="_Toc292559367"/>
      <w:bookmarkStart w:id="1422" w:name="_Toc296503163"/>
      <w:bookmarkStart w:id="1423" w:name="_Toc296890991"/>
      <w:bookmarkStart w:id="1424" w:name="_Toc297120463"/>
      <w:bookmarkStart w:id="1425" w:name="_Toc296891203"/>
      <w:r>
        <w:rPr>
          <w:rFonts w:hint="eastAsia"/>
          <w:color w:val="auto"/>
          <w:kern w:val="2"/>
          <w:sz w:val="21"/>
          <w:szCs w:val="21"/>
          <w:highlight w:val="none"/>
        </w:rPr>
        <w:t>. 工程质量</w:t>
      </w:r>
      <w:bookmarkEnd w:id="1413"/>
      <w:bookmarkEnd w:id="1414"/>
      <w:bookmarkEnd w:id="1415"/>
    </w:p>
    <w:p>
      <w:pPr>
        <w:pStyle w:val="7"/>
        <w:spacing w:before="0" w:beforeAutospacing="0" w:after="0" w:afterAutospacing="0" w:line="360" w:lineRule="auto"/>
        <w:ind w:firstLine="422" w:firstLineChars="200"/>
        <w:rPr>
          <w:rFonts w:hint="eastAsia"/>
          <w:color w:val="auto"/>
          <w:sz w:val="21"/>
          <w:szCs w:val="21"/>
          <w:highlight w:val="none"/>
        </w:rPr>
      </w:pPr>
      <w:bookmarkStart w:id="1426" w:name="_Toc532377345"/>
      <w:r>
        <w:rPr>
          <w:rFonts w:hint="eastAsia"/>
          <w:color w:val="auto"/>
          <w:sz w:val="21"/>
          <w:szCs w:val="21"/>
          <w:highlight w:val="none"/>
        </w:rPr>
        <w:t>5.1 质量要求</w:t>
      </w:r>
      <w:bookmarkEnd w:id="1426"/>
      <w:bookmarkStart w:id="1427" w:name="_Hlk528909888"/>
      <w:bookmarkStart w:id="1428" w:name="_Toc312677997"/>
      <w:bookmarkStart w:id="1429" w:name="_Toc304295527"/>
      <w:bookmarkStart w:id="1430" w:name="_Toc318581164"/>
      <w:bookmarkStart w:id="1431" w:name="_Toc297216155"/>
      <w:bookmarkStart w:id="1432" w:name="_Toc300934949"/>
      <w:bookmarkStart w:id="1433" w:name="_Toc297123496"/>
      <w:bookmarkStart w:id="1434" w:name="_Toc303539106"/>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工程质量符合强制性质量标准，符合国家和重庆市现行有关施工质量验收规范要求，并达到合格标准</w:t>
      </w:r>
      <w:r>
        <w:rPr>
          <w:rFonts w:hint="eastAsia" w:ascii="宋体" w:hAnsi="宋体"/>
          <w:color w:val="auto"/>
          <w:szCs w:val="21"/>
          <w:highlight w:val="none"/>
        </w:rPr>
        <w:t>。强制性安全质量标准有（包括但不限于）：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427"/>
    <w:p>
      <w:pPr>
        <w:pStyle w:val="7"/>
        <w:spacing w:before="0" w:beforeAutospacing="0" w:after="0" w:afterAutospacing="0" w:line="360" w:lineRule="auto"/>
        <w:ind w:firstLine="422" w:firstLineChars="200"/>
        <w:rPr>
          <w:rFonts w:hint="eastAsia"/>
          <w:color w:val="auto"/>
          <w:sz w:val="21"/>
          <w:szCs w:val="21"/>
          <w:highlight w:val="none"/>
        </w:rPr>
      </w:pPr>
      <w:bookmarkStart w:id="1435" w:name="_Toc532377346"/>
      <w:r>
        <w:rPr>
          <w:rFonts w:hint="eastAsia"/>
          <w:color w:val="auto"/>
          <w:sz w:val="21"/>
          <w:szCs w:val="21"/>
          <w:highlight w:val="none"/>
        </w:rPr>
        <w:t>5.2 质量保证措施</w:t>
      </w:r>
      <w:bookmarkEnd w:id="1435"/>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本款补充5.2.4项：</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《关于印发&lt;重庆市房屋建筑和市政基础设施工程预拌商品砂浆应用推进工作方案&gt;的通知》（渝建〔2018〕375号）</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pPr>
        <w:pStyle w:val="7"/>
        <w:spacing w:before="0" w:beforeAutospacing="0" w:after="0" w:afterAutospacing="0" w:line="360" w:lineRule="auto"/>
        <w:ind w:firstLine="422" w:firstLineChars="200"/>
        <w:rPr>
          <w:rFonts w:hint="eastAsia"/>
          <w:color w:val="auto"/>
          <w:sz w:val="21"/>
          <w:szCs w:val="21"/>
          <w:highlight w:val="none"/>
        </w:rPr>
      </w:pPr>
      <w:bookmarkStart w:id="1436" w:name="_Toc351203536"/>
      <w:bookmarkStart w:id="1437" w:name="_Toc532377347"/>
      <w:bookmarkStart w:id="1438" w:name="_Hlk528927873"/>
      <w:r>
        <w:rPr>
          <w:rFonts w:hint="eastAsia"/>
          <w:color w:val="auto"/>
          <w:sz w:val="21"/>
          <w:szCs w:val="21"/>
          <w:highlight w:val="none"/>
        </w:rPr>
        <w:t>5.3隐蔽工程检查</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5.3.2检查程序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48</w:t>
      </w:r>
      <w:r>
        <w:rPr>
          <w:rFonts w:hint="eastAsia" w:ascii="宋体" w:hAnsi="宋体"/>
          <w:color w:val="auto"/>
          <w:szCs w:val="21"/>
          <w:highlight w:val="none"/>
        </w:rPr>
        <w:t>小时书面通知监理人检查，通知中应载明隐蔽检查的内容、时间和地点，并应附有自检记录和必要的检查资料。</w:t>
      </w:r>
    </w:p>
    <w:p>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5</w:t>
      </w:r>
      <w:bookmarkStart w:id="1439" w:name="_Toc337558762"/>
      <w:r>
        <w:rPr>
          <w:rFonts w:hint="eastAsia"/>
          <w:color w:val="auto"/>
          <w:sz w:val="21"/>
          <w:szCs w:val="21"/>
          <w:highlight w:val="none"/>
        </w:rPr>
        <w:t>.4 不合格工程的处理</w:t>
      </w:r>
      <w:bookmarkEnd w:id="1436"/>
      <w:bookmarkEnd w:id="1437"/>
    </w:p>
    <w:bookmarkEnd w:id="1439"/>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本款补充5.4.3项：</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本条补充5.6款：</w:t>
      </w:r>
    </w:p>
    <w:bookmarkEnd w:id="1438"/>
    <w:p>
      <w:pPr>
        <w:pStyle w:val="7"/>
        <w:spacing w:before="0" w:beforeAutospacing="0" w:after="0" w:afterAutospacing="0" w:line="360" w:lineRule="auto"/>
        <w:ind w:firstLine="422" w:firstLineChars="200"/>
        <w:rPr>
          <w:rFonts w:hint="eastAsia"/>
          <w:color w:val="auto"/>
          <w:sz w:val="21"/>
          <w:szCs w:val="21"/>
          <w:highlight w:val="none"/>
        </w:rPr>
      </w:pPr>
      <w:bookmarkStart w:id="1440" w:name="_Toc532377348"/>
      <w:r>
        <w:rPr>
          <w:rFonts w:hint="eastAsia"/>
          <w:color w:val="auto"/>
          <w:sz w:val="21"/>
          <w:szCs w:val="21"/>
          <w:highlight w:val="none"/>
        </w:rPr>
        <w:t>5.6 质量事故的处理</w:t>
      </w:r>
      <w:bookmarkEnd w:id="1440"/>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416"/>
    <w:bookmarkEnd w:id="1417"/>
    <w:bookmarkEnd w:id="1418"/>
    <w:bookmarkEnd w:id="1419"/>
    <w:bookmarkEnd w:id="1420"/>
    <w:bookmarkEnd w:id="1421"/>
    <w:bookmarkEnd w:id="1422"/>
    <w:bookmarkEnd w:id="1423"/>
    <w:bookmarkEnd w:id="1424"/>
    <w:bookmarkEnd w:id="1425"/>
    <w:bookmarkEnd w:id="1428"/>
    <w:bookmarkEnd w:id="1429"/>
    <w:bookmarkEnd w:id="1430"/>
    <w:bookmarkEnd w:id="1431"/>
    <w:bookmarkEnd w:id="1432"/>
    <w:bookmarkEnd w:id="1433"/>
    <w:bookmarkEnd w:id="1434"/>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441" w:name="_Toc351203638"/>
      <w:bookmarkStart w:id="1442" w:name="_Toc532375613"/>
      <w:bookmarkStart w:id="1443" w:name="_Toc532377349"/>
      <w:bookmarkStart w:id="1444" w:name="_Toc351203642"/>
      <w:bookmarkStart w:id="1445" w:name="_Toc297120473"/>
      <w:bookmarkStart w:id="1446" w:name="_Toc296891213"/>
      <w:bookmarkStart w:id="1447" w:name="_Toc296503173"/>
      <w:bookmarkStart w:id="1448" w:name="_Toc292559378"/>
      <w:bookmarkStart w:id="1449" w:name="_Toc267251427"/>
      <w:bookmarkStart w:id="1450" w:name="_Toc296347172"/>
      <w:bookmarkStart w:id="1451" w:name="_Toc296346674"/>
      <w:bookmarkStart w:id="1452" w:name="_Toc292559883"/>
      <w:bookmarkStart w:id="1453" w:name="_Toc267251428"/>
      <w:bookmarkStart w:id="1454" w:name="_Toc296891001"/>
      <w:bookmarkStart w:id="1455" w:name="_Toc296944512"/>
      <w:bookmarkStart w:id="1456" w:name="_Toc297048359"/>
      <w:r>
        <w:rPr>
          <w:rFonts w:hint="eastAsia"/>
          <w:color w:val="auto"/>
          <w:kern w:val="2"/>
          <w:sz w:val="21"/>
          <w:szCs w:val="21"/>
          <w:highlight w:val="none"/>
        </w:rPr>
        <w:t>6. 安全文明施工与环境保护</w:t>
      </w:r>
      <w:bookmarkEnd w:id="1441"/>
      <w:bookmarkEnd w:id="1442"/>
      <w:bookmarkEnd w:id="1443"/>
    </w:p>
    <w:p>
      <w:pPr>
        <w:pStyle w:val="7"/>
        <w:spacing w:before="0" w:beforeAutospacing="0" w:after="0" w:afterAutospacing="0" w:line="360" w:lineRule="auto"/>
        <w:ind w:firstLine="422" w:firstLineChars="200"/>
        <w:rPr>
          <w:rFonts w:hint="eastAsia"/>
          <w:color w:val="auto"/>
          <w:sz w:val="21"/>
          <w:szCs w:val="21"/>
          <w:highlight w:val="none"/>
        </w:rPr>
      </w:pPr>
      <w:bookmarkStart w:id="1457" w:name="_Toc532377350"/>
      <w:bookmarkStart w:id="1458" w:name="_Toc532375614"/>
      <w:r>
        <w:rPr>
          <w:rFonts w:hint="eastAsia"/>
          <w:color w:val="auto"/>
          <w:sz w:val="21"/>
          <w:szCs w:val="21"/>
          <w:highlight w:val="none"/>
        </w:rPr>
        <w:t>6.1 安全文明施工</w:t>
      </w:r>
      <w:bookmarkEnd w:id="1457"/>
      <w:bookmarkEnd w:id="1458"/>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（4）承包人在施工过程中，必须严格执行安全生产法的相关规定，制定切实可靠的安全技术措施</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6.1.5 文明施工</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6.1.6 关于安全文明施工费支付比例和支付期限的约定：按照行业主管部门相关规定执行。</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459" w:name="_Toc532377351"/>
      <w:bookmarkStart w:id="1460" w:name="_Toc532375615"/>
      <w:r>
        <w:rPr>
          <w:rFonts w:hint="eastAsia"/>
          <w:color w:val="auto"/>
          <w:sz w:val="21"/>
          <w:szCs w:val="21"/>
          <w:highlight w:val="none"/>
        </w:rPr>
        <w:t>6.3 环境保护</w:t>
      </w:r>
      <w:bookmarkEnd w:id="1459"/>
      <w:bookmarkEnd w:id="1460"/>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本款补充6.3.1～6.3.8项：</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hint="eastAsia" w:ascii="宋体" w:hAnsi="宋体"/>
          <w:color w:val="auto"/>
          <w:szCs w:val="21"/>
          <w:highlight w:val="none"/>
        </w:rPr>
      </w:pPr>
      <w:bookmarkStart w:id="1461" w:name="_Toc351203639"/>
      <w:bookmarkStart w:id="1462" w:name="_Toc532375616"/>
      <w:bookmarkStart w:id="1463" w:name="_Toc532377352"/>
      <w:r>
        <w:rPr>
          <w:rFonts w:hint="eastAsia" w:ascii="宋体" w:hAnsi="宋体"/>
          <w:color w:val="auto"/>
          <w:szCs w:val="21"/>
          <w:highlight w:val="none"/>
        </w:rPr>
        <w:t xml:space="preserve">6.3.9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r>
        <w:rPr>
          <w:rFonts w:hint="eastAsia"/>
          <w:color w:val="auto"/>
          <w:kern w:val="2"/>
          <w:sz w:val="21"/>
          <w:szCs w:val="21"/>
          <w:highlight w:val="none"/>
        </w:rPr>
        <w:t>7. 工期和进度</w:t>
      </w:r>
      <w:bookmarkEnd w:id="1461"/>
      <w:bookmarkEnd w:id="1462"/>
      <w:bookmarkEnd w:id="1463"/>
    </w:p>
    <w:p>
      <w:pPr>
        <w:pStyle w:val="7"/>
        <w:spacing w:before="0" w:beforeAutospacing="0" w:after="0" w:afterAutospacing="0" w:line="360" w:lineRule="auto"/>
        <w:ind w:firstLine="422" w:firstLineChars="200"/>
        <w:rPr>
          <w:rFonts w:hint="eastAsia"/>
          <w:color w:val="auto"/>
          <w:sz w:val="21"/>
          <w:szCs w:val="21"/>
          <w:highlight w:val="none"/>
        </w:rPr>
      </w:pPr>
      <w:bookmarkStart w:id="1464" w:name="_Toc532377353"/>
      <w:bookmarkStart w:id="1465" w:name="_Toc532375617"/>
      <w:r>
        <w:rPr>
          <w:rFonts w:hint="eastAsia"/>
          <w:color w:val="auto"/>
          <w:sz w:val="21"/>
          <w:szCs w:val="21"/>
          <w:highlight w:val="none"/>
        </w:rPr>
        <w:t>7.1 施工组织设计</w:t>
      </w:r>
      <w:bookmarkEnd w:id="1464"/>
      <w:bookmarkEnd w:id="1465"/>
    </w:p>
    <w:p>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highlight w:val="none"/>
        </w:rPr>
        <w:t>。</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7.1.2 施工组织设计的提交和修改</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合同签订后5天内，但最迟不得晚于开工通知载明的开工日期前7天</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收到施工组织设计后7天内</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466" w:name="_Toc532375618"/>
      <w:bookmarkStart w:id="1467" w:name="_Toc532377354"/>
      <w:r>
        <w:rPr>
          <w:rFonts w:hint="eastAsia"/>
          <w:color w:val="auto"/>
          <w:sz w:val="21"/>
          <w:szCs w:val="21"/>
          <w:highlight w:val="none"/>
        </w:rPr>
        <w:t>7.2 施工进度计划</w:t>
      </w:r>
      <w:bookmarkEnd w:id="1466"/>
      <w:bookmarkEnd w:id="1467"/>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7.2.2 施工进度计划的修订</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收到修订的施工进度计划后2天内</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468" w:name="_Toc532377355"/>
      <w:bookmarkStart w:id="1469" w:name="_Toc532375619"/>
      <w:bookmarkStart w:id="1470" w:name="_Toc297123514"/>
      <w:bookmarkStart w:id="1471" w:name="_Toc312677479"/>
      <w:bookmarkStart w:id="1472" w:name="_Toc303539123"/>
      <w:bookmarkStart w:id="1473" w:name="_Toc300934966"/>
      <w:bookmarkStart w:id="1474" w:name="_Toc312678005"/>
      <w:bookmarkStart w:id="1475" w:name="_Toc297216173"/>
      <w:bookmarkStart w:id="1476" w:name="_Toc304295541"/>
      <w:r>
        <w:rPr>
          <w:rFonts w:hint="eastAsia"/>
          <w:color w:val="auto"/>
          <w:sz w:val="21"/>
          <w:szCs w:val="21"/>
          <w:highlight w:val="none"/>
        </w:rPr>
        <w:t>7.3 开工</w:t>
      </w:r>
      <w:bookmarkEnd w:id="1468"/>
      <w:bookmarkEnd w:id="1469"/>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7.3.1 开工准备</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不晚于开工前30天</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不晚于开工前15天</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不晚于开工前7天</w:t>
      </w:r>
      <w:r>
        <w:rPr>
          <w:rFonts w:hint="eastAsia" w:ascii="宋体" w:hAnsi="宋体"/>
          <w:color w:val="auto"/>
          <w:szCs w:val="21"/>
          <w:highlight w:val="none"/>
        </w:rPr>
        <w:t>。</w:t>
      </w:r>
    </w:p>
    <w:bookmarkEnd w:id="1470"/>
    <w:bookmarkEnd w:id="1471"/>
    <w:bookmarkEnd w:id="1472"/>
    <w:bookmarkEnd w:id="1473"/>
    <w:bookmarkEnd w:id="1474"/>
    <w:bookmarkEnd w:id="1475"/>
    <w:bookmarkEnd w:id="1476"/>
    <w:p>
      <w:pPr>
        <w:pStyle w:val="7"/>
        <w:spacing w:before="0" w:beforeAutospacing="0" w:after="0" w:afterAutospacing="0" w:line="360" w:lineRule="auto"/>
        <w:ind w:firstLine="422" w:firstLineChars="200"/>
        <w:rPr>
          <w:rFonts w:hint="eastAsia"/>
          <w:color w:val="auto"/>
          <w:sz w:val="21"/>
          <w:szCs w:val="21"/>
          <w:highlight w:val="none"/>
        </w:rPr>
      </w:pPr>
      <w:bookmarkStart w:id="1477" w:name="_Toc532377356"/>
      <w:bookmarkStart w:id="1478" w:name="_Toc532375620"/>
      <w:r>
        <w:rPr>
          <w:rFonts w:hint="eastAsia"/>
          <w:color w:val="auto"/>
          <w:sz w:val="21"/>
          <w:szCs w:val="21"/>
          <w:highlight w:val="none"/>
        </w:rPr>
        <w:t>7.4 测量放线</w:t>
      </w:r>
      <w:bookmarkEnd w:id="1477"/>
      <w:bookmarkEnd w:id="1478"/>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不晚于开工前7天</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发出开工通知后7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479" w:name="_Toc532377357"/>
      <w:bookmarkStart w:id="1480" w:name="_Toc532375621"/>
      <w:r>
        <w:rPr>
          <w:rFonts w:hint="eastAsia"/>
          <w:color w:val="auto"/>
          <w:sz w:val="21"/>
          <w:szCs w:val="21"/>
          <w:highlight w:val="none"/>
        </w:rPr>
        <w:t>7</w:t>
      </w:r>
      <w:bookmarkStart w:id="1481" w:name="_Toc304295546"/>
      <w:bookmarkStart w:id="1482" w:name="_Toc312677484"/>
      <w:bookmarkStart w:id="1483" w:name="_Toc303539125"/>
      <w:bookmarkStart w:id="1484" w:name="_Toc300934968"/>
      <w:bookmarkStart w:id="1485" w:name="_Toc297216175"/>
      <w:bookmarkStart w:id="1486" w:name="_Toc312678010"/>
      <w:bookmarkStart w:id="1487" w:name="_Toc297123516"/>
      <w:r>
        <w:rPr>
          <w:rFonts w:hint="eastAsia"/>
          <w:color w:val="auto"/>
          <w:sz w:val="21"/>
          <w:szCs w:val="21"/>
          <w:highlight w:val="none"/>
        </w:rPr>
        <w:t>.5 工期延误</w:t>
      </w:r>
      <w:bookmarkEnd w:id="1479"/>
      <w:bookmarkEnd w:id="1480"/>
    </w:p>
    <w:bookmarkEnd w:id="1481"/>
    <w:bookmarkEnd w:id="1482"/>
    <w:bookmarkEnd w:id="1483"/>
    <w:bookmarkEnd w:id="1484"/>
    <w:bookmarkEnd w:id="1485"/>
    <w:bookmarkEnd w:id="1486"/>
    <w:bookmarkEnd w:id="1487"/>
    <w:p>
      <w:pPr>
        <w:spacing w:line="360" w:lineRule="auto"/>
        <w:ind w:firstLine="420" w:firstLineChars="200"/>
        <w:jc w:val="left"/>
        <w:rPr>
          <w:rFonts w:hint="eastAsia" w:ascii="宋体" w:hAnsi="宋体"/>
          <w:color w:val="auto"/>
          <w:szCs w:val="21"/>
          <w:highlight w:val="none"/>
        </w:rPr>
      </w:pPr>
      <w:bookmarkStart w:id="1488" w:name="_Hlk528927940"/>
      <w:r>
        <w:rPr>
          <w:rFonts w:hint="eastAsia" w:ascii="宋体" w:hAnsi="宋体"/>
          <w:color w:val="auto"/>
          <w:szCs w:val="21"/>
          <w:highlight w:val="none"/>
        </w:rPr>
        <w:t>7.5.1 因发包人原因导致工期延误：</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（3）监理人未按合同约定发出指示、批准等文件，且该未按合同约定发出指示、批准直接影响项目关键线路的；</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（4）变更未及时审批，直接影响项目关键线路的；</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（5）实施变更直接影响项目关键线路的；</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（6）因发包人原因导致工程暂停施工、停建、缓建的；</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（7）因征地拆迁、当地群众阻工等情形的；</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7.5.2 因承包人原因导致工期延误</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1488"/>
    <w:p>
      <w:pPr>
        <w:pStyle w:val="7"/>
        <w:spacing w:before="0" w:beforeAutospacing="0" w:after="0" w:afterAutospacing="0" w:line="360" w:lineRule="auto"/>
        <w:ind w:firstLine="422" w:firstLineChars="200"/>
        <w:rPr>
          <w:rFonts w:hint="eastAsia"/>
          <w:color w:val="auto"/>
          <w:sz w:val="21"/>
          <w:szCs w:val="21"/>
          <w:highlight w:val="none"/>
        </w:rPr>
      </w:pPr>
      <w:bookmarkStart w:id="1489" w:name="_Toc532377358"/>
      <w:bookmarkStart w:id="1490" w:name="_Toc532375622"/>
      <w:bookmarkStart w:id="1491" w:name="_Hlk528927997"/>
      <w:r>
        <w:rPr>
          <w:rFonts w:hint="eastAsia"/>
          <w:color w:val="auto"/>
          <w:sz w:val="21"/>
          <w:szCs w:val="21"/>
          <w:highlight w:val="none"/>
        </w:rPr>
        <w:t>7</w:t>
      </w:r>
      <w:bookmarkStart w:id="1492" w:name="_Toc297216178"/>
      <w:bookmarkStart w:id="1493" w:name="_Toc304295549"/>
      <w:bookmarkStart w:id="1494" w:name="_Toc312678015"/>
      <w:bookmarkStart w:id="1495" w:name="_Toc303539128"/>
      <w:bookmarkStart w:id="1496" w:name="_Toc297123519"/>
      <w:bookmarkStart w:id="1497" w:name="_Toc300934971"/>
      <w:r>
        <w:rPr>
          <w:rFonts w:hint="eastAsia"/>
          <w:color w:val="auto"/>
          <w:sz w:val="21"/>
          <w:szCs w:val="21"/>
          <w:highlight w:val="none"/>
        </w:rPr>
        <w:t>.6 不</w:t>
      </w:r>
      <w:bookmarkEnd w:id="1492"/>
      <w:bookmarkEnd w:id="1493"/>
      <w:bookmarkEnd w:id="1494"/>
      <w:bookmarkEnd w:id="1495"/>
      <w:bookmarkEnd w:id="1496"/>
      <w:bookmarkEnd w:id="1497"/>
      <w:r>
        <w:rPr>
          <w:rFonts w:hint="eastAsia"/>
          <w:color w:val="auto"/>
          <w:sz w:val="21"/>
          <w:szCs w:val="21"/>
          <w:highlight w:val="none"/>
        </w:rPr>
        <w:t>利物质条件</w:t>
      </w:r>
      <w:bookmarkEnd w:id="1489"/>
      <w:bookmarkEnd w:id="1490"/>
    </w:p>
    <w:bookmarkEnd w:id="1491"/>
    <w:p>
      <w:pPr>
        <w:spacing w:line="360" w:lineRule="auto"/>
        <w:ind w:firstLine="420" w:firstLineChars="200"/>
        <w:jc w:val="left"/>
        <w:rPr>
          <w:rFonts w:hint="eastAsia" w:ascii="宋体" w:hAnsi="宋体"/>
          <w:bCs/>
          <w:color w:val="auto"/>
          <w:szCs w:val="21"/>
          <w:highlight w:val="none"/>
        </w:rPr>
      </w:pPr>
      <w:bookmarkStart w:id="1498" w:name="_Toc297123520"/>
      <w:bookmarkStart w:id="1499" w:name="_Toc312678016"/>
      <w:bookmarkStart w:id="1500" w:name="_Toc303539129"/>
      <w:bookmarkStart w:id="1501" w:name="_Toc318581172"/>
      <w:bookmarkStart w:id="1502" w:name="_Toc304295550"/>
      <w:bookmarkStart w:id="1503" w:name="_Toc297216179"/>
      <w:bookmarkStart w:id="1504" w:name="_Toc300934972"/>
      <w:r>
        <w:rPr>
          <w:rFonts w:hint="eastAsia" w:ascii="宋体" w:hAnsi="宋体"/>
          <w:color w:val="auto"/>
          <w:szCs w:val="21"/>
          <w:highlight w:val="none"/>
        </w:rPr>
        <w:t>不利物质条件的其他情形和有关约定：</w:t>
      </w:r>
      <w:bookmarkStart w:id="1505" w:name="_Hlk528910274"/>
      <w:r>
        <w:rPr>
          <w:rFonts w:hint="eastAsia" w:ascii="宋体" w:hAnsi="宋体"/>
          <w:color w:val="auto"/>
          <w:szCs w:val="21"/>
          <w:highlight w:val="none"/>
          <w:u w:val="single"/>
        </w:rPr>
        <w:t>/</w:t>
      </w:r>
      <w:r>
        <w:rPr>
          <w:rFonts w:hint="eastAsia" w:ascii="宋体" w:hAnsi="宋体"/>
          <w:color w:val="auto"/>
          <w:szCs w:val="21"/>
          <w:highlight w:val="none"/>
        </w:rPr>
        <w:t>。</w:t>
      </w:r>
    </w:p>
    <w:bookmarkEnd w:id="1498"/>
    <w:bookmarkEnd w:id="1499"/>
    <w:bookmarkEnd w:id="1500"/>
    <w:bookmarkEnd w:id="1501"/>
    <w:bookmarkEnd w:id="1502"/>
    <w:bookmarkEnd w:id="1503"/>
    <w:bookmarkEnd w:id="1504"/>
    <w:bookmarkEnd w:id="1505"/>
    <w:p>
      <w:pPr>
        <w:pStyle w:val="7"/>
        <w:spacing w:before="0" w:beforeAutospacing="0" w:after="0" w:afterAutospacing="0" w:line="360" w:lineRule="auto"/>
        <w:ind w:firstLine="422" w:firstLineChars="200"/>
        <w:rPr>
          <w:rFonts w:hint="eastAsia"/>
          <w:color w:val="auto"/>
          <w:sz w:val="21"/>
          <w:szCs w:val="21"/>
          <w:highlight w:val="none"/>
        </w:rPr>
      </w:pPr>
      <w:bookmarkStart w:id="1506" w:name="_Toc532375623"/>
      <w:bookmarkStart w:id="1507" w:name="_Toc532377359"/>
      <w:r>
        <w:rPr>
          <w:rFonts w:hint="eastAsia"/>
          <w:color w:val="auto"/>
          <w:sz w:val="21"/>
          <w:szCs w:val="21"/>
          <w:highlight w:val="none"/>
        </w:rPr>
        <w:t>7</w:t>
      </w:r>
      <w:bookmarkStart w:id="1508" w:name="_Toc303539130"/>
      <w:bookmarkStart w:id="1509" w:name="_Toc297123521"/>
      <w:bookmarkStart w:id="1510" w:name="_Toc297216180"/>
      <w:bookmarkStart w:id="1511" w:name="_Toc312678017"/>
      <w:bookmarkStart w:id="1512" w:name="_Toc300934973"/>
      <w:bookmarkStart w:id="1513" w:name="_Toc304295551"/>
      <w:r>
        <w:rPr>
          <w:rFonts w:hint="eastAsia"/>
          <w:color w:val="auto"/>
          <w:sz w:val="21"/>
          <w:szCs w:val="21"/>
          <w:highlight w:val="none"/>
        </w:rPr>
        <w:t>.7异常恶劣的气候条件</w:t>
      </w:r>
      <w:bookmarkEnd w:id="1506"/>
      <w:bookmarkEnd w:id="1507"/>
    </w:p>
    <w:bookmarkEnd w:id="1508"/>
    <w:bookmarkEnd w:id="1509"/>
    <w:bookmarkEnd w:id="1510"/>
    <w:bookmarkEnd w:id="1511"/>
    <w:bookmarkEnd w:id="1512"/>
    <w:bookmarkEnd w:id="1513"/>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 xml:space="preserve"> 日降雨量大于150mm的雨日超过1天或日气温超过42℃的高温大雨连续7天或日气温低于-5℃的严寒大于连续7天 （异常气候是指项目所在地50年以上一遇的罕见气候现象）</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514" w:name="_Toc532377360"/>
      <w:bookmarkStart w:id="1515" w:name="_Toc532375624"/>
      <w:r>
        <w:rPr>
          <w:rFonts w:hint="eastAsia"/>
          <w:color w:val="auto"/>
          <w:sz w:val="21"/>
          <w:szCs w:val="21"/>
          <w:highlight w:val="none"/>
        </w:rPr>
        <w:t>7.9 提前竣工</w:t>
      </w:r>
      <w:bookmarkEnd w:id="1514"/>
      <w:bookmarkEnd w:id="1515"/>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7.9.1项细化为：</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rPr>
        <w:t>/</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516" w:name="_Toc532375625"/>
      <w:bookmarkStart w:id="1517" w:name="_Toc351203640"/>
      <w:bookmarkStart w:id="1518" w:name="_Toc532377361"/>
      <w:r>
        <w:rPr>
          <w:rFonts w:hint="eastAsia"/>
          <w:color w:val="auto"/>
          <w:kern w:val="2"/>
          <w:sz w:val="21"/>
          <w:szCs w:val="21"/>
          <w:highlight w:val="none"/>
        </w:rPr>
        <w:t>8. 材料与设备</w:t>
      </w:r>
      <w:bookmarkEnd w:id="1516"/>
      <w:bookmarkEnd w:id="1517"/>
      <w:bookmarkEnd w:id="1518"/>
    </w:p>
    <w:p>
      <w:pPr>
        <w:pStyle w:val="7"/>
        <w:spacing w:before="0" w:beforeAutospacing="0" w:after="0" w:afterAutospacing="0" w:line="360" w:lineRule="auto"/>
        <w:ind w:firstLine="422" w:firstLineChars="200"/>
        <w:rPr>
          <w:rFonts w:hint="eastAsia"/>
          <w:color w:val="auto"/>
          <w:sz w:val="21"/>
          <w:szCs w:val="21"/>
          <w:highlight w:val="none"/>
        </w:rPr>
      </w:pPr>
      <w:bookmarkStart w:id="1519" w:name="_Toc532377362"/>
      <w:bookmarkStart w:id="1520" w:name="_Toc532375626"/>
      <w:r>
        <w:rPr>
          <w:rFonts w:hint="eastAsia"/>
          <w:color w:val="auto"/>
          <w:sz w:val="21"/>
          <w:szCs w:val="21"/>
          <w:highlight w:val="none"/>
        </w:rPr>
        <w:t>8.1发包人供应材料与工程设备</w:t>
      </w:r>
      <w:bookmarkEnd w:id="1519"/>
      <w:bookmarkEnd w:id="1520"/>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521" w:name="_Toc351203554"/>
      <w:bookmarkStart w:id="1522" w:name="_Toc532375627"/>
      <w:bookmarkStart w:id="1523" w:name="_Toc532377363"/>
      <w:r>
        <w:rPr>
          <w:rFonts w:hint="eastAsia"/>
          <w:color w:val="auto"/>
          <w:sz w:val="21"/>
          <w:szCs w:val="21"/>
          <w:highlight w:val="none"/>
        </w:rPr>
        <w:t>8</w:t>
      </w:r>
      <w:bookmarkStart w:id="1524" w:name="_Toc296503060"/>
      <w:bookmarkStart w:id="1525" w:name="_Toc296346561"/>
      <w:bookmarkStart w:id="1526" w:name="_Toc337558778"/>
      <w:r>
        <w:rPr>
          <w:rFonts w:hint="eastAsia"/>
          <w:color w:val="auto"/>
          <w:sz w:val="21"/>
          <w:szCs w:val="21"/>
          <w:highlight w:val="none"/>
        </w:rPr>
        <w:t>.2 承包人采购材料与工程设备</w:t>
      </w:r>
      <w:bookmarkEnd w:id="1521"/>
      <w:bookmarkEnd w:id="1522"/>
      <w:bookmarkEnd w:id="1523"/>
    </w:p>
    <w:bookmarkEnd w:id="1524"/>
    <w:bookmarkEnd w:id="1525"/>
    <w:bookmarkEnd w:id="1526"/>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8.2.3承包人选择的生产厂家或供应商满足下列条件：</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满足设计要求及相关技术标准</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满足设计要求及相关技术标准</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满足设计要求及相关技术标准</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527" w:name="_Toc532377364"/>
      <w:bookmarkStart w:id="1528" w:name="_Toc532375628"/>
      <w:r>
        <w:rPr>
          <w:rFonts w:hint="eastAsia"/>
          <w:color w:val="auto"/>
          <w:sz w:val="21"/>
          <w:szCs w:val="21"/>
          <w:highlight w:val="none"/>
        </w:rPr>
        <w:t>8</w:t>
      </w:r>
      <w:bookmarkStart w:id="1529" w:name="_Toc292559372"/>
      <w:bookmarkStart w:id="1530" w:name="_Toc292559877"/>
      <w:bookmarkStart w:id="1531" w:name="_Toc303539136"/>
      <w:bookmarkStart w:id="1532" w:name="_Toc300934979"/>
      <w:bookmarkStart w:id="1533" w:name="_Toc296347166"/>
      <w:bookmarkStart w:id="1534" w:name="_Toc296944506"/>
      <w:bookmarkStart w:id="1535" w:name="_Toc312677493"/>
      <w:bookmarkStart w:id="1536" w:name="_Toc312678019"/>
      <w:bookmarkStart w:id="1537" w:name="_Toc296891207"/>
      <w:bookmarkStart w:id="1538" w:name="_Toc296346668"/>
      <w:bookmarkStart w:id="1539" w:name="_Toc280868654"/>
      <w:bookmarkStart w:id="1540" w:name="_Toc297048353"/>
      <w:bookmarkStart w:id="1541" w:name="_Toc297120467"/>
      <w:bookmarkStart w:id="1542" w:name="_Toc297123527"/>
      <w:bookmarkStart w:id="1543" w:name="_Toc297216186"/>
      <w:bookmarkStart w:id="1544" w:name="_Toc296890995"/>
      <w:bookmarkStart w:id="1545" w:name="_Toc304295556"/>
      <w:bookmarkStart w:id="1546" w:name="_Toc296503167"/>
      <w:bookmarkStart w:id="1547" w:name="_Toc280868655"/>
      <w:bookmarkStart w:id="1548" w:name="_Toc267251424"/>
      <w:bookmarkStart w:id="1549" w:name="_Toc280868656"/>
      <w:r>
        <w:rPr>
          <w:rFonts w:hint="eastAsia"/>
          <w:color w:val="auto"/>
          <w:sz w:val="21"/>
          <w:szCs w:val="21"/>
          <w:highlight w:val="none"/>
        </w:rPr>
        <w:t>.4 材料与工程设备的保管与使用</w:t>
      </w:r>
      <w:bookmarkEnd w:id="1527"/>
      <w:bookmarkEnd w:id="1528"/>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w:t>
      </w:r>
      <w:bookmarkStart w:id="1550" w:name="_Toc292559878"/>
      <w:bookmarkStart w:id="1551" w:name="_Toc292559373"/>
      <w:bookmarkStart w:id="1552" w:name="_Toc296346669"/>
      <w:bookmarkStart w:id="1553" w:name="_Toc296944507"/>
      <w:bookmarkStart w:id="1554" w:name="_Toc297120468"/>
      <w:bookmarkStart w:id="1555" w:name="_Toc312678020"/>
      <w:bookmarkStart w:id="1556" w:name="_Toc304295557"/>
      <w:bookmarkStart w:id="1557" w:name="_Toc297048354"/>
      <w:bookmarkStart w:id="1558" w:name="_Toc297123528"/>
      <w:bookmarkStart w:id="1559" w:name="_Toc318581173"/>
      <w:bookmarkStart w:id="1560" w:name="_Toc296891208"/>
      <w:bookmarkStart w:id="1561" w:name="_Toc296347167"/>
      <w:bookmarkStart w:id="1562" w:name="_Toc300934980"/>
      <w:bookmarkStart w:id="1563" w:name="_Toc303539137"/>
      <w:bookmarkStart w:id="1564" w:name="_Toc297216187"/>
      <w:bookmarkStart w:id="1565" w:name="_Toc312677494"/>
      <w:bookmarkStart w:id="1566" w:name="_Toc296890996"/>
      <w:bookmarkStart w:id="1567" w:name="_Toc296503168"/>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由承包人承担 </w:t>
      </w:r>
      <w:r>
        <w:rPr>
          <w:rFonts w:hint="eastAsia" w:ascii="宋体" w:hAnsi="宋体"/>
          <w:color w:val="auto"/>
          <w:szCs w:val="21"/>
          <w:highlight w:val="none"/>
        </w:rPr>
        <w:t>。</w:t>
      </w:r>
      <w:bookmarkEnd w:id="1550"/>
      <w:bookmarkEnd w:id="1551"/>
    </w:p>
    <w:p>
      <w:pPr>
        <w:pStyle w:val="7"/>
        <w:spacing w:before="0" w:beforeAutospacing="0" w:after="0" w:afterAutospacing="0" w:line="360" w:lineRule="auto"/>
        <w:ind w:firstLine="422" w:firstLineChars="200"/>
        <w:rPr>
          <w:rFonts w:hint="eastAsia"/>
          <w:color w:val="auto"/>
          <w:sz w:val="21"/>
          <w:szCs w:val="21"/>
          <w:highlight w:val="none"/>
        </w:rPr>
      </w:pPr>
      <w:bookmarkStart w:id="1568" w:name="_Toc532377365"/>
      <w:bookmarkStart w:id="1569" w:name="_Toc532375629"/>
      <w:r>
        <w:rPr>
          <w:rFonts w:hint="eastAsia"/>
          <w:color w:val="auto"/>
          <w:sz w:val="21"/>
          <w:szCs w:val="21"/>
          <w:highlight w:val="none"/>
        </w:rPr>
        <w:t>8.6 样品</w:t>
      </w:r>
      <w:bookmarkEnd w:id="1568"/>
      <w:bookmarkEnd w:id="1569"/>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8.6.1 样品的报送与封存</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570" w:name="_Toc532377366"/>
      <w:bookmarkStart w:id="1571" w:name="_Toc532375630"/>
      <w:r>
        <w:rPr>
          <w:rFonts w:hint="eastAsia"/>
          <w:color w:val="auto"/>
          <w:sz w:val="21"/>
          <w:szCs w:val="21"/>
          <w:highlight w:val="none"/>
        </w:rPr>
        <w:t>8.8 施工设备和临时设施</w:t>
      </w:r>
      <w:bookmarkEnd w:id="1570"/>
      <w:bookmarkEnd w:id="1571"/>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572" w:name="_Toc351203641"/>
      <w:bookmarkStart w:id="1573" w:name="_Toc532375631"/>
      <w:bookmarkStart w:id="1574" w:name="_Toc532377367"/>
      <w:r>
        <w:rPr>
          <w:rFonts w:hint="eastAsia"/>
          <w:color w:val="auto"/>
          <w:kern w:val="2"/>
          <w:sz w:val="21"/>
          <w:szCs w:val="21"/>
          <w:highlight w:val="none"/>
        </w:rPr>
        <w:t>9</w:t>
      </w:r>
      <w:bookmarkEnd w:id="1547"/>
      <w:bookmarkEnd w:id="1548"/>
      <w:bookmarkEnd w:id="1549"/>
      <w:bookmarkStart w:id="1575" w:name="_Toc304295559"/>
      <w:bookmarkStart w:id="1576" w:name="_Toc297216192"/>
      <w:bookmarkStart w:id="1577" w:name="_Toc300934982"/>
      <w:bookmarkStart w:id="1578" w:name="_Toc303539139"/>
      <w:bookmarkStart w:id="1579" w:name="_Toc312678021"/>
      <w:bookmarkStart w:id="1580" w:name="_Toc297123533"/>
      <w:bookmarkStart w:id="1581" w:name="_Toc312677495"/>
      <w:r>
        <w:rPr>
          <w:rFonts w:hint="eastAsia"/>
          <w:color w:val="auto"/>
          <w:kern w:val="2"/>
          <w:sz w:val="21"/>
          <w:szCs w:val="21"/>
          <w:highlight w:val="none"/>
        </w:rPr>
        <w:t>. 试验与检验</w:t>
      </w:r>
      <w:bookmarkEnd w:id="1572"/>
      <w:bookmarkEnd w:id="1573"/>
      <w:bookmarkEnd w:id="1574"/>
    </w:p>
    <w:bookmarkEnd w:id="1575"/>
    <w:bookmarkEnd w:id="1576"/>
    <w:bookmarkEnd w:id="1577"/>
    <w:bookmarkEnd w:id="1578"/>
    <w:bookmarkEnd w:id="1579"/>
    <w:bookmarkEnd w:id="1580"/>
    <w:bookmarkEnd w:id="1581"/>
    <w:p>
      <w:pPr>
        <w:pStyle w:val="7"/>
        <w:spacing w:before="0" w:beforeAutospacing="0" w:after="0" w:afterAutospacing="0" w:line="360" w:lineRule="auto"/>
        <w:ind w:firstLine="422" w:firstLineChars="200"/>
        <w:rPr>
          <w:rFonts w:hint="eastAsia"/>
          <w:color w:val="auto"/>
          <w:sz w:val="21"/>
          <w:szCs w:val="21"/>
          <w:highlight w:val="none"/>
        </w:rPr>
      </w:pPr>
      <w:bookmarkStart w:id="1582" w:name="_Toc532375632"/>
      <w:bookmarkStart w:id="1583" w:name="_Toc532377368"/>
      <w:r>
        <w:rPr>
          <w:rFonts w:hint="eastAsia"/>
          <w:color w:val="auto"/>
          <w:sz w:val="21"/>
          <w:szCs w:val="21"/>
          <w:highlight w:val="none"/>
        </w:rPr>
        <w:t>9</w:t>
      </w:r>
      <w:bookmarkStart w:id="1584" w:name="_Toc297216193"/>
      <w:bookmarkStart w:id="1585" w:name="_Toc297123534"/>
      <w:bookmarkStart w:id="1586" w:name="_Toc312678022"/>
      <w:bookmarkStart w:id="1587" w:name="_Toc304295560"/>
      <w:bookmarkStart w:id="1588" w:name="_Toc300934983"/>
      <w:bookmarkStart w:id="1589" w:name="_Toc312677496"/>
      <w:bookmarkStart w:id="1590" w:name="_Toc303539140"/>
      <w:r>
        <w:rPr>
          <w:rFonts w:hint="eastAsia"/>
          <w:color w:val="auto"/>
          <w:sz w:val="21"/>
          <w:szCs w:val="21"/>
          <w:highlight w:val="none"/>
        </w:rPr>
        <w:t>.1 试验设备与试验人员</w:t>
      </w:r>
      <w:bookmarkEnd w:id="1582"/>
      <w:bookmarkEnd w:id="1583"/>
    </w:p>
    <w:bookmarkEnd w:id="1584"/>
    <w:bookmarkEnd w:id="1585"/>
    <w:bookmarkEnd w:id="1586"/>
    <w:bookmarkEnd w:id="1587"/>
    <w:bookmarkEnd w:id="1588"/>
    <w:bookmarkEnd w:id="1589"/>
    <w:bookmarkEnd w:id="1590"/>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w:t>
      </w:r>
      <w:bookmarkStart w:id="1591" w:name="_Toc312678023"/>
      <w:bookmarkStart w:id="1592" w:name="_Toc297123535"/>
      <w:bookmarkStart w:id="1593" w:name="_Toc297216194"/>
      <w:bookmarkStart w:id="1594" w:name="_Toc300934984"/>
      <w:bookmarkStart w:id="1595" w:name="_Toc312677497"/>
      <w:bookmarkStart w:id="1596" w:name="_Toc304295561"/>
      <w:bookmarkStart w:id="1597" w:name="_Toc303539141"/>
      <w:bookmarkStart w:id="1598" w:name="_Toc318581174"/>
      <w:r>
        <w:rPr>
          <w:rFonts w:hint="eastAsia" w:ascii="宋体" w:hAnsi="宋体"/>
          <w:color w:val="auto"/>
          <w:szCs w:val="21"/>
          <w:highlight w:val="none"/>
        </w:rPr>
        <w:t>.1.2 试验设备</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施工现场需要配置的试验场所：</w:t>
      </w:r>
      <w:bookmarkEnd w:id="1591"/>
      <w:bookmarkEnd w:id="1592"/>
      <w:bookmarkEnd w:id="1593"/>
      <w:bookmarkEnd w:id="1594"/>
      <w:bookmarkEnd w:id="1595"/>
      <w:bookmarkEnd w:id="1596"/>
      <w:bookmarkEnd w:id="1597"/>
      <w:bookmarkStart w:id="1599" w:name="_Toc312677498"/>
      <w:bookmarkStart w:id="1600" w:name="_Toc304295562"/>
      <w:bookmarkStart w:id="1601" w:name="_Toc312678024"/>
      <w:bookmarkStart w:id="1602" w:name="_Toc297123536"/>
      <w:bookmarkStart w:id="1603" w:name="_Toc303539142"/>
      <w:bookmarkStart w:id="1604" w:name="_Toc300934985"/>
      <w:bookmarkStart w:id="1605" w:name="_Toc297216195"/>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606" w:name="_Toc532377369"/>
      <w:bookmarkStart w:id="1607" w:name="_Toc532375633"/>
      <w:r>
        <w:rPr>
          <w:rFonts w:hint="eastAsia"/>
          <w:color w:val="auto"/>
          <w:sz w:val="21"/>
          <w:szCs w:val="21"/>
          <w:highlight w:val="none"/>
        </w:rPr>
        <w:t>9.4 现场工艺试验</w:t>
      </w:r>
      <w:bookmarkEnd w:id="1606"/>
      <w:bookmarkEnd w:id="1607"/>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本款补充9.4.1～9.4.5项：</w:t>
      </w:r>
    </w:p>
    <w:bookmarkEnd w:id="1598"/>
    <w:bookmarkEnd w:id="1599"/>
    <w:bookmarkEnd w:id="1600"/>
    <w:bookmarkEnd w:id="1601"/>
    <w:bookmarkEnd w:id="1602"/>
    <w:bookmarkEnd w:id="1603"/>
    <w:bookmarkEnd w:id="1604"/>
    <w:bookmarkEnd w:id="1605"/>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9.4.1一般检验试验：</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9.4.2特殊检验试验：</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9.4.3专项检测：</w:t>
      </w:r>
      <w:r>
        <w:rPr>
          <w:rFonts w:hint="eastAsia" w:ascii="宋体" w:hAnsi="宋体"/>
          <w:color w:val="auto"/>
          <w:szCs w:val="21"/>
          <w:highlight w:val="none"/>
          <w:u w:val="single"/>
        </w:rPr>
        <w:t>/</w:t>
      </w:r>
      <w:r>
        <w:rPr>
          <w:rFonts w:hint="eastAsia" w:ascii="宋体" w:hAnsi="宋体"/>
          <w:color w:val="auto"/>
          <w:szCs w:val="21"/>
          <w:highlight w:val="none"/>
        </w:rPr>
        <w:t>。</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9.4.5检测试验不合格的项目，其缺陷处理和复测费用由承包人承担，工期不予延长。</w:t>
      </w:r>
    </w:p>
    <w:bookmarkEnd w:id="1444"/>
    <w:bookmarkEnd w:id="1445"/>
    <w:bookmarkEnd w:id="1446"/>
    <w:bookmarkEnd w:id="1447"/>
    <w:bookmarkEnd w:id="1448"/>
    <w:bookmarkEnd w:id="1449"/>
    <w:bookmarkEnd w:id="1450"/>
    <w:bookmarkEnd w:id="1451"/>
    <w:bookmarkEnd w:id="1452"/>
    <w:bookmarkEnd w:id="1453"/>
    <w:bookmarkEnd w:id="1454"/>
    <w:bookmarkEnd w:id="1455"/>
    <w:bookmarkEnd w:id="1456"/>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608" w:name="_Toc532375634"/>
      <w:bookmarkStart w:id="1609" w:name="_Toc532377370"/>
      <w:bookmarkStart w:id="1610" w:name="_Toc267251489"/>
      <w:bookmarkStart w:id="1611" w:name="_Hlk524298112"/>
      <w:bookmarkStart w:id="1612" w:name="_Toc267251488"/>
      <w:bookmarkStart w:id="1613" w:name="_Toc267251490"/>
      <w:bookmarkStart w:id="1614" w:name="_Toc267251485"/>
      <w:bookmarkStart w:id="1615" w:name="_Toc267251486"/>
      <w:bookmarkStart w:id="1616" w:name="_Toc267251484"/>
      <w:bookmarkStart w:id="1617" w:name="_Toc267251482"/>
      <w:bookmarkStart w:id="1618" w:name="_Toc267251495"/>
      <w:bookmarkStart w:id="1619" w:name="_Toc267251510"/>
      <w:bookmarkStart w:id="1620" w:name="_Toc267251506"/>
      <w:bookmarkStart w:id="1621" w:name="_Toc267251494"/>
      <w:bookmarkStart w:id="1622" w:name="_Toc267251504"/>
      <w:bookmarkStart w:id="1623" w:name="_Toc267251492"/>
      <w:bookmarkStart w:id="1624" w:name="_Toc267251503"/>
      <w:bookmarkStart w:id="1625" w:name="_Toc267251507"/>
      <w:bookmarkStart w:id="1626" w:name="_Toc267251513"/>
      <w:bookmarkStart w:id="1627" w:name="_Toc267251491"/>
      <w:bookmarkStart w:id="1628" w:name="_Toc267251497"/>
      <w:bookmarkStart w:id="1629" w:name="_Toc267251508"/>
      <w:bookmarkStart w:id="1630" w:name="_Toc267251515"/>
      <w:bookmarkStart w:id="1631" w:name="_Toc267251509"/>
      <w:bookmarkStart w:id="1632" w:name="_Toc267251493"/>
      <w:bookmarkStart w:id="1633" w:name="_Toc267251501"/>
      <w:bookmarkStart w:id="1634" w:name="_Toc267251498"/>
      <w:bookmarkStart w:id="1635" w:name="_Toc267251502"/>
      <w:bookmarkStart w:id="1636" w:name="_Toc267251499"/>
      <w:bookmarkStart w:id="1637" w:name="_Toc267251496"/>
      <w:bookmarkStart w:id="1638" w:name="_Toc267251514"/>
      <w:bookmarkStart w:id="1639" w:name="_Toc267251511"/>
      <w:r>
        <w:rPr>
          <w:rFonts w:hint="eastAsia"/>
          <w:color w:val="auto"/>
          <w:kern w:val="2"/>
          <w:sz w:val="21"/>
          <w:szCs w:val="21"/>
          <w:highlight w:val="none"/>
        </w:rPr>
        <w:t>1</w:t>
      </w:r>
      <w:bookmarkStart w:id="1640" w:name="_Toc292559398"/>
      <w:bookmarkStart w:id="1641" w:name="_Toc300934989"/>
      <w:bookmarkStart w:id="1642" w:name="_Toc292559903"/>
      <w:bookmarkStart w:id="1643" w:name="_Toc303539146"/>
      <w:bookmarkStart w:id="1644" w:name="_Toc297120493"/>
      <w:bookmarkStart w:id="1645" w:name="_Toc297048379"/>
      <w:bookmarkStart w:id="1646" w:name="_Toc296346694"/>
      <w:bookmarkStart w:id="1647" w:name="_Toc296891233"/>
      <w:bookmarkStart w:id="1648" w:name="_Toc297216199"/>
      <w:bookmarkStart w:id="1649" w:name="_Toc296503193"/>
      <w:bookmarkStart w:id="1650" w:name="_Toc297123540"/>
      <w:bookmarkStart w:id="1651" w:name="_Toc296944532"/>
      <w:bookmarkStart w:id="1652" w:name="_Toc296347192"/>
      <w:bookmarkStart w:id="1653" w:name="_Toc296891021"/>
      <w:bookmarkStart w:id="1654" w:name="_Toc304295566"/>
      <w:bookmarkStart w:id="1655" w:name="_Toc312678025"/>
      <w:bookmarkStart w:id="1656" w:name="_Toc312677499"/>
      <w:bookmarkStart w:id="1657" w:name="_Toc267251441"/>
      <w:bookmarkStart w:id="1658" w:name="_Toc267251439"/>
      <w:bookmarkStart w:id="1659" w:name="_Toc267251435"/>
      <w:bookmarkStart w:id="1660" w:name="_Toc267251437"/>
      <w:bookmarkStart w:id="1661" w:name="_Toc267251440"/>
      <w:bookmarkStart w:id="1662" w:name="_Toc267251433"/>
      <w:r>
        <w:rPr>
          <w:rFonts w:hint="eastAsia"/>
          <w:color w:val="auto"/>
          <w:kern w:val="2"/>
          <w:sz w:val="21"/>
          <w:szCs w:val="21"/>
          <w:highlight w:val="none"/>
        </w:rPr>
        <w:t>0. 变更</w:t>
      </w:r>
      <w:bookmarkEnd w:id="1608"/>
      <w:bookmarkEnd w:id="160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bookmarkEnd w:id="1655"/>
    <w:bookmarkEnd w:id="1656"/>
    <w:p>
      <w:pPr>
        <w:pStyle w:val="7"/>
        <w:spacing w:before="0" w:beforeAutospacing="0" w:after="0" w:afterAutospacing="0" w:line="360" w:lineRule="auto"/>
        <w:ind w:firstLine="422" w:firstLineChars="200"/>
        <w:rPr>
          <w:rFonts w:hint="eastAsia"/>
          <w:color w:val="auto"/>
          <w:sz w:val="21"/>
          <w:szCs w:val="21"/>
          <w:highlight w:val="none"/>
        </w:rPr>
      </w:pPr>
      <w:bookmarkStart w:id="1663" w:name="_Toc532377371"/>
      <w:bookmarkStart w:id="1664" w:name="_Toc532375635"/>
      <w:r>
        <w:rPr>
          <w:rFonts w:hint="eastAsia"/>
          <w:color w:val="auto"/>
          <w:sz w:val="21"/>
          <w:szCs w:val="21"/>
          <w:highlight w:val="none"/>
        </w:rPr>
        <w:t>1</w:t>
      </w:r>
      <w:bookmarkStart w:id="1665" w:name="_Toc292559399"/>
      <w:bookmarkStart w:id="1666" w:name="_Toc296347193"/>
      <w:bookmarkStart w:id="1667" w:name="_Toc296503194"/>
      <w:bookmarkStart w:id="1668" w:name="_Toc296891234"/>
      <w:bookmarkStart w:id="1669" w:name="_Toc312677500"/>
      <w:bookmarkStart w:id="1670" w:name="_Toc312678026"/>
      <w:bookmarkStart w:id="1671" w:name="_Toc303539147"/>
      <w:bookmarkStart w:id="1672" w:name="_Toc297216200"/>
      <w:bookmarkStart w:id="1673" w:name="_Toc296346695"/>
      <w:bookmarkStart w:id="1674" w:name="_Toc296944533"/>
      <w:bookmarkStart w:id="1675" w:name="_Toc296891022"/>
      <w:bookmarkStart w:id="1676" w:name="_Toc300934990"/>
      <w:bookmarkStart w:id="1677" w:name="_Toc304295567"/>
      <w:bookmarkStart w:id="1678" w:name="_Toc297048380"/>
      <w:bookmarkStart w:id="1679" w:name="_Toc292559904"/>
      <w:bookmarkStart w:id="1680" w:name="_Toc297120494"/>
      <w:bookmarkStart w:id="1681" w:name="_Toc297123541"/>
      <w:r>
        <w:rPr>
          <w:rFonts w:hint="eastAsia"/>
          <w:color w:val="auto"/>
          <w:sz w:val="21"/>
          <w:szCs w:val="21"/>
          <w:highlight w:val="none"/>
        </w:rPr>
        <w:t>0.1变更的范围</w:t>
      </w:r>
      <w:bookmarkEnd w:id="1663"/>
      <w:bookmarkEnd w:id="1664"/>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关于变更范围的约定：</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（1）增加或减少合同中任何工作，或追加额外的工作；</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（2）取消合同中任何工作；</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（3）改变合同中任何工作的质量标准或其他特性；</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（4）改变工程的基线、标高、位置和尺寸；</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（6）勘察设计变更；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（8）项目管理人员变更；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（9）因人工、原材料等价格变化导致的合同总价变更；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（10）非实施内容变化导致的工期变更；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p>
      <w:pPr>
        <w:pStyle w:val="7"/>
        <w:spacing w:before="0" w:beforeAutospacing="0" w:after="0" w:afterAutospacing="0" w:line="360" w:lineRule="auto"/>
        <w:ind w:firstLine="422" w:firstLineChars="200"/>
        <w:rPr>
          <w:rFonts w:hint="eastAsia"/>
          <w:color w:val="auto"/>
          <w:sz w:val="21"/>
          <w:szCs w:val="21"/>
          <w:highlight w:val="none"/>
        </w:rPr>
      </w:pPr>
      <w:bookmarkStart w:id="1682" w:name="_Toc532375636"/>
      <w:bookmarkStart w:id="1683" w:name="_Toc532377372"/>
      <w:bookmarkStart w:id="1684" w:name="_Toc351203569"/>
      <w:r>
        <w:rPr>
          <w:rFonts w:hint="eastAsia"/>
          <w:color w:val="auto"/>
          <w:sz w:val="21"/>
          <w:szCs w:val="21"/>
          <w:highlight w:val="none"/>
        </w:rPr>
        <w:t>1</w:t>
      </w:r>
      <w:bookmarkStart w:id="1685" w:name="_Toc296346586"/>
      <w:bookmarkStart w:id="1686" w:name="_Toc296503085"/>
      <w:bookmarkStart w:id="1687" w:name="_Toc337558789"/>
      <w:r>
        <w:rPr>
          <w:rFonts w:hint="eastAsia"/>
          <w:color w:val="auto"/>
          <w:sz w:val="21"/>
          <w:szCs w:val="21"/>
          <w:highlight w:val="none"/>
        </w:rPr>
        <w:t>0.2变更权</w:t>
      </w:r>
      <w:bookmarkEnd w:id="1682"/>
      <w:bookmarkEnd w:id="1683"/>
      <w:bookmarkEnd w:id="1684"/>
    </w:p>
    <w:bookmarkEnd w:id="1685"/>
    <w:bookmarkEnd w:id="1686"/>
    <w:bookmarkEnd w:id="1687"/>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10.2.1发包人和监理人提出变更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10.2.2 承包人提出变更建议</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（1）对所提方案和（或）待做工作及其实施计划的说明</w:t>
      </w:r>
      <w:r>
        <w:rPr>
          <w:rFonts w:hint="eastAsia" w:ascii="宋体" w:hAnsi="宋体"/>
          <w:color w:val="auto"/>
          <w:szCs w:val="21"/>
          <w:highlight w:val="none"/>
        </w:rPr>
        <w:t>；</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（2）承包人按照对工程进度计划进行必要修改的建议</w:t>
      </w:r>
      <w:r>
        <w:rPr>
          <w:rFonts w:hint="eastAsia" w:ascii="宋体" w:hAnsi="宋体"/>
          <w:color w:val="auto"/>
          <w:szCs w:val="21"/>
          <w:highlight w:val="none"/>
        </w:rPr>
        <w:t>；</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（3）承包人发生较大返工损失增加费用的建议</w:t>
      </w:r>
      <w:r>
        <w:rPr>
          <w:rFonts w:hint="eastAsia" w:ascii="宋体" w:hAnsi="宋体"/>
          <w:color w:val="auto"/>
          <w:szCs w:val="21"/>
          <w:highlight w:val="none"/>
        </w:rPr>
        <w:t>。</w:t>
      </w:r>
    </w:p>
    <w:p>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发包人在收到上述建议书后，应尽快给予批准、否决或提出意见</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688" w:name="_Toc532377373"/>
      <w:bookmarkStart w:id="1689" w:name="_Toc532375637"/>
      <w:bookmarkStart w:id="1690" w:name="_Hlk528928195"/>
      <w:bookmarkStart w:id="1691" w:name="_Toc351203570"/>
      <w:r>
        <w:rPr>
          <w:rFonts w:hint="eastAsia"/>
          <w:color w:val="auto"/>
          <w:sz w:val="21"/>
          <w:szCs w:val="21"/>
          <w:highlight w:val="none"/>
        </w:rPr>
        <w:t>1</w:t>
      </w:r>
      <w:bookmarkStart w:id="1692" w:name="_Toc296346587"/>
      <w:bookmarkStart w:id="1693" w:name="_Toc296503086"/>
      <w:bookmarkStart w:id="1694" w:name="_Toc337558790"/>
      <w:r>
        <w:rPr>
          <w:rFonts w:hint="eastAsia"/>
          <w:color w:val="auto"/>
          <w:sz w:val="21"/>
          <w:szCs w:val="21"/>
          <w:highlight w:val="none"/>
        </w:rPr>
        <w:t>0.3变更程序</w:t>
      </w:r>
      <w:bookmarkEnd w:id="1688"/>
      <w:bookmarkEnd w:id="1689"/>
    </w:p>
    <w:bookmarkEnd w:id="1692"/>
    <w:bookmarkEnd w:id="1693"/>
    <w:bookmarkEnd w:id="1694"/>
    <w:p>
      <w:pPr>
        <w:autoSpaceDE w:val="0"/>
        <w:autoSpaceDN w:val="0"/>
        <w:spacing w:line="360" w:lineRule="auto"/>
        <w:ind w:firstLine="420" w:firstLineChars="200"/>
        <w:jc w:val="left"/>
        <w:rPr>
          <w:rFonts w:hint="eastAsia" w:ascii="宋体" w:hAnsi="宋体"/>
          <w:color w:val="auto"/>
          <w:szCs w:val="21"/>
          <w:highlight w:val="none"/>
        </w:rPr>
      </w:pPr>
      <w:bookmarkStart w:id="1695" w:name="_Hlk524353972"/>
      <w:r>
        <w:rPr>
          <w:rFonts w:hint="eastAsia" w:ascii="宋体" w:hAnsi="宋体"/>
          <w:color w:val="auto"/>
          <w:szCs w:val="21"/>
          <w:highlight w:val="none"/>
        </w:rPr>
        <w:t>10.3.3 变更执行</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重大设计变更：需经设计人、监理人和发包人三方签名认可并报相关行业部门审查同意后实施。</w:t>
      </w:r>
    </w:p>
    <w:p>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10.3.3 项增加以下内容：</w:t>
      </w:r>
    </w:p>
    <w:p>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项目合同变更后，增加的实施内容达到依法必须招标的规模标准的，增加的部分应当依法通过招标选择承包单位。</w:t>
      </w:r>
    </w:p>
    <w:bookmarkEnd w:id="1690"/>
    <w:bookmarkEnd w:id="1691"/>
    <w:bookmarkEnd w:id="1695"/>
    <w:p>
      <w:pPr>
        <w:pStyle w:val="7"/>
        <w:spacing w:before="0" w:beforeAutospacing="0" w:after="0" w:afterAutospacing="0" w:line="360" w:lineRule="auto"/>
        <w:ind w:firstLine="422" w:firstLineChars="200"/>
        <w:rPr>
          <w:rFonts w:hint="eastAsia"/>
          <w:color w:val="auto"/>
          <w:sz w:val="21"/>
          <w:szCs w:val="21"/>
          <w:highlight w:val="none"/>
        </w:rPr>
      </w:pPr>
      <w:bookmarkStart w:id="1696" w:name="_Toc532375638"/>
      <w:bookmarkStart w:id="1697" w:name="_Toc532377374"/>
      <w:r>
        <w:rPr>
          <w:rFonts w:hint="eastAsia"/>
          <w:color w:val="auto"/>
          <w:sz w:val="21"/>
          <w:szCs w:val="21"/>
          <w:highlight w:val="none"/>
        </w:rPr>
        <w:t>10.4 变更估价</w:t>
      </w:r>
      <w:bookmarkEnd w:id="1696"/>
      <w:bookmarkEnd w:id="1697"/>
    </w:p>
    <w:p>
      <w:pPr>
        <w:spacing w:line="360" w:lineRule="auto"/>
        <w:ind w:firstLine="420" w:firstLineChars="200"/>
        <w:jc w:val="left"/>
        <w:rPr>
          <w:rFonts w:hint="eastAsia" w:ascii="宋体" w:hAnsi="宋体"/>
          <w:color w:val="auto"/>
          <w:szCs w:val="21"/>
          <w:highlight w:val="none"/>
        </w:rPr>
      </w:pPr>
      <w:bookmarkStart w:id="1698" w:name="_Hlk524296629"/>
      <w:r>
        <w:rPr>
          <w:rFonts w:hint="eastAsia" w:ascii="宋体" w:hAnsi="宋体"/>
          <w:color w:val="auto"/>
          <w:szCs w:val="21"/>
          <w:highlight w:val="none"/>
        </w:rPr>
        <w:t>10.4.1 变更估价原则</w:t>
      </w:r>
    </w:p>
    <w:p>
      <w:pPr>
        <w:pStyle w:val="2"/>
        <w:spacing w:after="0"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当发生工程变更时，工程量按规定的计算规则及已标价工程量清单规定的工程量计算规则计量，按以下办法计价：</w:t>
      </w:r>
      <w:bookmarkStart w:id="1699" w:name="_Hlk524770102"/>
    </w:p>
    <w:bookmarkEnd w:id="1699"/>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10.4.1.1已标价工程量清单中有相同项目的，按照相同项目单价计算；</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10.4.1.2已标价工程量清单中有类似项目的，参考类似项目单价计算；</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10.4.1.3已标价工程量清单中无相同项目亦无类似项目的，按照以下原则执行：</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承包人报价浮动率按下列公式计算：承包人报价浮动率=中标价/最高限价×100%。</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（1）人工单价：按开标当期《重庆工程造价信息》发布的项目所在地的人工单价执行。</w:t>
      </w:r>
    </w:p>
    <w:p>
      <w:pPr>
        <w:spacing w:line="360" w:lineRule="auto"/>
        <w:ind w:firstLine="420" w:firstLineChars="200"/>
        <w:jc w:val="left"/>
        <w:rPr>
          <w:rFonts w:hint="eastAsia" w:ascii="宋体" w:hAnsi="宋体"/>
          <w:color w:val="auto"/>
          <w:szCs w:val="21"/>
          <w:highlight w:val="none"/>
        </w:rPr>
      </w:pPr>
      <w:bookmarkStart w:id="1700" w:name="_Hlk529023896"/>
      <w:r>
        <w:rPr>
          <w:rFonts w:hint="eastAsia" w:ascii="宋体" w:hAnsi="宋体"/>
          <w:color w:val="auto"/>
          <w:szCs w:val="21"/>
          <w:highlight w:val="none"/>
        </w:rPr>
        <w:t>（2）材料单价：</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①按</w:t>
      </w:r>
      <w:bookmarkStart w:id="1701" w:name="_Hlk529023354"/>
      <w:r>
        <w:rPr>
          <w:rFonts w:hint="eastAsia" w:ascii="宋体" w:hAnsi="宋体"/>
          <w:color w:val="auto"/>
          <w:szCs w:val="21"/>
          <w:highlight w:val="none"/>
        </w:rPr>
        <w:t>开标当期《重庆工程造价信息》发布的项目所在地的信息价</w:t>
      </w:r>
      <w:bookmarkEnd w:id="1701"/>
      <w:r>
        <w:rPr>
          <w:rFonts w:hint="eastAsia" w:ascii="宋体" w:hAnsi="宋体"/>
          <w:color w:val="auto"/>
          <w:szCs w:val="21"/>
          <w:highlight w:val="none"/>
        </w:rPr>
        <w:t>执行；</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②开标当期《重庆工程造价信息》中没有的，承包人投标报价中有的，按承包人投标报价中相同材料单价的最低值执行；</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③开标当期《重庆工程造价信息》和承包人投标报价没有的，由承包人申报、监理人会同跟审单位、发包人根据市场行情认质核价确定。</w:t>
      </w:r>
    </w:p>
    <w:bookmarkEnd w:id="1700"/>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（4）规费：按《重庆市建设工程费用定额》（CQFYDE-2018）费用标准进行计算。</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本款补充10.4.3项：</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按照单价计算的措施项目费，应按照实际发生变化的措施项目，按照第10.4.1项〔变更估价原则〕约定执行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按总价（或系数）计算的措施项目费，应按照实际发生变化的措施项目费按承包人报价浮动率下浮后的金额计算</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highlight w:val="none"/>
        </w:rPr>
        <w:t>。</w:t>
      </w:r>
    </w:p>
    <w:bookmarkEnd w:id="1698"/>
    <w:p>
      <w:pPr>
        <w:pStyle w:val="7"/>
        <w:spacing w:before="0" w:beforeAutospacing="0" w:after="0" w:afterAutospacing="0" w:line="360" w:lineRule="auto"/>
        <w:ind w:firstLine="422" w:firstLineChars="200"/>
        <w:rPr>
          <w:rFonts w:hint="eastAsia"/>
          <w:color w:val="auto"/>
          <w:sz w:val="21"/>
          <w:szCs w:val="21"/>
          <w:highlight w:val="none"/>
        </w:rPr>
      </w:pPr>
      <w:bookmarkStart w:id="1702" w:name="_Toc532375639"/>
      <w:bookmarkStart w:id="1703" w:name="_Toc532377375"/>
      <w:r>
        <w:rPr>
          <w:rFonts w:hint="eastAsia"/>
          <w:color w:val="auto"/>
          <w:sz w:val="21"/>
          <w:szCs w:val="21"/>
          <w:highlight w:val="none"/>
        </w:rPr>
        <w:t>1</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Start w:id="1704" w:name="_Toc300934993"/>
      <w:bookmarkStart w:id="1705" w:name="_Toc296347196"/>
      <w:bookmarkStart w:id="1706" w:name="_Toc297123544"/>
      <w:bookmarkStart w:id="1707" w:name="_Toc296346698"/>
      <w:bookmarkStart w:id="1708" w:name="_Toc297120497"/>
      <w:bookmarkStart w:id="1709" w:name="_Toc297216203"/>
      <w:bookmarkStart w:id="1710" w:name="_Toc292559402"/>
      <w:bookmarkStart w:id="1711" w:name="_Toc296891237"/>
      <w:bookmarkStart w:id="1712" w:name="_Toc296503197"/>
      <w:bookmarkStart w:id="1713" w:name="_Toc303539150"/>
      <w:bookmarkStart w:id="1714" w:name="_Toc292559907"/>
      <w:bookmarkStart w:id="1715" w:name="_Toc296891025"/>
      <w:bookmarkStart w:id="1716" w:name="_Toc297048383"/>
      <w:bookmarkStart w:id="1717" w:name="_Toc296944536"/>
      <w:bookmarkStart w:id="1718" w:name="_Toc304295570"/>
      <w:bookmarkStart w:id="1719" w:name="_Toc312677503"/>
      <w:bookmarkStart w:id="1720" w:name="_Toc312678029"/>
      <w:r>
        <w:rPr>
          <w:rFonts w:hint="eastAsia"/>
          <w:color w:val="auto"/>
          <w:sz w:val="21"/>
          <w:szCs w:val="21"/>
          <w:highlight w:val="none"/>
        </w:rPr>
        <w:t>0.5承</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Start w:id="1721" w:name="_Toc296347202"/>
      <w:bookmarkStart w:id="1722" w:name="_Toc297216204"/>
      <w:bookmarkStart w:id="1723" w:name="_Toc297048389"/>
      <w:bookmarkStart w:id="1724" w:name="_Toc303539151"/>
      <w:bookmarkStart w:id="1725" w:name="_Toc297123545"/>
      <w:bookmarkStart w:id="1726" w:name="_Toc296503203"/>
      <w:bookmarkStart w:id="1727" w:name="_Toc292559913"/>
      <w:bookmarkStart w:id="1728" w:name="_Toc300934994"/>
      <w:bookmarkStart w:id="1729" w:name="_Toc292559408"/>
      <w:bookmarkStart w:id="1730" w:name="_Toc296944542"/>
      <w:bookmarkStart w:id="1731" w:name="_Toc296891243"/>
      <w:bookmarkStart w:id="1732" w:name="_Toc296346704"/>
      <w:bookmarkStart w:id="1733" w:name="_Toc296891031"/>
      <w:bookmarkStart w:id="1734" w:name="_Toc297120503"/>
      <w:r>
        <w:rPr>
          <w:rFonts w:hint="eastAsia"/>
          <w:color w:val="auto"/>
          <w:sz w:val="21"/>
          <w:szCs w:val="21"/>
          <w:highlight w:val="none"/>
        </w:rPr>
        <w:t>包人的合理化建议</w:t>
      </w:r>
      <w:bookmarkEnd w:id="1702"/>
      <w:bookmarkEnd w:id="1703"/>
    </w:p>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w:t>
      </w:r>
      <w:bookmarkStart w:id="1735" w:name="_Toc296503204"/>
      <w:bookmarkStart w:id="1736" w:name="_Toc297120504"/>
      <w:bookmarkStart w:id="1737" w:name="_Toc292559914"/>
      <w:bookmarkStart w:id="1738" w:name="_Toc312677504"/>
      <w:bookmarkStart w:id="1739" w:name="_Toc300934995"/>
      <w:bookmarkStart w:id="1740" w:name="_Toc297048390"/>
      <w:bookmarkStart w:id="1741" w:name="_Toc297216205"/>
      <w:bookmarkStart w:id="1742" w:name="_Toc296944543"/>
      <w:bookmarkStart w:id="1743" w:name="_Toc296347203"/>
      <w:bookmarkStart w:id="1744" w:name="_Toc296891032"/>
      <w:bookmarkStart w:id="1745" w:name="_Toc296891244"/>
      <w:bookmarkStart w:id="1746" w:name="_Toc296346705"/>
      <w:bookmarkStart w:id="1747" w:name="_Toc318581175"/>
      <w:bookmarkStart w:id="1748" w:name="_Toc297123546"/>
      <w:bookmarkStart w:id="1749" w:name="_Toc292559409"/>
      <w:bookmarkStart w:id="1750" w:name="_Toc312678030"/>
      <w:bookmarkStart w:id="1751" w:name="_Toc304295571"/>
      <w:bookmarkStart w:id="1752" w:name="_Toc303539152"/>
      <w:r>
        <w:rPr>
          <w:rFonts w:hint="eastAsia" w:ascii="宋体" w:hAnsi="宋体"/>
          <w:color w:val="auto"/>
          <w:szCs w:val="21"/>
          <w:highlight w:val="none"/>
        </w:rPr>
        <w:t>包人提出的合理化建议降低了合同价格或缩短了工期或者提高了工程经济效益的奖励的方法和金额为：</w:t>
      </w:r>
      <w:r>
        <w:rPr>
          <w:rFonts w:hint="eastAsia" w:ascii="宋体" w:hAnsi="宋体"/>
          <w:color w:val="auto"/>
          <w:szCs w:val="21"/>
          <w:highlight w:val="none"/>
          <w:u w:val="single"/>
        </w:rPr>
        <w:t>合理化建议带来经济效益的5～10 %</w:t>
      </w:r>
      <w:r>
        <w:rPr>
          <w:rFonts w:hint="eastAsia" w:ascii="宋体" w:hAnsi="宋体"/>
          <w:color w:val="auto"/>
          <w:szCs w:val="21"/>
          <w:highlight w:val="none"/>
        </w:rPr>
        <w:t>。</w:t>
      </w:r>
    </w:p>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Pr>
        <w:pStyle w:val="7"/>
        <w:spacing w:before="0" w:beforeAutospacing="0" w:after="0" w:afterAutospacing="0" w:line="360" w:lineRule="auto"/>
        <w:ind w:firstLine="422" w:firstLineChars="200"/>
        <w:rPr>
          <w:rFonts w:hint="eastAsia"/>
          <w:color w:val="auto"/>
          <w:sz w:val="21"/>
          <w:szCs w:val="21"/>
          <w:highlight w:val="none"/>
        </w:rPr>
      </w:pPr>
      <w:bookmarkStart w:id="1753" w:name="_Toc532377376"/>
      <w:bookmarkStart w:id="1754" w:name="_Toc532375640"/>
      <w:r>
        <w:rPr>
          <w:rFonts w:hint="eastAsia"/>
          <w:color w:val="auto"/>
          <w:sz w:val="21"/>
          <w:szCs w:val="21"/>
          <w:highlight w:val="none"/>
        </w:rPr>
        <w:t>1</w:t>
      </w:r>
      <w:bookmarkStart w:id="1755" w:name="_Toc296944538"/>
      <w:bookmarkStart w:id="1756" w:name="_Toc296346700"/>
      <w:bookmarkStart w:id="1757" w:name="_Toc312678033"/>
      <w:bookmarkStart w:id="1758" w:name="_Toc292559404"/>
      <w:bookmarkStart w:id="1759" w:name="_Toc303539154"/>
      <w:bookmarkStart w:id="1760" w:name="_Toc297123548"/>
      <w:bookmarkStart w:id="1761" w:name="_Toc296503199"/>
      <w:bookmarkStart w:id="1762" w:name="_Toc297216207"/>
      <w:bookmarkStart w:id="1763" w:name="_Toc297048385"/>
      <w:bookmarkStart w:id="1764" w:name="_Toc297120499"/>
      <w:bookmarkStart w:id="1765" w:name="_Toc296347198"/>
      <w:bookmarkStart w:id="1766" w:name="_Toc304295574"/>
      <w:bookmarkStart w:id="1767" w:name="_Toc312677507"/>
      <w:bookmarkStart w:id="1768" w:name="_Toc296891027"/>
      <w:bookmarkStart w:id="1769" w:name="_Toc296891239"/>
      <w:bookmarkStart w:id="1770" w:name="_Toc300934997"/>
      <w:bookmarkStart w:id="1771" w:name="_Toc292559909"/>
      <w:r>
        <w:rPr>
          <w:rFonts w:hint="eastAsia"/>
          <w:color w:val="auto"/>
          <w:sz w:val="21"/>
          <w:szCs w:val="21"/>
          <w:highlight w:val="none"/>
        </w:rPr>
        <w:t>0.7 暂估价</w:t>
      </w:r>
      <w:bookmarkEnd w:id="1753"/>
      <w:bookmarkEnd w:id="1754"/>
    </w:p>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单项合同暂估价在国家相关法律法规规定必须招标规模以上的，需依法必须招标的，由承包人、发包人共同招标确定。</w:t>
      </w:r>
    </w:p>
    <w:p>
      <w:pPr>
        <w:pStyle w:val="7"/>
        <w:spacing w:before="0" w:beforeAutospacing="0" w:after="0" w:afterAutospacing="0" w:line="360" w:lineRule="auto"/>
        <w:ind w:firstLine="422" w:firstLineChars="200"/>
        <w:rPr>
          <w:rFonts w:hint="eastAsia"/>
          <w:color w:val="auto"/>
          <w:sz w:val="21"/>
          <w:szCs w:val="21"/>
          <w:highlight w:val="none"/>
        </w:rPr>
      </w:pPr>
      <w:bookmarkStart w:id="1772" w:name="_Toc532377377"/>
      <w:bookmarkStart w:id="1773" w:name="_Toc532375641"/>
      <w:r>
        <w:rPr>
          <w:rFonts w:hint="eastAsia"/>
          <w:color w:val="auto"/>
          <w:sz w:val="21"/>
          <w:szCs w:val="21"/>
          <w:highlight w:val="none"/>
        </w:rPr>
        <w:t>10.8 暂列金额</w:t>
      </w:r>
      <w:bookmarkEnd w:id="1772"/>
      <w:bookmarkEnd w:id="1773"/>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774" w:name="_Toc532377378"/>
      <w:bookmarkStart w:id="1775" w:name="_Toc351203643"/>
      <w:bookmarkStart w:id="1776" w:name="_Toc532375642"/>
      <w:r>
        <w:rPr>
          <w:rFonts w:hint="eastAsia"/>
          <w:color w:val="auto"/>
          <w:kern w:val="2"/>
          <w:sz w:val="21"/>
          <w:szCs w:val="21"/>
          <w:highlight w:val="none"/>
        </w:rPr>
        <w:t>11. 价格调整</w:t>
      </w:r>
      <w:bookmarkEnd w:id="1774"/>
      <w:bookmarkEnd w:id="1775"/>
      <w:bookmarkEnd w:id="1776"/>
    </w:p>
    <w:p>
      <w:pPr>
        <w:pStyle w:val="7"/>
        <w:spacing w:before="0" w:beforeAutospacing="0" w:after="0" w:afterAutospacing="0" w:line="360" w:lineRule="auto"/>
        <w:ind w:firstLine="422" w:firstLineChars="200"/>
        <w:rPr>
          <w:rFonts w:hint="eastAsia"/>
          <w:color w:val="auto"/>
          <w:sz w:val="21"/>
          <w:szCs w:val="21"/>
          <w:highlight w:val="none"/>
        </w:rPr>
      </w:pPr>
      <w:bookmarkStart w:id="1777" w:name="_Toc532375643"/>
      <w:bookmarkStart w:id="1778" w:name="_Toc532377379"/>
      <w:bookmarkStart w:id="1779" w:name="_Toc303539157"/>
      <w:bookmarkStart w:id="1780" w:name="_Toc297120501"/>
      <w:bookmarkStart w:id="1781" w:name="_Toc296891029"/>
      <w:bookmarkStart w:id="1782" w:name="_Toc292559406"/>
      <w:bookmarkStart w:id="1783" w:name="_Toc296891241"/>
      <w:bookmarkStart w:id="1784" w:name="_Toc297123550"/>
      <w:bookmarkStart w:id="1785" w:name="_Toc296503201"/>
      <w:bookmarkStart w:id="1786" w:name="_Toc304295577"/>
      <w:bookmarkStart w:id="1787" w:name="_Toc296346702"/>
      <w:bookmarkStart w:id="1788" w:name="_Toc297048387"/>
      <w:bookmarkStart w:id="1789" w:name="_Toc300935000"/>
      <w:bookmarkStart w:id="1790" w:name="_Toc312678039"/>
      <w:bookmarkStart w:id="1791" w:name="_Toc297216209"/>
      <w:bookmarkStart w:id="1792" w:name="_Toc292559911"/>
      <w:bookmarkStart w:id="1793" w:name="_Toc296944540"/>
      <w:bookmarkStart w:id="1794" w:name="_Toc296347200"/>
      <w:r>
        <w:rPr>
          <w:rFonts w:hint="eastAsia"/>
          <w:color w:val="auto"/>
          <w:sz w:val="21"/>
          <w:szCs w:val="21"/>
          <w:highlight w:val="none"/>
        </w:rPr>
        <w:t>11.1 市场价格波动引起的调整</w:t>
      </w:r>
      <w:bookmarkEnd w:id="1777"/>
      <w:bookmarkEnd w:id="1778"/>
    </w:p>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Pr>
        <w:spacing w:line="360" w:lineRule="auto"/>
        <w:ind w:firstLine="420" w:firstLineChars="200"/>
        <w:jc w:val="left"/>
        <w:rPr>
          <w:rFonts w:hint="eastAsia" w:ascii="宋体" w:hAnsi="宋体"/>
          <w:color w:val="auto"/>
          <w:szCs w:val="21"/>
          <w:highlight w:val="none"/>
        </w:rPr>
      </w:pPr>
      <w:bookmarkStart w:id="1795" w:name="_Toc467689641"/>
      <w:bookmarkStart w:id="1796" w:name="_Toc466911545"/>
      <w:bookmarkStart w:id="1797" w:name="_Toc466913963"/>
      <w:bookmarkStart w:id="1798" w:name="_Toc466913513"/>
      <w:r>
        <w:rPr>
          <w:rFonts w:hint="eastAsia" w:ascii="宋体" w:hAnsi="宋体"/>
          <w:color w:val="auto"/>
          <w:szCs w:val="21"/>
          <w:highlight w:val="none"/>
        </w:rPr>
        <w:t>市场价格波动是否调整合同价格的约定：</w:t>
      </w:r>
      <w:r>
        <w:rPr>
          <w:rFonts w:hint="eastAsia" w:ascii="宋体" w:hAnsi="宋体"/>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因市场价格波动调整合同价格，采用以下</w:t>
      </w:r>
      <w:r>
        <w:rPr>
          <w:rFonts w:hint="eastAsia" w:ascii="宋体" w:hAnsi="宋体"/>
          <w:color w:val="auto"/>
          <w:szCs w:val="21"/>
          <w:highlight w:val="none"/>
          <w:u w:val="single"/>
        </w:rPr>
        <w:t>第2种</w:t>
      </w:r>
      <w:r>
        <w:rPr>
          <w:rFonts w:hint="eastAsia" w:ascii="宋体" w:hAnsi="宋体"/>
          <w:color w:val="auto"/>
          <w:szCs w:val="21"/>
          <w:highlight w:val="none"/>
        </w:rPr>
        <w:t>方式对合同价格进行调整：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第1种方式：采用价格指数进行价格调整。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第2种方式：采用造价信息进行价格调整，调整方法如下：</w:t>
      </w:r>
    </w:p>
    <w:p>
      <w:pPr>
        <w:spacing w:line="360" w:lineRule="auto"/>
        <w:ind w:firstLine="420" w:firstLineChars="200"/>
        <w:jc w:val="left"/>
        <w:rPr>
          <w:rFonts w:hint="eastAsia" w:ascii="宋体" w:hAnsi="宋体"/>
          <w:color w:val="auto"/>
          <w:szCs w:val="21"/>
          <w:highlight w:val="none"/>
        </w:rPr>
      </w:pPr>
      <w:bookmarkStart w:id="1799" w:name="_Hlk524296901"/>
      <w:r>
        <w:rPr>
          <w:rFonts w:hint="eastAsia" w:ascii="宋体" w:hAnsi="宋体"/>
          <w:color w:val="auto"/>
          <w:szCs w:val="21"/>
          <w:highlight w:val="none"/>
        </w:rPr>
        <w:t>11.1.1人工费价差调整办法</w:t>
      </w:r>
      <w:bookmarkEnd w:id="1795"/>
      <w:bookmarkEnd w:id="1796"/>
      <w:bookmarkEnd w:id="1797"/>
      <w:bookmarkEnd w:id="1798"/>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bookmarkStart w:id="1800" w:name="_Toc466913516"/>
      <w:bookmarkStart w:id="1801" w:name="_Toc467689644"/>
      <w:bookmarkStart w:id="1802" w:name="_Toc466911548"/>
      <w:bookmarkStart w:id="1803" w:name="_Toc466913966"/>
      <w:r>
        <w:rPr>
          <w:rFonts w:hint="eastAsia" w:ascii="宋体" w:hAnsi="宋体"/>
          <w:color w:val="auto"/>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 </w:t>
      </w:r>
      <w:r>
        <w:rPr>
          <w:rFonts w:hint="eastAsia" w:ascii="宋体" w:hAnsi="宋体"/>
          <w:color w:val="auto"/>
          <w:szCs w:val="21"/>
          <w:highlight w:val="none"/>
        </w:rPr>
        <w:t>。</w:t>
      </w:r>
    </w:p>
    <w:bookmarkEnd w:id="1799"/>
    <w:p>
      <w:pPr>
        <w:spacing w:line="360" w:lineRule="auto"/>
        <w:ind w:firstLine="420" w:firstLineChars="200"/>
        <w:jc w:val="left"/>
        <w:rPr>
          <w:rFonts w:hint="eastAsia" w:ascii="宋体" w:hAnsi="宋体"/>
          <w:color w:val="auto"/>
          <w:szCs w:val="21"/>
          <w:highlight w:val="none"/>
        </w:rPr>
      </w:pPr>
      <w:bookmarkStart w:id="1804" w:name="_Hlk524297138"/>
      <w:r>
        <w:rPr>
          <w:rFonts w:hint="eastAsia" w:ascii="宋体" w:hAnsi="宋体"/>
          <w:color w:val="auto"/>
          <w:szCs w:val="21"/>
          <w:highlight w:val="none"/>
        </w:rPr>
        <w:t>11.1.2 材料费价差调整</w:t>
      </w:r>
      <w:bookmarkEnd w:id="1800"/>
      <w:bookmarkEnd w:id="1801"/>
      <w:bookmarkEnd w:id="1802"/>
      <w:bookmarkEnd w:id="1803"/>
      <w:r>
        <w:rPr>
          <w:rFonts w:hint="eastAsia" w:ascii="宋体" w:hAnsi="宋体"/>
          <w:color w:val="auto"/>
          <w:szCs w:val="21"/>
          <w:highlight w:val="none"/>
        </w:rPr>
        <w:t>办法</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可调价差材料：</w:t>
      </w:r>
      <w:r>
        <w:rPr>
          <w:rFonts w:hint="eastAsia" w:ascii="宋体" w:hAnsi="宋体"/>
          <w:color w:val="auto"/>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color w:val="auto"/>
          <w:szCs w:val="21"/>
          <w:highlight w:val="none"/>
        </w:rPr>
        <w:t>。</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可调价差材料的价差调整办法如下：</w:t>
      </w:r>
    </w:p>
    <w:bookmarkEnd w:id="1657"/>
    <w:bookmarkEnd w:id="1658"/>
    <w:bookmarkEnd w:id="1659"/>
    <w:bookmarkEnd w:id="1660"/>
    <w:bookmarkEnd w:id="1661"/>
    <w:bookmarkEnd w:id="1662"/>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bookmarkStart w:id="1805" w:name="_Toc296891245"/>
      <w:bookmarkStart w:id="1806" w:name="_Toc292559410"/>
      <w:bookmarkStart w:id="1807" w:name="_Toc297048391"/>
      <w:bookmarkStart w:id="1808" w:name="_Toc296346706"/>
      <w:bookmarkStart w:id="1809" w:name="_Toc292559915"/>
      <w:bookmarkStart w:id="1810" w:name="_Toc296503205"/>
      <w:bookmarkStart w:id="1811" w:name="_Toc297120505"/>
      <w:bookmarkStart w:id="1812" w:name="_Toc296891033"/>
      <w:bookmarkStart w:id="1813" w:name="_Toc296347204"/>
      <w:bookmarkStart w:id="1814" w:name="_Toc296944544"/>
      <w:bookmarkStart w:id="1815" w:name="_Toc351203644"/>
      <w:bookmarkStart w:id="1816" w:name="_Toc312678040"/>
      <w:bookmarkStart w:id="1817" w:name="_Toc297123552"/>
      <w:bookmarkStart w:id="1818" w:name="_Toc304295579"/>
      <w:bookmarkStart w:id="1819" w:name="_Toc297216211"/>
      <w:bookmarkStart w:id="1820" w:name="_Toc303539159"/>
      <w:bookmarkStart w:id="1821" w:name="_Toc300935002"/>
      <w:r>
        <w:rPr>
          <w:rFonts w:hint="eastAsia" w:ascii="宋体" w:hAnsi="宋体"/>
          <w:color w:val="auto"/>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 </w:t>
      </w:r>
      <w:r>
        <w:rPr>
          <w:rFonts w:hint="eastAsia" w:ascii="宋体" w:hAnsi="宋体"/>
          <w:color w:val="auto"/>
          <w:szCs w:val="21"/>
          <w:highlight w:val="none"/>
        </w:rPr>
        <w:t>。</w:t>
      </w:r>
    </w:p>
    <w:bookmarkEnd w:id="1804"/>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第3种方式：其他价格调整方式：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822" w:name="_Toc532375644"/>
      <w:bookmarkStart w:id="1823" w:name="_Toc532377380"/>
      <w:bookmarkStart w:id="1824" w:name="_Hlk528928232"/>
      <w:r>
        <w:rPr>
          <w:rFonts w:hint="eastAsia"/>
          <w:color w:val="auto"/>
          <w:sz w:val="21"/>
          <w:szCs w:val="21"/>
          <w:highlight w:val="none"/>
        </w:rPr>
        <w:t>11.2 法律变化引起的调整</w:t>
      </w:r>
      <w:bookmarkEnd w:id="1822"/>
      <w:bookmarkEnd w:id="1823"/>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本条补充11.3款</w:t>
      </w:r>
    </w:p>
    <w:bookmarkEnd w:id="1824"/>
    <w:p>
      <w:pPr>
        <w:pStyle w:val="7"/>
        <w:spacing w:before="0" w:beforeAutospacing="0" w:after="0" w:afterAutospacing="0" w:line="360" w:lineRule="auto"/>
        <w:ind w:firstLine="422" w:firstLineChars="200"/>
        <w:rPr>
          <w:rFonts w:hint="eastAsia"/>
          <w:color w:val="auto"/>
          <w:sz w:val="21"/>
          <w:szCs w:val="21"/>
          <w:highlight w:val="none"/>
        </w:rPr>
      </w:pPr>
      <w:bookmarkStart w:id="1825" w:name="_Toc532377381"/>
      <w:bookmarkStart w:id="1826" w:name="_Toc532375645"/>
      <w:r>
        <w:rPr>
          <w:rFonts w:hint="eastAsia"/>
          <w:color w:val="auto"/>
          <w:sz w:val="21"/>
          <w:szCs w:val="21"/>
          <w:highlight w:val="none"/>
        </w:rPr>
        <w:t>11.3 严重不平衡报价引起的调整</w:t>
      </w:r>
      <w:bookmarkEnd w:id="1825"/>
      <w:bookmarkEnd w:id="1826"/>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827" w:name="_Toc532375646"/>
      <w:bookmarkStart w:id="1828" w:name="_Toc532377382"/>
      <w:r>
        <w:rPr>
          <w:rFonts w:hint="eastAsia"/>
          <w:color w:val="auto"/>
          <w:kern w:val="2"/>
          <w:sz w:val="21"/>
          <w:szCs w:val="21"/>
          <w:highlight w:val="none"/>
        </w:rPr>
        <w:t xml:space="preserve">12. </w:t>
      </w:r>
      <w:bookmarkEnd w:id="1805"/>
      <w:bookmarkEnd w:id="1806"/>
      <w:bookmarkEnd w:id="1807"/>
      <w:bookmarkEnd w:id="1808"/>
      <w:bookmarkEnd w:id="1809"/>
      <w:bookmarkEnd w:id="1810"/>
      <w:bookmarkEnd w:id="1811"/>
      <w:bookmarkEnd w:id="1812"/>
      <w:bookmarkEnd w:id="1813"/>
      <w:bookmarkEnd w:id="1814"/>
      <w:r>
        <w:rPr>
          <w:rFonts w:hint="eastAsia"/>
          <w:color w:val="auto"/>
          <w:kern w:val="2"/>
          <w:sz w:val="21"/>
          <w:szCs w:val="21"/>
          <w:highlight w:val="none"/>
        </w:rPr>
        <w:t>合同价格、计量与支付</w:t>
      </w:r>
      <w:bookmarkEnd w:id="1815"/>
      <w:bookmarkEnd w:id="1827"/>
      <w:bookmarkEnd w:id="1828"/>
    </w:p>
    <w:bookmarkEnd w:id="1816"/>
    <w:bookmarkEnd w:id="1817"/>
    <w:bookmarkEnd w:id="1818"/>
    <w:bookmarkEnd w:id="1819"/>
    <w:bookmarkEnd w:id="1820"/>
    <w:bookmarkEnd w:id="1821"/>
    <w:p>
      <w:pPr>
        <w:pStyle w:val="7"/>
        <w:spacing w:before="0" w:beforeAutospacing="0" w:after="0" w:afterAutospacing="0" w:line="360" w:lineRule="auto"/>
        <w:ind w:firstLine="422" w:firstLineChars="200"/>
        <w:rPr>
          <w:rFonts w:hint="eastAsia"/>
          <w:color w:val="auto"/>
          <w:sz w:val="21"/>
          <w:szCs w:val="21"/>
          <w:highlight w:val="none"/>
        </w:rPr>
      </w:pPr>
      <w:bookmarkStart w:id="1829" w:name="_Toc267251461"/>
      <w:bookmarkStart w:id="1830" w:name="_Toc292559411"/>
      <w:bookmarkStart w:id="1831" w:name="_Toc292559916"/>
      <w:bookmarkStart w:id="1832" w:name="_Toc296346707"/>
      <w:bookmarkStart w:id="1833" w:name="_Toc297048392"/>
      <w:bookmarkStart w:id="1834" w:name="_Toc296891246"/>
      <w:bookmarkStart w:id="1835" w:name="_Toc296891034"/>
      <w:bookmarkStart w:id="1836" w:name="_Toc296944545"/>
      <w:bookmarkStart w:id="1837" w:name="_Toc296503206"/>
      <w:bookmarkStart w:id="1838" w:name="_Toc296347205"/>
      <w:bookmarkStart w:id="1839" w:name="_Toc297120506"/>
      <w:bookmarkStart w:id="1840" w:name="_Toc532377383"/>
      <w:bookmarkStart w:id="1841" w:name="_Toc532375647"/>
      <w:bookmarkStart w:id="1842" w:name="_Toc300935003"/>
      <w:bookmarkStart w:id="1843" w:name="_Toc303539160"/>
      <w:bookmarkStart w:id="1844" w:name="_Toc312678041"/>
      <w:bookmarkStart w:id="1845" w:name="_Toc297123553"/>
      <w:bookmarkStart w:id="1846" w:name="_Toc297216212"/>
      <w:bookmarkStart w:id="1847" w:name="_Toc304295580"/>
      <w:r>
        <w:rPr>
          <w:rFonts w:hint="eastAsia"/>
          <w:color w:val="auto"/>
          <w:sz w:val="21"/>
          <w:szCs w:val="21"/>
          <w:highlight w:val="none"/>
        </w:rPr>
        <w:t>12.1 合</w:t>
      </w:r>
      <w:bookmarkEnd w:id="1829"/>
      <w:bookmarkEnd w:id="1830"/>
      <w:bookmarkEnd w:id="1831"/>
      <w:r>
        <w:rPr>
          <w:rFonts w:hint="eastAsia"/>
          <w:color w:val="auto"/>
          <w:sz w:val="21"/>
          <w:szCs w:val="21"/>
          <w:highlight w:val="none"/>
        </w:rPr>
        <w:t>同价</w:t>
      </w:r>
      <w:bookmarkEnd w:id="1832"/>
      <w:bookmarkEnd w:id="1833"/>
      <w:bookmarkEnd w:id="1834"/>
      <w:bookmarkEnd w:id="1835"/>
      <w:bookmarkEnd w:id="1836"/>
      <w:bookmarkEnd w:id="1837"/>
      <w:bookmarkEnd w:id="1838"/>
      <w:bookmarkEnd w:id="1839"/>
      <w:r>
        <w:rPr>
          <w:rFonts w:hint="eastAsia"/>
          <w:color w:val="auto"/>
          <w:sz w:val="21"/>
          <w:szCs w:val="21"/>
          <w:highlight w:val="none"/>
        </w:rPr>
        <w:t>格形式</w:t>
      </w:r>
      <w:bookmarkEnd w:id="1840"/>
      <w:bookmarkEnd w:id="1841"/>
    </w:p>
    <w:bookmarkEnd w:id="1842"/>
    <w:bookmarkEnd w:id="1843"/>
    <w:bookmarkEnd w:id="1844"/>
    <w:bookmarkEnd w:id="1845"/>
    <w:bookmarkEnd w:id="1846"/>
    <w:bookmarkEnd w:id="1847"/>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1、单价合同。</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848" w:name="_Hlk528508096"/>
      <w:r>
        <w:rPr>
          <w:rFonts w:hint="eastAsia" w:ascii="宋体" w:hAnsi="宋体"/>
          <w:color w:val="auto"/>
          <w:szCs w:val="21"/>
          <w:highlight w:val="none"/>
          <w:u w:val="single"/>
        </w:rPr>
        <w:t>第11.1款〔市场价格波动引起的调整〕约定范围内的市场价格波动风险、政策性文件规定的各项应有费用、</w:t>
      </w:r>
      <w:bookmarkEnd w:id="1848"/>
      <w:r>
        <w:rPr>
          <w:rFonts w:hint="eastAsia" w:ascii="宋体" w:hAnsi="宋体"/>
          <w:color w:val="auto"/>
          <w:szCs w:val="21"/>
          <w:highlight w:val="none"/>
          <w:u w:val="single"/>
        </w:rPr>
        <w:t>招标文件和合同明示或暗示的应由承包人承担的所有责任、义务和风险等所需的费用</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2、总价合同。</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不采用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849" w:name="_Toc532377384"/>
      <w:bookmarkStart w:id="1850" w:name="_Toc532375648"/>
      <w:bookmarkStart w:id="1851" w:name="_Toc312678042"/>
      <w:bookmarkStart w:id="1852" w:name="_Toc304295581"/>
      <w:bookmarkStart w:id="1853" w:name="_Toc297123554"/>
      <w:bookmarkStart w:id="1854" w:name="_Toc300935004"/>
      <w:bookmarkStart w:id="1855" w:name="_Toc303539161"/>
      <w:bookmarkStart w:id="1856" w:name="_Toc297216213"/>
      <w:bookmarkStart w:id="1857" w:name="_Toc297048393"/>
      <w:bookmarkStart w:id="1858" w:name="_Toc296891035"/>
      <w:bookmarkStart w:id="1859" w:name="_Toc296347206"/>
      <w:bookmarkStart w:id="1860" w:name="_Toc296503207"/>
      <w:bookmarkStart w:id="1861" w:name="_Toc296944546"/>
      <w:bookmarkStart w:id="1862" w:name="_Toc296891247"/>
      <w:bookmarkStart w:id="1863" w:name="_Toc296346708"/>
      <w:bookmarkStart w:id="1864" w:name="_Toc292559917"/>
      <w:bookmarkStart w:id="1865" w:name="_Toc292559412"/>
      <w:bookmarkStart w:id="1866" w:name="_Toc297120507"/>
      <w:r>
        <w:rPr>
          <w:rFonts w:hint="eastAsia"/>
          <w:color w:val="auto"/>
          <w:sz w:val="21"/>
          <w:szCs w:val="21"/>
          <w:highlight w:val="none"/>
        </w:rPr>
        <w:t>12.2 预付款</w:t>
      </w:r>
      <w:bookmarkEnd w:id="1849"/>
      <w:bookmarkEnd w:id="1850"/>
    </w:p>
    <w:bookmarkEnd w:id="1851"/>
    <w:bookmarkEnd w:id="1852"/>
    <w:bookmarkEnd w:id="1853"/>
    <w:bookmarkEnd w:id="1854"/>
    <w:bookmarkEnd w:id="1855"/>
    <w:bookmarkEnd w:id="1856"/>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12.2.1 预付款的支付：不采用</w:t>
      </w:r>
    </w:p>
    <w:bookmarkEnd w:id="1857"/>
    <w:bookmarkEnd w:id="1858"/>
    <w:bookmarkEnd w:id="1859"/>
    <w:bookmarkEnd w:id="1860"/>
    <w:bookmarkEnd w:id="1861"/>
    <w:bookmarkEnd w:id="1862"/>
    <w:bookmarkEnd w:id="1863"/>
    <w:bookmarkEnd w:id="1864"/>
    <w:bookmarkEnd w:id="1865"/>
    <w:bookmarkEnd w:id="1866"/>
    <w:p>
      <w:pPr>
        <w:pStyle w:val="7"/>
        <w:spacing w:before="0" w:beforeAutospacing="0" w:after="0" w:afterAutospacing="0" w:line="360" w:lineRule="auto"/>
        <w:ind w:firstLine="422" w:firstLineChars="200"/>
        <w:rPr>
          <w:rFonts w:hint="eastAsia"/>
          <w:color w:val="auto"/>
          <w:sz w:val="21"/>
          <w:szCs w:val="21"/>
          <w:highlight w:val="none"/>
        </w:rPr>
      </w:pPr>
      <w:bookmarkStart w:id="1867" w:name="_Toc532377385"/>
      <w:bookmarkStart w:id="1868" w:name="_Toc532375649"/>
      <w:r>
        <w:rPr>
          <w:rFonts w:hint="eastAsia"/>
          <w:color w:val="auto"/>
          <w:sz w:val="21"/>
          <w:szCs w:val="21"/>
          <w:highlight w:val="none"/>
        </w:rPr>
        <w:t>12.3 计量</w:t>
      </w:r>
      <w:bookmarkEnd w:id="1867"/>
      <w:bookmarkEnd w:id="1868"/>
    </w:p>
    <w:p>
      <w:pPr>
        <w:spacing w:line="360" w:lineRule="auto"/>
        <w:ind w:firstLine="420" w:firstLineChars="200"/>
        <w:jc w:val="left"/>
        <w:rPr>
          <w:rFonts w:hint="eastAsia" w:ascii="宋体" w:hAnsi="宋体"/>
          <w:color w:val="auto"/>
          <w:szCs w:val="21"/>
          <w:highlight w:val="none"/>
        </w:rPr>
      </w:pPr>
      <w:bookmarkStart w:id="1869" w:name="_Hlk528928260"/>
      <w:r>
        <w:rPr>
          <w:rFonts w:hint="eastAsia" w:ascii="宋体" w:hAnsi="宋体"/>
          <w:color w:val="auto"/>
          <w:szCs w:val="21"/>
          <w:highlight w:val="none"/>
        </w:rPr>
        <w:t>12.3.1 计量原则</w:t>
      </w:r>
    </w:p>
    <w:p>
      <w:pPr>
        <w:tabs>
          <w:tab w:val="left" w:pos="1134"/>
        </w:tabs>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869"/>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12.3.2 计量周期</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12.3.3 单价合同的计量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关于单价合同计量的约定：</w:t>
      </w:r>
    </w:p>
    <w:p>
      <w:pPr>
        <w:spacing w:line="360" w:lineRule="auto"/>
        <w:ind w:firstLine="420" w:firstLineChars="200"/>
        <w:jc w:val="left"/>
        <w:rPr>
          <w:rFonts w:hint="eastAsia" w:ascii="宋体" w:hAnsi="宋体"/>
          <w:color w:val="auto"/>
          <w:szCs w:val="21"/>
          <w:highlight w:val="none"/>
          <w:u w:val="single"/>
        </w:rPr>
      </w:pPr>
      <w:bookmarkStart w:id="1870" w:name="_Hlk528926162"/>
      <w:r>
        <w:rPr>
          <w:rFonts w:hint="eastAsia" w:ascii="宋体" w:hAnsi="宋体"/>
          <w:color w:val="auto"/>
          <w:szCs w:val="21"/>
          <w:highlight w:val="none"/>
          <w:u w:val="single"/>
        </w:rPr>
        <w:t>（1）承包人应于当月  日前向监理人报送上月已完成的工程量，并附进度付款申请单、已完成工程量报表和其他有关资料</w:t>
      </w:r>
      <w:r>
        <w:rPr>
          <w:rFonts w:hint="eastAsia" w:ascii="宋体" w:hAnsi="宋体"/>
          <w:color w:val="auto"/>
          <w:szCs w:val="21"/>
          <w:highlight w:val="none"/>
        </w:rPr>
        <w:t>。</w:t>
      </w:r>
    </w:p>
    <w:bookmarkEnd w:id="1870"/>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12.3.4 总价合同的计量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按形象进度比例支付</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12.3.5总价合同采用支付分解表计量支付的，是否适用第12.3.4项〔总价合同的计量〕约定进行计量：</w:t>
      </w:r>
      <w:r>
        <w:rPr>
          <w:rFonts w:hint="eastAsia" w:ascii="宋体" w:hAnsi="宋体"/>
          <w:color w:val="auto"/>
          <w:szCs w:val="21"/>
          <w:highlight w:val="none"/>
          <w:u w:val="single"/>
        </w:rPr>
        <w:t>适用</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12.3.6 其他价格形式合同的计量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不采用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871" w:name="_Toc532375650"/>
      <w:bookmarkStart w:id="1872" w:name="_Toc532377386"/>
      <w:bookmarkStart w:id="1873" w:name="_Hlk528928289"/>
      <w:r>
        <w:rPr>
          <w:rFonts w:hint="eastAsia"/>
          <w:color w:val="auto"/>
          <w:sz w:val="21"/>
          <w:szCs w:val="21"/>
          <w:highlight w:val="none"/>
        </w:rPr>
        <w:t>12.4 工程进度款支付</w:t>
      </w:r>
      <w:bookmarkEnd w:id="1871"/>
      <w:bookmarkEnd w:id="1872"/>
    </w:p>
    <w:bookmarkEnd w:id="1873"/>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12.4.1 付款周期</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关于付款周期的约定：</w:t>
      </w:r>
      <w:r>
        <w:rPr>
          <w:rFonts w:hint="eastAsia" w:ascii="宋体" w:hAnsi="宋体"/>
          <w:color w:val="auto"/>
          <w:szCs w:val="21"/>
          <w:highlight w:val="none"/>
          <w:u w:val="single"/>
        </w:rPr>
        <w:t>按月计量支付进度款（按进度、按节点计量支付进度款的参考按月计量支付进度款原则执行）</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12.4.2 进度付款申请单的编制</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进度付款申请单应包括下列内容：</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（1）截至本次付款周期已完成工作对应的金额</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（2）根据第10条〔变更〕应增加和扣减的已审定变更金额</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（3）根据第12.2款〔预付款〕约定应支付的预付款和扣减的返还预付款</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（4）根据第15.3款〔质量保证金〕约定应扣减的质量保证金</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（5）根据第19条〔索赔〕应增加和扣减的已审定索赔金额</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（6）根据第11条〔价格调整〕应增加和扣减的价格调整金额</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（7）对已签发的进度款支付证书中出现错误的修正，应在本次进度付款中支付或扣除的金额</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（8）根据合同约定承包人应向发包人支付的违约金</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（9）根据合同约定发包人应向承包人支付的违约金和（或）奖励</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（10）根据合同约定应增加和扣减的其他金额</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（11）当月应支付的人工费（工资款）金额</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12.4.3 进度付款申请单的提交</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（1）单价合同进度付款申请单提交的约定：</w:t>
      </w:r>
      <w:r>
        <w:rPr>
          <w:rFonts w:hint="eastAsia" w:ascii="宋体" w:hAnsi="宋体"/>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不采用</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12.4.4 进度款审核和支付</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收到完整资料后7天内</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发包人收到监理人报送资料后7天内完成审批并签发进度款支付证书</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发包人签发进度款支付证书或临时进度款支付证书，不表明发包人已同意、批准或接受了承包人完成的相应部分的工作。</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（2）进度款支付：</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①发票要求：承包人须严格按照合同内容开具增值税专用发票，承包人在发包人付款前7个工作日需向发包人开具相应的发票。承包人需在发票开具时间30天以内将发票送达发包人。</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②初验完工后，支付合同总价的80%作为工程进度款：</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③工程竣工验收合格后，若无变更则付至合同总价的97%，若有变更则须完成造价审计核算后，付至审定结算金额的97%；</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④工程验收合格交付使用后两年质保到期后十日内付清余款，即合同总价（有变更的为审定结算金额）的3%。</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⑤其他约定</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（1）结算审计减审率超过5%，效益审计费由乙方支付。</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（2）本工程增值税发票税率为9%，国家税率调整除外。</w:t>
      </w:r>
    </w:p>
    <w:p>
      <w:pPr>
        <w:pStyle w:val="7"/>
        <w:spacing w:before="0" w:beforeAutospacing="0" w:after="0" w:afterAutospacing="0" w:line="360" w:lineRule="auto"/>
        <w:ind w:firstLine="422" w:firstLineChars="200"/>
        <w:rPr>
          <w:rFonts w:hint="eastAsia"/>
          <w:color w:val="auto"/>
          <w:sz w:val="21"/>
          <w:szCs w:val="21"/>
          <w:highlight w:val="none"/>
        </w:rPr>
      </w:pPr>
      <w:bookmarkStart w:id="1874" w:name="_Toc351203585"/>
      <w:bookmarkStart w:id="1875" w:name="_Toc532377387"/>
      <w:r>
        <w:rPr>
          <w:rFonts w:hint="eastAsia"/>
          <w:color w:val="auto"/>
          <w:sz w:val="21"/>
          <w:szCs w:val="21"/>
          <w:highlight w:val="none"/>
        </w:rPr>
        <w:t>12.5支付账户</w:t>
      </w:r>
      <w:bookmarkEnd w:id="1874"/>
      <w:bookmarkEnd w:id="1875"/>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发包人应将合同价款支付至如下承包人指定的开户银行及银行账户：</w:t>
      </w:r>
    </w:p>
    <w:p>
      <w:pPr>
        <w:spacing w:line="360" w:lineRule="auto"/>
        <w:ind w:firstLine="42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rPr>
        <w:t>收款单位名称：</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收款账号：</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收款开户银行：</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发包人应按行业主管部门的相关规定将人工费（工资款）支付至承包人指定的农民工工资专用账户。</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876" w:name="_Toc532375651"/>
      <w:bookmarkStart w:id="1877" w:name="_Toc351203645"/>
      <w:bookmarkStart w:id="1878" w:name="_Toc532377388"/>
      <w:bookmarkStart w:id="1879" w:name="_Toc303539172"/>
      <w:bookmarkStart w:id="1880" w:name="_Toc296347218"/>
      <w:bookmarkStart w:id="1881" w:name="_Toc292559424"/>
      <w:bookmarkStart w:id="1882" w:name="_Toc296944558"/>
      <w:bookmarkStart w:id="1883" w:name="_Toc300935015"/>
      <w:bookmarkStart w:id="1884" w:name="_Toc297120519"/>
      <w:bookmarkStart w:id="1885" w:name="_Toc312678053"/>
      <w:bookmarkStart w:id="1886" w:name="_Toc297048405"/>
      <w:bookmarkStart w:id="1887" w:name="_Toc296346720"/>
      <w:bookmarkStart w:id="1888" w:name="_Toc296503219"/>
      <w:bookmarkStart w:id="1889" w:name="_Toc297216223"/>
      <w:bookmarkStart w:id="1890" w:name="_Toc304295593"/>
      <w:bookmarkStart w:id="1891" w:name="_Toc292559929"/>
      <w:bookmarkStart w:id="1892" w:name="_Toc296891259"/>
      <w:bookmarkStart w:id="1893" w:name="_Toc296891047"/>
      <w:bookmarkStart w:id="1894" w:name="_Toc297123564"/>
      <w:r>
        <w:rPr>
          <w:rFonts w:hint="eastAsia"/>
          <w:color w:val="auto"/>
          <w:kern w:val="2"/>
          <w:sz w:val="21"/>
          <w:szCs w:val="21"/>
          <w:highlight w:val="none"/>
        </w:rPr>
        <w:t>13. 验收和工程试车</w:t>
      </w:r>
      <w:bookmarkEnd w:id="1876"/>
      <w:bookmarkEnd w:id="1877"/>
      <w:bookmarkEnd w:id="1878"/>
    </w:p>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Pr>
        <w:pStyle w:val="7"/>
        <w:spacing w:before="0" w:beforeAutospacing="0" w:after="0" w:afterAutospacing="0" w:line="360" w:lineRule="auto"/>
        <w:ind w:firstLine="422" w:firstLineChars="200"/>
        <w:rPr>
          <w:rFonts w:hint="eastAsia"/>
          <w:color w:val="auto"/>
          <w:sz w:val="21"/>
          <w:szCs w:val="21"/>
          <w:highlight w:val="none"/>
        </w:rPr>
      </w:pPr>
      <w:bookmarkStart w:id="1895" w:name="_Toc532377389"/>
      <w:bookmarkStart w:id="1896" w:name="_Toc532375652"/>
      <w:bookmarkStart w:id="1897" w:name="_Toc280868704"/>
      <w:bookmarkStart w:id="1898" w:name="_Toc280868705"/>
      <w:bookmarkStart w:id="1899" w:name="_Toc280868706"/>
      <w:bookmarkStart w:id="1900" w:name="_Toc280868707"/>
      <w:bookmarkStart w:id="1901" w:name="_Toc280868708"/>
      <w:bookmarkStart w:id="1902" w:name="_Toc267251470"/>
      <w:bookmarkStart w:id="1903" w:name="_Toc280868709"/>
      <w:bookmarkStart w:id="1904" w:name="_Toc267251472"/>
      <w:bookmarkStart w:id="1905" w:name="_Toc267251473"/>
      <w:bookmarkStart w:id="1906" w:name="_Toc267251476"/>
      <w:bookmarkStart w:id="1907" w:name="_Toc267251474"/>
      <w:bookmarkStart w:id="1908" w:name="_Toc267251475"/>
      <w:bookmarkStart w:id="1909" w:name="_Toc267251471"/>
      <w:r>
        <w:rPr>
          <w:rFonts w:hint="eastAsia"/>
          <w:color w:val="auto"/>
          <w:sz w:val="21"/>
          <w:szCs w:val="21"/>
          <w:highlight w:val="none"/>
        </w:rPr>
        <w:t>13.1 分部分项工程验收</w:t>
      </w:r>
      <w:bookmarkEnd w:id="1895"/>
      <w:bookmarkEnd w:id="1896"/>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pPr>
        <w:pStyle w:val="7"/>
        <w:spacing w:before="0" w:beforeAutospacing="0" w:after="0" w:afterAutospacing="0" w:line="360" w:lineRule="auto"/>
        <w:ind w:firstLine="422" w:firstLineChars="200"/>
        <w:rPr>
          <w:rFonts w:hint="eastAsia"/>
          <w:color w:val="auto"/>
          <w:sz w:val="21"/>
          <w:szCs w:val="21"/>
          <w:highlight w:val="none"/>
        </w:rPr>
      </w:pPr>
      <w:bookmarkStart w:id="1910" w:name="_Toc532375653"/>
      <w:bookmarkStart w:id="1911" w:name="_Toc532377390"/>
      <w:bookmarkStart w:id="1912" w:name="_Toc296891051"/>
      <w:bookmarkStart w:id="1913" w:name="_Toc297216224"/>
      <w:bookmarkStart w:id="1914" w:name="_Toc296503223"/>
      <w:bookmarkStart w:id="1915" w:name="_Toc292559428"/>
      <w:bookmarkStart w:id="1916" w:name="_Toc296347222"/>
      <w:bookmarkStart w:id="1917" w:name="_Toc303539173"/>
      <w:bookmarkStart w:id="1918" w:name="_Toc296891263"/>
      <w:bookmarkStart w:id="1919" w:name="_Toc312678056"/>
      <w:bookmarkStart w:id="1920" w:name="_Toc297123565"/>
      <w:bookmarkStart w:id="1921" w:name="_Toc297048409"/>
      <w:bookmarkStart w:id="1922" w:name="_Toc304295596"/>
      <w:bookmarkStart w:id="1923" w:name="_Toc300935016"/>
      <w:bookmarkStart w:id="1924" w:name="_Toc296944562"/>
      <w:bookmarkStart w:id="1925" w:name="_Toc297120523"/>
      <w:bookmarkStart w:id="1926" w:name="_Toc292559933"/>
      <w:bookmarkStart w:id="1927" w:name="_Toc296346724"/>
      <w:r>
        <w:rPr>
          <w:rFonts w:hint="eastAsia"/>
          <w:color w:val="auto"/>
          <w:sz w:val="21"/>
          <w:szCs w:val="21"/>
          <w:highlight w:val="none"/>
        </w:rPr>
        <w:t>13.2 竣工验收</w:t>
      </w:r>
      <w:bookmarkEnd w:id="1910"/>
      <w:bookmarkEnd w:id="1911"/>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13.2.2竣工验收程序</w:t>
      </w:r>
    </w:p>
    <w:bookmarkEnd w:id="1897"/>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（3）已按合同约定的内容和份数备齐竣工资料。</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工程竣工及竣工资料：</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rPr>
        <w:t>承包人提供纸质版竣工图三套，电子版竣工图二套（刻光盘）</w:t>
      </w:r>
      <w:r>
        <w:rPr>
          <w:rFonts w:hint="eastAsia" w:ascii="宋体" w:hAnsi="宋体"/>
          <w:color w:val="auto"/>
          <w:szCs w:val="21"/>
          <w:highlight w:val="none"/>
        </w:rPr>
        <w:t>。</w:t>
      </w:r>
    </w:p>
    <w:bookmarkEnd w:id="1898"/>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13.2.5 移交、接收全部与部分工程</w:t>
      </w:r>
    </w:p>
    <w:bookmarkEnd w:id="1899"/>
    <w:p>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900"/>
    <w:p>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928" w:name="_Toc532375654"/>
      <w:bookmarkStart w:id="1929" w:name="_Toc532377391"/>
      <w:r>
        <w:rPr>
          <w:rFonts w:hint="eastAsia"/>
          <w:color w:val="auto"/>
          <w:sz w:val="21"/>
          <w:szCs w:val="21"/>
          <w:highlight w:val="none"/>
        </w:rPr>
        <w:t>13.3 工程试车</w:t>
      </w:r>
      <w:bookmarkEnd w:id="1928"/>
      <w:bookmarkEnd w:id="1929"/>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13.3.1 试车程序</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pStyle w:val="7"/>
        <w:spacing w:before="0" w:beforeAutospacing="0" w:after="0" w:afterAutospacing="0" w:line="360" w:lineRule="auto"/>
        <w:ind w:firstLine="422" w:firstLineChars="200"/>
        <w:rPr>
          <w:rFonts w:hint="eastAsia"/>
          <w:color w:val="auto"/>
          <w:sz w:val="21"/>
          <w:szCs w:val="21"/>
          <w:highlight w:val="none"/>
        </w:rPr>
      </w:pPr>
      <w:bookmarkStart w:id="1930" w:name="_Toc532377392"/>
      <w:bookmarkStart w:id="1931" w:name="_Toc532375655"/>
      <w:r>
        <w:rPr>
          <w:rFonts w:hint="eastAsia"/>
          <w:color w:val="auto"/>
          <w:sz w:val="21"/>
          <w:szCs w:val="21"/>
          <w:highlight w:val="none"/>
        </w:rPr>
        <w:t>13.6 竣工退场</w:t>
      </w:r>
      <w:bookmarkEnd w:id="1930"/>
      <w:bookmarkEnd w:id="1931"/>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13.6.1 竣工退场</w:t>
      </w:r>
    </w:p>
    <w:p>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highlight w:val="none"/>
        </w:rPr>
        <w:t>。</w:t>
      </w:r>
    </w:p>
    <w:bookmarkEnd w:id="1901"/>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32" w:name="_Toc532375656"/>
      <w:bookmarkStart w:id="1933" w:name="_Toc351203646"/>
      <w:bookmarkStart w:id="1934" w:name="_Toc532377393"/>
      <w:r>
        <w:rPr>
          <w:rFonts w:hint="eastAsia"/>
          <w:color w:val="auto"/>
          <w:kern w:val="2"/>
          <w:sz w:val="21"/>
          <w:szCs w:val="21"/>
          <w:highlight w:val="none"/>
        </w:rPr>
        <w:t>14. 竣工结算</w:t>
      </w:r>
      <w:bookmarkEnd w:id="1932"/>
      <w:bookmarkEnd w:id="1933"/>
      <w:bookmarkEnd w:id="1934"/>
    </w:p>
    <w:p>
      <w:pPr>
        <w:pStyle w:val="7"/>
        <w:spacing w:before="0" w:beforeAutospacing="0" w:after="0" w:afterAutospacing="0" w:line="360" w:lineRule="auto"/>
        <w:ind w:firstLine="422" w:firstLineChars="200"/>
        <w:rPr>
          <w:rFonts w:hint="eastAsia"/>
          <w:color w:val="auto"/>
          <w:sz w:val="21"/>
          <w:szCs w:val="21"/>
          <w:highlight w:val="none"/>
        </w:rPr>
      </w:pPr>
      <w:bookmarkStart w:id="1935" w:name="_Toc532375657"/>
      <w:bookmarkStart w:id="1936" w:name="_Toc532377394"/>
      <w:r>
        <w:rPr>
          <w:rFonts w:hint="eastAsia"/>
          <w:color w:val="auto"/>
          <w:sz w:val="21"/>
          <w:szCs w:val="21"/>
          <w:highlight w:val="none"/>
        </w:rPr>
        <w:t>14.1 竣工结算申请</w:t>
      </w:r>
      <w:bookmarkEnd w:id="1935"/>
      <w:bookmarkEnd w:id="1936"/>
    </w:p>
    <w:p>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承包人提交竣工结算申请单的期限：</w:t>
      </w:r>
      <w:r>
        <w:rPr>
          <w:rFonts w:hint="eastAsia" w:ascii="宋体" w:hAnsi="宋体"/>
          <w:color w:val="auto"/>
          <w:szCs w:val="21"/>
          <w:highlight w:val="none"/>
          <w:u w:val="single"/>
        </w:rPr>
        <w:t>承包人应在工程竣工验收合格且报送</w:t>
      </w:r>
      <w:r>
        <w:rPr>
          <w:rFonts w:ascii="宋体" w:hAnsi="宋体"/>
          <w:color w:val="auto"/>
          <w:szCs w:val="21"/>
          <w:highlight w:val="none"/>
          <w:u w:val="single"/>
        </w:rPr>
        <w:t>完整工程竣工资料</w:t>
      </w:r>
      <w:r>
        <w:rPr>
          <w:rFonts w:hint="eastAsia" w:ascii="宋体" w:hAnsi="宋体"/>
          <w:color w:val="auto"/>
          <w:szCs w:val="21"/>
          <w:highlight w:val="none"/>
          <w:u w:val="single"/>
        </w:rPr>
        <w:t>之日起28天内向监理人、发包人提交竣工结算申请单，并向发包人报送完整的工程竣工资料及经监理人初审确认的完整的竣工结算资料</w:t>
      </w:r>
      <w:bookmarkStart w:id="1937" w:name="_Hlk524297994"/>
      <w:r>
        <w:rPr>
          <w:rFonts w:hint="eastAsia" w:ascii="宋体" w:hAns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竣工结算申请单包括但不限于以下内容：</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（1）竣工结算合同价格；</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（2）变更增减金额；</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（3）现场签证增减金额；</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（4）索赔增减金额；</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（5）奖励、罚金及违约金；</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（6）发包人已支付承包人的款项；</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（7）应扣留的质量保证金；</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（8）发包人应支付承包人的合同价款。</w:t>
      </w:r>
      <w:bookmarkEnd w:id="1937"/>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938" w:name="_Toc532375658"/>
      <w:bookmarkStart w:id="1939" w:name="_Toc532377395"/>
      <w:r>
        <w:rPr>
          <w:rFonts w:hint="eastAsia"/>
          <w:color w:val="auto"/>
          <w:sz w:val="21"/>
          <w:szCs w:val="21"/>
          <w:highlight w:val="none"/>
        </w:rPr>
        <w:t>14.2 竣工结算审核</w:t>
      </w:r>
      <w:bookmarkEnd w:id="1938"/>
      <w:bookmarkEnd w:id="1939"/>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14.2.1 竣工结算办法</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14.2.1.1计量原则</w:t>
      </w:r>
    </w:p>
    <w:p>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按照第12.3.1项〔计量原则〕约定执行。</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14.2.1.2计价原则</w:t>
      </w:r>
    </w:p>
    <w:p>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具体结算办法如下：</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（1）分部分项工程：</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④合同、已标价工程量清单和招标文件另有约定的，按照其约定执行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（2）措施项目：</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②工程变更引起施工方案改变使措施项目发生变化的，经监理人、发包人确定后可对按第10.4.3项约定执行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③安全文明施工费按照《重庆市住房和城乡建设委员会关于修订发布〈重庆市建设工程安全文明施工费计取及使用管理规定〉的通知》（渝建发〔2024〕38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（3）其他项目：</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①材料（工程设备）暂估价：</w:t>
      </w:r>
      <w:r>
        <w:rPr>
          <w:rFonts w:hint="eastAsia" w:ascii="宋体" w:hAnsi="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②专业工程暂估价：</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1）对于不属于依法必须招标的暂估价项目：按发包人审定的价格进行结算</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3）总承包服务费：总承包服务费包干使用，结算时不作调整</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（4）价格调整：</w:t>
      </w:r>
      <w:r>
        <w:rPr>
          <w:rFonts w:hint="eastAsia" w:ascii="宋体" w:hAnsi="宋体"/>
          <w:color w:val="auto"/>
          <w:szCs w:val="21"/>
          <w:highlight w:val="none"/>
          <w:u w:val="single"/>
        </w:rPr>
        <w:t>按照第11条〔价格调整〕约定约定执行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（5）工程变更、索赔与现场签证：</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2）索赔：按照第10.4.1项〔变更估价原则〕和第14.2.1项〔竣工结算办法〕约定执行。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3）现场签证：按照第10.4.1项〔变更估价原则〕和第14.2.1项〔竣工结算办法〕约定执行。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（6）奖励、罚金、违约金及其他费用：</w:t>
      </w:r>
      <w:r>
        <w:rPr>
          <w:rFonts w:hint="eastAsia" w:ascii="宋体" w:hAnsi="宋体"/>
          <w:color w:val="auto"/>
          <w:szCs w:val="21"/>
          <w:highlight w:val="none"/>
          <w:u w:val="single"/>
        </w:rPr>
        <w:t>按实进行结算</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（7）规费：已标价工程量清单中规费费用按《重庆市建设工程费用定额》（CQFYDE-2018）执行。</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14.2.1.3竣工结算价</w:t>
      </w:r>
    </w:p>
    <w:p>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bookmarkStart w:id="1940" w:name="_Hlk528660512"/>
      <w:r>
        <w:rPr>
          <w:rFonts w:hint="eastAsia" w:ascii="宋体" w:hAnsi="宋体"/>
          <w:color w:val="auto"/>
          <w:szCs w:val="21"/>
          <w:highlight w:val="none"/>
          <w:u w:val="single"/>
        </w:rPr>
        <w:t>以发包人会同跟审单位、监理人、承包人根据有效资料共同确定竣工结算金额作为合同竣工结算价</w:t>
      </w:r>
      <w:r>
        <w:rPr>
          <w:rFonts w:hint="eastAsia" w:ascii="宋体" w:hAnsi="宋体"/>
          <w:color w:val="auto"/>
          <w:szCs w:val="21"/>
          <w:highlight w:val="none"/>
        </w:rPr>
        <w:t>。</w:t>
      </w:r>
    </w:p>
    <w:bookmarkEnd w:id="1940"/>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14.2.2 竣工结算审核期限</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监理人审核竣工付款申请单的期限：</w:t>
      </w:r>
      <w:r>
        <w:rPr>
          <w:rFonts w:hint="eastAsia" w:ascii="宋体" w:hAnsi="宋体"/>
          <w:color w:val="auto"/>
          <w:szCs w:val="21"/>
          <w:highlight w:val="none"/>
          <w:u w:val="single"/>
        </w:rPr>
        <w:t>在收到竣工结算申请单后 10 天内</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发包人审核竣工付款申请单的期限：</w:t>
      </w:r>
      <w:r>
        <w:rPr>
          <w:rFonts w:hint="eastAsia" w:ascii="宋体" w:hAnsi="宋体"/>
          <w:color w:val="auto"/>
          <w:szCs w:val="21"/>
          <w:highlight w:val="none"/>
          <w:u w:val="single"/>
        </w:rPr>
        <w:t>收到监理人提交的经审核的竣工结算申请单后 10 天内</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完成竣工付款申请单审核后30天内</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pPr>
        <w:pStyle w:val="7"/>
        <w:spacing w:before="0" w:beforeAutospacing="0" w:after="0" w:afterAutospacing="0" w:line="360" w:lineRule="auto"/>
        <w:ind w:firstLine="422" w:firstLineChars="200"/>
        <w:rPr>
          <w:rFonts w:hint="eastAsia"/>
          <w:color w:val="auto"/>
          <w:sz w:val="21"/>
          <w:szCs w:val="21"/>
          <w:highlight w:val="none"/>
        </w:rPr>
      </w:pPr>
      <w:bookmarkStart w:id="1941" w:name="_Toc532375659"/>
      <w:bookmarkStart w:id="1942" w:name="_Toc532377396"/>
      <w:r>
        <w:rPr>
          <w:rFonts w:hint="eastAsia"/>
          <w:color w:val="auto"/>
          <w:sz w:val="21"/>
          <w:szCs w:val="21"/>
          <w:highlight w:val="none"/>
        </w:rPr>
        <w:t>14.4 最终结清</w:t>
      </w:r>
      <w:bookmarkEnd w:id="1941"/>
      <w:bookmarkEnd w:id="1942"/>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14.4.1 最终结清申请单</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14.4.2 最终结清证书和支付</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本条补充14.5款：</w:t>
      </w:r>
    </w:p>
    <w:bookmarkEnd w:id="1902"/>
    <w:bookmarkEnd w:id="1903"/>
    <w:bookmarkEnd w:id="1904"/>
    <w:bookmarkEnd w:id="1905"/>
    <w:bookmarkEnd w:id="1906"/>
    <w:bookmarkEnd w:id="1907"/>
    <w:bookmarkEnd w:id="1908"/>
    <w:bookmarkEnd w:id="1909"/>
    <w:p>
      <w:pPr>
        <w:pStyle w:val="7"/>
        <w:spacing w:before="0" w:beforeAutospacing="0" w:after="0" w:afterAutospacing="0" w:line="360" w:lineRule="auto"/>
        <w:ind w:firstLine="422" w:firstLineChars="200"/>
        <w:rPr>
          <w:rFonts w:hint="eastAsia"/>
          <w:color w:val="auto"/>
          <w:sz w:val="21"/>
          <w:szCs w:val="21"/>
          <w:highlight w:val="none"/>
        </w:rPr>
      </w:pPr>
      <w:bookmarkStart w:id="1943" w:name="_Toc532375660"/>
      <w:bookmarkStart w:id="1944" w:name="_Toc532377397"/>
      <w:r>
        <w:rPr>
          <w:rFonts w:hint="eastAsia"/>
          <w:color w:val="auto"/>
          <w:sz w:val="21"/>
          <w:szCs w:val="21"/>
          <w:highlight w:val="none"/>
        </w:rPr>
        <w:t>14.5 逾期办理或不配合办理竣工结算的处理</w:t>
      </w:r>
      <w:bookmarkEnd w:id="1943"/>
      <w:bookmarkEnd w:id="1944"/>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945" w:name="_Hlk529133622"/>
      <w:r>
        <w:rPr>
          <w:rFonts w:hint="eastAsia" w:ascii="宋体" w:hAnsi="宋体"/>
          <w:color w:val="auto"/>
          <w:szCs w:val="21"/>
          <w:highlight w:val="none"/>
        </w:rPr>
        <w:t>次书面催告仍未在限期内报送的</w:t>
      </w:r>
      <w:bookmarkEnd w:id="1945"/>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1610"/>
    <w:bookmarkEnd w:id="1611"/>
    <w:bookmarkEnd w:id="1612"/>
    <w:bookmarkEnd w:id="1613"/>
    <w:bookmarkEnd w:id="1614"/>
    <w:bookmarkEnd w:id="1615"/>
    <w:bookmarkEnd w:id="1616"/>
    <w:bookmarkEnd w:id="1617"/>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46" w:name="_Toc532375661"/>
      <w:bookmarkStart w:id="1947" w:name="_Toc351203647"/>
      <w:bookmarkStart w:id="1948" w:name="_Toc532377398"/>
      <w:bookmarkStart w:id="1949" w:name="_Toc267251483"/>
      <w:bookmarkStart w:id="1950" w:name="_Toc280868717"/>
      <w:bookmarkStart w:id="1951" w:name="_Toc280868718"/>
      <w:r>
        <w:rPr>
          <w:rFonts w:hint="eastAsia"/>
          <w:color w:val="auto"/>
          <w:kern w:val="2"/>
          <w:sz w:val="21"/>
          <w:szCs w:val="21"/>
          <w:highlight w:val="none"/>
        </w:rPr>
        <w:t>15. 缺陷责任期与保修</w:t>
      </w:r>
      <w:bookmarkEnd w:id="1946"/>
      <w:bookmarkEnd w:id="1947"/>
      <w:bookmarkEnd w:id="1948"/>
    </w:p>
    <w:bookmarkEnd w:id="1949"/>
    <w:p>
      <w:pPr>
        <w:pStyle w:val="7"/>
        <w:spacing w:before="0" w:beforeAutospacing="0" w:after="0" w:afterAutospacing="0" w:line="360" w:lineRule="auto"/>
        <w:ind w:firstLine="422" w:firstLineChars="200"/>
        <w:rPr>
          <w:rFonts w:hint="eastAsia"/>
          <w:color w:val="auto"/>
          <w:sz w:val="21"/>
          <w:szCs w:val="21"/>
          <w:highlight w:val="none"/>
        </w:rPr>
      </w:pPr>
      <w:bookmarkStart w:id="1952" w:name="_Toc532377399"/>
      <w:bookmarkStart w:id="1953" w:name="_Toc532375662"/>
      <w:r>
        <w:rPr>
          <w:rFonts w:hint="eastAsia"/>
          <w:color w:val="auto"/>
          <w:sz w:val="21"/>
          <w:szCs w:val="21"/>
          <w:highlight w:val="none"/>
        </w:rPr>
        <w:t>15.3 质量保证金</w:t>
      </w:r>
      <w:bookmarkEnd w:id="1952"/>
      <w:bookmarkEnd w:id="1953"/>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15.3.1 承包人提供质量保证金的方式</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（2）</w:t>
      </w:r>
      <w:r>
        <w:rPr>
          <w:rFonts w:hint="eastAsia" w:ascii="宋体" w:hAnsi="宋体"/>
          <w:color w:val="auto"/>
          <w:szCs w:val="21"/>
          <w:highlight w:val="none"/>
        </w:rPr>
        <w:t>种方式：</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（1）质量保证金保函</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1）缴纳形式：</w:t>
      </w:r>
      <w:r>
        <w:rPr>
          <w:rFonts w:hint="eastAsia" w:ascii="宋体" w:hAnsi="宋体"/>
          <w:color w:val="auto"/>
          <w:kern w:val="0"/>
          <w:szCs w:val="21"/>
          <w:highlight w:val="none"/>
        </w:rPr>
        <w:t>质量保证金保函包括银行保函、保证保险和担保保函</w:t>
      </w:r>
      <w:r>
        <w:rPr>
          <w:rFonts w:hint="eastAsia" w:ascii="宋体" w:hAnsi="宋体"/>
          <w:color w:val="auto"/>
          <w:szCs w:val="21"/>
          <w:highlight w:val="none"/>
        </w:rPr>
        <w:t>，其示范文本详见合同附件。</w:t>
      </w:r>
      <w:r>
        <w:rPr>
          <w:rFonts w:hint="eastAsia" w:ascii="宋体" w:hAnsi="宋体"/>
          <w:color w:val="auto"/>
          <w:kern w:val="0"/>
          <w:szCs w:val="21"/>
          <w:highlight w:val="none"/>
        </w:rPr>
        <w:t>承包人提交的质量保证金保函应严格执行其示范文本，不得对示范文本中的实质性内容进行修改</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2）具体要求：</w:t>
      </w:r>
      <w:r>
        <w:rPr>
          <w:rFonts w:hint="eastAsia" w:ascii="宋体" w:hAnsi="宋体"/>
          <w:color w:val="auto"/>
          <w:kern w:val="0"/>
          <w:szCs w:val="21"/>
          <w:highlight w:val="none"/>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15.3.2 质量保证金的扣留</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（2）</w:t>
      </w:r>
      <w:r>
        <w:rPr>
          <w:rFonts w:hint="eastAsia" w:ascii="宋体" w:hAnsi="宋体"/>
          <w:color w:val="auto"/>
          <w:szCs w:val="21"/>
          <w:highlight w:val="none"/>
        </w:rPr>
        <w:t>种方式：</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（2）工程竣工结算时一次性扣留质量保证金；</w:t>
      </w:r>
    </w:p>
    <w:p>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 </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15.3.3质量保证金的退还</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②不采用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954" w:name="_Toc532377400"/>
      <w:bookmarkStart w:id="1955" w:name="_Toc532375663"/>
      <w:r>
        <w:rPr>
          <w:rFonts w:hint="eastAsia"/>
          <w:color w:val="auto"/>
          <w:sz w:val="21"/>
          <w:szCs w:val="21"/>
          <w:highlight w:val="none"/>
        </w:rPr>
        <w:t>15.4 保修</w:t>
      </w:r>
      <w:bookmarkEnd w:id="1954"/>
      <w:bookmarkEnd w:id="1955"/>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15.4.1 保修责任</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工程保修期为：</w:t>
      </w:r>
      <w:bookmarkStart w:id="1956" w:name="_Hlk524381274"/>
      <w:r>
        <w:rPr>
          <w:rFonts w:hint="eastAsia" w:ascii="宋体" w:hAnsi="宋体"/>
          <w:color w:val="auto"/>
          <w:szCs w:val="21"/>
          <w:highlight w:val="none"/>
        </w:rPr>
        <w:t>按照附件1《工程质量保修书》的规定执行。</w:t>
      </w:r>
      <w:bookmarkEnd w:id="1956"/>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15.4.3 修复通知</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24小时内，最长不能超过48小时</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57" w:name="_Toc532377401"/>
      <w:bookmarkStart w:id="1958" w:name="_Toc532375664"/>
      <w:bookmarkStart w:id="1959" w:name="_Toc351203648"/>
      <w:r>
        <w:rPr>
          <w:rFonts w:hint="eastAsia"/>
          <w:color w:val="auto"/>
          <w:kern w:val="2"/>
          <w:sz w:val="21"/>
          <w:szCs w:val="21"/>
          <w:highlight w:val="none"/>
        </w:rPr>
        <w:t>16. 违约</w:t>
      </w:r>
      <w:bookmarkEnd w:id="1957"/>
      <w:bookmarkEnd w:id="1958"/>
      <w:bookmarkEnd w:id="1959"/>
    </w:p>
    <w:p>
      <w:pPr>
        <w:pStyle w:val="7"/>
        <w:spacing w:before="0" w:beforeAutospacing="0" w:after="0" w:afterAutospacing="0" w:line="360" w:lineRule="auto"/>
        <w:ind w:firstLine="422" w:firstLineChars="200"/>
        <w:rPr>
          <w:rFonts w:hint="eastAsia"/>
          <w:color w:val="auto"/>
          <w:sz w:val="21"/>
          <w:szCs w:val="21"/>
          <w:highlight w:val="none"/>
        </w:rPr>
      </w:pPr>
      <w:bookmarkStart w:id="1960" w:name="_Toc532377402"/>
      <w:r>
        <w:rPr>
          <w:rFonts w:hint="eastAsia"/>
          <w:color w:val="auto"/>
          <w:sz w:val="21"/>
          <w:szCs w:val="21"/>
          <w:highlight w:val="none"/>
        </w:rPr>
        <w:t>16.1 发包人违约</w:t>
      </w:r>
      <w:bookmarkEnd w:id="1960"/>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16.1.1 发包人违约的情形</w:t>
      </w:r>
    </w:p>
    <w:p>
      <w:pPr>
        <w:spacing w:line="360" w:lineRule="auto"/>
        <w:ind w:firstLine="420" w:firstLineChars="200"/>
        <w:rPr>
          <w:rFonts w:hint="eastAsia" w:ascii="宋体" w:hAnsi="宋体"/>
          <w:color w:val="auto"/>
          <w:szCs w:val="21"/>
          <w:highlight w:val="none"/>
        </w:rPr>
      </w:pPr>
      <w:r>
        <w:rPr>
          <w:rFonts w:hint="eastAsia" w:ascii="宋体" w:hAnsi="宋体" w:cs="Microsoft Sans Serif"/>
          <w:color w:val="auto"/>
          <w:kern w:val="0"/>
          <w:szCs w:val="21"/>
          <w:highlight w:val="none"/>
        </w:rPr>
        <w:t>除通用合同条款约定外，发包人违约的其他情形：</w:t>
      </w:r>
    </w:p>
    <w:p>
      <w:pPr>
        <w:spacing w:line="360" w:lineRule="auto"/>
        <w:ind w:firstLine="420" w:firstLineChars="200"/>
        <w:rPr>
          <w:rFonts w:hint="eastAsia" w:ascii="宋体" w:hAnsi="宋体"/>
          <w:color w:val="auto"/>
          <w:szCs w:val="21"/>
          <w:highlight w:val="none"/>
        </w:rPr>
      </w:pPr>
      <w:r>
        <w:rPr>
          <w:rFonts w:hint="eastAsia" w:ascii="宋体" w:hAnsi="宋体" w:cs="Microsoft Sans Serif"/>
          <w:color w:val="auto"/>
          <w:kern w:val="0"/>
          <w:szCs w:val="21"/>
          <w:highlight w:val="none"/>
        </w:rPr>
        <w:t>（1）根据专用合同条款7.5.1项因发包人原因导致工期延误的；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（2）因发包人原因未能及时办理完毕合同约定的许可、批准或备案的；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（3）因监理人未能按合同约定发出指示、指示延误或发出了错误指示而导致承包人费用增加和（或）工期延误的；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（5）因发包人原因造成工程质量未达到合同约定标准的；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（6）由于发包人原因对承包人造成的人员人身伤亡和财产损失的；</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（7）因发包人原因导致工程无法按期办理竣工验收或竣工结算的；</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（8）发包人无正当理由未按约定退还履约担保、低价风险担保、预付款担保或质量保证金的；</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（9）发包人不当提取履约担保、低价风险担保或质量保证金的；</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（10）发包人未按合同约定接收全部或部分工作的；</w:t>
      </w:r>
    </w:p>
    <w:p>
      <w:pPr>
        <w:pStyle w:val="64"/>
        <w:spacing w:line="360" w:lineRule="auto"/>
        <w:jc w:val="left"/>
        <w:rPr>
          <w:rFonts w:hint="eastAsia" w:ascii="宋体" w:hAnsi="宋体" w:cs="Microsoft Sans Serif"/>
          <w:color w:val="auto"/>
          <w:kern w:val="0"/>
          <w:sz w:val="21"/>
          <w:szCs w:val="21"/>
          <w:highlight w:val="none"/>
          <w:u w:val="single"/>
        </w:rPr>
      </w:pPr>
      <w:r>
        <w:rPr>
          <w:rFonts w:hint="eastAsia" w:ascii="宋体" w:hAnsi="宋体" w:cs="Microsoft Sans Serif"/>
          <w:color w:val="auto"/>
          <w:kern w:val="0"/>
          <w:sz w:val="21"/>
          <w:szCs w:val="21"/>
          <w:highlight w:val="none"/>
        </w:rPr>
        <w:t>（11）发包人未按合同约定办理保险的；</w:t>
      </w:r>
    </w:p>
    <w:p>
      <w:pPr>
        <w:snapToGrid w:val="0"/>
        <w:spacing w:line="360" w:lineRule="auto"/>
        <w:ind w:firstLine="420" w:firstLineChars="200"/>
        <w:jc w:val="left"/>
        <w:rPr>
          <w:rFonts w:hint="eastAsia" w:ascii="宋体" w:hAnsi="宋体" w:cs="Microsoft Sans Serif"/>
          <w:color w:val="auto"/>
          <w:kern w:val="0"/>
          <w:szCs w:val="21"/>
          <w:highlight w:val="none"/>
          <w:u w:val="single"/>
        </w:rPr>
      </w:pPr>
      <w:r>
        <w:rPr>
          <w:rFonts w:hint="eastAsia" w:ascii="宋体" w:hAnsi="宋体" w:cs="Microsoft Sans Serif"/>
          <w:color w:val="auto"/>
          <w:kern w:val="0"/>
          <w:szCs w:val="21"/>
          <w:highlight w:val="none"/>
          <w:u w:val="single"/>
        </w:rPr>
        <w:t xml:space="preserve">（12）其他：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pStyle w:val="6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16.1.2发包人违约的责任</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highlight w:val="none"/>
          <w:u w:val="single"/>
        </w:rPr>
        <w:t>违约金=应付未付金额×中国人民银行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u w:val="single"/>
        </w:rPr>
        <w:t>；逾期天数超过56天的，超过部分天数按上述利率的两倍计算并支付违约金</w:t>
      </w:r>
      <w:r>
        <w:rPr>
          <w:rFonts w:hint="eastAsia" w:ascii="宋体" w:hAnsi="宋体" w:cs="Microsoft Sans Serif"/>
          <w:color w:val="auto"/>
          <w:kern w:val="0"/>
          <w:szCs w:val="21"/>
          <w:highlight w:val="none"/>
        </w:rPr>
        <w:t>。</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（9）因发包人原因造成工程质量未达到合同约定标准的，由发包人承担由此增加的费用和（或）延误的工期，并支付合理利润。</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color w:val="auto"/>
          <w:kern w:val="0"/>
          <w:szCs w:val="21"/>
          <w:highlight w:val="none"/>
          <w:u w:val="single"/>
        </w:rPr>
      </w:pPr>
      <w:r>
        <w:rPr>
          <w:rFonts w:hint="eastAsia" w:ascii="宋体" w:hAnsi="宋体"/>
          <w:color w:val="auto"/>
          <w:szCs w:val="21"/>
          <w:highlight w:val="none"/>
        </w:rPr>
        <w:t>（13）</w:t>
      </w:r>
      <w:r>
        <w:rPr>
          <w:rFonts w:hint="eastAsia" w:ascii="宋体" w:hAnsi="宋体" w:cs="Microsoft Sans Serif"/>
          <w:color w:val="auto"/>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color w:val="auto"/>
          <w:kern w:val="0"/>
          <w:szCs w:val="21"/>
          <w:highlight w:val="none"/>
          <w:u w:val="single"/>
        </w:rPr>
        <w:t>计算公式：违约金=应退未退担保金额×中国人民银行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rPr>
        <w:t>。</w:t>
      </w:r>
    </w:p>
    <w:p>
      <w:pPr>
        <w:pStyle w:val="2"/>
        <w:spacing w:after="0"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（14）</w:t>
      </w:r>
      <w:r>
        <w:rPr>
          <w:rFonts w:hint="eastAsia" w:ascii="宋体" w:hAnsi="宋体"/>
          <w:color w:val="auto"/>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color w:val="auto"/>
          <w:szCs w:val="21"/>
          <w:highlight w:val="none"/>
        </w:rPr>
        <w:t>。</w:t>
      </w:r>
    </w:p>
    <w:p>
      <w:pPr>
        <w:pStyle w:val="2"/>
        <w:spacing w:after="0" w:line="360" w:lineRule="auto"/>
        <w:ind w:firstLine="420" w:firstLineChars="200"/>
        <w:rPr>
          <w:rFonts w:hint="eastAsia" w:ascii="宋体" w:hAnsi="宋体"/>
          <w:color w:val="auto"/>
          <w:szCs w:val="21"/>
          <w:highlight w:val="none"/>
        </w:rPr>
      </w:pPr>
      <w:r>
        <w:rPr>
          <w:rFonts w:hint="eastAsia" w:ascii="宋体" w:hAnsi="宋体" w:cs="Microsoft Sans Serif"/>
          <w:color w:val="auto"/>
          <w:kern w:val="0"/>
          <w:szCs w:val="21"/>
          <w:highlight w:val="none"/>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（17）发包人未按合同约定办理保险的违约责任：除按18.6.1项约定执行外，每延迟1天，按</w:t>
      </w:r>
      <w:r>
        <w:rPr>
          <w:rFonts w:hint="eastAsia" w:ascii="宋体" w:hAnsi="宋体" w:cs="Microsoft Sans Serif"/>
          <w:color w:val="auto"/>
          <w:kern w:val="0"/>
          <w:szCs w:val="21"/>
          <w:highlight w:val="none"/>
          <w:u w:val="single"/>
        </w:rPr>
        <w:t>500元/天</w:t>
      </w:r>
      <w:r>
        <w:rPr>
          <w:rFonts w:hint="eastAsia" w:ascii="宋体" w:hAnsi="宋体" w:cs="Microsoft Sans Serif"/>
          <w:color w:val="auto"/>
          <w:kern w:val="0"/>
          <w:szCs w:val="21"/>
          <w:highlight w:val="none"/>
        </w:rPr>
        <w:t>支付违约金。</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（18）其他：</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16.1.3 因发包人违约解除合同</w:t>
      </w:r>
    </w:p>
    <w:p>
      <w:pPr>
        <w:autoSpaceDE w:val="0"/>
        <w:autoSpaceDN w:val="0"/>
        <w:adjustRightIn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因发包人违约并致使合同目的不能实现的，承包人有权解除合同：</w:t>
      </w:r>
    </w:p>
    <w:p>
      <w:pPr>
        <w:autoSpaceDE w:val="0"/>
        <w:autoSpaceDN w:val="0"/>
        <w:adjustRightIn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（1）因发包人原因延迟支付合同价款超过180天的；</w:t>
      </w:r>
    </w:p>
    <w:p>
      <w:pPr>
        <w:autoSpaceDE w:val="0"/>
        <w:autoSpaceDN w:val="0"/>
        <w:adjustRightIn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（2）因发包人原因导致工期延误超过90天的；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（3）因发包人第16.1.2（5）违约情形导致暂停施工满56天，且发包人仍未纠正其违约行为的；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合同约定的承包人有权解除合同的其他情形</w:t>
      </w:r>
      <w:r>
        <w:rPr>
          <w:rFonts w:hint="eastAsia" w:ascii="宋体" w:hAnsi="宋体" w:cs="Microsoft Sans Serif"/>
          <w:color w:val="auto"/>
          <w:kern w:val="0"/>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16.1.4 因发包人违约解除合同后的付款</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（1）合同解除前所完成工作的价款；</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（2）承包人为工程施工订购并已付款的材料、工程设备和其他物品的价款；</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（3）承包人撤离施工现场以及遣散承包人人员的款项；</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（4）按照合同约定在合同解除前应支付的违约金；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（5）按照合同约定应当支付给承包人的其他款项；</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（6）按照合同约定应退还的质量保证金；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（7）因解除合同给承包人造成的损失；</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合同当事人未能就解除合同后的结清达成一致的，按照第20条〔争议解决〕的约定处理。</w:t>
      </w:r>
    </w:p>
    <w:p>
      <w:pPr>
        <w:snapToGrid w:val="0"/>
        <w:spacing w:line="360" w:lineRule="auto"/>
        <w:ind w:firstLine="420" w:firstLineChars="200"/>
        <w:jc w:val="left"/>
        <w:rPr>
          <w:rFonts w:hint="eastAsia"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rFonts w:hint="eastAsia"/>
          <w:color w:val="auto"/>
          <w:sz w:val="21"/>
          <w:szCs w:val="21"/>
          <w:highlight w:val="none"/>
        </w:rPr>
      </w:pPr>
      <w:bookmarkStart w:id="1961" w:name="_Toc532377403"/>
      <w:r>
        <w:rPr>
          <w:rFonts w:hint="eastAsia"/>
          <w:color w:val="auto"/>
          <w:sz w:val="21"/>
          <w:szCs w:val="21"/>
          <w:highlight w:val="none"/>
        </w:rPr>
        <w:t>16.2 承包人违约</w:t>
      </w:r>
      <w:bookmarkEnd w:id="1961"/>
    </w:p>
    <w:p>
      <w:pPr>
        <w:snapToGrid w:val="0"/>
        <w:spacing w:line="360" w:lineRule="auto"/>
        <w:ind w:firstLine="420" w:firstLineChars="200"/>
        <w:jc w:val="left"/>
        <w:rPr>
          <w:rFonts w:hint="eastAsia" w:ascii="宋体" w:hAnsi="宋体" w:cs="Microsoft Sans Serif"/>
          <w:color w:val="auto"/>
          <w:kern w:val="0"/>
          <w:szCs w:val="21"/>
          <w:highlight w:val="none"/>
        </w:rPr>
      </w:pPr>
      <w:bookmarkStart w:id="1962" w:name="_Hlk524380579"/>
      <w:r>
        <w:rPr>
          <w:rFonts w:hint="eastAsia" w:ascii="宋体" w:hAnsi="宋体" w:cs="Microsoft Sans Serif"/>
          <w:color w:val="auto"/>
          <w:kern w:val="0"/>
          <w:szCs w:val="21"/>
          <w:highlight w:val="none"/>
        </w:rPr>
        <w:t>16.2.1 承包人违约的情形</w:t>
      </w:r>
    </w:p>
    <w:p>
      <w:pPr>
        <w:snapToGrid w:val="0"/>
        <w:spacing w:line="360" w:lineRule="auto"/>
        <w:ind w:firstLine="420" w:firstLineChars="200"/>
        <w:jc w:val="left"/>
        <w:rPr>
          <w:rFonts w:hint="eastAsia"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1）承包人未提交主要施工管理人员劳动合同和社会保险证明的；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bookmarkEnd w:id="1962"/>
    <w:p>
      <w:pPr>
        <w:adjustRightInd w:val="0"/>
        <w:snapToGrid w:val="0"/>
        <w:spacing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pPr>
        <w:adjustRightInd w:val="0"/>
        <w:snapToGrid w:val="0"/>
        <w:spacing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（15）</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adjustRightInd w:val="0"/>
        <w:snapToGrid w:val="0"/>
        <w:spacing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pPr>
        <w:adjustRightInd w:val="0"/>
        <w:snapToGrid w:val="0"/>
        <w:spacing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万元（不超过签约合同价的3%）</w:t>
      </w:r>
      <w:r>
        <w:rPr>
          <w:rFonts w:hint="eastAsia" w:ascii="宋体" w:hAnsi="宋体" w:cs="Microsoft Sans Serif"/>
          <w:color w:val="auto"/>
          <w:kern w:val="0"/>
          <w:szCs w:val="21"/>
          <w:highlight w:val="none"/>
          <w:lang w:val="zh-CN"/>
        </w:rPr>
        <w:t>。</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支付违约金，违法转/分包商应在7天内撤离出场。</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（1～5）%</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万元（不超过签约合同价的3%）</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（0.5～2）%</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rPr>
        <w:t>（500～5000）元/次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highlight w:val="none"/>
          <w:u w:val="single"/>
        </w:rPr>
        <w:t>0.5～1‰</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w:t>
      </w:r>
      <w:r>
        <w:rPr>
          <w:rFonts w:hint="eastAsia" w:ascii="宋体" w:hAnsi="宋体" w:cs="Microsoft Sans Serif"/>
          <w:color w:val="auto"/>
          <w:kern w:val="0"/>
          <w:szCs w:val="21"/>
          <w:highlight w:val="none"/>
        </w:rPr>
        <w:t>万，累计不超过</w:t>
      </w:r>
      <w:r>
        <w:rPr>
          <w:rFonts w:hint="eastAsia" w:ascii="宋体" w:hAnsi="宋体" w:cs="Microsoft Sans Serif"/>
          <w:color w:val="auto"/>
          <w:kern w:val="0"/>
          <w:szCs w:val="21"/>
          <w:highlight w:val="none"/>
          <w:u w:val="single"/>
        </w:rPr>
        <w:t>200</w:t>
      </w:r>
      <w:r>
        <w:rPr>
          <w:rFonts w:hint="eastAsia" w:ascii="宋体" w:hAnsi="宋体" w:cs="Microsoft Sans Serif"/>
          <w:color w:val="auto"/>
          <w:kern w:val="0"/>
          <w:szCs w:val="21"/>
          <w:highlight w:val="none"/>
        </w:rPr>
        <w:t>万。</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（18）</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bookmarkStart w:id="1963" w:name="_Hlk524380347"/>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963"/>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w:t>
      </w:r>
      <w:r>
        <w:rPr>
          <w:rFonts w:hint="eastAsia" w:ascii="宋体" w:hAnsi="宋体" w:cs="Microsoft Sans Serif"/>
          <w:color w:val="auto"/>
          <w:kern w:val="0"/>
          <w:sz w:val="21"/>
          <w:szCs w:val="21"/>
          <w:highlight w:val="none"/>
          <w:u w:val="single"/>
        </w:rPr>
        <w:t>合同约定的发包人有权解除合同的其他情形</w:t>
      </w:r>
      <w:r>
        <w:rPr>
          <w:rFonts w:hint="eastAsia" w:ascii="宋体" w:hAnsi="宋体" w:cs="Microsoft Sans Serif"/>
          <w:color w:val="auto"/>
          <w:kern w:val="0"/>
          <w:sz w:val="21"/>
          <w:szCs w:val="21"/>
          <w:highlight w:val="none"/>
        </w:rPr>
        <w:t>。</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因承包人违约导致合同解除的，合同当事人应在合同解除后56天内完成估价、付款和清算，并按以下约定执行：</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pPr>
        <w:spacing w:line="360" w:lineRule="auto"/>
        <w:ind w:firstLine="420" w:firstLineChars="200"/>
        <w:jc w:val="left"/>
        <w:rPr>
          <w:rFonts w:hint="eastAsia" w:ascii="宋体" w:hAnsi="宋体"/>
          <w:color w:val="auto"/>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950"/>
    <w:bookmarkEnd w:id="1951"/>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64" w:name="_Toc532377404"/>
      <w:bookmarkStart w:id="1965" w:name="_Toc532375665"/>
      <w:bookmarkStart w:id="1966" w:name="_Toc351203649"/>
      <w:bookmarkStart w:id="1967" w:name="_Hlk528928440"/>
      <w:r>
        <w:rPr>
          <w:rFonts w:hint="eastAsia"/>
          <w:color w:val="auto"/>
          <w:kern w:val="2"/>
          <w:sz w:val="21"/>
          <w:szCs w:val="21"/>
          <w:highlight w:val="none"/>
        </w:rPr>
        <w:t>17. 不可抗力</w:t>
      </w:r>
      <w:bookmarkEnd w:id="1964"/>
      <w:bookmarkEnd w:id="1965"/>
      <w:bookmarkEnd w:id="1966"/>
    </w:p>
    <w:p>
      <w:pPr>
        <w:pStyle w:val="7"/>
        <w:spacing w:before="0" w:beforeAutospacing="0" w:after="0" w:afterAutospacing="0" w:line="360" w:lineRule="auto"/>
        <w:ind w:firstLine="422" w:firstLineChars="200"/>
        <w:rPr>
          <w:rFonts w:hint="eastAsia"/>
          <w:color w:val="auto"/>
          <w:sz w:val="21"/>
          <w:szCs w:val="21"/>
          <w:highlight w:val="none"/>
        </w:rPr>
      </w:pPr>
      <w:bookmarkStart w:id="1968" w:name="_Toc532377405"/>
      <w:bookmarkStart w:id="1969" w:name="_Toc532375666"/>
      <w:r>
        <w:rPr>
          <w:rFonts w:hint="eastAsia"/>
          <w:color w:val="auto"/>
          <w:sz w:val="21"/>
          <w:szCs w:val="21"/>
          <w:highlight w:val="none"/>
        </w:rPr>
        <w:t>17.1 不可抗力的确认</w:t>
      </w:r>
      <w:bookmarkEnd w:id="1968"/>
      <w:bookmarkEnd w:id="1969"/>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970" w:name="_Hlk524379638"/>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（4）化学或放射性污染或核辐射；</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（5）环保治理等政府行为导致项目停工的。</w:t>
      </w:r>
      <w:bookmarkEnd w:id="1970"/>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971" w:name="_Toc532377406"/>
      <w:bookmarkStart w:id="1972" w:name="_Toc351203610"/>
      <w:bookmarkStart w:id="1973" w:name="_Toc532375667"/>
      <w:bookmarkStart w:id="1974" w:name="_Toc296346620"/>
      <w:bookmarkStart w:id="1975" w:name="_Toc337558826"/>
      <w:bookmarkStart w:id="1976" w:name="_Toc296503119"/>
      <w:r>
        <w:rPr>
          <w:rFonts w:hint="eastAsia"/>
          <w:color w:val="auto"/>
          <w:sz w:val="21"/>
          <w:szCs w:val="21"/>
          <w:highlight w:val="none"/>
        </w:rPr>
        <w:t>17.3 不可抗力后果的承担</w:t>
      </w:r>
      <w:bookmarkEnd w:id="1971"/>
      <w:bookmarkEnd w:id="1972"/>
      <w:bookmarkEnd w:id="1973"/>
    </w:p>
    <w:bookmarkEnd w:id="1974"/>
    <w:bookmarkEnd w:id="1975"/>
    <w:bookmarkEnd w:id="1976"/>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（2）承包人施工设备的损坏由承包人承担；</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（3）发包人和承包人承担各自人员伤亡和财产的损失；</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977" w:name="_Toc532375668"/>
      <w:bookmarkStart w:id="1978" w:name="_Toc532377407"/>
      <w:r>
        <w:rPr>
          <w:rFonts w:hint="eastAsia"/>
          <w:color w:val="auto"/>
          <w:sz w:val="21"/>
          <w:szCs w:val="21"/>
          <w:highlight w:val="none"/>
        </w:rPr>
        <w:t>17.4 因不可抗力解除合同</w:t>
      </w:r>
      <w:bookmarkEnd w:id="1977"/>
      <w:bookmarkEnd w:id="1978"/>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79" w:name="_Toc532377408"/>
      <w:bookmarkStart w:id="1980" w:name="_Toc351203650"/>
      <w:bookmarkStart w:id="1981" w:name="_Toc532375669"/>
      <w:r>
        <w:rPr>
          <w:rFonts w:hint="eastAsia"/>
          <w:color w:val="auto"/>
          <w:kern w:val="2"/>
          <w:sz w:val="21"/>
          <w:szCs w:val="21"/>
          <w:highlight w:val="none"/>
        </w:rPr>
        <w:t>18. 保险</w:t>
      </w:r>
      <w:bookmarkEnd w:id="1979"/>
      <w:bookmarkEnd w:id="1980"/>
      <w:bookmarkEnd w:id="1981"/>
    </w:p>
    <w:p>
      <w:pPr>
        <w:pStyle w:val="7"/>
        <w:spacing w:before="0" w:beforeAutospacing="0" w:after="0" w:afterAutospacing="0" w:line="360" w:lineRule="auto"/>
        <w:ind w:firstLine="422" w:firstLineChars="200"/>
        <w:rPr>
          <w:rFonts w:hint="eastAsia"/>
          <w:color w:val="auto"/>
          <w:sz w:val="21"/>
          <w:szCs w:val="21"/>
          <w:highlight w:val="none"/>
        </w:rPr>
      </w:pPr>
      <w:bookmarkStart w:id="1982" w:name="_Toc532375670"/>
      <w:bookmarkStart w:id="1983" w:name="_Toc532377409"/>
      <w:r>
        <w:rPr>
          <w:rFonts w:hint="eastAsia"/>
          <w:color w:val="auto"/>
          <w:sz w:val="21"/>
          <w:szCs w:val="21"/>
          <w:highlight w:val="none"/>
        </w:rPr>
        <w:t>18.1 工程保险</w:t>
      </w:r>
      <w:bookmarkEnd w:id="1982"/>
      <w:bookmarkEnd w:id="1983"/>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关于工程保险的特别约定：发包人应投保</w:t>
      </w:r>
      <w:r>
        <w:rPr>
          <w:rFonts w:hint="eastAsia" w:ascii="宋体" w:hAnsi="宋体"/>
          <w:color w:val="auto"/>
          <w:szCs w:val="21"/>
          <w:highlight w:val="none"/>
          <w:u w:val="single"/>
        </w:rPr>
        <w:t>建筑工程一切险或安装工程一切险</w:t>
      </w:r>
      <w:r>
        <w:rPr>
          <w:rFonts w:hint="eastAsia" w:ascii="宋体" w:hAnsi="宋体"/>
          <w:color w:val="auto"/>
          <w:szCs w:val="21"/>
          <w:highlight w:val="none"/>
        </w:rPr>
        <w:t>；发包人委托承包人投保的，因投保产生的保险费和其他相关费用由发包人承担。</w:t>
      </w:r>
    </w:p>
    <w:p>
      <w:pPr>
        <w:pStyle w:val="7"/>
        <w:spacing w:before="0" w:beforeAutospacing="0" w:after="0" w:afterAutospacing="0" w:line="360" w:lineRule="auto"/>
        <w:ind w:firstLine="422" w:firstLineChars="200"/>
        <w:rPr>
          <w:rFonts w:hint="eastAsia"/>
          <w:color w:val="auto"/>
          <w:sz w:val="21"/>
          <w:szCs w:val="21"/>
          <w:highlight w:val="none"/>
        </w:rPr>
      </w:pPr>
      <w:bookmarkStart w:id="1984" w:name="_Toc532375671"/>
      <w:bookmarkStart w:id="1985" w:name="_Toc532377410"/>
      <w:r>
        <w:rPr>
          <w:rFonts w:hint="eastAsia"/>
          <w:color w:val="auto"/>
          <w:sz w:val="21"/>
          <w:szCs w:val="21"/>
          <w:highlight w:val="none"/>
        </w:rPr>
        <w:t>18.3 其他保险</w:t>
      </w:r>
      <w:bookmarkEnd w:id="1984"/>
      <w:bookmarkEnd w:id="1985"/>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986" w:name="_Toc532375672"/>
      <w:bookmarkStart w:id="1987" w:name="_Toc532377411"/>
      <w:r>
        <w:rPr>
          <w:rFonts w:hint="eastAsia"/>
          <w:color w:val="auto"/>
          <w:sz w:val="21"/>
          <w:szCs w:val="21"/>
          <w:highlight w:val="none"/>
        </w:rPr>
        <w:t>18.7 通知义务</w:t>
      </w:r>
      <w:bookmarkEnd w:id="1986"/>
      <w:bookmarkEnd w:id="1987"/>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1988" w:name="_Toc532375673"/>
      <w:bookmarkStart w:id="1989" w:name="_Toc532377412"/>
      <w:r>
        <w:rPr>
          <w:rFonts w:hint="eastAsia"/>
          <w:color w:val="auto"/>
          <w:sz w:val="21"/>
          <w:szCs w:val="21"/>
          <w:highlight w:val="none"/>
        </w:rPr>
        <w:t>18.8 其他</w:t>
      </w:r>
      <w:bookmarkEnd w:id="1988"/>
      <w:bookmarkEnd w:id="1989"/>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990" w:name="_Hlk524378346"/>
      <w:r>
        <w:rPr>
          <w:rFonts w:hint="eastAsia" w:ascii="宋体" w:hAnsi="宋体"/>
          <w:color w:val="auto"/>
          <w:szCs w:val="21"/>
          <w:highlight w:val="none"/>
        </w:rPr>
        <w:t>差额由承包人负责补足</w:t>
      </w:r>
      <w:bookmarkEnd w:id="1990"/>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91" w:name="_Toc532375674"/>
      <w:bookmarkStart w:id="1992" w:name="_Toc532377413"/>
      <w:bookmarkStart w:id="1993" w:name="_Toc351203620"/>
      <w:bookmarkStart w:id="1994" w:name="_Toc296346641"/>
      <w:bookmarkStart w:id="1995" w:name="_Toc337558835"/>
      <w:bookmarkStart w:id="1996" w:name="_Toc296503140"/>
      <w:r>
        <w:rPr>
          <w:rFonts w:hint="eastAsia"/>
          <w:color w:val="auto"/>
          <w:kern w:val="2"/>
          <w:sz w:val="21"/>
          <w:szCs w:val="21"/>
          <w:highlight w:val="none"/>
        </w:rPr>
        <w:t>19. 索赔</w:t>
      </w:r>
      <w:bookmarkEnd w:id="1991"/>
      <w:bookmarkEnd w:id="1992"/>
      <w:bookmarkEnd w:id="1993"/>
    </w:p>
    <w:bookmarkEnd w:id="1994"/>
    <w:bookmarkEnd w:id="1995"/>
    <w:bookmarkEnd w:id="1996"/>
    <w:p>
      <w:pPr>
        <w:pStyle w:val="7"/>
        <w:spacing w:before="0" w:beforeAutospacing="0" w:after="0" w:afterAutospacing="0" w:line="360" w:lineRule="auto"/>
        <w:ind w:firstLine="422" w:firstLineChars="200"/>
        <w:rPr>
          <w:rFonts w:hint="eastAsia"/>
          <w:color w:val="auto"/>
          <w:sz w:val="21"/>
          <w:szCs w:val="21"/>
          <w:highlight w:val="none"/>
        </w:rPr>
      </w:pPr>
      <w:bookmarkStart w:id="1997" w:name="_Toc532377414"/>
      <w:bookmarkStart w:id="1998" w:name="_Toc532375675"/>
      <w:bookmarkStart w:id="1999" w:name="_Toc296346642"/>
      <w:bookmarkStart w:id="2000" w:name="_Toc351203621"/>
      <w:bookmarkStart w:id="2001" w:name="_Toc296503141"/>
      <w:bookmarkStart w:id="2002" w:name="_Toc337558836"/>
      <w:r>
        <w:rPr>
          <w:rFonts w:hint="eastAsia"/>
          <w:color w:val="auto"/>
          <w:sz w:val="21"/>
          <w:szCs w:val="21"/>
          <w:highlight w:val="none"/>
        </w:rPr>
        <w:t>19.1 承包人的索赔</w:t>
      </w:r>
      <w:bookmarkEnd w:id="1997"/>
      <w:bookmarkEnd w:id="1998"/>
    </w:p>
    <w:p>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03" w:name="_Toc532375676"/>
      <w:bookmarkStart w:id="2004" w:name="_Toc532377415"/>
      <w:r>
        <w:rPr>
          <w:rFonts w:hint="eastAsia"/>
          <w:color w:val="auto"/>
          <w:sz w:val="21"/>
          <w:szCs w:val="21"/>
          <w:highlight w:val="none"/>
        </w:rPr>
        <w:t>19.2 对承包人索赔的处理</w:t>
      </w:r>
      <w:bookmarkEnd w:id="2003"/>
      <w:bookmarkEnd w:id="2004"/>
    </w:p>
    <w:p>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对承包人索赔的处理如下：</w:t>
      </w:r>
    </w:p>
    <w:p>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05" w:name="_Toc532377416"/>
      <w:bookmarkStart w:id="2006" w:name="_Toc532375677"/>
      <w:r>
        <w:rPr>
          <w:rFonts w:hint="eastAsia"/>
          <w:color w:val="auto"/>
          <w:sz w:val="21"/>
          <w:szCs w:val="21"/>
          <w:highlight w:val="none"/>
        </w:rPr>
        <w:t>19.3发包人的索赔</w:t>
      </w:r>
      <w:bookmarkEnd w:id="2005"/>
      <w:bookmarkEnd w:id="2006"/>
    </w:p>
    <w:p>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007" w:name="_Hlk528652769"/>
      <w:r>
        <w:rPr>
          <w:rFonts w:hint="eastAsia" w:ascii="宋体" w:hAnsi="宋体"/>
          <w:color w:val="auto"/>
          <w:szCs w:val="21"/>
          <w:highlight w:val="none"/>
        </w:rPr>
        <w:t>通过监理人向承包人正式递交最终索赔报告</w:t>
      </w:r>
      <w:bookmarkEnd w:id="2007"/>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08" w:name="_Toc532375678"/>
      <w:bookmarkStart w:id="2009" w:name="_Toc532377417"/>
      <w:r>
        <w:rPr>
          <w:rFonts w:hint="eastAsia"/>
          <w:color w:val="auto"/>
          <w:sz w:val="21"/>
          <w:szCs w:val="21"/>
          <w:highlight w:val="none"/>
        </w:rPr>
        <w:t>19.4 对发包人索赔的处理</w:t>
      </w:r>
      <w:bookmarkEnd w:id="2008"/>
      <w:bookmarkEnd w:id="2009"/>
    </w:p>
    <w:p>
      <w:pPr>
        <w:autoSpaceDE w:val="0"/>
        <w:autoSpaceDN w:val="0"/>
        <w:spacing w:line="360" w:lineRule="auto"/>
        <w:ind w:right="105" w:rightChars="50"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对发包人索赔的处理如下：</w:t>
      </w:r>
    </w:p>
    <w:p>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2" w:firstLineChars="200"/>
        <w:rPr>
          <w:rFonts w:hint="eastAsia"/>
          <w:color w:val="auto"/>
          <w:sz w:val="21"/>
          <w:szCs w:val="21"/>
          <w:highlight w:val="none"/>
        </w:rPr>
      </w:pPr>
      <w:bookmarkStart w:id="2010" w:name="_Toc532375679"/>
      <w:bookmarkStart w:id="2011" w:name="_Toc532377418"/>
      <w:bookmarkStart w:id="2012" w:name="_Hlk528928420"/>
      <w:r>
        <w:rPr>
          <w:rFonts w:hint="eastAsia"/>
          <w:color w:val="auto"/>
          <w:sz w:val="21"/>
          <w:szCs w:val="21"/>
          <w:highlight w:val="none"/>
        </w:rPr>
        <w:t>19.5 提出索赔的期限</w:t>
      </w:r>
      <w:bookmarkEnd w:id="2010"/>
      <w:bookmarkEnd w:id="2011"/>
    </w:p>
    <w:p>
      <w:pPr>
        <w:autoSpaceDE w:val="0"/>
        <w:autoSpaceDN w:val="0"/>
        <w:spacing w:line="360" w:lineRule="auto"/>
        <w:ind w:right="105" w:rightChars="50" w:firstLine="420" w:firstLineChars="200"/>
        <w:jc w:val="left"/>
        <w:rPr>
          <w:rFonts w:hint="eastAsia" w:ascii="宋体" w:hAnsi="宋体"/>
          <w:color w:val="auto"/>
          <w:szCs w:val="21"/>
          <w:highlight w:val="none"/>
        </w:rPr>
      </w:pPr>
      <w:bookmarkStart w:id="2013"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999"/>
    <w:bookmarkEnd w:id="2000"/>
    <w:bookmarkEnd w:id="2001"/>
    <w:bookmarkEnd w:id="2002"/>
    <w:bookmarkEnd w:id="2012"/>
    <w:bookmarkEnd w:id="2013"/>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2014" w:name="_Toc351203651"/>
      <w:bookmarkStart w:id="2015" w:name="_Toc532375680"/>
      <w:bookmarkStart w:id="2016" w:name="_Toc532377419"/>
      <w:r>
        <w:rPr>
          <w:rFonts w:hint="eastAsia"/>
          <w:color w:val="auto"/>
          <w:kern w:val="2"/>
          <w:sz w:val="21"/>
          <w:szCs w:val="21"/>
          <w:highlight w:val="none"/>
        </w:rPr>
        <w:t>20. 争议解决</w:t>
      </w:r>
      <w:bookmarkEnd w:id="2014"/>
      <w:bookmarkEnd w:id="2015"/>
      <w:bookmarkEnd w:id="2016"/>
    </w:p>
    <w:p>
      <w:pPr>
        <w:pStyle w:val="7"/>
        <w:spacing w:before="0" w:beforeAutospacing="0" w:after="0" w:afterAutospacing="0" w:line="360" w:lineRule="auto"/>
        <w:ind w:firstLine="422" w:firstLineChars="200"/>
        <w:rPr>
          <w:rFonts w:hint="eastAsia"/>
          <w:color w:val="auto"/>
          <w:sz w:val="21"/>
          <w:szCs w:val="21"/>
          <w:highlight w:val="none"/>
        </w:rPr>
      </w:pPr>
      <w:bookmarkStart w:id="2017" w:name="_Toc532375681"/>
      <w:bookmarkStart w:id="2018" w:name="_Toc532377420"/>
      <w:r>
        <w:rPr>
          <w:rFonts w:hint="eastAsia"/>
          <w:color w:val="auto"/>
          <w:sz w:val="21"/>
          <w:szCs w:val="21"/>
          <w:highlight w:val="none"/>
        </w:rPr>
        <w:t>20.3 争议评审</w:t>
      </w:r>
      <w:bookmarkEnd w:id="2017"/>
      <w:bookmarkEnd w:id="2018"/>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否</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19" w:name="_Toc532377421"/>
      <w:bookmarkStart w:id="2020" w:name="_Toc532375682"/>
      <w:r>
        <w:rPr>
          <w:rFonts w:hint="eastAsia"/>
          <w:color w:val="auto"/>
          <w:sz w:val="21"/>
          <w:szCs w:val="21"/>
          <w:highlight w:val="none"/>
        </w:rPr>
        <w:t>20.4 仲裁或诉讼</w:t>
      </w:r>
      <w:bookmarkEnd w:id="2019"/>
      <w:bookmarkEnd w:id="2020"/>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（2）</w:t>
      </w:r>
      <w:r>
        <w:rPr>
          <w:rFonts w:hint="eastAsia" w:ascii="宋体" w:hAnsi="宋体"/>
          <w:color w:val="auto"/>
          <w:szCs w:val="21"/>
          <w:highlight w:val="none"/>
        </w:rPr>
        <w:t>种方式解决：</w:t>
      </w:r>
    </w:p>
    <w:p>
      <w:pPr>
        <w:spacing w:line="360" w:lineRule="auto"/>
        <w:ind w:right="105" w:rightChars="50" w:firstLine="420" w:firstLineChars="200"/>
        <w:jc w:val="left"/>
        <w:rPr>
          <w:rFonts w:hint="eastAsia"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pPr>
        <w:spacing w:line="360" w:lineRule="auto"/>
        <w:ind w:right="105" w:rightChars="50" w:firstLine="420" w:firstLineChars="200"/>
        <w:jc w:val="left"/>
        <w:rPr>
          <w:rFonts w:hint="eastAsia"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olor w:val="auto"/>
          <w:szCs w:val="21"/>
          <w:highlight w:val="none"/>
          <w:u w:val="single"/>
        </w:rPr>
        <w:t>工程所在地</w:t>
      </w:r>
      <w:r>
        <w:rPr>
          <w:rFonts w:ascii="宋体" w:hAnsi="宋体"/>
          <w:color w:val="auto"/>
          <w:szCs w:val="21"/>
          <w:highlight w:val="none"/>
          <w:u w:val="single"/>
        </w:rPr>
        <w:t xml:space="preserve"> </w:t>
      </w:r>
      <w:r>
        <w:rPr>
          <w:rFonts w:ascii="宋体" w:hAnsi="宋体"/>
          <w:color w:val="auto"/>
          <w:szCs w:val="21"/>
          <w:highlight w:val="none"/>
        </w:rPr>
        <w:t>人民法院起诉。</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2021" w:name="_Toc532377422"/>
      <w:bookmarkStart w:id="2022" w:name="_Toc532375683"/>
      <w:r>
        <w:rPr>
          <w:rFonts w:hint="eastAsia"/>
          <w:color w:val="auto"/>
          <w:kern w:val="2"/>
          <w:sz w:val="21"/>
          <w:szCs w:val="21"/>
          <w:highlight w:val="none"/>
        </w:rPr>
        <w:t>21. 补充条款</w:t>
      </w:r>
      <w:bookmarkEnd w:id="2021"/>
      <w:bookmarkEnd w:id="2022"/>
    </w:p>
    <w:p>
      <w:pPr>
        <w:pStyle w:val="7"/>
        <w:spacing w:before="0" w:beforeAutospacing="0" w:after="0" w:afterAutospacing="0" w:line="360" w:lineRule="auto"/>
        <w:ind w:firstLine="422" w:firstLineChars="200"/>
        <w:rPr>
          <w:rFonts w:hint="eastAsia"/>
          <w:color w:val="auto"/>
          <w:sz w:val="21"/>
          <w:szCs w:val="21"/>
          <w:highlight w:val="none"/>
        </w:rPr>
      </w:pPr>
      <w:bookmarkStart w:id="2023" w:name="_Toc532377423"/>
      <w:bookmarkStart w:id="2024" w:name="_Toc532375684"/>
      <w:r>
        <w:rPr>
          <w:rFonts w:hint="eastAsia"/>
          <w:color w:val="auto"/>
          <w:sz w:val="21"/>
          <w:szCs w:val="21"/>
          <w:highlight w:val="none"/>
        </w:rPr>
        <w:t>21.1 退出机制</w:t>
      </w:r>
      <w:bookmarkEnd w:id="2023"/>
      <w:bookmarkEnd w:id="2024"/>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（1）因承包人原因造成较大及以上等级生产安全事故或工程质量事故的；</w:t>
      </w:r>
    </w:p>
    <w:p>
      <w:pPr>
        <w:spacing w:line="360" w:lineRule="auto"/>
        <w:ind w:right="105" w:rightChars="50"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（2）因承包人债权债务纠纷或其他纠纷导致工程无法正常施工的。</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u w:val="single"/>
        </w:rPr>
        <w:t xml:space="preserve">    </w:t>
      </w:r>
      <w:r>
        <w:rPr>
          <w:rFonts w:ascii="宋体" w:hAnsi="宋体"/>
          <w:color w:val="auto"/>
          <w:szCs w:val="21"/>
          <w:highlight w:val="none"/>
          <w:u w:val="single"/>
        </w:rPr>
        <w:t>/</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2"/>
        <w:spacing w:after="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21.1.2有下列情形之一的，承包人有权解除合同，并按16.1.4约定执行：</w:t>
      </w:r>
    </w:p>
    <w:p>
      <w:pPr>
        <w:pStyle w:val="2"/>
        <w:spacing w:after="0"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（1）因发包人征地、拆迁、补偿、审批手续等原因致使本工程延期开工超过90天的。</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u w:val="single"/>
        </w:rPr>
        <w:t xml:space="preserve">    </w:t>
      </w:r>
      <w:r>
        <w:rPr>
          <w:rFonts w:ascii="宋体" w:hAnsi="宋体"/>
          <w:color w:val="auto"/>
          <w:szCs w:val="21"/>
          <w:highlight w:val="none"/>
          <w:u w:val="single"/>
        </w:rPr>
        <w:t>/</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rPr>
      </w:pPr>
      <w:bookmarkStart w:id="2025" w:name="_Toc532377424"/>
      <w:bookmarkStart w:id="2026" w:name="_Toc532375685"/>
      <w:r>
        <w:rPr>
          <w:rFonts w:hint="eastAsia"/>
          <w:color w:val="auto"/>
          <w:sz w:val="21"/>
          <w:szCs w:val="21"/>
          <w:highlight w:val="none"/>
        </w:rPr>
        <w:t>21.2智慧工地</w:t>
      </w:r>
      <w:bookmarkEnd w:id="2025"/>
      <w:bookmarkEnd w:id="2026"/>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工地建设可参照重庆市城乡建设委员会《关于印发“智慧工地”建设工作方案的通知》（渝建〔2017〕414号）的相关要求建设。</w:t>
      </w:r>
      <w:bookmarkEnd w:id="1967"/>
    </w:p>
    <w:p>
      <w:pPr>
        <w:pStyle w:val="7"/>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21.3 低价风险担保</w:t>
      </w:r>
    </w:p>
    <w:p>
      <w:pPr>
        <w:pStyle w:val="7"/>
        <w:spacing w:before="0" w:beforeAutospacing="0" w:after="0" w:afterAutospacing="0" w:line="360" w:lineRule="auto"/>
        <w:ind w:firstLine="402" w:firstLineChars="200"/>
        <w:rPr>
          <w:rFonts w:hint="eastAsia"/>
          <w:color w:val="auto"/>
          <w:sz w:val="21"/>
          <w:szCs w:val="21"/>
          <w:highlight w:val="none"/>
        </w:rPr>
      </w:pPr>
      <w:r>
        <w:rPr>
          <w:rFonts w:hint="eastAsia"/>
          <w:color w:val="auto"/>
          <w:szCs w:val="21"/>
          <w:highlight w:val="none"/>
        </w:rPr>
        <w:t>承包人提供低价风险担保的情形：</w:t>
      </w:r>
      <w:r>
        <w:rPr>
          <w:rFonts w:hint="eastAsia"/>
          <w:color w:val="auto"/>
          <w:szCs w:val="21"/>
          <w:highlight w:val="none"/>
          <w:u w:val="single"/>
        </w:rPr>
        <w:t>本项目不提交低价风险担保</w:t>
      </w:r>
      <w:r>
        <w:rPr>
          <w:rFonts w:hint="eastAsia"/>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21.4 关于不平衡报价的约定：</w:t>
      </w:r>
      <w:r>
        <w:rPr>
          <w:rFonts w:hint="eastAsia"/>
          <w:color w:val="auto"/>
          <w:sz w:val="21"/>
          <w:szCs w:val="21"/>
          <w:highlight w:val="none"/>
          <w:u w:val="single"/>
        </w:rPr>
        <w:t>/</w:t>
      </w:r>
    </w:p>
    <w:p>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 xml:space="preserve">21.5 </w:t>
      </w:r>
      <w:r>
        <w:rPr>
          <w:rFonts w:hint="eastAsia"/>
          <w:color w:val="auto"/>
          <w:sz w:val="21"/>
          <w:szCs w:val="21"/>
          <w:highlight w:val="none"/>
          <w:u w:val="single"/>
        </w:rPr>
        <w:t xml:space="preserve">  </w:t>
      </w:r>
      <w:r>
        <w:rPr>
          <w:color w:val="auto"/>
          <w:sz w:val="21"/>
          <w:szCs w:val="21"/>
          <w:highlight w:val="none"/>
          <w:u w:val="single"/>
        </w:rPr>
        <w:t>/</w:t>
      </w:r>
      <w:r>
        <w:rPr>
          <w:rFonts w:hint="eastAsia"/>
          <w:color w:val="auto"/>
          <w:sz w:val="21"/>
          <w:szCs w:val="21"/>
          <w:highlight w:val="none"/>
          <w:u w:val="single"/>
        </w:rPr>
        <w:t xml:space="preserve">    </w:t>
      </w:r>
    </w:p>
    <w:p>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2027" w:name="baidusnap7"/>
      <w:bookmarkEnd w:id="2027"/>
      <w:bookmarkStart w:id="2028" w:name="baidusnap3"/>
      <w:bookmarkEnd w:id="2028"/>
      <w:bookmarkStart w:id="2029" w:name="_Toc532377425"/>
      <w:bookmarkStart w:id="2030" w:name="_Toc532375686"/>
      <w:bookmarkStart w:id="2031" w:name="_Toc351203652"/>
      <w:r>
        <w:rPr>
          <w:rFonts w:hint="eastAsia"/>
          <w:color w:val="auto"/>
          <w:kern w:val="2"/>
          <w:sz w:val="21"/>
          <w:szCs w:val="21"/>
          <w:highlight w:val="none"/>
        </w:rPr>
        <w:t>22. 合同附件</w:t>
      </w:r>
      <w:bookmarkEnd w:id="2029"/>
      <w:bookmarkEnd w:id="2030"/>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以下附件是本合同的有效组成部分：</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附件1：工程质量保修书</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附件2：主要建设工程文件目录</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附件3：承包人项目管理机构组成表</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附件4：履约担保（如有）</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：预付款担保（如有）</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：支付担保（如有）</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：专业工程暂估价表</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：廉洁从业协议</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：安全管理协议</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：保障农民工工资支付协议</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附件11：低价风险担保保函示范文本（独立保函）（如有）</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附件12：质量保证金保函（如有）</w:t>
      </w:r>
    </w:p>
    <w:bookmarkEnd w:id="2031"/>
    <w:p>
      <w:pPr>
        <w:spacing w:line="36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2032" w:name="_Toc296891266"/>
      <w:bookmarkStart w:id="2033" w:name="_Toc296944565"/>
      <w:bookmarkStart w:id="2034" w:name="_Toc296346727"/>
      <w:bookmarkStart w:id="2035" w:name="_Toc267261693"/>
      <w:bookmarkStart w:id="2036" w:name="_Toc296347225"/>
      <w:bookmarkStart w:id="2037" w:name="_Toc296891054"/>
      <w:bookmarkStart w:id="2038" w:name="_Toc296503226"/>
      <w:r>
        <w:rPr>
          <w:rFonts w:hint="eastAsia" w:ascii="宋体" w:hAnsi="宋体"/>
          <w:color w:val="auto"/>
          <w:szCs w:val="21"/>
          <w:highlight w:val="none"/>
        </w:rPr>
        <w:t>件1：</w:t>
      </w:r>
      <w:bookmarkEnd w:id="2032"/>
      <w:bookmarkEnd w:id="2033"/>
      <w:bookmarkEnd w:id="2034"/>
      <w:bookmarkEnd w:id="2035"/>
      <w:bookmarkEnd w:id="2036"/>
      <w:bookmarkEnd w:id="2037"/>
      <w:bookmarkEnd w:id="2038"/>
    </w:p>
    <w:p>
      <w:pPr>
        <w:spacing w:before="156" w:beforeLines="5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工程质量保修书</w:t>
      </w:r>
    </w:p>
    <w:p>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pPr>
        <w:spacing w:line="360" w:lineRule="auto"/>
        <w:ind w:firstLine="420" w:firstLineChars="200"/>
        <w:rPr>
          <w:rFonts w:hint="eastAsia" w:ascii="宋体" w:hAnsi="宋体"/>
          <w:color w:val="auto"/>
          <w:szCs w:val="21"/>
          <w:highlight w:val="none"/>
        </w:rPr>
      </w:pPr>
      <w:bookmarkStart w:id="2039" w:name="_Toc532375687"/>
      <w:r>
        <w:rPr>
          <w:rFonts w:hint="eastAsia" w:ascii="宋体" w:hAnsi="宋体"/>
          <w:color w:val="auto"/>
          <w:szCs w:val="21"/>
          <w:highlight w:val="none"/>
        </w:rPr>
        <w:t>一、工程质量保修范围和内容</w:t>
      </w:r>
      <w:bookmarkEnd w:id="2039"/>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承包人承包范围内容均属质量保修范围内容；其中：</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2.属于施工造成的质量问题，承包人负责维修，不留隐患；</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pPr>
        <w:spacing w:line="360" w:lineRule="auto"/>
        <w:ind w:firstLine="420" w:firstLineChars="200"/>
        <w:rPr>
          <w:rFonts w:hint="eastAsia" w:ascii="宋体" w:hAnsi="宋体"/>
          <w:color w:val="auto"/>
          <w:szCs w:val="21"/>
          <w:highlight w:val="none"/>
        </w:rPr>
      </w:pPr>
      <w:bookmarkStart w:id="2040" w:name="_Toc532375688"/>
      <w:r>
        <w:rPr>
          <w:rFonts w:hint="eastAsia" w:ascii="宋体" w:hAnsi="宋体"/>
          <w:color w:val="auto"/>
          <w:szCs w:val="21"/>
          <w:highlight w:val="none"/>
        </w:rPr>
        <w:t>二、质量保修期</w:t>
      </w:r>
      <w:bookmarkEnd w:id="2040"/>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3.供热与供冷系统，为2个采暖期、供冷期；</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4.电气管线、给排水管道、设备安装和装修工程，为2年；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5.其他项目保修期限：2年；</w:t>
      </w:r>
      <w:r>
        <w:rPr>
          <w:rFonts w:hint="eastAsia" w:ascii="宋体" w:hAnsi="宋体"/>
          <w:i/>
          <w:color w:val="auto"/>
          <w:szCs w:val="21"/>
          <w:highlight w:val="none"/>
        </w:rPr>
        <w:t>[提示：如有不同，根据具体情况修改]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建设工程的保修期，自工程竣工验收合格之日起计算。</w:t>
      </w:r>
    </w:p>
    <w:p>
      <w:pPr>
        <w:spacing w:line="360" w:lineRule="auto"/>
        <w:ind w:firstLine="420" w:firstLineChars="200"/>
        <w:rPr>
          <w:rFonts w:hint="eastAsia" w:ascii="宋体" w:hAnsi="宋体"/>
          <w:color w:val="auto"/>
          <w:szCs w:val="21"/>
          <w:highlight w:val="none"/>
        </w:rPr>
      </w:pPr>
      <w:bookmarkStart w:id="2041" w:name="_Toc532375689"/>
      <w:r>
        <w:rPr>
          <w:rFonts w:hint="eastAsia" w:ascii="宋体" w:hAnsi="宋体"/>
          <w:color w:val="auto"/>
          <w:szCs w:val="21"/>
          <w:highlight w:val="none"/>
        </w:rPr>
        <w:t>三、质量保修责任</w:t>
      </w:r>
      <w:bookmarkEnd w:id="2041"/>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4.质量保修完成后，由发包人组织验收。</w:t>
      </w:r>
    </w:p>
    <w:p>
      <w:pPr>
        <w:spacing w:line="360" w:lineRule="auto"/>
        <w:ind w:firstLine="420" w:firstLineChars="200"/>
        <w:rPr>
          <w:rFonts w:hint="eastAsia" w:ascii="宋体" w:hAnsi="宋体"/>
          <w:color w:val="auto"/>
          <w:szCs w:val="21"/>
          <w:highlight w:val="none"/>
        </w:rPr>
      </w:pPr>
      <w:bookmarkStart w:id="2042" w:name="_Toc532375690"/>
      <w:r>
        <w:rPr>
          <w:rFonts w:hint="eastAsia" w:ascii="宋体" w:hAnsi="宋体"/>
          <w:color w:val="auto"/>
          <w:szCs w:val="21"/>
          <w:highlight w:val="none"/>
        </w:rPr>
        <w:t>四、保修费用</w:t>
      </w:r>
      <w:bookmarkEnd w:id="2042"/>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保修费用由质量缺陷的责任方承担。</w:t>
      </w:r>
    </w:p>
    <w:p>
      <w:pPr>
        <w:spacing w:line="360" w:lineRule="auto"/>
        <w:ind w:firstLine="420" w:firstLineChars="200"/>
        <w:rPr>
          <w:rFonts w:hint="eastAsia" w:ascii="宋体" w:hAnsi="宋体"/>
          <w:color w:val="auto"/>
          <w:szCs w:val="21"/>
          <w:highlight w:val="none"/>
        </w:rPr>
      </w:pPr>
      <w:bookmarkStart w:id="2043" w:name="_Toc532375691"/>
      <w:r>
        <w:rPr>
          <w:rFonts w:hint="eastAsia" w:ascii="宋体" w:hAnsi="宋体"/>
          <w:color w:val="auto"/>
          <w:szCs w:val="21"/>
          <w:highlight w:val="none"/>
        </w:rPr>
        <w:t>五、双方约定的其他工程质量保修事项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2043"/>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六、本文件生效</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本工程质量保修书经发包人与承包人盖章后生效。</w:t>
      </w:r>
    </w:p>
    <w:p>
      <w:pPr>
        <w:pStyle w:val="2"/>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spacing w:line="360" w:lineRule="auto"/>
        <w:ind w:firstLine="420" w:firstLineChars="200"/>
        <w:rPr>
          <w:rFonts w:hint="eastAsia" w:ascii="宋体" w:hAnsi="宋体"/>
          <w:snapToGrid w:val="0"/>
          <w:color w:val="auto"/>
          <w:kern w:val="0"/>
          <w:szCs w:val="21"/>
          <w:highlight w:val="none"/>
        </w:rPr>
      </w:pPr>
    </w:p>
    <w:p>
      <w:pPr>
        <w:spacing w:line="360" w:lineRule="auto"/>
        <w:ind w:firstLine="420" w:firstLineChars="200"/>
        <w:rPr>
          <w:rFonts w:hint="eastAsia" w:ascii="宋体" w:hAnsi="宋体"/>
          <w:snapToGrid w:val="0"/>
          <w:color w:val="auto"/>
          <w:kern w:val="0"/>
          <w:szCs w:val="21"/>
          <w:highlight w:val="none"/>
        </w:rPr>
      </w:pP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pPr>
        <w:spacing w:line="360" w:lineRule="auto"/>
        <w:ind w:firstLine="420" w:firstLineChars="200"/>
        <w:rPr>
          <w:rFonts w:hint="eastAsia" w:ascii="宋体" w:hAnsi="宋体"/>
          <w:snapToGrid w:val="0"/>
          <w:color w:val="auto"/>
          <w:kern w:val="0"/>
          <w:szCs w:val="21"/>
          <w:highlight w:val="none"/>
        </w:rPr>
      </w:pPr>
    </w:p>
    <w:p>
      <w:pPr>
        <w:spacing w:line="360" w:lineRule="auto"/>
        <w:ind w:firstLine="420" w:firstLineChars="200"/>
        <w:rPr>
          <w:rFonts w:hint="eastAsia" w:ascii="宋体" w:hAnsi="宋体"/>
          <w:snapToGrid w:val="0"/>
          <w:color w:val="auto"/>
          <w:kern w:val="0"/>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spacing w:line="360" w:lineRule="auto"/>
        <w:ind w:firstLine="420" w:firstLineChars="200"/>
        <w:rPr>
          <w:rFonts w:hint="eastAsia" w:ascii="宋体" w:hAnsi="宋体"/>
          <w:snapToGrid w:val="0"/>
          <w:color w:val="auto"/>
          <w:kern w:val="0"/>
          <w:szCs w:val="21"/>
          <w:highlight w:val="none"/>
        </w:rPr>
      </w:pPr>
    </w:p>
    <w:p>
      <w:pPr>
        <w:spacing w:line="360" w:lineRule="auto"/>
        <w:ind w:firstLine="420" w:firstLineChars="200"/>
        <w:rPr>
          <w:rFonts w:hint="eastAsia" w:ascii="宋体" w:hAnsi="宋体"/>
          <w:snapToGrid w:val="0"/>
          <w:color w:val="auto"/>
          <w:kern w:val="0"/>
          <w:szCs w:val="21"/>
          <w:highlight w:val="none"/>
        </w:rPr>
      </w:pPr>
    </w:p>
    <w:p>
      <w:pPr>
        <w:spacing w:line="360" w:lineRule="auto"/>
        <w:ind w:firstLine="420" w:firstLineChars="200"/>
        <w:rPr>
          <w:rFonts w:hint="eastAsia"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pPr>
        <w:spacing w:line="360" w:lineRule="auto"/>
        <w:ind w:firstLine="418" w:firstLineChars="200"/>
        <w:rPr>
          <w:rFonts w:hint="eastAsia" w:ascii="宋体" w:hAnsi="宋体"/>
          <w:snapToGrid w:val="0"/>
          <w:color w:val="auto"/>
          <w:spacing w:val="1"/>
          <w:w w:val="99"/>
          <w:kern w:val="0"/>
          <w:position w:val="-2"/>
          <w:szCs w:val="21"/>
          <w:highlight w:val="none"/>
        </w:rPr>
      </w:pPr>
    </w:p>
    <w:p>
      <w:pPr>
        <w:spacing w:line="360" w:lineRule="auto"/>
        <w:ind w:firstLine="418" w:firstLineChars="200"/>
        <w:rPr>
          <w:rFonts w:hint="eastAsia" w:ascii="宋体" w:hAnsi="宋体"/>
          <w:snapToGrid w:val="0"/>
          <w:color w:val="auto"/>
          <w:spacing w:val="1"/>
          <w:w w:val="99"/>
          <w:kern w:val="0"/>
          <w:position w:val="-2"/>
          <w:szCs w:val="21"/>
          <w:highlight w:val="none"/>
        </w:rPr>
      </w:pP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pPr>
        <w:spacing w:line="48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文件名称</w:t>
            </w:r>
          </w:p>
        </w:tc>
        <w:tc>
          <w:tcPr>
            <w:tcW w:w="1418"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套数</w:t>
            </w:r>
          </w:p>
        </w:tc>
        <w:tc>
          <w:tcPr>
            <w:tcW w:w="1418" w:type="dxa"/>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移交时间</w:t>
            </w:r>
          </w:p>
        </w:tc>
        <w:tc>
          <w:tcPr>
            <w:tcW w:w="2917" w:type="dxa"/>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2917"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2917"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2917"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2917"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2917"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2917"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2917"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2917"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2917"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2917"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2917"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2917"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2917"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2917"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2917"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2917"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2917"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1418" w:type="dxa"/>
          </w:tcPr>
          <w:p>
            <w:pPr>
              <w:spacing w:line="400" w:lineRule="exact"/>
              <w:ind w:firstLine="420" w:firstLineChars="200"/>
              <w:rPr>
                <w:rFonts w:hint="eastAsia" w:ascii="宋体" w:hAnsi="宋体"/>
                <w:color w:val="auto"/>
                <w:szCs w:val="21"/>
                <w:highlight w:val="none"/>
              </w:rPr>
            </w:pPr>
          </w:p>
        </w:tc>
        <w:tc>
          <w:tcPr>
            <w:tcW w:w="2917" w:type="dxa"/>
          </w:tcPr>
          <w:p>
            <w:pPr>
              <w:spacing w:line="400" w:lineRule="exact"/>
              <w:ind w:firstLine="420" w:firstLineChars="200"/>
              <w:rPr>
                <w:rFonts w:hint="eastAsia" w:ascii="宋体" w:hAnsi="宋体"/>
                <w:color w:val="auto"/>
                <w:szCs w:val="21"/>
                <w:highlight w:val="none"/>
              </w:rPr>
            </w:pPr>
          </w:p>
        </w:tc>
      </w:tr>
    </w:tbl>
    <w:p>
      <w:pPr>
        <w:spacing w:line="360" w:lineRule="auto"/>
        <w:ind w:firstLine="420" w:firstLineChars="200"/>
        <w:rPr>
          <w:rFonts w:hint="eastAsia" w:ascii="宋体" w:hAnsi="宋体"/>
          <w:color w:val="auto"/>
          <w:szCs w:val="21"/>
          <w:highlight w:val="none"/>
        </w:rPr>
      </w:pPr>
    </w:p>
    <w:p>
      <w:pPr>
        <w:spacing w:line="48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2044" w:name="_Toc296944567"/>
      <w:bookmarkStart w:id="2045" w:name="_Toc267261699"/>
      <w:bookmarkStart w:id="2046" w:name="_Toc296347227"/>
      <w:bookmarkStart w:id="2047" w:name="_Toc296891056"/>
      <w:bookmarkStart w:id="2048" w:name="_Toc296346729"/>
      <w:bookmarkStart w:id="2049" w:name="_Toc296891268"/>
      <w:bookmarkStart w:id="2050" w:name="_Toc296503228"/>
      <w:r>
        <w:rPr>
          <w:rFonts w:hint="eastAsia" w:ascii="宋体" w:hAnsi="宋体"/>
          <w:color w:val="auto"/>
          <w:szCs w:val="21"/>
          <w:highlight w:val="none"/>
        </w:rPr>
        <w:t>件3：</w:t>
      </w:r>
    </w:p>
    <w:bookmarkEnd w:id="2044"/>
    <w:bookmarkEnd w:id="2045"/>
    <w:bookmarkEnd w:id="2046"/>
    <w:bookmarkEnd w:id="2047"/>
    <w:bookmarkEnd w:id="2048"/>
    <w:bookmarkEnd w:id="2049"/>
    <w:bookmarkEnd w:id="2050"/>
    <w:p>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名    称</w:t>
            </w:r>
          </w:p>
        </w:tc>
        <w:tc>
          <w:tcPr>
            <w:tcW w:w="1418"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姓名</w:t>
            </w:r>
          </w:p>
        </w:tc>
        <w:tc>
          <w:tcPr>
            <w:tcW w:w="1134"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职务</w:t>
            </w:r>
          </w:p>
        </w:tc>
        <w:tc>
          <w:tcPr>
            <w:tcW w:w="1134"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职称</w:t>
            </w:r>
          </w:p>
        </w:tc>
        <w:tc>
          <w:tcPr>
            <w:tcW w:w="4252"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项目主管</w:t>
            </w: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项目副经理</w:t>
            </w: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造价管理</w:t>
            </w: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质量管理</w:t>
            </w: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材料管理</w:t>
            </w: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计划管理</w:t>
            </w: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安全管理</w:t>
            </w: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hint="eastAsia" w:ascii="宋体" w:hAnsi="宋体"/>
                <w:color w:val="auto"/>
                <w:szCs w:val="21"/>
                <w:highlight w:val="none"/>
              </w:rPr>
            </w:pPr>
          </w:p>
        </w:tc>
        <w:tc>
          <w:tcPr>
            <w:tcW w:w="1418"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1134" w:type="dxa"/>
            <w:vAlign w:val="center"/>
          </w:tcPr>
          <w:p>
            <w:pPr>
              <w:spacing w:line="400" w:lineRule="exact"/>
              <w:ind w:firstLine="420" w:firstLineChars="200"/>
              <w:rPr>
                <w:rFonts w:hint="eastAsia" w:ascii="宋体" w:hAnsi="宋体"/>
                <w:color w:val="auto"/>
                <w:szCs w:val="21"/>
                <w:highlight w:val="none"/>
              </w:rPr>
            </w:pPr>
          </w:p>
        </w:tc>
        <w:tc>
          <w:tcPr>
            <w:tcW w:w="4252" w:type="dxa"/>
            <w:vAlign w:val="center"/>
          </w:tcPr>
          <w:p>
            <w:pPr>
              <w:spacing w:line="400" w:lineRule="exact"/>
              <w:ind w:firstLine="420" w:firstLineChars="200"/>
              <w:rPr>
                <w:rFonts w:hint="eastAsia" w:ascii="宋体" w:hAnsi="宋体"/>
                <w:color w:val="auto"/>
                <w:szCs w:val="21"/>
                <w:highlight w:val="none"/>
              </w:rPr>
            </w:pPr>
          </w:p>
        </w:tc>
      </w:tr>
    </w:tbl>
    <w:p>
      <w:pPr>
        <w:spacing w:line="480" w:lineRule="auto"/>
        <w:rPr>
          <w:rFonts w:hint="eastAsia" w:ascii="宋体" w:hAnsi="宋体"/>
          <w:color w:val="auto"/>
          <w:szCs w:val="21"/>
          <w:highlight w:val="none"/>
        </w:rPr>
      </w:pPr>
      <w:r>
        <w:rPr>
          <w:rFonts w:hint="eastAsia" w:ascii="宋体" w:hAnsi="宋体"/>
          <w:color w:val="auto"/>
          <w:szCs w:val="21"/>
          <w:highlight w:val="none"/>
        </w:rPr>
        <w:br w:type="page"/>
      </w:r>
      <w:bookmarkStart w:id="2051" w:name="_Toc267261701"/>
      <w:r>
        <w:rPr>
          <w:rFonts w:hint="eastAsia" w:ascii="宋体" w:hAnsi="宋体"/>
          <w:color w:val="auto"/>
          <w:szCs w:val="21"/>
          <w:highlight w:val="none"/>
        </w:rPr>
        <w:t>附</w:t>
      </w:r>
      <w:bookmarkStart w:id="2052" w:name="_Toc296347230"/>
      <w:bookmarkStart w:id="2053" w:name="_Toc296944570"/>
      <w:bookmarkStart w:id="2054" w:name="_Toc296346732"/>
      <w:bookmarkStart w:id="2055" w:name="_Toc296891059"/>
      <w:bookmarkStart w:id="2056" w:name="_Toc296891271"/>
      <w:bookmarkStart w:id="2057" w:name="_Toc296503231"/>
      <w:r>
        <w:rPr>
          <w:rFonts w:hint="eastAsia" w:ascii="宋体" w:hAnsi="宋体"/>
          <w:color w:val="auto"/>
          <w:szCs w:val="21"/>
          <w:highlight w:val="none"/>
        </w:rPr>
        <w:t>件4：履约担保（如有）</w:t>
      </w:r>
    </w:p>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履约保函示范文本</w:t>
      </w:r>
    </w:p>
    <w:p>
      <w:pPr>
        <w:spacing w:line="360" w:lineRule="auto"/>
        <w:rPr>
          <w:rFonts w:hint="eastAsia" w:ascii="宋体" w:hAnsi="宋体" w:cs="宋体"/>
          <w:color w:val="auto"/>
          <w:szCs w:val="21"/>
          <w:highlight w:val="none"/>
        </w:rPr>
      </w:pP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pPr>
        <w:spacing w:line="360" w:lineRule="auto"/>
        <w:rPr>
          <w:rFonts w:hint="eastAsia" w:asciiTheme="minorEastAsia" w:hAnsiTheme="minorEastAsia" w:eastAsiaTheme="minorEastAsia" w:cstheme="minorEastAsia"/>
          <w:color w:val="auto"/>
          <w:szCs w:val="21"/>
          <w:highlight w:val="none"/>
        </w:rPr>
      </w:pP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（受益人名称）：</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（以下简称“受益人”）与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（以下简称“申请人”）就工程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（以下简称“基础合同”）约定的义务，向贵方提供不可撤销、不可转让的见索即付保函（以下简称“本保函”）。</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一、本保函担保范围：承包人未按照基础合同的约定履行义务，应当向贵方承担的违约责任和赔偿因此造成的损失、利息、律师费、诉讼费用等实现债权的费用。</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三、</w:t>
      </w:r>
      <w:r>
        <w:rPr>
          <w:rFonts w:hint="eastAsia" w:asciiTheme="minorEastAsia" w:hAnsiTheme="minorEastAsia" w:eastAsiaTheme="minorEastAsia" w:cstheme="minorEastAsia"/>
          <w:color w:val="auto"/>
          <w:spacing w:val="6"/>
          <w:szCs w:val="21"/>
          <w:highlight w:val="none"/>
        </w:rPr>
        <w:t>本保函有效期自受益人与申请人签订的合同生效之日</w:t>
      </w:r>
      <w:r>
        <w:rPr>
          <w:rFonts w:hint="eastAsia" w:asciiTheme="minorEastAsia" w:hAnsiTheme="minorEastAsia" w:eastAsiaTheme="minorEastAsia" w:cstheme="minorEastAsia"/>
          <w:color w:val="auto"/>
          <w:szCs w:val="21"/>
          <w:highlight w:val="none"/>
        </w:rPr>
        <w:t>起至合同约定的工期截止日后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四、我方承诺，在收到受益人发来的书面索赔通知和本保函原件后的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个工作日内无条件支付至受益人指定账户，前述书面索赔通知即为付款要求之单据，且应满足以下要求：</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（1）索赔通知到达的日期在本保函的有效期内；</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（3）载明申请人违反合同义务的条款和内容；</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（4）声明不存在合同文件约定或我国法律规定免除申请人或开立人支付责任的情形；</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（5）索赔通知应在本保函有效期内到达的地址是：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受益人发出的书面索赔通知应由其为鉴明受益人法定代表人（负责人）或授权代理人签名或盖个人名章并加盖公章。</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五、本保函项下的权利不得转让，不得设定担保。贵方未经我方书面同意转让本保函或其项下任何权利，对我方不发生法律效力。</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六、与本保函有关的基础合同不成立、不生效、无效、被撤销、被解除，不影响本保函的独立有效。</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九、本保函自我方法定代表人或授权代表签名或盖个人名章并加盖公章或合同专用章之日起生效。</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十、本保函在重庆市辖区范围内的核验地点：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；核验方式：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spacing w:line="360" w:lineRule="auto"/>
        <w:rPr>
          <w:rFonts w:hint="eastAsia" w:asciiTheme="minorEastAsia" w:hAnsiTheme="minorEastAsia" w:eastAsiaTheme="minorEastAsia" w:cstheme="minorEastAsia"/>
          <w:color w:val="auto"/>
          <w:szCs w:val="21"/>
          <w:highlight w:val="none"/>
        </w:rPr>
      </w:pP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法定代表人（或授权代表）：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（签名或盖个人名章）</w:t>
      </w:r>
    </w:p>
    <w:p>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 xml:space="preserve">                                          </w:t>
      </w:r>
    </w:p>
    <w:p>
      <w:pPr>
        <w:spacing w:line="360" w:lineRule="auto"/>
        <w:ind w:firstLine="420" w:firstLineChars="200"/>
        <w:jc w:val="left"/>
        <w:rPr>
          <w:rFonts w:hint="eastAsia" w:ascii="宋体" w:hAnsi="宋体"/>
          <w:color w:val="auto"/>
          <w:szCs w:val="21"/>
          <w:highlight w:val="none"/>
        </w:rPr>
      </w:pPr>
      <w:r>
        <w:rPr>
          <w:rFonts w:hint="eastAsia" w:asciiTheme="minorEastAsia" w:hAnsiTheme="minorEastAsia" w:eastAsiaTheme="minorEastAsia" w:cstheme="minorEastAsia"/>
          <w:color w:val="auto"/>
          <w:szCs w:val="21"/>
          <w:highlight w:val="none"/>
        </w:rPr>
        <w:t xml:space="preserve">开立时间：    年    月    </w:t>
      </w:r>
      <w:r>
        <w:rPr>
          <w:rFonts w:hint="eastAsia" w:ascii="宋体" w:hAnsi="宋体" w:cs="宋体"/>
          <w:color w:val="auto"/>
          <w:szCs w:val="21"/>
          <w:highlight w:val="none"/>
        </w:rPr>
        <w:t>日</w:t>
      </w:r>
      <w:bookmarkEnd w:id="2051"/>
      <w:bookmarkEnd w:id="2052"/>
      <w:bookmarkEnd w:id="2053"/>
      <w:bookmarkEnd w:id="2054"/>
      <w:bookmarkEnd w:id="2055"/>
      <w:bookmarkEnd w:id="2056"/>
      <w:bookmarkEnd w:id="2057"/>
    </w:p>
    <w:p>
      <w:pPr>
        <w:widowControl/>
        <w:spacing w:line="360" w:lineRule="auto"/>
        <w:jc w:val="left"/>
        <w:rPr>
          <w:rFonts w:hint="eastAsia" w:ascii="宋体" w:hAnsi="宋体"/>
          <w:color w:val="auto"/>
          <w:szCs w:val="21"/>
          <w:highlight w:val="none"/>
        </w:rPr>
      </w:pPr>
      <w:r>
        <w:rPr>
          <w:rFonts w:ascii="宋体" w:hAnsi="宋体"/>
          <w:color w:val="auto"/>
          <w:szCs w:val="21"/>
          <w:highlight w:val="none"/>
        </w:rPr>
        <w:br w:type="page"/>
      </w:r>
    </w:p>
    <w:p>
      <w:pPr>
        <w:spacing w:line="480" w:lineRule="auto"/>
        <w:rPr>
          <w:rFonts w:hint="eastAsia" w:ascii="宋体" w:hAnsi="宋体"/>
          <w:color w:val="auto"/>
          <w:szCs w:val="21"/>
          <w:highlight w:val="none"/>
        </w:rPr>
      </w:pPr>
      <w:r>
        <w:rPr>
          <w:rFonts w:hint="eastAsia" w:ascii="宋体" w:hAnsi="宋体"/>
          <w:color w:val="auto"/>
          <w:szCs w:val="21"/>
          <w:highlight w:val="none"/>
        </w:rPr>
        <w:t>附</w:t>
      </w:r>
      <w:bookmarkStart w:id="2058" w:name="_Toc296346733"/>
      <w:bookmarkStart w:id="2059" w:name="_Toc296944571"/>
      <w:bookmarkStart w:id="2060" w:name="_Toc296347231"/>
      <w:bookmarkStart w:id="2061" w:name="_Toc296503232"/>
      <w:bookmarkStart w:id="2062" w:name="_Toc296891060"/>
      <w:bookmarkStart w:id="2063" w:name="_Toc267261702"/>
      <w:bookmarkStart w:id="2064" w:name="_Toc296891272"/>
      <w:r>
        <w:rPr>
          <w:rFonts w:hint="eastAsia" w:ascii="宋体" w:hAnsi="宋体"/>
          <w:color w:val="auto"/>
          <w:szCs w:val="21"/>
          <w:highlight w:val="none"/>
        </w:rPr>
        <w:t>件</w:t>
      </w:r>
      <w:r>
        <w:rPr>
          <w:rFonts w:ascii="宋体" w:hAnsi="宋体"/>
          <w:color w:val="auto"/>
          <w:szCs w:val="21"/>
          <w:highlight w:val="none"/>
        </w:rPr>
        <w:t>5</w:t>
      </w:r>
      <w:r>
        <w:rPr>
          <w:rFonts w:hint="eastAsia" w:ascii="宋体" w:hAnsi="宋体"/>
          <w:color w:val="auto"/>
          <w:szCs w:val="21"/>
          <w:highlight w:val="none"/>
        </w:rPr>
        <w:t>：</w:t>
      </w:r>
    </w:p>
    <w:bookmarkEnd w:id="2058"/>
    <w:bookmarkEnd w:id="2059"/>
    <w:bookmarkEnd w:id="2060"/>
    <w:bookmarkEnd w:id="2061"/>
    <w:bookmarkEnd w:id="2062"/>
    <w:bookmarkEnd w:id="2063"/>
    <w:bookmarkEnd w:id="2064"/>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预付款担保（如有）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本保函自我方法定代表人（或其委托代理人）签名并加盖单位公章之日起生效。</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hint="eastAsia" w:ascii="宋体" w:hAnsi="宋体"/>
          <w:color w:val="auto"/>
          <w:szCs w:val="21"/>
          <w:highlight w:val="none"/>
          <w:u w:val="single"/>
        </w:rPr>
      </w:pPr>
    </w:p>
    <w:p>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2065" w:name="_Toc296891061"/>
      <w:bookmarkStart w:id="2066" w:name="_Toc296346734"/>
      <w:bookmarkStart w:id="2067" w:name="_Toc296503233"/>
      <w:bookmarkStart w:id="2068" w:name="_Toc296347232"/>
      <w:bookmarkStart w:id="2069" w:name="_Toc296944572"/>
      <w:bookmarkStart w:id="2070" w:name="_Toc296891273"/>
      <w:r>
        <w:rPr>
          <w:rFonts w:hint="eastAsia" w:ascii="宋体" w:hAnsi="宋体"/>
          <w:color w:val="auto"/>
          <w:szCs w:val="21"/>
          <w:highlight w:val="none"/>
        </w:rPr>
        <w:t>件</w:t>
      </w:r>
      <w:r>
        <w:rPr>
          <w:rFonts w:ascii="宋体" w:hAnsi="宋体"/>
          <w:color w:val="auto"/>
          <w:szCs w:val="21"/>
          <w:highlight w:val="none"/>
        </w:rPr>
        <w:t>6</w:t>
      </w:r>
      <w:r>
        <w:rPr>
          <w:rFonts w:hint="eastAsia" w:ascii="宋体" w:hAnsi="宋体"/>
          <w:color w:val="auto"/>
          <w:szCs w:val="21"/>
          <w:highlight w:val="none"/>
        </w:rPr>
        <w:t>：</w:t>
      </w:r>
    </w:p>
    <w:bookmarkEnd w:id="2065"/>
    <w:bookmarkEnd w:id="2066"/>
    <w:bookmarkEnd w:id="2067"/>
    <w:bookmarkEnd w:id="2068"/>
    <w:bookmarkEnd w:id="2069"/>
    <w:bookmarkEnd w:id="2070"/>
    <w:p>
      <w:pPr>
        <w:spacing w:line="360"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rPr>
        <w:t>支付担保（如有）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鉴于你方作为承包人已经与 </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hint="eastAsia" w:ascii="宋体" w:hAnsi="宋体"/>
          <w:color w:val="auto"/>
          <w:szCs w:val="21"/>
          <w:highlight w:val="none"/>
        </w:rPr>
      </w:pPr>
      <w:bookmarkStart w:id="2071" w:name="_Toc532375692"/>
      <w:r>
        <w:rPr>
          <w:rFonts w:hint="eastAsia" w:ascii="宋体" w:hAnsi="宋体"/>
          <w:color w:val="auto"/>
          <w:szCs w:val="21"/>
          <w:highlight w:val="none"/>
        </w:rPr>
        <w:t>一、保证的范围及保证金额</w:t>
      </w:r>
      <w:bookmarkEnd w:id="2071"/>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我方的保证范围是主合同约定的工程款。</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bookmarkStart w:id="2072" w:name="_Toc532375693"/>
      <w:r>
        <w:rPr>
          <w:rFonts w:hint="eastAsia" w:ascii="宋体" w:hAnsi="宋体"/>
          <w:color w:val="auto"/>
          <w:szCs w:val="21"/>
          <w:highlight w:val="none"/>
        </w:rPr>
        <w:t>二、保证的方式及保证期间</w:t>
      </w:r>
      <w:bookmarkEnd w:id="2072"/>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我方保证的方式为：连带责任保证。</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我方保证的期间为：自合同生效之日起至主合同约定的工程款支付完毕之日后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pPr>
        <w:spacing w:line="360" w:lineRule="auto"/>
        <w:ind w:firstLine="420" w:firstLineChars="200"/>
        <w:rPr>
          <w:rFonts w:hint="eastAsia" w:ascii="宋体" w:hAnsi="宋体"/>
          <w:color w:val="auto"/>
          <w:szCs w:val="21"/>
          <w:highlight w:val="none"/>
        </w:rPr>
      </w:pPr>
      <w:bookmarkStart w:id="2073" w:name="_Toc532375694"/>
      <w:r>
        <w:rPr>
          <w:rFonts w:hint="eastAsia" w:ascii="宋体" w:hAnsi="宋体"/>
          <w:color w:val="auto"/>
          <w:szCs w:val="21"/>
          <w:highlight w:val="none"/>
        </w:rPr>
        <w:t>三、承担保证责任的形式</w:t>
      </w:r>
      <w:bookmarkEnd w:id="2073"/>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pPr>
        <w:spacing w:line="360" w:lineRule="auto"/>
        <w:ind w:firstLine="420" w:firstLineChars="200"/>
        <w:rPr>
          <w:rFonts w:hint="eastAsia" w:ascii="宋体" w:hAnsi="宋体"/>
          <w:color w:val="auto"/>
          <w:szCs w:val="21"/>
          <w:highlight w:val="none"/>
        </w:rPr>
      </w:pPr>
      <w:bookmarkStart w:id="2074" w:name="_Toc532375695"/>
      <w:r>
        <w:rPr>
          <w:rFonts w:hint="eastAsia" w:ascii="宋体" w:hAnsi="宋体"/>
          <w:color w:val="auto"/>
          <w:szCs w:val="21"/>
          <w:highlight w:val="none"/>
        </w:rPr>
        <w:t>四、代偿的安排</w:t>
      </w:r>
      <w:bookmarkEnd w:id="2074"/>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pPr>
        <w:spacing w:line="360" w:lineRule="auto"/>
        <w:ind w:firstLine="420" w:firstLineChars="200"/>
        <w:rPr>
          <w:rFonts w:hint="eastAsia" w:ascii="宋体" w:hAnsi="宋体"/>
          <w:color w:val="auto"/>
          <w:szCs w:val="21"/>
          <w:highlight w:val="none"/>
        </w:rPr>
      </w:pPr>
      <w:bookmarkStart w:id="2075" w:name="_Toc532375696"/>
      <w:r>
        <w:rPr>
          <w:rFonts w:hint="eastAsia" w:ascii="宋体" w:hAnsi="宋体"/>
          <w:color w:val="auto"/>
          <w:szCs w:val="21"/>
          <w:highlight w:val="none"/>
        </w:rPr>
        <w:t>五、保证责任的解除</w:t>
      </w:r>
      <w:bookmarkEnd w:id="2075"/>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我方解除保证责任后，你方应自我方保证责任解除之日起  个工作日内，将本保函原件返还我方。</w:t>
      </w:r>
    </w:p>
    <w:p>
      <w:pPr>
        <w:spacing w:line="360" w:lineRule="auto"/>
        <w:ind w:firstLine="420" w:firstLineChars="200"/>
        <w:rPr>
          <w:rFonts w:hint="eastAsia" w:ascii="宋体" w:hAnsi="宋体"/>
          <w:color w:val="auto"/>
          <w:szCs w:val="21"/>
          <w:highlight w:val="none"/>
        </w:rPr>
      </w:pPr>
      <w:bookmarkStart w:id="2076" w:name="_Toc532375697"/>
      <w:r>
        <w:rPr>
          <w:rFonts w:hint="eastAsia" w:ascii="宋体" w:hAnsi="宋体"/>
          <w:color w:val="auto"/>
          <w:szCs w:val="21"/>
          <w:highlight w:val="none"/>
        </w:rPr>
        <w:t>六、免责条款</w:t>
      </w:r>
      <w:bookmarkEnd w:id="2076"/>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pPr>
        <w:spacing w:line="360" w:lineRule="auto"/>
        <w:ind w:firstLine="420" w:firstLineChars="200"/>
        <w:rPr>
          <w:rFonts w:hint="eastAsia" w:ascii="宋体" w:hAnsi="宋体"/>
          <w:color w:val="auto"/>
          <w:szCs w:val="21"/>
          <w:highlight w:val="none"/>
        </w:rPr>
      </w:pPr>
      <w:bookmarkStart w:id="2077" w:name="_Toc532375698"/>
      <w:r>
        <w:rPr>
          <w:rFonts w:hint="eastAsia" w:ascii="宋体" w:hAnsi="宋体"/>
          <w:color w:val="auto"/>
          <w:szCs w:val="21"/>
          <w:highlight w:val="none"/>
        </w:rPr>
        <w:t>七、争议解决</w:t>
      </w:r>
      <w:bookmarkEnd w:id="2077"/>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pPr>
        <w:spacing w:line="360" w:lineRule="auto"/>
        <w:ind w:firstLine="420" w:firstLineChars="200"/>
        <w:rPr>
          <w:rFonts w:hint="eastAsia" w:ascii="宋体" w:hAnsi="宋体"/>
          <w:color w:val="auto"/>
          <w:szCs w:val="21"/>
          <w:highlight w:val="none"/>
        </w:rPr>
      </w:pPr>
      <w:bookmarkStart w:id="2078" w:name="_Toc532375699"/>
      <w:r>
        <w:rPr>
          <w:rFonts w:hint="eastAsia" w:ascii="宋体" w:hAnsi="宋体"/>
          <w:color w:val="auto"/>
          <w:szCs w:val="21"/>
          <w:highlight w:val="none"/>
        </w:rPr>
        <w:t>八、保函的生效</w:t>
      </w:r>
      <w:bookmarkEnd w:id="2078"/>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本保函自我方法定代表人（或其委托代理人）签名并加盖单位公章之日起生效。</w:t>
      </w:r>
    </w:p>
    <w:p>
      <w:pPr>
        <w:spacing w:line="360" w:lineRule="auto"/>
        <w:ind w:firstLine="420" w:firstLineChars="200"/>
        <w:jc w:val="left"/>
        <w:rPr>
          <w:rFonts w:hint="eastAsia" w:ascii="宋体" w:hAnsi="宋体"/>
          <w:color w:val="auto"/>
          <w:szCs w:val="21"/>
          <w:highlight w:val="none"/>
        </w:rPr>
      </w:pPr>
    </w:p>
    <w:p>
      <w:pPr>
        <w:spacing w:line="360" w:lineRule="auto"/>
        <w:ind w:firstLine="420" w:firstLineChars="200"/>
        <w:jc w:val="left"/>
        <w:rPr>
          <w:rFonts w:hint="eastAsia" w:ascii="宋体" w:hAnsi="宋体"/>
          <w:color w:val="auto"/>
          <w:szCs w:val="21"/>
          <w:highlight w:val="none"/>
        </w:rPr>
      </w:pP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rPr>
        <w:br w:type="page"/>
      </w:r>
    </w:p>
    <w:p>
      <w:pPr>
        <w:spacing w:line="480" w:lineRule="auto"/>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w:t>
      </w:r>
    </w:p>
    <w:p>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984" w:type="dxa"/>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专业工程名称</w:t>
            </w:r>
          </w:p>
        </w:tc>
        <w:tc>
          <w:tcPr>
            <w:tcW w:w="5103" w:type="dxa"/>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工程内容</w:t>
            </w:r>
          </w:p>
        </w:tc>
        <w:tc>
          <w:tcPr>
            <w:tcW w:w="1560" w:type="dxa"/>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color w:val="auto"/>
                <w:szCs w:val="21"/>
                <w:highlight w:val="none"/>
              </w:rPr>
            </w:pPr>
          </w:p>
        </w:tc>
        <w:tc>
          <w:tcPr>
            <w:tcW w:w="1984" w:type="dxa"/>
          </w:tcPr>
          <w:p>
            <w:pPr>
              <w:spacing w:line="400" w:lineRule="exact"/>
              <w:ind w:firstLine="420" w:firstLineChars="200"/>
              <w:rPr>
                <w:rFonts w:hint="eastAsia" w:ascii="宋体" w:hAnsi="宋体"/>
                <w:color w:val="auto"/>
                <w:szCs w:val="21"/>
                <w:highlight w:val="none"/>
              </w:rPr>
            </w:pPr>
          </w:p>
        </w:tc>
        <w:tc>
          <w:tcPr>
            <w:tcW w:w="5103" w:type="dxa"/>
          </w:tcPr>
          <w:p>
            <w:pPr>
              <w:spacing w:line="400" w:lineRule="exact"/>
              <w:ind w:firstLine="420" w:firstLineChars="200"/>
              <w:rPr>
                <w:rFonts w:hint="eastAsia" w:ascii="宋体" w:hAnsi="宋体"/>
                <w:color w:val="auto"/>
                <w:szCs w:val="21"/>
                <w:highlight w:val="none"/>
              </w:rPr>
            </w:pPr>
          </w:p>
        </w:tc>
        <w:tc>
          <w:tcPr>
            <w:tcW w:w="1560" w:type="dxa"/>
          </w:tcPr>
          <w:p>
            <w:pPr>
              <w:spacing w:line="400" w:lineRule="exact"/>
              <w:ind w:firstLine="420" w:firstLineChars="20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小计：</w:t>
            </w:r>
          </w:p>
        </w:tc>
      </w:tr>
    </w:tbl>
    <w:p>
      <w:pPr>
        <w:spacing w:line="360" w:lineRule="auto"/>
        <w:ind w:firstLine="420" w:firstLineChars="200"/>
        <w:rPr>
          <w:rFonts w:hint="eastAsia" w:ascii="宋体" w:hAnsi="宋体"/>
          <w:color w:val="auto"/>
          <w:szCs w:val="21"/>
          <w:highlight w:val="none"/>
        </w:rPr>
      </w:pPr>
    </w:p>
    <w:p>
      <w:pPr>
        <w:pStyle w:val="2"/>
        <w:spacing w:line="360" w:lineRule="auto"/>
        <w:rPr>
          <w:rFonts w:hint="eastAsia" w:ascii="宋体" w:hAnsi="宋体"/>
          <w:color w:val="auto"/>
          <w:szCs w:val="21"/>
          <w:highlight w:val="none"/>
        </w:rPr>
      </w:pPr>
    </w:p>
    <w:p>
      <w:pPr>
        <w:spacing w:line="480" w:lineRule="auto"/>
        <w:ind w:firstLine="420" w:firstLineChars="200"/>
        <w:rPr>
          <w:rFonts w:hint="eastAsia" w:ascii="宋体" w:hAnsi="宋体"/>
          <w:color w:val="auto"/>
          <w:szCs w:val="21"/>
          <w:highlight w:val="none"/>
        </w:rPr>
      </w:pPr>
      <w:r>
        <w:rPr>
          <w:rFonts w:ascii="宋体" w:hAnsi="宋体"/>
          <w:color w:val="auto"/>
          <w:szCs w:val="21"/>
          <w:highlight w:val="none"/>
        </w:rPr>
        <w:br w:type="page"/>
      </w:r>
    </w:p>
    <w:p>
      <w:pPr>
        <w:spacing w:line="480" w:lineRule="auto"/>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p>
    <w:p>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廉洁从业协议</w:t>
      </w:r>
    </w:p>
    <w:p>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 发包人承包人的权利和义务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（2）严格执行 工程的合同文件，自觉按合同办事。</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发包人的义务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承包人义务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违约责任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（以下无正文）</w:t>
      </w:r>
    </w:p>
    <w:p>
      <w:pPr>
        <w:spacing w:line="360" w:lineRule="auto"/>
        <w:rPr>
          <w:rFonts w:hint="eastAsia" w:ascii="宋体" w:hAnsi="宋体"/>
          <w:color w:val="auto"/>
          <w:szCs w:val="21"/>
          <w:highlight w:val="none"/>
        </w:rPr>
      </w:pPr>
    </w:p>
    <w:p>
      <w:pPr>
        <w:pStyle w:val="2"/>
        <w:spacing w:line="360" w:lineRule="auto"/>
        <w:rPr>
          <w:rFonts w:hint="eastAsia" w:ascii="宋体" w:hAnsi="宋体"/>
          <w:color w:val="auto"/>
          <w:szCs w:val="21"/>
          <w:highlight w:val="none"/>
        </w:rPr>
      </w:pPr>
    </w:p>
    <w:p>
      <w:pPr>
        <w:pStyle w:val="2"/>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甲     方：                         乙     方：</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法定代表人                          法定代表人                      </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或其授权的代理人：                  或授权的代理人：</w:t>
      </w:r>
    </w:p>
    <w:p>
      <w:pPr>
        <w:spacing w:line="48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w:t>
      </w:r>
    </w:p>
    <w:p>
      <w:pPr>
        <w:spacing w:before="156" w:beforeLines="50" w:after="156" w:afterLines="50" w:line="480" w:lineRule="auto"/>
        <w:jc w:val="center"/>
        <w:rPr>
          <w:rFonts w:hint="eastAsia" w:ascii="宋体" w:hAnsi="宋体"/>
          <w:color w:val="auto"/>
          <w:szCs w:val="21"/>
          <w:highlight w:val="none"/>
        </w:rPr>
      </w:pPr>
      <w:bookmarkStart w:id="2079" w:name="_Toc247431422"/>
      <w:bookmarkStart w:id="2080" w:name="_Toc239510288"/>
      <w:bookmarkStart w:id="2081" w:name="_Toc435689499"/>
      <w:bookmarkStart w:id="2082" w:name="_Toc448406299"/>
      <w:bookmarkStart w:id="2083" w:name="_Toc336680145"/>
      <w:bookmarkStart w:id="2084" w:name="_Toc435690184"/>
      <w:r>
        <w:rPr>
          <w:rFonts w:hint="eastAsia" w:ascii="宋体" w:hAnsi="宋体"/>
          <w:color w:val="auto"/>
          <w:szCs w:val="21"/>
          <w:highlight w:val="none"/>
        </w:rPr>
        <w:t>安全管理协议</w:t>
      </w:r>
      <w:bookmarkEnd w:id="2079"/>
      <w:bookmarkEnd w:id="2080"/>
      <w:bookmarkEnd w:id="2081"/>
      <w:bookmarkEnd w:id="2082"/>
      <w:bookmarkEnd w:id="2083"/>
      <w:bookmarkEnd w:id="2084"/>
    </w:p>
    <w:p>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hint="eastAsia" w:ascii="宋体" w:hAnsi="宋体"/>
          <w:color w:val="auto"/>
          <w:szCs w:val="21"/>
          <w:highlight w:val="none"/>
        </w:rPr>
      </w:pPr>
      <w:bookmarkStart w:id="2085" w:name="_Toc532375700"/>
      <w:bookmarkStart w:id="2086" w:name="_Toc247431423"/>
      <w:bookmarkStart w:id="2087" w:name="_Toc239510289"/>
      <w:bookmarkStart w:id="2088" w:name="_Toc247418263"/>
      <w:r>
        <w:rPr>
          <w:rFonts w:hint="eastAsia" w:ascii="宋体" w:hAnsi="宋体"/>
          <w:color w:val="auto"/>
          <w:szCs w:val="21"/>
          <w:highlight w:val="none"/>
        </w:rPr>
        <w:t>一、协议有效期限</w:t>
      </w:r>
      <w:bookmarkEnd w:id="2085"/>
      <w:bookmarkEnd w:id="2086"/>
      <w:bookmarkEnd w:id="2087"/>
      <w:bookmarkEnd w:id="2088"/>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hint="eastAsia" w:ascii="宋体" w:hAnsi="宋体"/>
          <w:color w:val="auto"/>
          <w:szCs w:val="21"/>
          <w:highlight w:val="none"/>
        </w:rPr>
      </w:pPr>
      <w:bookmarkStart w:id="2089" w:name="_Toc247418264"/>
      <w:bookmarkStart w:id="2090" w:name="_Toc247431424"/>
      <w:bookmarkStart w:id="2091" w:name="_Toc532375701"/>
      <w:bookmarkStart w:id="2092" w:name="_Toc239510290"/>
      <w:r>
        <w:rPr>
          <w:rFonts w:hint="eastAsia" w:ascii="宋体" w:hAnsi="宋体"/>
          <w:color w:val="auto"/>
          <w:szCs w:val="21"/>
          <w:highlight w:val="none"/>
        </w:rPr>
        <w:t>二、责任目标</w:t>
      </w:r>
      <w:bookmarkEnd w:id="2089"/>
      <w:bookmarkEnd w:id="2090"/>
      <w:bookmarkEnd w:id="2091"/>
      <w:bookmarkEnd w:id="2092"/>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1．不发生人身重伤事故；</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2．不发生火灾事故；</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4．不发生集体食物中毒事件（同时5人及以上的食物中毒）；</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pPr>
        <w:spacing w:line="360" w:lineRule="auto"/>
        <w:ind w:firstLine="420" w:firstLineChars="200"/>
        <w:jc w:val="left"/>
        <w:rPr>
          <w:rFonts w:hint="eastAsia" w:ascii="宋体" w:hAnsi="宋体"/>
          <w:color w:val="auto"/>
          <w:szCs w:val="21"/>
          <w:highlight w:val="none"/>
        </w:rPr>
      </w:pPr>
      <w:bookmarkStart w:id="2093" w:name="_Toc247431425"/>
      <w:bookmarkStart w:id="2094" w:name="_Toc247418265"/>
      <w:bookmarkStart w:id="2095" w:name="_Toc239510291"/>
      <w:r>
        <w:rPr>
          <w:rFonts w:hint="eastAsia" w:ascii="宋体" w:hAnsi="宋体"/>
          <w:color w:val="auto"/>
          <w:szCs w:val="21"/>
          <w:highlight w:val="none"/>
        </w:rPr>
        <w:t>（三）承包人承诺在施工中控制以下安全事故的发生：</w:t>
      </w:r>
      <w:bookmarkEnd w:id="2093"/>
      <w:bookmarkEnd w:id="2094"/>
      <w:bookmarkEnd w:id="2095"/>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1．人员轻伤事故。</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2．负有同等及以上事故责任的人身轻伤交通事故。</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3．其他安全未遂事故和异常事件。</w:t>
      </w:r>
    </w:p>
    <w:p>
      <w:pPr>
        <w:spacing w:line="360" w:lineRule="auto"/>
        <w:ind w:firstLine="420" w:firstLineChars="200"/>
        <w:rPr>
          <w:rFonts w:hint="eastAsia" w:ascii="宋体" w:hAnsi="宋体"/>
          <w:color w:val="auto"/>
          <w:szCs w:val="21"/>
          <w:highlight w:val="none"/>
        </w:rPr>
      </w:pPr>
      <w:bookmarkStart w:id="2096" w:name="_Toc247431426"/>
      <w:bookmarkStart w:id="2097" w:name="_Toc532375702"/>
      <w:bookmarkStart w:id="2098" w:name="_Toc239510292"/>
      <w:bookmarkStart w:id="2099" w:name="_Toc247418266"/>
      <w:r>
        <w:rPr>
          <w:rFonts w:hint="eastAsia" w:ascii="宋体" w:hAnsi="宋体"/>
          <w:color w:val="auto"/>
          <w:szCs w:val="21"/>
          <w:highlight w:val="none"/>
        </w:rPr>
        <w:t>三、安全责任</w:t>
      </w:r>
      <w:bookmarkEnd w:id="2096"/>
      <w:bookmarkEnd w:id="2097"/>
      <w:bookmarkEnd w:id="2098"/>
      <w:bookmarkEnd w:id="2099"/>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1．承包人负有安全生产的管理责任和直接责任。</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4．承包人保证执行“谁施工、谁负责”的施工安全原则。</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hint="eastAsia" w:ascii="宋体" w:hAnsi="宋体"/>
          <w:color w:val="auto"/>
          <w:szCs w:val="21"/>
          <w:highlight w:val="none"/>
        </w:rPr>
      </w:pPr>
      <w:bookmarkStart w:id="2100" w:name="_Toc247431427"/>
      <w:bookmarkStart w:id="2101" w:name="_Toc247418267"/>
      <w:bookmarkStart w:id="2102" w:name="_Toc239510293"/>
      <w:bookmarkStart w:id="2103" w:name="_Toc532375703"/>
      <w:r>
        <w:rPr>
          <w:rFonts w:hint="eastAsia" w:ascii="宋体" w:hAnsi="宋体"/>
          <w:color w:val="auto"/>
          <w:szCs w:val="21"/>
          <w:highlight w:val="none"/>
        </w:rPr>
        <w:t>四、接口及协调</w:t>
      </w:r>
      <w:bookmarkEnd w:id="2100"/>
      <w:bookmarkEnd w:id="2101"/>
      <w:bookmarkEnd w:id="2102"/>
      <w:bookmarkEnd w:id="2103"/>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pPr>
        <w:spacing w:line="360" w:lineRule="auto"/>
        <w:ind w:firstLine="420" w:firstLineChars="200"/>
        <w:rPr>
          <w:rFonts w:hint="eastAsia" w:ascii="宋体" w:hAnsi="宋体"/>
          <w:color w:val="auto"/>
          <w:szCs w:val="21"/>
          <w:highlight w:val="none"/>
        </w:rPr>
      </w:pPr>
      <w:bookmarkStart w:id="2104" w:name="_Toc532375704"/>
      <w:bookmarkStart w:id="2105" w:name="_Toc247431428"/>
      <w:bookmarkStart w:id="2106" w:name="_Toc239510294"/>
      <w:bookmarkStart w:id="2107" w:name="_Toc247418268"/>
      <w:r>
        <w:rPr>
          <w:rFonts w:hint="eastAsia" w:ascii="宋体" w:hAnsi="宋体"/>
          <w:color w:val="auto"/>
          <w:szCs w:val="21"/>
          <w:highlight w:val="none"/>
        </w:rPr>
        <w:t>五、安全资质审查</w:t>
      </w:r>
      <w:bookmarkEnd w:id="2104"/>
      <w:bookmarkEnd w:id="2105"/>
      <w:bookmarkEnd w:id="2106"/>
      <w:bookmarkEnd w:id="2107"/>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1．企业安全生产许可证书复印件。</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2．企业近三年的施工简历及安全施工业绩证明文件。</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4．特种作业人员资格证书。</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pPr>
        <w:spacing w:line="360" w:lineRule="auto"/>
        <w:ind w:firstLine="420" w:firstLineChars="200"/>
        <w:rPr>
          <w:rFonts w:hint="eastAsia" w:ascii="宋体" w:hAnsi="宋体"/>
          <w:color w:val="auto"/>
          <w:szCs w:val="21"/>
          <w:highlight w:val="none"/>
        </w:rPr>
      </w:pPr>
      <w:bookmarkStart w:id="2108" w:name="_Toc247418269"/>
      <w:bookmarkStart w:id="2109" w:name="_Toc532375705"/>
      <w:bookmarkStart w:id="2110" w:name="_Toc247431429"/>
      <w:bookmarkStart w:id="2111" w:name="_Toc239510295"/>
      <w:r>
        <w:rPr>
          <w:rFonts w:hint="eastAsia" w:ascii="宋体" w:hAnsi="宋体"/>
          <w:color w:val="auto"/>
          <w:szCs w:val="21"/>
          <w:highlight w:val="none"/>
        </w:rPr>
        <w:t>六、人员基本素质</w:t>
      </w:r>
      <w:bookmarkEnd w:id="2108"/>
      <w:bookmarkEnd w:id="2109"/>
      <w:bookmarkEnd w:id="2110"/>
      <w:bookmarkEnd w:id="2111"/>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承包人提供的人员必须满足下列要求：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2．无刑事案件牵连。</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3．无吸毒、酗酒、赌博、嫖娼等恶习及违法行为。</w:t>
      </w:r>
    </w:p>
    <w:p>
      <w:pPr>
        <w:spacing w:line="360" w:lineRule="auto"/>
        <w:ind w:firstLine="420" w:firstLineChars="200"/>
        <w:rPr>
          <w:rFonts w:hint="eastAsia" w:ascii="宋体" w:hAnsi="宋体"/>
          <w:color w:val="auto"/>
          <w:szCs w:val="21"/>
          <w:highlight w:val="none"/>
        </w:rPr>
      </w:pPr>
      <w:bookmarkStart w:id="2112" w:name="_Toc247431430"/>
      <w:bookmarkStart w:id="2113" w:name="_Toc532375706"/>
      <w:bookmarkStart w:id="2114" w:name="_Toc247418270"/>
      <w:bookmarkStart w:id="2115" w:name="_Toc239510296"/>
      <w:r>
        <w:rPr>
          <w:rFonts w:hint="eastAsia" w:ascii="宋体" w:hAnsi="宋体"/>
          <w:color w:val="auto"/>
          <w:szCs w:val="21"/>
          <w:highlight w:val="none"/>
        </w:rPr>
        <w:t>七、劳动保护</w:t>
      </w:r>
      <w:bookmarkEnd w:id="2112"/>
      <w:bookmarkEnd w:id="2113"/>
      <w:bookmarkEnd w:id="2114"/>
      <w:bookmarkEnd w:id="2115"/>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pPr>
        <w:spacing w:line="360" w:lineRule="auto"/>
        <w:ind w:firstLine="420" w:firstLineChars="200"/>
        <w:rPr>
          <w:rFonts w:hint="eastAsia" w:ascii="宋体" w:hAnsi="宋体"/>
          <w:color w:val="auto"/>
          <w:szCs w:val="21"/>
          <w:highlight w:val="none"/>
        </w:rPr>
      </w:pPr>
      <w:bookmarkStart w:id="2116" w:name="_Toc239510297"/>
      <w:bookmarkStart w:id="2117" w:name="_Toc247418271"/>
      <w:bookmarkStart w:id="2118" w:name="_Toc532375707"/>
      <w:bookmarkStart w:id="2119" w:name="_Toc247431431"/>
      <w:r>
        <w:rPr>
          <w:rFonts w:hint="eastAsia" w:ascii="宋体" w:hAnsi="宋体"/>
          <w:color w:val="auto"/>
          <w:szCs w:val="21"/>
          <w:highlight w:val="none"/>
        </w:rPr>
        <w:t>八、施工机具与材料</w:t>
      </w:r>
      <w:bookmarkEnd w:id="2116"/>
      <w:bookmarkEnd w:id="2117"/>
      <w:bookmarkEnd w:id="2118"/>
      <w:bookmarkEnd w:id="2119"/>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1．承包人对带入现场的施工机械和工器具的安全负责。</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hint="eastAsia" w:ascii="宋体" w:hAnsi="宋体"/>
          <w:color w:val="auto"/>
          <w:szCs w:val="21"/>
          <w:highlight w:val="none"/>
        </w:rPr>
      </w:pPr>
      <w:bookmarkStart w:id="2120" w:name="_Toc532375708"/>
      <w:bookmarkStart w:id="2121" w:name="_Toc247418272"/>
      <w:bookmarkStart w:id="2122" w:name="_Toc239510298"/>
      <w:bookmarkStart w:id="2123" w:name="_Toc247431432"/>
      <w:r>
        <w:rPr>
          <w:rFonts w:hint="eastAsia" w:ascii="宋体" w:hAnsi="宋体"/>
          <w:color w:val="auto"/>
          <w:szCs w:val="21"/>
          <w:highlight w:val="none"/>
        </w:rPr>
        <w:t>九、开工前安全条件检查</w:t>
      </w:r>
      <w:bookmarkEnd w:id="2120"/>
      <w:bookmarkEnd w:id="2121"/>
      <w:bookmarkEnd w:id="2122"/>
      <w:bookmarkEnd w:id="2123"/>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hint="eastAsia" w:ascii="宋体" w:hAnsi="宋体"/>
          <w:color w:val="auto"/>
          <w:szCs w:val="21"/>
          <w:highlight w:val="none"/>
        </w:rPr>
      </w:pPr>
      <w:bookmarkStart w:id="2124" w:name="_Toc532375709"/>
      <w:bookmarkStart w:id="2125" w:name="_Toc247418273"/>
      <w:bookmarkStart w:id="2126" w:name="_Toc247431433"/>
      <w:bookmarkStart w:id="2127" w:name="_Toc239510299"/>
      <w:r>
        <w:rPr>
          <w:rFonts w:hint="eastAsia" w:ascii="宋体" w:hAnsi="宋体"/>
          <w:color w:val="auto"/>
          <w:szCs w:val="21"/>
          <w:highlight w:val="none"/>
        </w:rPr>
        <w:t>十、安全监督</w:t>
      </w:r>
      <w:bookmarkEnd w:id="2124"/>
      <w:bookmarkEnd w:id="2125"/>
      <w:bookmarkEnd w:id="2126"/>
      <w:bookmarkEnd w:id="2127"/>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hint="eastAsia" w:ascii="宋体" w:hAnsi="宋体"/>
          <w:color w:val="auto"/>
          <w:szCs w:val="21"/>
          <w:highlight w:val="none"/>
        </w:rPr>
      </w:pPr>
      <w:bookmarkStart w:id="2128" w:name="_Toc532375710"/>
      <w:bookmarkStart w:id="2129" w:name="_Toc247431434"/>
      <w:bookmarkStart w:id="2130" w:name="_Toc247418274"/>
      <w:bookmarkStart w:id="2131" w:name="_Toc239510300"/>
      <w:r>
        <w:rPr>
          <w:rFonts w:hint="eastAsia" w:ascii="宋体" w:hAnsi="宋体"/>
          <w:color w:val="auto"/>
          <w:szCs w:val="21"/>
          <w:highlight w:val="none"/>
        </w:rPr>
        <w:t>十一、安全培训与授权</w:t>
      </w:r>
      <w:bookmarkEnd w:id="2128"/>
      <w:bookmarkEnd w:id="2129"/>
      <w:bookmarkEnd w:id="2130"/>
      <w:bookmarkEnd w:id="2131"/>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hint="eastAsia" w:ascii="宋体" w:hAnsi="宋体"/>
          <w:color w:val="auto"/>
          <w:szCs w:val="21"/>
          <w:highlight w:val="none"/>
        </w:rPr>
      </w:pPr>
      <w:bookmarkStart w:id="2132" w:name="_Toc239510301"/>
      <w:bookmarkStart w:id="2133" w:name="_Toc247418275"/>
      <w:bookmarkStart w:id="2134" w:name="_Toc247431435"/>
      <w:bookmarkStart w:id="2135" w:name="_Toc532375711"/>
      <w:r>
        <w:rPr>
          <w:rFonts w:hint="eastAsia" w:ascii="宋体" w:hAnsi="宋体"/>
          <w:color w:val="auto"/>
          <w:szCs w:val="21"/>
          <w:highlight w:val="none"/>
        </w:rPr>
        <w:t>十二、职业健康与卫生防疫</w:t>
      </w:r>
      <w:bookmarkEnd w:id="2132"/>
      <w:bookmarkEnd w:id="2133"/>
      <w:bookmarkEnd w:id="2134"/>
      <w:bookmarkEnd w:id="2135"/>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hint="eastAsia" w:ascii="宋体" w:hAnsi="宋体"/>
          <w:color w:val="auto"/>
          <w:szCs w:val="21"/>
          <w:highlight w:val="none"/>
        </w:rPr>
      </w:pPr>
      <w:bookmarkStart w:id="2136" w:name="_Toc239510302"/>
      <w:bookmarkStart w:id="2137" w:name="_Toc247431436"/>
      <w:bookmarkStart w:id="2138" w:name="_Toc532375712"/>
      <w:bookmarkStart w:id="2139" w:name="_Toc247418276"/>
      <w:r>
        <w:rPr>
          <w:rFonts w:hint="eastAsia" w:ascii="宋体" w:hAnsi="宋体"/>
          <w:color w:val="auto"/>
          <w:szCs w:val="21"/>
          <w:highlight w:val="none"/>
        </w:rPr>
        <w:t>十三、文明施工与环保要求</w:t>
      </w:r>
      <w:bookmarkEnd w:id="2136"/>
      <w:bookmarkEnd w:id="2137"/>
      <w:bookmarkEnd w:id="2138"/>
      <w:bookmarkEnd w:id="2139"/>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hint="eastAsia" w:ascii="宋体" w:hAnsi="宋体"/>
          <w:color w:val="auto"/>
          <w:szCs w:val="21"/>
          <w:highlight w:val="none"/>
        </w:rPr>
      </w:pPr>
      <w:bookmarkStart w:id="2140" w:name="_Toc532375713"/>
      <w:bookmarkStart w:id="2141" w:name="_Toc239510303"/>
      <w:bookmarkStart w:id="2142" w:name="_Toc247431437"/>
      <w:bookmarkStart w:id="2143" w:name="_Toc247418277"/>
      <w:r>
        <w:rPr>
          <w:rFonts w:hint="eastAsia" w:ascii="宋体" w:hAnsi="宋体"/>
          <w:color w:val="auto"/>
          <w:szCs w:val="21"/>
          <w:highlight w:val="none"/>
        </w:rPr>
        <w:t>十四、工程风险管理与事故预防</w:t>
      </w:r>
      <w:bookmarkEnd w:id="2140"/>
      <w:bookmarkEnd w:id="2141"/>
      <w:bookmarkEnd w:id="2142"/>
      <w:bookmarkEnd w:id="2143"/>
    </w:p>
    <w:p>
      <w:pPr>
        <w:spacing w:line="360" w:lineRule="auto"/>
        <w:ind w:firstLine="420" w:firstLineChars="200"/>
        <w:jc w:val="left"/>
        <w:rPr>
          <w:rFonts w:hint="eastAsia" w:ascii="宋体" w:hAnsi="宋体"/>
          <w:color w:val="auto"/>
          <w:szCs w:val="21"/>
          <w:highlight w:val="none"/>
        </w:rPr>
      </w:pPr>
      <w:bookmarkStart w:id="2144" w:name="_Toc247431438"/>
      <w:bookmarkStart w:id="2145" w:name="_Toc247418278"/>
      <w:bookmarkStart w:id="2146" w:name="_Toc239510304"/>
      <w:r>
        <w:rPr>
          <w:rFonts w:hint="eastAsia" w:ascii="宋体" w:hAnsi="宋体"/>
          <w:color w:val="auto"/>
          <w:szCs w:val="21"/>
          <w:highlight w:val="none"/>
        </w:rPr>
        <w:t>（一）基本要求</w:t>
      </w:r>
      <w:bookmarkEnd w:id="2144"/>
      <w:bookmarkEnd w:id="2145"/>
      <w:bookmarkEnd w:id="2146"/>
    </w:p>
    <w:p>
      <w:pPr>
        <w:spacing w:line="360" w:lineRule="auto"/>
        <w:ind w:firstLine="420" w:firstLineChars="200"/>
        <w:jc w:val="left"/>
        <w:rPr>
          <w:rFonts w:hint="eastAsia" w:ascii="宋体" w:hAnsi="宋体"/>
          <w:color w:val="auto"/>
          <w:szCs w:val="21"/>
          <w:highlight w:val="none"/>
        </w:rPr>
      </w:pPr>
      <w:bookmarkStart w:id="2147"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2147"/>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（2）施工能源和机械的种类、数量和主要事故风险。</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（3）施工作业条件的类型和主要事故风险。</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（5）主要火灾危险（可燃物、点火源）。</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（6）主要自然灾害（洪水、大风、雷暴、暴雨、地质灾害等）。</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（8）其他。</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hint="eastAsia" w:ascii="宋体" w:hAnsi="宋体"/>
          <w:color w:val="auto"/>
          <w:szCs w:val="21"/>
          <w:highlight w:val="none"/>
        </w:rPr>
      </w:pPr>
      <w:bookmarkStart w:id="2148" w:name="_Toc247418279"/>
      <w:bookmarkStart w:id="2149" w:name="_Toc247431439"/>
      <w:bookmarkStart w:id="2150" w:name="_Toc239510305"/>
      <w:r>
        <w:rPr>
          <w:rFonts w:hint="eastAsia" w:ascii="宋体" w:hAnsi="宋体"/>
          <w:color w:val="auto"/>
          <w:szCs w:val="21"/>
          <w:highlight w:val="none"/>
        </w:rPr>
        <w:t>（二）现场作业基本安全条件</w:t>
      </w:r>
      <w:bookmarkEnd w:id="2148"/>
      <w:bookmarkEnd w:id="2149"/>
      <w:bookmarkEnd w:id="2150"/>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hint="eastAsia" w:ascii="宋体" w:hAnsi="宋体"/>
          <w:color w:val="auto"/>
          <w:szCs w:val="21"/>
          <w:highlight w:val="none"/>
        </w:rPr>
      </w:pPr>
      <w:bookmarkStart w:id="2151" w:name="_Toc239510306"/>
      <w:bookmarkStart w:id="2152" w:name="_Toc247418280"/>
      <w:bookmarkStart w:id="2153" w:name="_Toc247431440"/>
      <w:bookmarkStart w:id="2154" w:name="_Toc532375715"/>
      <w:r>
        <w:rPr>
          <w:rFonts w:hint="eastAsia" w:ascii="宋体" w:hAnsi="宋体"/>
          <w:color w:val="auto"/>
          <w:szCs w:val="21"/>
          <w:highlight w:val="none"/>
        </w:rPr>
        <w:t>十五、事故报告与应急救援</w:t>
      </w:r>
      <w:bookmarkEnd w:id="2151"/>
      <w:bookmarkEnd w:id="2152"/>
      <w:bookmarkEnd w:id="2153"/>
      <w:bookmarkEnd w:id="2154"/>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pPr>
        <w:spacing w:line="360" w:lineRule="auto"/>
        <w:ind w:firstLine="420" w:firstLineChars="200"/>
        <w:rPr>
          <w:rFonts w:hint="eastAsia" w:ascii="宋体" w:hAnsi="宋体"/>
          <w:color w:val="auto"/>
          <w:szCs w:val="21"/>
          <w:highlight w:val="none"/>
        </w:rPr>
      </w:pPr>
      <w:bookmarkStart w:id="2155" w:name="_Toc239510307"/>
      <w:bookmarkStart w:id="2156" w:name="_Toc247418281"/>
      <w:bookmarkStart w:id="2157" w:name="_Toc247431441"/>
      <w:bookmarkStart w:id="2158" w:name="_Toc532375716"/>
      <w:r>
        <w:rPr>
          <w:rFonts w:hint="eastAsia" w:ascii="宋体" w:hAnsi="宋体"/>
          <w:color w:val="auto"/>
          <w:szCs w:val="21"/>
          <w:highlight w:val="none"/>
        </w:rPr>
        <w:t>十六、安全业绩考核</w:t>
      </w:r>
      <w:bookmarkEnd w:id="2155"/>
      <w:bookmarkEnd w:id="2156"/>
      <w:bookmarkEnd w:id="2157"/>
      <w:bookmarkEnd w:id="2158"/>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签约合同价的4‰</w:t>
            </w:r>
          </w:p>
        </w:tc>
      </w:tr>
    </w:tbl>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pPr>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（4）所称的“以上”包括本数，所称的“以下”不包括本数。</w:t>
      </w:r>
    </w:p>
    <w:p>
      <w:pPr>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hint="eastAsia" w:ascii="宋体" w:hAnsi="宋体"/>
          <w:color w:val="auto"/>
          <w:szCs w:val="21"/>
          <w:highlight w:val="none"/>
        </w:rPr>
      </w:pPr>
      <w:bookmarkStart w:id="2159" w:name="_Toc532375717"/>
      <w:bookmarkStart w:id="2160" w:name="_Toc247418282"/>
      <w:bookmarkStart w:id="2161" w:name="_Toc247431442"/>
      <w:bookmarkStart w:id="2162" w:name="_Toc239510308"/>
      <w:r>
        <w:rPr>
          <w:rFonts w:hint="eastAsia" w:ascii="宋体" w:hAnsi="宋体"/>
          <w:color w:val="auto"/>
          <w:szCs w:val="21"/>
          <w:highlight w:val="none"/>
        </w:rPr>
        <w:t>十七、协议条款的修订</w:t>
      </w:r>
      <w:bookmarkEnd w:id="2159"/>
      <w:bookmarkEnd w:id="2160"/>
      <w:bookmarkEnd w:id="2161"/>
      <w:bookmarkEnd w:id="2162"/>
    </w:p>
    <w:p>
      <w:pPr>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pPr>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  包  人（单位公章）：</w:t>
      </w:r>
      <w:r>
        <w:rPr>
          <w:rFonts w:hint="eastAsia" w:ascii="宋体" w:hAnsi="宋体" w:cs="宋体"/>
          <w:color w:val="auto"/>
          <w:szCs w:val="21"/>
          <w:highlight w:val="none"/>
          <w:u w:val="single"/>
        </w:rPr>
        <w:t xml:space="preserve">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hint="eastAsia" w:ascii="宋体" w:hAnsi="宋体"/>
          <w:color w:val="auto"/>
          <w:szCs w:val="21"/>
          <w:highlight w:val="none"/>
        </w:rPr>
      </w:pP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承  包  人（单位公章）：</w:t>
      </w:r>
      <w:r>
        <w:rPr>
          <w:rFonts w:hint="eastAsia" w:ascii="宋体" w:hAnsi="宋体" w:cs="宋体"/>
          <w:color w:val="auto"/>
          <w:szCs w:val="21"/>
          <w:highlight w:val="none"/>
          <w:u w:val="single"/>
        </w:rPr>
        <w:t xml:space="preserve">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p>
    <w:p>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p>
    <w:p>
      <w:pPr>
        <w:snapToGrid w:val="0"/>
        <w:spacing w:line="360" w:lineRule="auto"/>
        <w:jc w:val="left"/>
        <w:rPr>
          <w:rFonts w:hint="eastAsia" w:ascii="宋体" w:hAnsi="宋体"/>
          <w:color w:val="auto"/>
          <w:kern w:val="0"/>
          <w:szCs w:val="21"/>
          <w:highlight w:val="none"/>
        </w:rPr>
      </w:pPr>
      <w:r>
        <w:rPr>
          <w:rFonts w:hint="eastAsia" w:ascii="宋体" w:hAnsi="宋体"/>
          <w:color w:val="auto"/>
          <w:szCs w:val="21"/>
          <w:highlight w:val="none"/>
        </w:rPr>
        <w:br w:type="page"/>
      </w:r>
    </w:p>
    <w:p>
      <w:pPr>
        <w:spacing w:line="480" w:lineRule="auto"/>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w:t>
      </w:r>
    </w:p>
    <w:p>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保障农民工工资支付协议</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hint="eastAsia"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六、本协议经双方法定代表人或委托代理人签名并加盖单位公章后生效，履行完毕后自然失效。</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1、关于农民工工资发放情况的说明表</w:t>
      </w:r>
    </w:p>
    <w:p>
      <w:pPr>
        <w:pStyle w:val="2"/>
        <w:spacing w:line="360" w:lineRule="auto"/>
        <w:ind w:firstLine="420" w:firstLineChars="200"/>
        <w:rPr>
          <w:rFonts w:hint="eastAsia" w:ascii="宋体" w:hAnsi="宋体"/>
          <w:color w:val="auto"/>
          <w:szCs w:val="21"/>
          <w:highlight w:val="none"/>
        </w:rPr>
      </w:pPr>
    </w:p>
    <w:p>
      <w:pPr>
        <w:pStyle w:val="2"/>
        <w:spacing w:line="360" w:lineRule="auto"/>
        <w:ind w:firstLine="420" w:firstLineChars="200"/>
        <w:rPr>
          <w:rFonts w:hint="eastAsia" w:ascii="宋体" w:hAnsi="宋体"/>
          <w:color w:val="auto"/>
          <w:szCs w:val="21"/>
          <w:highlight w:val="none"/>
        </w:rPr>
      </w:pPr>
    </w:p>
    <w:p>
      <w:pPr>
        <w:pStyle w:val="2"/>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（以下无正文）</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pStyle w:val="2"/>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pPr>
        <w:snapToGrid w:val="0"/>
        <w:spacing w:line="360" w:lineRule="auto"/>
        <w:ind w:firstLine="560"/>
        <w:rPr>
          <w:rFonts w:hint="eastAsia" w:ascii="宋体" w:hAnsi="宋体"/>
          <w:color w:val="auto"/>
          <w:szCs w:val="21"/>
          <w:highlight w:val="none"/>
        </w:rPr>
      </w:pPr>
    </w:p>
    <w:p>
      <w:pPr>
        <w:spacing w:line="48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pPr>
        <w:widowControl/>
        <w:snapToGrid w:val="0"/>
        <w:spacing w:after="100" w:afterAutospacing="1" w:line="480" w:lineRule="auto"/>
        <w:jc w:val="center"/>
        <w:rPr>
          <w:rFonts w:hint="eastAsia" w:ascii="宋体" w:hAnsi="宋体"/>
          <w:color w:val="auto"/>
          <w:szCs w:val="21"/>
          <w:highlight w:val="none"/>
        </w:rPr>
      </w:pPr>
      <w:r>
        <w:rPr>
          <w:rFonts w:hint="eastAsia" w:ascii="宋体" w:hAnsi="宋体"/>
          <w:color w:val="auto"/>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hint="eastAsia" w:ascii="宋体" w:hAnsi="宋体"/>
                <w:color w:val="auto"/>
                <w:kern w:val="0"/>
                <w:szCs w:val="21"/>
                <w:highlight w:val="none"/>
              </w:rPr>
            </w:pPr>
            <w:r>
              <w:rPr>
                <w:rFonts w:hint="eastAsia" w:ascii="宋体" w:hAnsi="宋体"/>
                <w:color w:val="auto"/>
                <w:kern w:val="0"/>
                <w:szCs w:val="21"/>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hint="eastAsia" w:ascii="宋体" w:hAnsi="宋体"/>
                <w:color w:val="auto"/>
                <w:kern w:val="0"/>
                <w:szCs w:val="21"/>
                <w:highlight w:val="none"/>
              </w:rPr>
            </w:pPr>
            <w:r>
              <w:rPr>
                <w:rFonts w:hint="eastAsia" w:ascii="宋体" w:hAnsi="宋体"/>
                <w:color w:val="auto"/>
                <w:kern w:val="0"/>
                <w:szCs w:val="21"/>
                <w:highlight w:val="none"/>
              </w:rPr>
              <w:t>施工单位：</w:t>
            </w:r>
          </w:p>
        </w:tc>
        <w:tc>
          <w:tcPr>
            <w:tcW w:w="6201" w:type="dxa"/>
          </w:tcPr>
          <w:p>
            <w:pPr>
              <w:widowControl/>
              <w:snapToGrid w:val="0"/>
              <w:spacing w:after="100" w:afterAutospacing="1" w:line="400" w:lineRule="exact"/>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hint="eastAsia" w:ascii="宋体" w:hAnsi="宋体"/>
                <w:color w:val="auto"/>
                <w:kern w:val="0"/>
                <w:szCs w:val="21"/>
                <w:highlight w:val="none"/>
              </w:rPr>
            </w:pPr>
            <w:r>
              <w:rPr>
                <w:rFonts w:hint="eastAsia" w:ascii="宋体" w:hAnsi="宋体"/>
                <w:color w:val="auto"/>
                <w:kern w:val="0"/>
                <w:szCs w:val="21"/>
                <w:highlight w:val="none"/>
              </w:rPr>
              <w:t>监理单位：</w:t>
            </w:r>
          </w:p>
        </w:tc>
        <w:tc>
          <w:tcPr>
            <w:tcW w:w="6201" w:type="dxa"/>
          </w:tcPr>
          <w:p>
            <w:pPr>
              <w:widowControl/>
              <w:snapToGrid w:val="0"/>
              <w:spacing w:after="100" w:afterAutospacing="1" w:line="400" w:lineRule="exact"/>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hint="eastAsia" w:ascii="宋体" w:hAnsi="宋体"/>
                <w:color w:val="auto"/>
                <w:kern w:val="0"/>
                <w:szCs w:val="21"/>
                <w:highlight w:val="none"/>
                <w:u w:val="single"/>
              </w:rPr>
            </w:pPr>
          </w:p>
          <w:p>
            <w:pPr>
              <w:widowControl/>
              <w:snapToGrid w:val="0"/>
              <w:spacing w:after="100" w:afterAutospacing="1" w:line="400" w:lineRule="exact"/>
              <w:rPr>
                <w:rFonts w:hint="eastAsia"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pPr>
              <w:widowControl/>
              <w:snapToGrid w:val="0"/>
              <w:spacing w:after="100" w:afterAutospacing="1" w:line="400" w:lineRule="exact"/>
              <w:ind w:firstLine="1260" w:firstLineChars="600"/>
              <w:rPr>
                <w:rFonts w:hint="eastAsia" w:ascii="宋体" w:hAnsi="宋体"/>
                <w:color w:val="auto"/>
                <w:kern w:val="0"/>
                <w:szCs w:val="21"/>
                <w:highlight w:val="none"/>
                <w:u w:val="single"/>
              </w:rPr>
            </w:pPr>
            <w:r>
              <w:rPr>
                <w:rFonts w:hint="eastAsia" w:ascii="宋体" w:hAnsi="宋体"/>
                <w:color w:val="auto"/>
                <w:kern w:val="0"/>
                <w:szCs w:val="21"/>
                <w:highlight w:val="none"/>
              </w:rPr>
              <w:t>施工单位项目负责人签名（加盖项目章）：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tcPr>
          <w:p>
            <w:pPr>
              <w:widowControl/>
              <w:snapToGrid w:val="0"/>
              <w:spacing w:after="100" w:afterAutospacing="1" w:line="400" w:lineRule="exact"/>
              <w:rPr>
                <w:rFonts w:hint="eastAsia" w:ascii="宋体" w:hAnsi="宋体"/>
                <w:color w:val="auto"/>
                <w:kern w:val="0"/>
                <w:szCs w:val="21"/>
                <w:highlight w:val="none"/>
                <w:u w:val="single"/>
              </w:rPr>
            </w:pPr>
          </w:p>
          <w:p>
            <w:pPr>
              <w:widowControl/>
              <w:snapToGrid w:val="0"/>
              <w:spacing w:after="100" w:afterAutospacing="1" w:line="400" w:lineRule="exact"/>
              <w:rPr>
                <w:rFonts w:hint="eastAsia" w:ascii="宋体" w:hAnsi="宋体"/>
                <w:color w:val="auto"/>
                <w:kern w:val="0"/>
                <w:szCs w:val="21"/>
                <w:highlight w:val="none"/>
                <w:u w:val="single"/>
              </w:rPr>
            </w:pPr>
            <w:r>
              <w:rPr>
                <w:rFonts w:hint="eastAsia" w:ascii="宋体" w:hAnsi="宋体"/>
                <w:color w:val="auto"/>
                <w:kern w:val="0"/>
                <w:szCs w:val="21"/>
                <w:highlight w:val="none"/>
              </w:rPr>
              <w:t xml:space="preserve">             总监签名并加盖项目章：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tcPr>
          <w:p>
            <w:pPr>
              <w:widowControl/>
              <w:snapToGrid w:val="0"/>
              <w:spacing w:after="100" w:afterAutospacing="1" w:line="400" w:lineRule="exact"/>
              <w:rPr>
                <w:rFonts w:hint="eastAsia" w:ascii="宋体" w:hAnsi="宋体"/>
                <w:color w:val="auto"/>
                <w:kern w:val="0"/>
                <w:szCs w:val="21"/>
                <w:highlight w:val="none"/>
                <w:u w:val="single"/>
              </w:rPr>
            </w:pPr>
          </w:p>
          <w:p>
            <w:pPr>
              <w:widowControl/>
              <w:snapToGrid w:val="0"/>
              <w:spacing w:after="100" w:afterAutospacing="1" w:line="400" w:lineRule="exact"/>
              <w:rPr>
                <w:rFonts w:hint="eastAsia" w:ascii="宋体" w:hAnsi="宋体"/>
                <w:color w:val="auto"/>
                <w:kern w:val="0"/>
                <w:szCs w:val="21"/>
                <w:highlight w:val="none"/>
                <w:u w:val="single"/>
              </w:rPr>
            </w:pPr>
            <w:r>
              <w:rPr>
                <w:rFonts w:hint="eastAsia" w:ascii="宋体" w:hAnsi="宋体"/>
                <w:color w:val="auto"/>
                <w:kern w:val="0"/>
                <w:szCs w:val="21"/>
                <w:highlight w:val="none"/>
              </w:rPr>
              <w:t xml:space="preserve">                   项目负责人签名：</w:t>
            </w:r>
            <w:r>
              <w:rPr>
                <w:rFonts w:hint="eastAsia" w:ascii="宋体" w:hAnsi="宋体"/>
                <w:color w:val="auto"/>
                <w:kern w:val="0"/>
                <w:szCs w:val="21"/>
                <w:highlight w:val="none"/>
                <w:u w:val="single"/>
              </w:rPr>
              <w:t xml:space="preserve">        </w:t>
            </w:r>
          </w:p>
        </w:tc>
      </w:tr>
    </w:tbl>
    <w:p>
      <w:pPr>
        <w:rPr>
          <w:rFonts w:hint="eastAsia" w:ascii="宋体" w:hAnsi="宋体"/>
          <w:color w:val="auto"/>
          <w:sz w:val="24"/>
          <w:highlight w:val="none"/>
        </w:rPr>
      </w:pPr>
      <w:r>
        <w:rPr>
          <w:rFonts w:ascii="宋体" w:hAnsi="宋体"/>
          <w:color w:val="auto"/>
          <w:sz w:val="24"/>
          <w:highlight w:val="none"/>
        </w:rPr>
        <w:br w:type="page"/>
      </w:r>
    </w:p>
    <w:p>
      <w:pPr>
        <w:spacing w:line="360" w:lineRule="auto"/>
        <w:rPr>
          <w:rFonts w:hint="eastAsia" w:ascii="宋体" w:hAnsi="宋体"/>
          <w:color w:val="auto"/>
          <w:szCs w:val="21"/>
          <w:highlight w:val="none"/>
        </w:rPr>
      </w:pPr>
      <w:r>
        <w:rPr>
          <w:rFonts w:hint="eastAsia" w:ascii="宋体" w:hAnsi="宋体"/>
          <w:color w:val="auto"/>
          <w:szCs w:val="21"/>
          <w:highlight w:val="none"/>
        </w:rPr>
        <w:t>附件11：低价风险担保保函示范文本（独立保函）（如有）</w:t>
      </w:r>
    </w:p>
    <w:p>
      <w:pPr>
        <w:spacing w:line="360" w:lineRule="auto"/>
        <w:jc w:val="center"/>
        <w:rPr>
          <w:rFonts w:hint="eastAsia" w:asciiTheme="minorEastAsia" w:hAnsiTheme="minorEastAsia" w:eastAsiaTheme="minorEastAsia" w:cstheme="minorEastAsia"/>
          <w:b/>
          <w:bCs/>
          <w:color w:val="auto"/>
          <w:szCs w:val="21"/>
          <w:highlight w:val="none"/>
        </w:rPr>
      </w:pPr>
    </w:p>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pPr>
        <w:pStyle w:val="2"/>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（项目名称）的投标，收到受益人于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pPr>
        <w:pStyle w:val="2"/>
        <w:numPr>
          <w:ilvl w:val="0"/>
          <w:numId w:val="2"/>
        </w:num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（3）载明申请人未按照中标通知书、招标文件和投标文件约定签订合同或违反合同义务的条款和内容；</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（4）付款通知中应声明不存在招标文件约定、合同文件约定或我国法律规定免除申请人或开立人支付责任的情形；</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pPr>
        <w:spacing w:line="360" w:lineRule="auto"/>
        <w:ind w:firstLine="420" w:firstLineChars="200"/>
        <w:rPr>
          <w:rFonts w:hint="eastAsia" w:ascii="宋体" w:hAnsi="宋体"/>
          <w:color w:val="auto"/>
          <w:szCs w:val="21"/>
          <w:highlight w:val="none"/>
        </w:rPr>
      </w:pPr>
      <w:r>
        <w:rPr>
          <w:rFonts w:hint="eastAsia" w:asciiTheme="minorEastAsia" w:hAnsiTheme="minorEastAsia" w:eastAsiaTheme="minorEastAsia" w:cstheme="minorEastAsia"/>
          <w:color w:val="auto"/>
          <w:szCs w:val="21"/>
          <w:highlight w:val="none"/>
        </w:rPr>
        <w:t>开立时间：      年      月        日</w:t>
      </w:r>
      <w:r>
        <w:rPr>
          <w:rFonts w:ascii="宋体" w:hAnsi="宋体"/>
          <w:color w:val="auto"/>
          <w:sz w:val="24"/>
          <w:highlight w:val="none"/>
        </w:rPr>
        <w:br w:type="page"/>
      </w:r>
      <w:bookmarkEnd w:id="670"/>
      <w:bookmarkStart w:id="2163" w:name="招标文件05章工程量清单"/>
      <w:bookmarkEnd w:id="2163"/>
      <w:r>
        <w:rPr>
          <w:rFonts w:hint="eastAsia" w:ascii="宋体" w:hAnsi="宋体"/>
          <w:color w:val="auto"/>
          <w:szCs w:val="20"/>
          <w:highlight w:val="none"/>
        </w:rPr>
        <w:t>附件12</w:t>
      </w:r>
      <w:r>
        <w:rPr>
          <w:rFonts w:hint="eastAsia" w:ascii="宋体" w:hAnsi="宋体"/>
          <w:color w:val="auto"/>
          <w:szCs w:val="21"/>
          <w:highlight w:val="none"/>
        </w:rPr>
        <w:t>：质量保证金保函（如有）</w:t>
      </w:r>
    </w:p>
    <w:p>
      <w:pPr>
        <w:spacing w:line="360" w:lineRule="auto"/>
        <w:jc w:val="center"/>
        <w:rPr>
          <w:rFonts w:hint="eastAsia" w:ascii="宋体" w:hAnsi="宋体" w:cs="宋体"/>
          <w:color w:val="auto"/>
          <w:szCs w:val="21"/>
          <w:highlight w:val="none"/>
        </w:rPr>
      </w:pPr>
    </w:p>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工程质量保函示范文本</w:t>
      </w:r>
    </w:p>
    <w:p>
      <w:pPr>
        <w:wordWrap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pPr>
        <w:spacing w:line="360" w:lineRule="auto"/>
        <w:rPr>
          <w:rFonts w:hint="eastAsia" w:asciiTheme="minorEastAsia" w:hAnsiTheme="minorEastAsia" w:eastAsiaTheme="minorEastAsia" w:cstheme="minorEastAsia"/>
          <w:color w:val="auto"/>
          <w:szCs w:val="21"/>
          <w:highlight w:val="none"/>
        </w:rPr>
      </w:pP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（以下简称“申请人”）于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日就</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工程（以下简称“本工程”）施工和有关事项协商一致共同签订</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（合同名称）合同编号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一、本保函担保范围：承包人未按照合同约定履行工程缺陷责任期内的保修义务，应当向贵方承担的违约责任和赔偿因此造成的损失、利息、律师费、诉讼费用等实现债权的费用。</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三、本保函有效期（保证期间）为以下第</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种：</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（1）本保函有效期至</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四、我方承诺，在收到受益人发来的书面索赔通知和本保函原件后的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个工作日内无条件支付至受益人指定账户，前述书面索赔通知即为付款要求之单据，且应满足以下要求：</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（1）索赔通知到达的日期在本保函的有效期内；</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（3）载明申请人违反合同义务的条款和内容；</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（4）声明不存在合同文件约定或我国法律规定免除申请人或开立人支付责任的情形；</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（5）索赔通知应在本保函有效期内到达的地址是：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受益人发出的书面索赔通知应由其为鉴明受益人法定代表人（负责人）或授权代理人签名或盖个人名章并加盖公章。</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五、本保函项下的权利不得转让，不得设定担保。贵方未经我方书面同意转让本保函或其项下任何权利，对我方不发生法律效力。</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九、本保函自我方法定代表人或授权代表签名或盖个人名章并加盖公章或合同专用章之日起生效。</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十、本保函在重庆市辖区范围内的核验地点：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；核验方式：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法定代表人（或授权代表）：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（签名或盖个人名章）</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ind w:firstLine="420" w:firstLineChars="200"/>
        <w:rPr>
          <w:rFonts w:hint="eastAsia" w:ascii="宋体" w:hAnsi="宋体"/>
          <w:color w:val="auto"/>
          <w:sz w:val="24"/>
          <w:highlight w:val="none"/>
        </w:rPr>
      </w:pPr>
      <w:r>
        <w:rPr>
          <w:rFonts w:hint="eastAsia" w:asciiTheme="minorEastAsia" w:hAnsiTheme="minorEastAsia" w:eastAsiaTheme="minorEastAsia" w:cstheme="minorEastAsia"/>
          <w:color w:val="auto"/>
          <w:szCs w:val="21"/>
          <w:highlight w:val="none"/>
        </w:rPr>
        <w:t xml:space="preserve">开立时间：    年    月    </w:t>
      </w:r>
      <w:r>
        <w:rPr>
          <w:rFonts w:hint="eastAsia" w:ascii="宋体" w:hAnsi="宋体" w:cs="宋体"/>
          <w:color w:val="auto"/>
          <w:szCs w:val="21"/>
          <w:highlight w:val="none"/>
        </w:rPr>
        <w:t>日</w:t>
      </w:r>
      <w:r>
        <w:rPr>
          <w:rFonts w:ascii="宋体" w:hAnsi="宋体"/>
          <w:color w:val="auto"/>
          <w:sz w:val="24"/>
          <w:highlight w:val="none"/>
        </w:rPr>
        <w:br w:type="page"/>
      </w:r>
    </w:p>
    <w:p>
      <w:pPr>
        <w:pStyle w:val="2"/>
        <w:rPr>
          <w:color w:val="auto"/>
          <w:highlight w:val="none"/>
        </w:rPr>
      </w:pPr>
    </w:p>
    <w:p>
      <w:pPr>
        <w:pStyle w:val="3"/>
        <w:spacing w:before="0" w:after="0" w:line="360" w:lineRule="auto"/>
        <w:jc w:val="center"/>
        <w:rPr>
          <w:rFonts w:hint="eastAsia" w:ascii="宋体" w:hAnsi="宋体"/>
          <w:color w:val="auto"/>
          <w:highlight w:val="none"/>
        </w:rPr>
      </w:pPr>
      <w:bookmarkStart w:id="2164" w:name="_Toc287620797"/>
      <w:bookmarkStart w:id="2165" w:name="_Toc24895"/>
      <w:bookmarkStart w:id="2166" w:name="_Toc287607855"/>
      <w:bookmarkStart w:id="2167" w:name="_Toc534185822"/>
      <w:bookmarkStart w:id="2168" w:name="_Toc509218843"/>
      <w:bookmarkStart w:id="2169" w:name="_Toc16194"/>
      <w:bookmarkStart w:id="2170" w:name="_Toc430530513"/>
      <w:r>
        <w:rPr>
          <w:rFonts w:hint="eastAsia" w:ascii="宋体" w:hAnsi="宋体"/>
          <w:color w:val="auto"/>
          <w:highlight w:val="none"/>
        </w:rPr>
        <w:t>第五章  工程量清单</w:t>
      </w:r>
      <w:bookmarkEnd w:id="2164"/>
      <w:bookmarkEnd w:id="2165"/>
      <w:bookmarkEnd w:id="2166"/>
      <w:bookmarkEnd w:id="2167"/>
      <w:bookmarkEnd w:id="2168"/>
      <w:bookmarkEnd w:id="2169"/>
      <w:bookmarkEnd w:id="2170"/>
      <w:bookmarkStart w:id="2171" w:name="招标文件05章工程量清单01"/>
      <w:bookmarkEnd w:id="2171"/>
      <w:bookmarkStart w:id="2172" w:name="_Toc277082638"/>
      <w:bookmarkStart w:id="2173" w:name="_Toc224103477"/>
      <w:bookmarkStart w:id="2174" w:name="_Toc430530514"/>
      <w:bookmarkStart w:id="2175" w:name="_Toc287620798"/>
      <w:bookmarkStart w:id="2176" w:name="_Toc287607856"/>
    </w:p>
    <w:bookmarkEnd w:id="2172"/>
    <w:bookmarkEnd w:id="2173"/>
    <w:bookmarkEnd w:id="2174"/>
    <w:bookmarkEnd w:id="2175"/>
    <w:bookmarkEnd w:id="2176"/>
    <w:p>
      <w:pPr>
        <w:snapToGrid w:val="0"/>
        <w:spacing w:line="360" w:lineRule="auto"/>
        <w:jc w:val="center"/>
        <w:rPr>
          <w:rFonts w:hint="eastAsia" w:ascii="宋体" w:hAnsi="宋体"/>
          <w:color w:val="auto"/>
          <w:sz w:val="24"/>
          <w:highlight w:val="none"/>
        </w:rPr>
      </w:pPr>
    </w:p>
    <w:p>
      <w:pPr>
        <w:snapToGrid w:val="0"/>
        <w:spacing w:line="360" w:lineRule="auto"/>
        <w:jc w:val="center"/>
        <w:rPr>
          <w:rFonts w:hint="eastAsia" w:ascii="宋体" w:hAnsi="宋体"/>
          <w:color w:val="auto"/>
          <w:szCs w:val="21"/>
          <w:highlight w:val="none"/>
        </w:rPr>
      </w:pPr>
      <w:r>
        <w:rPr>
          <w:rFonts w:hint="eastAsia" w:ascii="宋体" w:hAnsi="宋体"/>
          <w:color w:val="auto"/>
          <w:szCs w:val="20"/>
          <w:highlight w:val="none"/>
        </w:rPr>
        <w:t>在</w:t>
      </w:r>
      <w:r>
        <w:rPr>
          <w:rFonts w:hint="eastAsia" w:ascii="宋体" w:hAnsi="宋体"/>
          <w:color w:val="auto"/>
          <w:szCs w:val="20"/>
          <w:highlight w:val="none"/>
          <w:u w:val="single"/>
        </w:rPr>
        <w:t>重庆市公共资源交易网（www.cqggzy.com）</w:t>
      </w:r>
      <w:r>
        <w:rPr>
          <w:rFonts w:hint="eastAsia" w:ascii="宋体" w:hAnsi="宋体"/>
          <w:color w:val="auto"/>
          <w:szCs w:val="20"/>
          <w:highlight w:val="none"/>
        </w:rPr>
        <w:t>下载。</w:t>
      </w:r>
    </w:p>
    <w:p>
      <w:pPr>
        <w:ind w:right="561"/>
        <w:rPr>
          <w:rFonts w:hint="eastAsia" w:ascii="宋体" w:hAnsi="宋体"/>
          <w:color w:val="auto"/>
          <w:szCs w:val="21"/>
          <w:highlight w:val="none"/>
        </w:rPr>
      </w:pPr>
      <w:r>
        <w:rPr>
          <w:rFonts w:ascii="宋体" w:hAnsi="宋体"/>
          <w:color w:val="auto"/>
          <w:sz w:val="24"/>
          <w:highlight w:val="none"/>
        </w:rPr>
        <w:br w:type="page"/>
      </w:r>
    </w:p>
    <w:p>
      <w:pPr>
        <w:pStyle w:val="3"/>
        <w:spacing w:before="0" w:after="0" w:line="360" w:lineRule="auto"/>
        <w:jc w:val="center"/>
        <w:rPr>
          <w:rFonts w:hint="eastAsia" w:ascii="宋体" w:hAnsi="宋体"/>
          <w:color w:val="auto"/>
          <w:sz w:val="52"/>
          <w:szCs w:val="52"/>
          <w:highlight w:val="none"/>
        </w:rPr>
      </w:pPr>
      <w:bookmarkStart w:id="2177" w:name="_Toc13474"/>
      <w:bookmarkStart w:id="2178" w:name="_Toc509218844"/>
      <w:bookmarkStart w:id="2179" w:name="_Toc534185823"/>
      <w:bookmarkStart w:id="2180" w:name="_Toc21575"/>
      <w:r>
        <w:rPr>
          <w:rFonts w:ascii="宋体" w:hAnsi="宋体"/>
          <w:color w:val="auto"/>
          <w:sz w:val="52"/>
          <w:szCs w:val="52"/>
          <w:highlight w:val="none"/>
        </w:rPr>
        <w:t>第 二 卷</w:t>
      </w:r>
      <w:bookmarkEnd w:id="2177"/>
      <w:bookmarkEnd w:id="2178"/>
      <w:bookmarkEnd w:id="2179"/>
      <w:bookmarkEnd w:id="2180"/>
    </w:p>
    <w:p>
      <w:pPr>
        <w:spacing w:line="360" w:lineRule="auto"/>
        <w:rPr>
          <w:rFonts w:hint="eastAsia" w:ascii="宋体" w:hAnsi="宋体"/>
          <w:color w:val="auto"/>
          <w:szCs w:val="20"/>
          <w:highlight w:val="none"/>
        </w:rPr>
      </w:pPr>
      <w:r>
        <w:rPr>
          <w:rFonts w:ascii="宋体" w:hAnsi="宋体"/>
          <w:color w:val="auto"/>
          <w:szCs w:val="20"/>
          <w:highlight w:val="none"/>
        </w:rPr>
        <w:br w:type="page"/>
      </w:r>
    </w:p>
    <w:p>
      <w:pPr>
        <w:pStyle w:val="3"/>
        <w:spacing w:line="360" w:lineRule="auto"/>
        <w:jc w:val="center"/>
        <w:rPr>
          <w:rFonts w:hint="eastAsia" w:ascii="宋体" w:hAnsi="宋体"/>
          <w:color w:val="auto"/>
          <w:highlight w:val="none"/>
        </w:rPr>
      </w:pPr>
      <w:bookmarkStart w:id="2181" w:name="招标文件06章图纸"/>
      <w:bookmarkEnd w:id="2181"/>
      <w:bookmarkStart w:id="2182" w:name="_Toc22154"/>
      <w:bookmarkStart w:id="2183" w:name="_Toc18885"/>
      <w:bookmarkStart w:id="2184" w:name="_Toc534185825"/>
      <w:bookmarkStart w:id="2185" w:name="_Toc287620803"/>
      <w:bookmarkStart w:id="2186" w:name="_Toc509218846"/>
      <w:bookmarkStart w:id="2187" w:name="_Toc430530519"/>
      <w:bookmarkStart w:id="2188" w:name="_Toc287607861"/>
      <w:r>
        <w:rPr>
          <w:rFonts w:hint="eastAsia" w:ascii="宋体" w:hAnsi="宋体"/>
          <w:color w:val="auto"/>
          <w:highlight w:val="none"/>
        </w:rPr>
        <w:t>第六章  图纸</w:t>
      </w:r>
      <w:bookmarkEnd w:id="2182"/>
      <w:bookmarkEnd w:id="2183"/>
      <w:bookmarkEnd w:id="2184"/>
      <w:bookmarkEnd w:id="2185"/>
      <w:bookmarkEnd w:id="2186"/>
      <w:bookmarkEnd w:id="2187"/>
      <w:bookmarkEnd w:id="2188"/>
    </w:p>
    <w:p>
      <w:pPr>
        <w:spacing w:line="360" w:lineRule="auto"/>
        <w:jc w:val="center"/>
        <w:rPr>
          <w:rFonts w:hint="eastAsia" w:ascii="宋体" w:hAnsi="宋体"/>
          <w:color w:val="auto"/>
          <w:szCs w:val="20"/>
          <w:highlight w:val="none"/>
        </w:rPr>
      </w:pPr>
      <w:r>
        <w:rPr>
          <w:rFonts w:hint="eastAsia" w:ascii="宋体" w:hAnsi="宋体"/>
          <w:color w:val="auto"/>
          <w:szCs w:val="20"/>
          <w:highlight w:val="none"/>
        </w:rPr>
        <w:t>在</w:t>
      </w:r>
      <w:r>
        <w:rPr>
          <w:rFonts w:hint="eastAsia" w:ascii="宋体" w:hAnsi="宋体"/>
          <w:color w:val="auto"/>
          <w:szCs w:val="20"/>
          <w:highlight w:val="none"/>
          <w:u w:val="single"/>
        </w:rPr>
        <w:t>重庆市公共资源交易网（www.cqggzy.com）</w:t>
      </w:r>
      <w:r>
        <w:rPr>
          <w:rFonts w:hint="eastAsia" w:ascii="宋体" w:hAnsi="宋体"/>
          <w:color w:val="auto"/>
          <w:szCs w:val="20"/>
          <w:highlight w:val="none"/>
        </w:rPr>
        <w:t>下载。</w:t>
      </w:r>
    </w:p>
    <w:p>
      <w:pPr>
        <w:spacing w:line="360" w:lineRule="auto"/>
        <w:rPr>
          <w:rFonts w:hint="eastAsia" w:ascii="宋体" w:hAnsi="宋体"/>
          <w:color w:val="auto"/>
          <w:szCs w:val="20"/>
          <w:highlight w:val="none"/>
        </w:rPr>
      </w:pPr>
      <w:bookmarkStart w:id="2189" w:name="招标文件06章图纸01"/>
      <w:bookmarkEnd w:id="2189"/>
      <w:bookmarkStart w:id="2190" w:name="_Toc287620804"/>
      <w:bookmarkStart w:id="2191" w:name="_Toc430530520"/>
    </w:p>
    <w:bookmarkEnd w:id="2190"/>
    <w:bookmarkEnd w:id="2191"/>
    <w:p>
      <w:pPr>
        <w:spacing w:line="360" w:lineRule="auto"/>
        <w:rPr>
          <w:rFonts w:hint="eastAsia" w:ascii="宋体" w:hAnsi="宋体"/>
          <w:color w:val="auto"/>
          <w:highlight w:val="none"/>
        </w:rPr>
      </w:pPr>
      <w:r>
        <w:rPr>
          <w:rFonts w:ascii="宋体" w:hAnsi="宋体"/>
          <w:color w:val="auto"/>
          <w:szCs w:val="20"/>
          <w:highlight w:val="none"/>
        </w:rPr>
        <w:br w:type="page"/>
      </w:r>
    </w:p>
    <w:p>
      <w:pPr>
        <w:pStyle w:val="3"/>
        <w:spacing w:before="0" w:after="0" w:line="360" w:lineRule="auto"/>
        <w:jc w:val="center"/>
        <w:rPr>
          <w:rFonts w:hint="eastAsia" w:ascii="宋体" w:hAnsi="宋体"/>
          <w:color w:val="auto"/>
          <w:sz w:val="52"/>
          <w:szCs w:val="52"/>
          <w:highlight w:val="none"/>
        </w:rPr>
      </w:pPr>
      <w:bookmarkStart w:id="2192" w:name="_Toc8804"/>
      <w:bookmarkStart w:id="2193" w:name="_Toc10551"/>
      <w:r>
        <w:rPr>
          <w:rFonts w:hint="eastAsia" w:ascii="宋体" w:hAnsi="宋体"/>
          <w:color w:val="auto"/>
          <w:sz w:val="52"/>
          <w:szCs w:val="52"/>
          <w:highlight w:val="none"/>
        </w:rPr>
        <w:t>第 三 卷</w:t>
      </w:r>
      <w:bookmarkEnd w:id="2192"/>
      <w:bookmarkEnd w:id="2193"/>
      <w:bookmarkStart w:id="2194" w:name="_Toc509218847"/>
      <w:bookmarkStart w:id="2195" w:name="_Toc13211764"/>
      <w:bookmarkStart w:id="2196" w:name="_Toc536796986"/>
      <w:bookmarkStart w:id="2197" w:name="_Toc536619968"/>
      <w:bookmarkStart w:id="2198" w:name="_Toc536797255"/>
      <w:bookmarkStart w:id="2199" w:name="_Toc536628344"/>
      <w:bookmarkStart w:id="2200" w:name="_Toc536797121"/>
      <w:bookmarkStart w:id="2201" w:name="_Toc13211206"/>
      <w:bookmarkStart w:id="2202" w:name="_Toc536796850"/>
      <w:bookmarkStart w:id="2203" w:name="_Toc536621880"/>
      <w:bookmarkStart w:id="2204" w:name="_Toc536797390"/>
      <w:bookmarkStart w:id="2205" w:name="_Toc13210772"/>
      <w:bookmarkStart w:id="2206" w:name="_Toc534185826"/>
      <w:bookmarkStart w:id="2207" w:name="_Toc536620100"/>
    </w:p>
    <w:bookmarkEnd w:id="2194"/>
    <w:p>
      <w:pPr>
        <w:rPr>
          <w:color w:val="auto"/>
          <w:highlight w:val="none"/>
        </w:rPr>
      </w:pPr>
      <w:r>
        <w:rPr>
          <w:color w:val="auto"/>
          <w:highlight w:val="none"/>
        </w:rPr>
        <w:br w:type="page"/>
      </w:r>
      <w:bookmarkEnd w:id="2195"/>
      <w:bookmarkEnd w:id="2196"/>
      <w:bookmarkEnd w:id="2197"/>
      <w:bookmarkEnd w:id="2198"/>
      <w:bookmarkEnd w:id="2199"/>
      <w:bookmarkEnd w:id="2200"/>
      <w:bookmarkEnd w:id="2201"/>
      <w:bookmarkEnd w:id="2202"/>
      <w:bookmarkEnd w:id="2203"/>
      <w:bookmarkEnd w:id="2204"/>
      <w:bookmarkEnd w:id="2205"/>
      <w:bookmarkEnd w:id="2206"/>
      <w:bookmarkEnd w:id="2207"/>
    </w:p>
    <w:p>
      <w:pPr>
        <w:pStyle w:val="3"/>
        <w:spacing w:line="360" w:lineRule="auto"/>
        <w:jc w:val="center"/>
        <w:rPr>
          <w:rFonts w:hint="eastAsia" w:ascii="宋体" w:hAnsi="宋体"/>
          <w:color w:val="auto"/>
          <w:highlight w:val="none"/>
        </w:rPr>
      </w:pPr>
      <w:bookmarkStart w:id="2208" w:name="招标文件07章技术标准和要求"/>
      <w:bookmarkEnd w:id="2208"/>
      <w:bookmarkStart w:id="2209" w:name="_Toc17170"/>
      <w:bookmarkStart w:id="2210" w:name="_Toc2066"/>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2209"/>
      <w:bookmarkEnd w:id="2210"/>
      <w:bookmarkStart w:id="2211" w:name="招标文件07章技术标准和要求01"/>
      <w:bookmarkEnd w:id="2211"/>
      <w:bookmarkStart w:id="2212" w:name="_Toc430530524"/>
      <w:bookmarkStart w:id="2213" w:name="_Toc287620808"/>
    </w:p>
    <w:bookmarkEnd w:id="2212"/>
    <w:bookmarkEnd w:id="2213"/>
    <w:p>
      <w:pPr>
        <w:spacing w:line="360" w:lineRule="auto"/>
        <w:jc w:val="center"/>
        <w:rPr>
          <w:rFonts w:hint="eastAsia" w:ascii="宋体" w:hAnsi="宋体"/>
          <w:color w:val="auto"/>
          <w:szCs w:val="21"/>
          <w:highlight w:val="none"/>
        </w:rPr>
      </w:pPr>
      <w:r>
        <w:rPr>
          <w:rFonts w:ascii="宋体" w:hAnsi="宋体"/>
          <w:color w:val="auto"/>
          <w:szCs w:val="21"/>
          <w:highlight w:val="none"/>
        </w:rPr>
        <w:t>由招标人根据招标项目的实际情况编写</w:t>
      </w:r>
      <w:r>
        <w:rPr>
          <w:rFonts w:hint="eastAsia" w:ascii="宋体" w:hAnsi="宋体"/>
          <w:color w:val="auto"/>
          <w:szCs w:val="21"/>
          <w:highlight w:val="none"/>
        </w:rPr>
        <w:t>（如有）。</w:t>
      </w:r>
    </w:p>
    <w:p>
      <w:pPr>
        <w:spacing w:line="360" w:lineRule="auto"/>
        <w:rPr>
          <w:rFonts w:hint="eastAsia" w:ascii="宋体" w:hAnsi="宋体"/>
          <w:color w:val="auto"/>
          <w:highlight w:val="none"/>
        </w:rPr>
      </w:pPr>
      <w:r>
        <w:rPr>
          <w:rFonts w:ascii="宋体" w:hAnsi="宋体"/>
          <w:color w:val="auto"/>
          <w:highlight w:val="none"/>
        </w:rPr>
        <w:br w:type="page"/>
      </w:r>
    </w:p>
    <w:p>
      <w:pPr>
        <w:pStyle w:val="3"/>
        <w:spacing w:before="0" w:after="0" w:line="360" w:lineRule="auto"/>
        <w:jc w:val="center"/>
        <w:rPr>
          <w:rFonts w:hint="eastAsia" w:ascii="宋体" w:hAnsi="宋体"/>
          <w:color w:val="auto"/>
          <w:sz w:val="52"/>
          <w:szCs w:val="52"/>
          <w:highlight w:val="none"/>
        </w:rPr>
      </w:pPr>
      <w:bookmarkStart w:id="2214" w:name="_Toc509218849"/>
      <w:bookmarkStart w:id="2215" w:name="_Toc534185827"/>
      <w:bookmarkStart w:id="2216" w:name="_Toc18822"/>
      <w:bookmarkStart w:id="2217" w:name="_Toc32030"/>
      <w:r>
        <w:rPr>
          <w:rFonts w:ascii="宋体" w:hAnsi="宋体"/>
          <w:color w:val="auto"/>
          <w:sz w:val="52"/>
          <w:szCs w:val="52"/>
          <w:highlight w:val="none"/>
        </w:rPr>
        <w:t>第 四 卷</w:t>
      </w:r>
      <w:bookmarkEnd w:id="2214"/>
      <w:bookmarkEnd w:id="2215"/>
      <w:bookmarkEnd w:id="2216"/>
      <w:bookmarkEnd w:id="2217"/>
      <w:bookmarkStart w:id="2218" w:name="_Toc536619970"/>
      <w:bookmarkStart w:id="2219" w:name="_Toc13210775"/>
      <w:bookmarkStart w:id="2220" w:name="_Toc536797393"/>
      <w:bookmarkStart w:id="2221" w:name="_Toc13211767"/>
      <w:bookmarkStart w:id="2222" w:name="_Toc536797124"/>
      <w:bookmarkStart w:id="2223" w:name="_Toc536797258"/>
      <w:bookmarkStart w:id="2224" w:name="_Toc13211209"/>
      <w:bookmarkStart w:id="2225" w:name="_Toc536620102"/>
      <w:bookmarkStart w:id="2226" w:name="_Toc509218850"/>
      <w:bookmarkStart w:id="2227" w:name="_Toc536621883"/>
      <w:bookmarkStart w:id="2228" w:name="_Toc536628347"/>
      <w:bookmarkStart w:id="2229" w:name="_Toc536796853"/>
      <w:bookmarkStart w:id="2230" w:name="_Toc534185828"/>
      <w:bookmarkStart w:id="2231" w:name="_Toc536796989"/>
    </w:p>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p>
      <w:pPr>
        <w:rPr>
          <w:color w:val="auto"/>
          <w:highlight w:val="none"/>
        </w:rPr>
      </w:pPr>
      <w:r>
        <w:rPr>
          <w:color w:val="auto"/>
          <w:highlight w:val="none"/>
        </w:rPr>
        <w:br w:type="page"/>
      </w:r>
      <w:bookmarkStart w:id="2232" w:name="招标文件08章投标文件格式"/>
      <w:bookmarkEnd w:id="2232"/>
      <w:bookmarkStart w:id="2233" w:name="_Toc287607865"/>
      <w:bookmarkStart w:id="2234" w:name="_Toc287620812"/>
    </w:p>
    <w:p>
      <w:pPr>
        <w:pStyle w:val="3"/>
        <w:spacing w:line="360" w:lineRule="auto"/>
        <w:jc w:val="center"/>
        <w:rPr>
          <w:rFonts w:hint="eastAsia" w:ascii="宋体" w:hAnsi="宋体"/>
          <w:color w:val="auto"/>
          <w:highlight w:val="none"/>
        </w:rPr>
      </w:pPr>
      <w:bookmarkStart w:id="2235" w:name="_Toc534185829"/>
      <w:bookmarkStart w:id="2236" w:name="_Toc509218852"/>
      <w:bookmarkStart w:id="2237" w:name="_Toc430530528"/>
      <w:bookmarkStart w:id="2238" w:name="_Toc23843"/>
      <w:bookmarkStart w:id="2239" w:name="_Toc3473"/>
      <w:r>
        <w:rPr>
          <w:rFonts w:hint="eastAsia" w:ascii="宋体" w:hAnsi="宋体"/>
          <w:color w:val="auto"/>
          <w:highlight w:val="none"/>
        </w:rPr>
        <w:t>第八章  投标文件格式</w:t>
      </w:r>
      <w:bookmarkEnd w:id="2233"/>
      <w:bookmarkEnd w:id="2234"/>
      <w:bookmarkEnd w:id="2235"/>
      <w:bookmarkEnd w:id="2236"/>
      <w:bookmarkEnd w:id="2237"/>
      <w:bookmarkEnd w:id="2238"/>
      <w:bookmarkEnd w:id="2239"/>
    </w:p>
    <w:p>
      <w:pPr>
        <w:spacing w:line="360" w:lineRule="auto"/>
        <w:rPr>
          <w:rFonts w:hint="eastAsia" w:ascii="宋体" w:hAnsi="宋体"/>
          <w:color w:val="auto"/>
          <w:sz w:val="32"/>
          <w:szCs w:val="32"/>
          <w:highlight w:val="none"/>
        </w:rPr>
      </w:pPr>
    </w:p>
    <w:p>
      <w:pPr>
        <w:spacing w:line="360" w:lineRule="auto"/>
        <w:jc w:val="center"/>
        <w:rPr>
          <w:rFonts w:hint="eastAsia" w:ascii="宋体" w:hAnsi="宋体"/>
          <w:color w:val="auto"/>
          <w:sz w:val="36"/>
          <w:szCs w:val="36"/>
          <w:highlight w:val="none"/>
        </w:rPr>
      </w:pPr>
      <w:r>
        <w:rPr>
          <w:rFonts w:ascii="宋体" w:hAnsi="宋体"/>
          <w:color w:val="auto"/>
          <w:szCs w:val="20"/>
          <w:highlight w:val="none"/>
        </w:rPr>
        <w:br w:type="page"/>
      </w:r>
      <w:bookmarkStart w:id="2240" w:name="_Toc224103493"/>
      <w:r>
        <w:rPr>
          <w:rFonts w:hint="eastAsia" w:ascii="宋体" w:hAnsi="宋体"/>
          <w:color w:val="auto"/>
          <w:sz w:val="36"/>
          <w:szCs w:val="36"/>
          <w:highlight w:val="none"/>
        </w:rPr>
        <w:t>目  录</w:t>
      </w:r>
      <w:bookmarkEnd w:id="2240"/>
    </w:p>
    <w:p>
      <w:pPr>
        <w:spacing w:line="360" w:lineRule="auto"/>
        <w:jc w:val="center"/>
        <w:rPr>
          <w:rFonts w:hint="eastAsia" w:ascii="宋体" w:hAnsi="宋体"/>
          <w:color w:val="auto"/>
          <w:szCs w:val="20"/>
          <w:highlight w:val="none"/>
        </w:rPr>
      </w:pPr>
    </w:p>
    <w:p>
      <w:pPr>
        <w:spacing w:line="360" w:lineRule="auto"/>
        <w:rPr>
          <w:rFonts w:hint="eastAsia" w:ascii="宋体" w:hAnsi="宋体" w:eastAsia="宋体"/>
          <w:b/>
          <w:color w:val="auto"/>
          <w:highlight w:val="none"/>
          <w:lang w:eastAsia="zh-CN"/>
        </w:rPr>
      </w:pPr>
      <w:r>
        <w:rPr>
          <w:rFonts w:hint="eastAsia" w:ascii="宋体" w:hAnsi="宋体"/>
          <w:b/>
          <w:color w:val="auto"/>
          <w:highlight w:val="none"/>
        </w:rPr>
        <w:t>一</w:t>
      </w:r>
      <w:r>
        <w:rPr>
          <w:rFonts w:ascii="宋体" w:hAnsi="宋体"/>
          <w:b/>
          <w:color w:val="auto"/>
          <w:highlight w:val="none"/>
        </w:rPr>
        <w:t>、投标函部分</w:t>
      </w:r>
      <w:r>
        <w:rPr>
          <w:rFonts w:hint="eastAsia" w:ascii="宋体" w:hAnsi="宋体"/>
          <w:b/>
          <w:color w:val="auto"/>
          <w:highlight w:val="none"/>
          <w:lang w:eastAsia="zh-CN"/>
        </w:rPr>
        <w:t>（</w:t>
      </w:r>
      <w:r>
        <w:rPr>
          <w:rFonts w:hint="eastAsia" w:ascii="宋体" w:hAnsi="宋体"/>
          <w:b/>
          <w:color w:val="auto"/>
          <w:highlight w:val="none"/>
          <w:lang w:val="en-US" w:eastAsia="zh-CN"/>
        </w:rPr>
        <w:t>含资格审查和商务部分</w:t>
      </w:r>
      <w:r>
        <w:rPr>
          <w:rFonts w:hint="eastAsia" w:ascii="宋体" w:hAnsi="宋体"/>
          <w:b/>
          <w:color w:val="auto"/>
          <w:highlight w:val="none"/>
          <w:lang w:eastAsia="zh-CN"/>
        </w:rPr>
        <w:t>）</w:t>
      </w:r>
    </w:p>
    <w:p>
      <w:pPr>
        <w:spacing w:line="360" w:lineRule="auto"/>
        <w:rPr>
          <w:rFonts w:hint="eastAsia"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、技术部分</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技术方案</w:t>
      </w:r>
    </w:p>
    <w:p>
      <w:pPr>
        <w:jc w:val="center"/>
        <w:rPr>
          <w:rFonts w:hint="eastAsia" w:ascii="宋体" w:hAnsi="宋体"/>
          <w:b w:val="0"/>
          <w:bCs w:val="0"/>
          <w:color w:val="auto"/>
          <w:sz w:val="44"/>
          <w:szCs w:val="44"/>
          <w:highlight w:val="none"/>
        </w:rPr>
      </w:pPr>
      <w:bookmarkStart w:id="2241" w:name="_Toc509218853"/>
      <w:bookmarkStart w:id="2242" w:name="_Toc27983320"/>
      <w:bookmarkStart w:id="2243" w:name="_Toc534185830"/>
      <w:bookmarkStart w:id="2244" w:name="_Toc287607866"/>
      <w:bookmarkStart w:id="2245" w:name="_Toc277082642"/>
      <w:bookmarkStart w:id="2246" w:name="_Toc287620813"/>
      <w:bookmarkStart w:id="2247" w:name="_Toc430530529"/>
      <w:bookmarkStart w:id="2248" w:name="_Toc224103494"/>
      <w:r>
        <w:rPr>
          <w:rFonts w:hint="eastAsia" w:ascii="宋体" w:hAnsi="宋体"/>
          <w:b w:val="0"/>
          <w:bCs w:val="0"/>
          <w:color w:val="auto"/>
          <w:sz w:val="44"/>
          <w:szCs w:val="44"/>
          <w:highlight w:val="none"/>
        </w:rPr>
        <w:br w:type="page"/>
      </w:r>
    </w:p>
    <w:p>
      <w:pPr>
        <w:pStyle w:val="4"/>
        <w:bidi w:val="0"/>
        <w:jc w:val="center"/>
        <w:rPr>
          <w:rFonts w:hint="eastAsia"/>
          <w:color w:val="auto"/>
          <w:highlight w:val="none"/>
          <w:lang w:eastAsia="zh-CN"/>
        </w:rPr>
      </w:pPr>
      <w:bookmarkStart w:id="2249" w:name="_Toc24616"/>
      <w:r>
        <w:rPr>
          <w:rFonts w:hint="eastAsia"/>
          <w:color w:val="auto"/>
          <w:highlight w:val="none"/>
          <w:lang w:val="en-US" w:eastAsia="zh-CN"/>
        </w:rPr>
        <w:t>一、</w:t>
      </w:r>
      <w:bookmarkEnd w:id="2241"/>
      <w:bookmarkEnd w:id="2242"/>
      <w:bookmarkEnd w:id="2243"/>
      <w:bookmarkEnd w:id="2249"/>
      <w:bookmarkStart w:id="2250" w:name="_Toc19476"/>
      <w:bookmarkStart w:id="2251" w:name="_Toc9343"/>
      <w:r>
        <w:rPr>
          <w:rFonts w:hint="eastAsia"/>
          <w:color w:val="auto"/>
          <w:highlight w:val="none"/>
        </w:rPr>
        <w:t>投标函部分</w:t>
      </w:r>
      <w:bookmarkEnd w:id="2244"/>
      <w:bookmarkEnd w:id="2245"/>
      <w:bookmarkEnd w:id="2246"/>
      <w:bookmarkEnd w:id="2247"/>
      <w:bookmarkEnd w:id="2248"/>
      <w:bookmarkEnd w:id="2250"/>
      <w:r>
        <w:rPr>
          <w:rFonts w:hint="eastAsia"/>
          <w:color w:val="auto"/>
          <w:highlight w:val="none"/>
          <w:lang w:eastAsia="zh-CN"/>
        </w:rPr>
        <w:t>（</w:t>
      </w:r>
      <w:r>
        <w:rPr>
          <w:rFonts w:hint="eastAsia"/>
          <w:color w:val="auto"/>
          <w:highlight w:val="none"/>
          <w:lang w:val="en-US" w:eastAsia="zh-CN"/>
        </w:rPr>
        <w:t>含资格审查和商务部分</w:t>
      </w:r>
      <w:r>
        <w:rPr>
          <w:rFonts w:hint="eastAsia"/>
          <w:color w:val="auto"/>
          <w:highlight w:val="none"/>
          <w:lang w:eastAsia="zh-CN"/>
        </w:rPr>
        <w:t>）</w:t>
      </w:r>
      <w:bookmarkEnd w:id="2251"/>
    </w:p>
    <w:p>
      <w:pPr>
        <w:tabs>
          <w:tab w:val="left" w:pos="2580"/>
          <w:tab w:val="left" w:pos="5940"/>
        </w:tabs>
        <w:autoSpaceDE w:val="0"/>
        <w:autoSpaceDN w:val="0"/>
        <w:adjustRightInd w:val="0"/>
        <w:snapToGrid w:val="0"/>
        <w:spacing w:line="360" w:lineRule="auto"/>
        <w:ind w:firstLine="2940"/>
        <w:jc w:val="left"/>
        <w:rPr>
          <w:rFonts w:hint="eastAsia"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jc w:val="center"/>
        <w:rPr>
          <w:rFonts w:hint="eastAsia"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pPr>
        <w:spacing w:line="360" w:lineRule="auto"/>
        <w:ind w:firstLine="640" w:firstLineChars="200"/>
        <w:jc w:val="left"/>
        <w:rPr>
          <w:rFonts w:hint="default" w:ascii="宋体" w:hAnsi="宋体"/>
          <w:color w:val="auto"/>
          <w:kern w:val="0"/>
          <w:sz w:val="32"/>
          <w:szCs w:val="32"/>
          <w:highlight w:val="none"/>
          <w:u w:val="single"/>
          <w:lang w:val="en-US" w:eastAsia="zh-CN"/>
        </w:rPr>
      </w:pPr>
      <w:r>
        <w:rPr>
          <w:rFonts w:hint="eastAsia" w:ascii="宋体" w:hAnsi="宋体"/>
          <w:color w:val="auto"/>
          <w:kern w:val="0"/>
          <w:sz w:val="32"/>
          <w:szCs w:val="32"/>
          <w:highlight w:val="none"/>
          <w:u w:val="single"/>
          <w:lang w:val="en-US" w:eastAsia="zh-CN"/>
        </w:rPr>
        <w:t xml:space="preserve">项目名称：       </w:t>
      </w:r>
    </w:p>
    <w:p>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hint="eastAsia" w:ascii="宋体" w:hAnsi="宋体"/>
          <w:color w:val="auto"/>
          <w:kern w:val="0"/>
          <w:sz w:val="16"/>
          <w:szCs w:val="16"/>
          <w:highlight w:val="none"/>
        </w:rPr>
      </w:pPr>
    </w:p>
    <w:p>
      <w:pPr>
        <w:autoSpaceDE w:val="0"/>
        <w:autoSpaceDN w:val="0"/>
        <w:adjustRightInd w:val="0"/>
        <w:snapToGrid w:val="0"/>
        <w:spacing w:line="360" w:lineRule="auto"/>
        <w:jc w:val="center"/>
        <w:rPr>
          <w:rFonts w:hint="eastAsia" w:ascii="宋体" w:hAnsi="宋体" w:eastAsia="宋体"/>
          <w:color w:val="auto"/>
          <w:kern w:val="0"/>
          <w:sz w:val="36"/>
          <w:szCs w:val="36"/>
          <w:highlight w:val="none"/>
          <w:lang w:eastAsia="zh-CN"/>
        </w:rPr>
      </w:pPr>
      <w:r>
        <w:rPr>
          <w:rFonts w:hint="eastAsia" w:ascii="宋体" w:hAnsi="宋体"/>
          <w:color w:val="auto"/>
          <w:kern w:val="0"/>
          <w:sz w:val="36"/>
          <w:szCs w:val="36"/>
          <w:highlight w:val="none"/>
        </w:rPr>
        <w:t>投标函部分</w:t>
      </w:r>
      <w:r>
        <w:rPr>
          <w:rFonts w:hint="eastAsia" w:ascii="宋体" w:hAnsi="宋体"/>
          <w:color w:val="auto"/>
          <w:kern w:val="0"/>
          <w:sz w:val="36"/>
          <w:szCs w:val="36"/>
          <w:highlight w:val="none"/>
          <w:lang w:eastAsia="zh-CN"/>
        </w:rPr>
        <w:t>（</w:t>
      </w:r>
      <w:r>
        <w:rPr>
          <w:rFonts w:hint="eastAsia" w:ascii="宋体" w:hAnsi="宋体"/>
          <w:color w:val="auto"/>
          <w:kern w:val="0"/>
          <w:sz w:val="36"/>
          <w:szCs w:val="36"/>
          <w:highlight w:val="none"/>
          <w:lang w:val="en-US" w:eastAsia="zh-CN"/>
        </w:rPr>
        <w:t>含资格审查和商务部分</w:t>
      </w:r>
      <w:r>
        <w:rPr>
          <w:rFonts w:hint="eastAsia" w:ascii="宋体" w:hAnsi="宋体"/>
          <w:color w:val="auto"/>
          <w:kern w:val="0"/>
          <w:sz w:val="36"/>
          <w:szCs w:val="36"/>
          <w:highlight w:val="none"/>
          <w:lang w:eastAsia="zh-CN"/>
        </w:rPr>
        <w:t>）</w:t>
      </w:r>
    </w:p>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hint="eastAsia"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hint="eastAsia"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pPr>
        <w:autoSpaceDE w:val="0"/>
        <w:autoSpaceDN w:val="0"/>
        <w:adjustRightInd w:val="0"/>
        <w:snapToGrid w:val="0"/>
        <w:spacing w:line="360" w:lineRule="auto"/>
        <w:jc w:val="center"/>
        <w:rPr>
          <w:rFonts w:hint="eastAsia"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hint="eastAsia" w:ascii="宋体" w:hAnsi="宋体"/>
          <w:color w:val="auto"/>
          <w:kern w:val="0"/>
          <w:sz w:val="36"/>
          <w:szCs w:val="36"/>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hint="eastAsia" w:ascii="宋体" w:hAnsi="宋体"/>
          <w:color w:val="auto"/>
          <w:kern w:val="0"/>
          <w:sz w:val="24"/>
          <w:szCs w:val="21"/>
          <w:highlight w:val="none"/>
        </w:rPr>
      </w:pPr>
    </w:p>
    <w:p>
      <w:pPr>
        <w:autoSpaceDE w:val="0"/>
        <w:autoSpaceDN w:val="0"/>
        <w:adjustRightInd w:val="0"/>
        <w:spacing w:line="360" w:lineRule="auto"/>
        <w:ind w:firstLine="480" w:firstLineChars="200"/>
        <w:jc w:val="left"/>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由投标人自行编制</w:t>
      </w:r>
    </w:p>
    <w:p>
      <w:pPr>
        <w:autoSpaceDE w:val="0"/>
        <w:autoSpaceDN w:val="0"/>
        <w:adjustRightInd w:val="0"/>
        <w:snapToGrid w:val="0"/>
        <w:spacing w:line="360" w:lineRule="auto"/>
        <w:jc w:val="left"/>
        <w:rPr>
          <w:rFonts w:hint="eastAsia" w:ascii="宋体" w:hAnsi="宋体"/>
          <w:color w:val="auto"/>
          <w:w w:val="99"/>
          <w:kern w:val="0"/>
          <w:sz w:val="28"/>
          <w:szCs w:val="28"/>
          <w:highlight w:val="none"/>
        </w:rPr>
      </w:pPr>
    </w:p>
    <w:p>
      <w:pPr>
        <w:pStyle w:val="5"/>
        <w:spacing w:before="0" w:after="0" w:line="400" w:lineRule="exact"/>
        <w:jc w:val="center"/>
        <w:rPr>
          <w:rFonts w:hint="eastAsia" w:ascii="宋体" w:hAnsi="宋体"/>
          <w:b w:val="0"/>
          <w:color w:val="auto"/>
          <w:highlight w:val="none"/>
        </w:rPr>
      </w:pPr>
      <w:bookmarkStart w:id="2252" w:name="_Toc287607867"/>
      <w:bookmarkStart w:id="2253" w:name="_Toc277082643"/>
      <w:bookmarkStart w:id="2254" w:name="_Toc287620814"/>
      <w:bookmarkStart w:id="2255" w:name="_Toc509218854"/>
      <w:bookmarkStart w:id="2256" w:name="_Toc534185831"/>
      <w:bookmarkStart w:id="2257" w:name="_Toc430530530"/>
      <w:bookmarkStart w:id="2258" w:name="_Toc224103495"/>
      <w:r>
        <w:rPr>
          <w:rFonts w:ascii="宋体" w:hAnsi="宋体"/>
          <w:color w:val="auto"/>
          <w:highlight w:val="none"/>
        </w:rPr>
        <w:br w:type="page"/>
      </w:r>
      <w:bookmarkStart w:id="2259" w:name="_Toc2900"/>
      <w:bookmarkStart w:id="2260" w:name="_Toc26071"/>
      <w:r>
        <w:rPr>
          <w:rFonts w:hint="eastAsia"/>
          <w:color w:val="auto"/>
          <w:highlight w:val="none"/>
        </w:rPr>
        <w:t>（一）投标函</w:t>
      </w:r>
      <w:bookmarkEnd w:id="2252"/>
      <w:bookmarkEnd w:id="2253"/>
      <w:bookmarkEnd w:id="2254"/>
      <w:bookmarkEnd w:id="2255"/>
      <w:bookmarkEnd w:id="2256"/>
      <w:bookmarkEnd w:id="2257"/>
      <w:bookmarkEnd w:id="2258"/>
      <w:bookmarkEnd w:id="2259"/>
      <w:bookmarkEnd w:id="2260"/>
    </w:p>
    <w:p>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（招标人名称）</w:t>
      </w:r>
      <w:r>
        <w:rPr>
          <w:rFonts w:ascii="宋体" w:hAnsi="宋体"/>
          <w:snapToGrid w:val="0"/>
          <w:color w:val="auto"/>
          <w:kern w:val="0"/>
          <w:szCs w:val="21"/>
          <w:highlight w:val="none"/>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招标文件的全部内容，愿意以人民币（大写）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达到招标文件的要求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 xml:space="preserve"> 按合同约定实施和完成承包工程，修补工程中的任何缺陷，工程质量</w:t>
      </w:r>
      <w:r>
        <w:rPr>
          <w:rFonts w:hint="eastAsia" w:ascii="宋体" w:hAnsi="宋体"/>
          <w:snapToGrid w:val="0"/>
          <w:color w:val="auto"/>
          <w:kern w:val="0"/>
          <w:szCs w:val="21"/>
          <w:highlight w:val="none"/>
          <w:u w:val="single"/>
        </w:rPr>
        <w:t>达到招标文件的要求</w:t>
      </w:r>
      <w:r>
        <w:rPr>
          <w:rFonts w:ascii="宋体" w:hAnsi="宋体"/>
          <w:snapToGrid w:val="0"/>
          <w:color w:val="auto"/>
          <w:kern w:val="0"/>
          <w:szCs w:val="21"/>
          <w:highlight w:val="none"/>
        </w:rPr>
        <w:t>。</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响应招标文件规定的投标有效期，</w:t>
      </w:r>
      <w:r>
        <w:rPr>
          <w:rFonts w:ascii="宋体" w:hAnsi="宋体"/>
          <w:snapToGrid w:val="0"/>
          <w:color w:val="auto"/>
          <w:kern w:val="0"/>
          <w:szCs w:val="21"/>
          <w:highlight w:val="none"/>
        </w:rPr>
        <w:t>在投标有效期内不修改、撤销投标文件。</w:t>
      </w:r>
    </w:p>
    <w:p>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投标有效期</w:t>
      </w:r>
      <w:r>
        <w:rPr>
          <w:rFonts w:ascii="宋体" w:hAnsi="宋体"/>
          <w:snapToGrid w:val="0"/>
          <w:color w:val="auto"/>
          <w:kern w:val="0"/>
          <w:szCs w:val="21"/>
          <w:highlight w:val="none"/>
        </w:rPr>
        <w:t>一致，在此期间，若我方违反招投标有关法律、法规及本招标文件的相关规定，投标保证金的受益人为招标人。</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（5）我方承诺以不低于招标文件第七章 技术标准和要求中所列的技术指标和参数要求完成全部合同工程。</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w:t>
      </w:r>
      <w:r>
        <w:rPr>
          <w:rFonts w:ascii="宋体" w:hAnsi="宋体"/>
          <w:snapToGrid w:val="0"/>
          <w:color w:val="auto"/>
          <w:kern w:val="0"/>
          <w:szCs w:val="21"/>
          <w:highlight w:val="none"/>
        </w:rPr>
        <w:t>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hint="eastAsia" w:ascii="宋体" w:hAnsi="宋体"/>
          <w:snapToGrid w:val="0"/>
          <w:color w:val="auto"/>
          <w:kern w:val="0"/>
          <w:sz w:val="20"/>
          <w:szCs w:val="20"/>
          <w:highlight w:val="none"/>
        </w:rPr>
      </w:pPr>
    </w:p>
    <w:p>
      <w:pPr>
        <w:tabs>
          <w:tab w:val="left" w:pos="8300"/>
        </w:tabs>
        <w:autoSpaceDE w:val="0"/>
        <w:autoSpaceDN w:val="0"/>
        <w:adjustRightInd w:val="0"/>
        <w:spacing w:line="400" w:lineRule="exact"/>
        <w:ind w:firstLine="420" w:firstLineChars="200"/>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7140"/>
          <w:tab w:val="left" w:pos="7560"/>
          <w:tab w:val="left" w:pos="8300"/>
        </w:tabs>
        <w:autoSpaceDE w:val="0"/>
        <w:autoSpaceDN w:val="0"/>
        <w:adjustRightInd w:val="0"/>
        <w:spacing w:line="360" w:lineRule="auto"/>
        <w:ind w:right="210" w:firstLine="1995" w:firstLineChars="950"/>
        <w:rPr>
          <w:rFonts w:hint="eastAsia" w:ascii="宋体" w:hAnsi="宋体"/>
          <w:snapToGrid w:val="0"/>
          <w:color w:val="auto"/>
          <w:kern w:val="0"/>
          <w:szCs w:val="21"/>
          <w:highlight w:val="none"/>
        </w:rPr>
      </w:pPr>
    </w:p>
    <w:p>
      <w:pPr>
        <w:pStyle w:val="5"/>
        <w:spacing w:before="0" w:after="0" w:line="240" w:lineRule="auto"/>
        <w:jc w:val="center"/>
        <w:rPr>
          <w:rFonts w:ascii="宋体" w:hAnsi="宋体"/>
          <w:snapToGrid w:val="0"/>
          <w:color w:val="auto"/>
          <w:kern w:val="0"/>
          <w:szCs w:val="21"/>
          <w:highlight w:val="none"/>
        </w:rPr>
      </w:pPr>
      <w:r>
        <w:rPr>
          <w:rFonts w:ascii="宋体" w:hAnsi="宋体"/>
          <w:snapToGrid w:val="0"/>
          <w:color w:val="auto"/>
          <w:highlight w:val="none"/>
        </w:rPr>
        <w:br w:type="page"/>
      </w:r>
      <w:bookmarkStart w:id="2261" w:name="_Toc13011"/>
      <w:bookmarkStart w:id="2262" w:name="_Toc17078"/>
      <w:bookmarkStart w:id="2263" w:name="_Toc15282"/>
      <w:bookmarkStart w:id="2264" w:name="_Toc287607869"/>
      <w:bookmarkStart w:id="2265" w:name="_Toc277082645"/>
      <w:bookmarkStart w:id="2266" w:name="_Toc287620816"/>
      <w:bookmarkStart w:id="2267" w:name="_Toc430530532"/>
      <w:bookmarkStart w:id="2268" w:name="_Toc224103497"/>
      <w:bookmarkStart w:id="2269" w:name="_Toc8650"/>
      <w:r>
        <w:rPr>
          <w:rFonts w:ascii="宋体" w:hAnsi="宋体"/>
          <w:b w:val="0"/>
          <w:bCs w:val="0"/>
          <w:color w:val="auto"/>
          <w:highlight w:val="none"/>
        </w:rPr>
        <w:t>（</w:t>
      </w:r>
      <w:r>
        <w:rPr>
          <w:rFonts w:hint="eastAsia" w:ascii="宋体" w:hAnsi="宋体"/>
          <w:b w:val="0"/>
          <w:bCs w:val="0"/>
          <w:color w:val="auto"/>
          <w:highlight w:val="none"/>
          <w:lang w:val="en-US" w:eastAsia="zh-CN"/>
        </w:rPr>
        <w:t>二</w:t>
      </w:r>
      <w:r>
        <w:rPr>
          <w:rFonts w:ascii="宋体" w:hAnsi="宋体"/>
          <w:b w:val="0"/>
          <w:bCs w:val="0"/>
          <w:color w:val="auto"/>
          <w:highlight w:val="none"/>
        </w:rPr>
        <w:t>）</w:t>
      </w:r>
      <w:bookmarkEnd w:id="2261"/>
      <w:bookmarkEnd w:id="2262"/>
      <w:bookmarkStart w:id="2270" w:name="_Toc675"/>
      <w:bookmarkStart w:id="2271" w:name="_Toc14964"/>
      <w:r>
        <w:rPr>
          <w:rFonts w:hint="eastAsia" w:ascii="宋体" w:hAnsi="宋体"/>
          <w:b w:val="0"/>
          <w:bCs w:val="0"/>
          <w:color w:val="auto"/>
          <w:highlight w:val="none"/>
        </w:rPr>
        <w:t>法定代表人身份证明或授权委托书</w:t>
      </w:r>
      <w:bookmarkEnd w:id="2263"/>
      <w:bookmarkEnd w:id="2270"/>
      <w:bookmarkEnd w:id="2271"/>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附：法定代表人身份证扫描件（双面）</w:t>
      </w:r>
    </w:p>
    <w:p>
      <w:pPr>
        <w:autoSpaceDE w:val="0"/>
        <w:autoSpaceDN w:val="0"/>
        <w:adjustRightInd w:val="0"/>
        <w:snapToGrid w:val="0"/>
        <w:spacing w:line="360" w:lineRule="auto"/>
        <w:jc w:val="left"/>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tabs>
          <w:tab w:val="left" w:pos="5475"/>
        </w:tabs>
        <w:autoSpaceDE w:val="0"/>
        <w:autoSpaceDN w:val="0"/>
        <w:adjustRightInd w:val="0"/>
        <w:snapToGrid w:val="0"/>
        <w:spacing w:line="480" w:lineRule="auto"/>
        <w:ind w:firstLine="372" w:firstLineChars="186"/>
        <w:jc w:val="left"/>
        <w:rPr>
          <w:rFonts w:ascii="宋体" w:hAnsi="宋体"/>
          <w:color w:val="auto"/>
          <w:kern w:val="0"/>
          <w:sz w:val="20"/>
          <w:szCs w:val="20"/>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spacing w:line="360" w:lineRule="auto"/>
        <w:ind w:firstLine="420" w:firstLineChars="200"/>
        <w:rPr>
          <w:rFonts w:ascii="宋体" w:hAnsi="宋体"/>
          <w:color w:val="auto"/>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w:t>
      </w:r>
      <w:r>
        <w:rPr>
          <w:rFonts w:hint="eastAsia" w:ascii="宋体" w:hAnsi="宋体"/>
          <w:color w:val="auto"/>
          <w:kern w:val="0"/>
          <w:szCs w:val="21"/>
          <w:highlight w:val="none"/>
          <w:lang w:val="en-US" w:eastAsia="zh-CN"/>
        </w:rPr>
        <w:t>代表我方</w:t>
      </w:r>
      <w:r>
        <w:rPr>
          <w:rFonts w:ascii="宋体" w:hAnsi="宋体"/>
          <w:color w:val="auto"/>
          <w:kern w:val="0"/>
          <w:szCs w:val="21"/>
          <w:highlight w:val="none"/>
        </w:rPr>
        <w:t>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pPr>
        <w:tabs>
          <w:tab w:val="left" w:pos="5760"/>
        </w:tabs>
        <w:autoSpaceDE w:val="0"/>
        <w:autoSpaceDN w:val="0"/>
        <w:adjustRightInd w:val="0"/>
        <w:spacing w:line="360" w:lineRule="auto"/>
        <w:ind w:firstLine="420" w:firstLineChars="200"/>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bookmarkEnd w:id="2264"/>
    <w:bookmarkEnd w:id="2265"/>
    <w:bookmarkEnd w:id="2266"/>
    <w:bookmarkEnd w:id="2267"/>
    <w:bookmarkEnd w:id="2268"/>
    <w:bookmarkEnd w:id="2269"/>
    <w:p>
      <w:pPr>
        <w:spacing w:line="360" w:lineRule="auto"/>
        <w:ind w:firstLine="420" w:firstLineChars="200"/>
        <w:jc w:val="left"/>
        <w:rPr>
          <w:rFonts w:hint="eastAsia" w:ascii="宋体" w:hAnsi="宋体"/>
          <w:color w:val="auto"/>
          <w:highlight w:val="none"/>
        </w:rPr>
      </w:pPr>
      <w:r>
        <w:rPr>
          <w:rFonts w:ascii="宋体" w:hAnsi="宋体"/>
          <w:color w:val="auto"/>
          <w:highlight w:val="none"/>
        </w:rPr>
        <w:br w:type="page"/>
      </w:r>
    </w:p>
    <w:p>
      <w:pPr>
        <w:pStyle w:val="5"/>
        <w:spacing w:before="0" w:after="0" w:line="240" w:lineRule="auto"/>
        <w:jc w:val="center"/>
        <w:rPr>
          <w:rFonts w:hint="eastAsia" w:ascii="宋体" w:hAnsi="宋体"/>
          <w:color w:val="auto"/>
          <w:highlight w:val="none"/>
        </w:rPr>
      </w:pPr>
      <w:bookmarkStart w:id="2272" w:name="_Toc21391"/>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w:t>
      </w:r>
      <w:bookmarkEnd w:id="2272"/>
      <w:bookmarkStart w:id="2273" w:name="_Toc9697"/>
      <w:r>
        <w:rPr>
          <w:rFonts w:hint="eastAsia" w:ascii="宋体" w:hAnsi="宋体"/>
          <w:b w:val="0"/>
          <w:bCs w:val="0"/>
          <w:color w:val="auto"/>
          <w:highlight w:val="none"/>
        </w:rPr>
        <w:t>投标人基本情况表</w:t>
      </w:r>
      <w:bookmarkEnd w:id="2273"/>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投标人名称</w:t>
            </w:r>
          </w:p>
        </w:tc>
        <w:tc>
          <w:tcPr>
            <w:tcW w:w="7607" w:type="dxa"/>
            <w:gridSpan w:val="9"/>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pPr>
              <w:autoSpaceDE w:val="0"/>
              <w:autoSpaceDN w:val="0"/>
              <w:adjustRightInd w:val="0"/>
              <w:snapToGrid w:val="0"/>
              <w:jc w:val="center"/>
              <w:rPr>
                <w:rFonts w:hint="eastAsia" w:ascii="宋体" w:hAnsi="宋体"/>
                <w:color w:val="auto"/>
                <w:kern w:val="0"/>
                <w:szCs w:val="21"/>
                <w:highlight w:val="none"/>
              </w:rPr>
            </w:pPr>
          </w:p>
        </w:tc>
        <w:tc>
          <w:tcPr>
            <w:tcW w:w="139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9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hint="eastAsia" w:ascii="宋体" w:hAnsi="宋体"/>
                <w:color w:val="auto"/>
                <w:kern w:val="0"/>
                <w:szCs w:val="21"/>
                <w:highlight w:val="none"/>
              </w:rPr>
            </w:pPr>
          </w:p>
        </w:tc>
        <w:tc>
          <w:tcPr>
            <w:tcW w:w="967" w:type="dxa"/>
            <w:vAlign w:val="center"/>
          </w:tcPr>
          <w:p>
            <w:pPr>
              <w:tabs>
                <w:tab w:val="left" w:pos="540"/>
              </w:tabs>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9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hint="eastAsia" w:ascii="宋体" w:hAnsi="宋体"/>
                <w:color w:val="auto"/>
                <w:kern w:val="0"/>
                <w:szCs w:val="21"/>
                <w:highlight w:val="none"/>
              </w:rPr>
            </w:pPr>
          </w:p>
        </w:tc>
        <w:tc>
          <w:tcPr>
            <w:tcW w:w="925"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hint="eastAsia" w:ascii="宋体" w:hAnsi="宋体"/>
                <w:color w:val="auto"/>
                <w:kern w:val="0"/>
                <w:szCs w:val="21"/>
                <w:highlight w:val="none"/>
              </w:rPr>
            </w:pPr>
          </w:p>
        </w:tc>
        <w:tc>
          <w:tcPr>
            <w:tcW w:w="925"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5616" w:type="dxa"/>
            <w:gridSpan w:val="7"/>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904" w:type="dxa"/>
            <w:vMerge w:val="restart"/>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color w:val="auto"/>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pPr>
              <w:autoSpaceDE w:val="0"/>
              <w:autoSpaceDN w:val="0"/>
              <w:adjustRightInd w:val="0"/>
              <w:snapToGrid w:val="0"/>
              <w:jc w:val="center"/>
              <w:rPr>
                <w:rFonts w:hint="eastAsia" w:ascii="宋体" w:hAnsi="宋体"/>
                <w:color w:val="auto"/>
                <w:kern w:val="0"/>
                <w:szCs w:val="21"/>
                <w:highlight w:val="none"/>
              </w:rPr>
            </w:pPr>
          </w:p>
        </w:tc>
      </w:tr>
    </w:tbl>
    <w:p>
      <w:pPr>
        <w:spacing w:line="360" w:lineRule="auto"/>
        <w:jc w:val="center"/>
        <w:rPr>
          <w:rFonts w:hint="eastAsia" w:ascii="宋体" w:hAnsi="宋体"/>
          <w:color w:val="auto"/>
          <w:szCs w:val="21"/>
          <w:highlight w:val="none"/>
        </w:rPr>
      </w:pPr>
    </w:p>
    <w:p>
      <w:pPr>
        <w:pStyle w:val="5"/>
        <w:spacing w:before="0" w:after="0" w:line="240" w:lineRule="auto"/>
        <w:jc w:val="center"/>
        <w:rPr>
          <w:rFonts w:hint="eastAsia" w:ascii="宋体" w:hAnsi="宋体"/>
          <w:b w:val="0"/>
          <w:bCs w:val="0"/>
          <w:color w:val="auto"/>
          <w:highlight w:val="none"/>
        </w:rPr>
      </w:pPr>
      <w:r>
        <w:rPr>
          <w:rFonts w:ascii="宋体" w:hAnsi="宋体"/>
          <w:color w:val="auto"/>
          <w:szCs w:val="21"/>
          <w:highlight w:val="none"/>
        </w:rPr>
        <w:br w:type="page"/>
      </w:r>
      <w:bookmarkStart w:id="2274" w:name="_Toc14878"/>
      <w:r>
        <w:rPr>
          <w:rFonts w:hint="eastAsia" w:ascii="宋体" w:hAnsi="宋体"/>
          <w:b w:val="0"/>
          <w:bCs w:val="0"/>
          <w:color w:val="auto"/>
          <w:highlight w:val="none"/>
        </w:rPr>
        <w:t>（</w:t>
      </w:r>
      <w:r>
        <w:rPr>
          <w:rFonts w:hint="eastAsia" w:ascii="宋体" w:hAnsi="宋体"/>
          <w:b w:val="0"/>
          <w:bCs w:val="0"/>
          <w:color w:val="auto"/>
          <w:highlight w:val="none"/>
          <w:lang w:eastAsia="zh-CN"/>
        </w:rPr>
        <w:t>四</w:t>
      </w:r>
      <w:r>
        <w:rPr>
          <w:rFonts w:hint="eastAsia" w:ascii="宋体" w:hAnsi="宋体"/>
          <w:b w:val="0"/>
          <w:bCs w:val="0"/>
          <w:color w:val="auto"/>
          <w:highlight w:val="none"/>
        </w:rPr>
        <w:t>）项目管理机构</w:t>
      </w:r>
      <w:bookmarkEnd w:id="2274"/>
    </w:p>
    <w:p>
      <w:pPr>
        <w:spacing w:line="360" w:lineRule="auto"/>
        <w:rPr>
          <w:rFonts w:hint="eastAsia" w:ascii="宋体" w:hAnsi="宋体"/>
          <w:color w:val="auto"/>
          <w:highlight w:val="none"/>
        </w:rPr>
      </w:pPr>
    </w:p>
    <w:p>
      <w:pPr>
        <w:autoSpaceDE w:val="0"/>
        <w:autoSpaceDN w:val="0"/>
        <w:adjustRightInd w:val="0"/>
        <w:snapToGrid w:val="0"/>
        <w:spacing w:line="360" w:lineRule="auto"/>
        <w:jc w:val="center"/>
        <w:rPr>
          <w:rFonts w:hint="eastAsia"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hint="eastAsia" w:ascii="宋体" w:hAnsi="宋体"/>
                <w:color w:val="auto"/>
                <w:kern w:val="0"/>
                <w:szCs w:val="21"/>
                <w:highlight w:val="none"/>
              </w:rPr>
            </w:pPr>
          </w:p>
        </w:tc>
        <w:tc>
          <w:tcPr>
            <w:tcW w:w="734" w:type="dxa"/>
            <w:vMerge w:val="continue"/>
          </w:tcPr>
          <w:p>
            <w:pPr>
              <w:autoSpaceDE w:val="0"/>
              <w:autoSpaceDN w:val="0"/>
              <w:adjustRightInd w:val="0"/>
              <w:snapToGrid w:val="0"/>
              <w:jc w:val="left"/>
              <w:rPr>
                <w:rFonts w:hint="eastAsia" w:ascii="宋体" w:hAnsi="宋体"/>
                <w:color w:val="auto"/>
                <w:kern w:val="0"/>
                <w:szCs w:val="21"/>
                <w:highlight w:val="none"/>
              </w:rPr>
            </w:pPr>
          </w:p>
        </w:tc>
        <w:tc>
          <w:tcPr>
            <w:tcW w:w="776" w:type="dxa"/>
            <w:vMerge w:val="continue"/>
          </w:tcPr>
          <w:p>
            <w:pPr>
              <w:autoSpaceDE w:val="0"/>
              <w:autoSpaceDN w:val="0"/>
              <w:adjustRightInd w:val="0"/>
              <w:snapToGrid w:val="0"/>
              <w:jc w:val="left"/>
              <w:rPr>
                <w:rFonts w:hint="eastAsia" w:ascii="宋体" w:hAnsi="宋体"/>
                <w:color w:val="auto"/>
                <w:kern w:val="0"/>
                <w:szCs w:val="21"/>
                <w:highlight w:val="none"/>
              </w:rPr>
            </w:pPr>
          </w:p>
        </w:tc>
        <w:tc>
          <w:tcPr>
            <w:tcW w:w="1167"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color w:val="auto"/>
                <w:kern w:val="0"/>
                <w:szCs w:val="21"/>
                <w:highlight w:val="none"/>
              </w:rPr>
            </w:pPr>
          </w:p>
        </w:tc>
        <w:tc>
          <w:tcPr>
            <w:tcW w:w="734"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1167"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778" w:type="dxa"/>
          </w:tcPr>
          <w:p>
            <w:pPr>
              <w:autoSpaceDE w:val="0"/>
              <w:autoSpaceDN w:val="0"/>
              <w:adjustRightInd w:val="0"/>
              <w:snapToGrid w:val="0"/>
              <w:jc w:val="left"/>
              <w:rPr>
                <w:rFonts w:hint="eastAsia" w:ascii="宋体" w:hAnsi="宋体"/>
                <w:color w:val="auto"/>
                <w:kern w:val="0"/>
                <w:szCs w:val="21"/>
                <w:highlight w:val="none"/>
              </w:rPr>
            </w:pPr>
          </w:p>
        </w:tc>
        <w:tc>
          <w:tcPr>
            <w:tcW w:w="776" w:type="dxa"/>
          </w:tcPr>
          <w:p>
            <w:pPr>
              <w:autoSpaceDE w:val="0"/>
              <w:autoSpaceDN w:val="0"/>
              <w:adjustRightInd w:val="0"/>
              <w:snapToGrid w:val="0"/>
              <w:jc w:val="left"/>
              <w:rPr>
                <w:rFonts w:hint="eastAsia" w:ascii="宋体" w:hAnsi="宋体"/>
                <w:color w:val="auto"/>
                <w:kern w:val="0"/>
                <w:szCs w:val="21"/>
                <w:highlight w:val="none"/>
              </w:rPr>
            </w:pPr>
          </w:p>
        </w:tc>
        <w:tc>
          <w:tcPr>
            <w:tcW w:w="2723" w:type="dxa"/>
          </w:tcPr>
          <w:p>
            <w:pPr>
              <w:autoSpaceDE w:val="0"/>
              <w:autoSpaceDN w:val="0"/>
              <w:adjustRightInd w:val="0"/>
              <w:snapToGrid w:val="0"/>
              <w:jc w:val="left"/>
              <w:rPr>
                <w:rFonts w:hint="eastAsia" w:ascii="宋体" w:hAnsi="宋体"/>
                <w:color w:val="auto"/>
                <w:kern w:val="0"/>
                <w:szCs w:val="21"/>
                <w:highlight w:val="none"/>
              </w:rPr>
            </w:pPr>
          </w:p>
        </w:tc>
        <w:tc>
          <w:tcPr>
            <w:tcW w:w="896" w:type="dxa"/>
          </w:tcPr>
          <w:p>
            <w:pPr>
              <w:autoSpaceDE w:val="0"/>
              <w:autoSpaceDN w:val="0"/>
              <w:adjustRightInd w:val="0"/>
              <w:snapToGrid w:val="0"/>
              <w:jc w:val="left"/>
              <w:rPr>
                <w:rFonts w:hint="eastAsia" w:ascii="宋体" w:hAnsi="宋体"/>
                <w:color w:val="auto"/>
                <w:kern w:val="0"/>
                <w:szCs w:val="21"/>
                <w:highlight w:val="none"/>
              </w:rPr>
            </w:pPr>
          </w:p>
        </w:tc>
      </w:tr>
    </w:tbl>
    <w:p>
      <w:pPr>
        <w:spacing w:line="20" w:lineRule="exact"/>
        <w:jc w:val="center"/>
        <w:rPr>
          <w:rFonts w:hint="eastAsia" w:ascii="宋体" w:hAnsi="宋体"/>
          <w:color w:val="auto"/>
          <w:szCs w:val="21"/>
          <w:highlight w:val="none"/>
        </w:rPr>
      </w:pPr>
    </w:p>
    <w:p>
      <w:pPr>
        <w:spacing w:line="360" w:lineRule="auto"/>
        <w:ind w:firstLine="420" w:firstLineChars="200"/>
        <w:jc w:val="center"/>
        <w:rPr>
          <w:rFonts w:hint="eastAsia"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1020"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1020"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pPr>
              <w:tabs>
                <w:tab w:val="left" w:pos="2820"/>
                <w:tab w:val="left" w:pos="4080"/>
              </w:tabs>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hint="eastAsia" w:ascii="宋体" w:hAnsi="宋体"/>
                <w:color w:val="auto"/>
                <w:kern w:val="0"/>
                <w:szCs w:val="21"/>
                <w:highlight w:val="none"/>
              </w:rPr>
            </w:pPr>
          </w:p>
        </w:tc>
      </w:tr>
    </w:tbl>
    <w:p>
      <w:pPr>
        <w:spacing w:line="360" w:lineRule="auto"/>
        <w:rPr>
          <w:rFonts w:hint="eastAsia" w:ascii="宋体" w:hAnsi="宋体"/>
          <w:color w:val="auto"/>
          <w:highlight w:val="none"/>
        </w:rPr>
      </w:pPr>
    </w:p>
    <w:p>
      <w:pPr>
        <w:pStyle w:val="5"/>
        <w:spacing w:before="0" w:line="240" w:lineRule="auto"/>
        <w:jc w:val="center"/>
        <w:rPr>
          <w:rFonts w:hint="eastAsia" w:ascii="宋体" w:hAnsi="宋体"/>
          <w:b w:val="0"/>
          <w:color w:val="auto"/>
          <w:highlight w:val="none"/>
        </w:rPr>
      </w:pPr>
      <w:bookmarkStart w:id="2275" w:name="_Toc3194"/>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）近年财务状况表</w:t>
      </w:r>
      <w:bookmarkEnd w:id="2275"/>
    </w:p>
    <w:p>
      <w:pPr>
        <w:adjustRightInd w:val="0"/>
        <w:snapToGrid w:val="0"/>
        <w:spacing w:line="360" w:lineRule="auto"/>
        <w:rPr>
          <w:rFonts w:hint="eastAsia" w:ascii="宋体" w:hAnsi="宋体"/>
          <w:color w:val="auto"/>
          <w:highlight w:val="none"/>
        </w:rPr>
      </w:pPr>
    </w:p>
    <w:p>
      <w:pPr>
        <w:pStyle w:val="5"/>
        <w:spacing w:before="0" w:line="240" w:lineRule="auto"/>
        <w:jc w:val="center"/>
        <w:rPr>
          <w:rFonts w:hint="eastAsia" w:ascii="宋体" w:hAnsi="宋体"/>
          <w:b w:val="0"/>
          <w:color w:val="auto"/>
          <w:highlight w:val="none"/>
        </w:rPr>
      </w:pPr>
      <w:r>
        <w:rPr>
          <w:rFonts w:ascii="宋体" w:hAnsi="宋体"/>
          <w:color w:val="auto"/>
          <w:highlight w:val="none"/>
        </w:rPr>
        <w:br w:type="page"/>
      </w:r>
      <w:bookmarkStart w:id="2276" w:name="_Toc5661"/>
      <w:r>
        <w:rPr>
          <w:rFonts w:ascii="宋体" w:hAnsi="宋体"/>
          <w:b w:val="0"/>
          <w:color w:val="auto"/>
          <w:highlight w:val="none"/>
        </w:rPr>
        <w:t>（</w:t>
      </w:r>
      <w:r>
        <w:rPr>
          <w:rFonts w:hint="eastAsia" w:ascii="宋体" w:hAnsi="宋体"/>
          <w:b w:val="0"/>
          <w:color w:val="auto"/>
          <w:highlight w:val="none"/>
          <w:lang w:eastAsia="zh-CN"/>
        </w:rPr>
        <w:t>六</w:t>
      </w:r>
      <w:r>
        <w:rPr>
          <w:rFonts w:ascii="宋体" w:hAnsi="宋体"/>
          <w:b w:val="0"/>
          <w:color w:val="auto"/>
          <w:highlight w:val="none"/>
        </w:rPr>
        <w:t>）类似项目情况表</w:t>
      </w:r>
      <w:bookmarkEnd w:id="2276"/>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项目名称</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项目所在地</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发包人名称</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发包人地址</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发包人电话</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合同价格</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开工日期</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竣工日期</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承担的工作</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工程质量</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项目经理</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技术负责人</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总监理工程师及电话</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项目描述</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备注</w:t>
            </w:r>
          </w:p>
        </w:tc>
        <w:tc>
          <w:tcPr>
            <w:tcW w:w="8027" w:type="dxa"/>
            <w:vAlign w:val="center"/>
          </w:tcPr>
          <w:p>
            <w:pPr>
              <w:autoSpaceDE w:val="0"/>
              <w:autoSpaceDN w:val="0"/>
              <w:adjustRightInd w:val="0"/>
              <w:snapToGrid w:val="0"/>
              <w:jc w:val="center"/>
              <w:rPr>
                <w:rFonts w:hint="eastAsia" w:ascii="宋体" w:hAnsi="宋体"/>
                <w:color w:val="auto"/>
                <w:kern w:val="0"/>
                <w:szCs w:val="21"/>
                <w:highlight w:val="none"/>
              </w:rPr>
            </w:pPr>
          </w:p>
        </w:tc>
      </w:tr>
    </w:tbl>
    <w:p>
      <w:pPr>
        <w:rPr>
          <w:rFonts w:hint="eastAsia" w:ascii="宋体" w:hAnsi="宋体"/>
          <w:color w:val="auto"/>
          <w:highlight w:val="none"/>
        </w:rPr>
      </w:pPr>
      <w:r>
        <w:rPr>
          <w:rFonts w:ascii="宋体" w:hAnsi="宋体"/>
          <w:color w:val="auto"/>
          <w:highlight w:val="none"/>
        </w:rPr>
        <w:br w:type="page"/>
      </w:r>
    </w:p>
    <w:p>
      <w:pPr>
        <w:pStyle w:val="5"/>
        <w:spacing w:before="0" w:after="0" w:line="360" w:lineRule="auto"/>
        <w:jc w:val="center"/>
        <w:rPr>
          <w:rFonts w:hint="eastAsia" w:ascii="宋体" w:hAnsi="宋体"/>
          <w:b w:val="0"/>
          <w:color w:val="auto"/>
          <w:highlight w:val="none"/>
        </w:rPr>
      </w:pPr>
      <w:bookmarkStart w:id="2277" w:name="_Toc11581"/>
      <w:r>
        <w:rPr>
          <w:rFonts w:ascii="宋体" w:hAnsi="宋体"/>
          <w:b w:val="0"/>
          <w:color w:val="auto"/>
          <w:highlight w:val="none"/>
        </w:rPr>
        <w:t>（</w:t>
      </w:r>
      <w:r>
        <w:rPr>
          <w:rFonts w:hint="eastAsia" w:ascii="宋体" w:hAnsi="宋体"/>
          <w:b w:val="0"/>
          <w:color w:val="auto"/>
          <w:highlight w:val="none"/>
          <w:lang w:val="en-US" w:eastAsia="zh-CN"/>
        </w:rPr>
        <w:t>七</w:t>
      </w:r>
      <w:r>
        <w:rPr>
          <w:rFonts w:ascii="宋体" w:hAnsi="宋体"/>
          <w:b w:val="0"/>
          <w:color w:val="auto"/>
          <w:highlight w:val="none"/>
        </w:rPr>
        <w:t>）</w:t>
      </w:r>
      <w:r>
        <w:rPr>
          <w:rFonts w:hint="eastAsia" w:ascii="宋体" w:hAnsi="宋体"/>
          <w:b w:val="0"/>
          <w:color w:val="auto"/>
          <w:highlight w:val="none"/>
        </w:rPr>
        <w:t>承诺</w:t>
      </w:r>
      <w:bookmarkEnd w:id="2277"/>
    </w:p>
    <w:p>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（招标人名称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有两个及以上招标人的，请填写所有招标人</w:t>
      </w:r>
      <w:r>
        <w:rPr>
          <w:rFonts w:hint="eastAsia" w:ascii="宋体" w:hAnsi="宋体"/>
          <w:color w:val="auto"/>
          <w:szCs w:val="21"/>
          <w:highlight w:val="none"/>
          <w:u w:val="single"/>
          <w:lang w:eastAsia="zh-CN"/>
        </w:rPr>
        <w:t>名称</w:t>
      </w:r>
      <w:r>
        <w:rPr>
          <w:rFonts w:hint="eastAsia" w:ascii="宋体" w:hAnsi="宋体"/>
          <w:color w:val="auto"/>
          <w:szCs w:val="21"/>
          <w:highlight w:val="none"/>
          <w:u w:val="single"/>
        </w:rPr>
        <w:t>）</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1、投标截止日投标资格情况不存在下列情形之一：</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3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color w:val="auto"/>
          <w:szCs w:val="21"/>
          <w:highlight w:val="none"/>
          <w:lang w:val="en-US" w:eastAsia="zh-CN"/>
        </w:rPr>
        <w:t>；</w:t>
      </w:r>
    </w:p>
    <w:p>
      <w:pPr>
        <w:snapToGrid w:val="0"/>
        <w:spacing w:line="38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eastAsia="宋体" w:cs="宋体"/>
          <w:color w:val="auto"/>
          <w:kern w:val="0"/>
          <w:highlight w:val="none"/>
        </w:rPr>
        <w:t>第二章“投标人须知”第1.4.3项规定</w:t>
      </w:r>
      <w:r>
        <w:rPr>
          <w:rFonts w:hint="eastAsia" w:ascii="宋体" w:hAnsi="宋体" w:eastAsia="宋体" w:cs="宋体"/>
          <w:color w:val="auto"/>
          <w:kern w:val="0"/>
          <w:highlight w:val="none"/>
          <w:lang w:val="en-US" w:eastAsia="zh-CN"/>
        </w:rPr>
        <w:t>的情形之一</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第二章“投标人须知”第9.2款规定的情形之一</w:t>
      </w:r>
      <w:r>
        <w:rPr>
          <w:rFonts w:hint="eastAsia" w:ascii="宋体" w:hAnsi="宋体" w:cs="宋体"/>
          <w:color w:val="auto"/>
          <w:kern w:val="0"/>
          <w:highlight w:val="none"/>
          <w:lang w:val="en-US" w:eastAsia="zh-CN"/>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2、我公司拟派的项目经理按注册建造师的相关规定到岗履职和未被禁止参与投标。</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2.1拟派的项目经理中标后在本项目任职，签订合同时拟派的项目经理必须与投标文件中的项目经理一致，并满足办理施工许可手续的相关要求。不能按承诺到岗</w:t>
      </w:r>
      <w:r>
        <w:rPr>
          <w:rFonts w:hint="eastAsia" w:ascii="宋体" w:hAnsi="宋体"/>
          <w:color w:val="auto"/>
          <w:szCs w:val="21"/>
          <w:highlight w:val="none"/>
          <w:lang w:val="en-US" w:eastAsia="zh-CN"/>
        </w:rPr>
        <w:t>履职</w:t>
      </w:r>
      <w:r>
        <w:rPr>
          <w:rFonts w:hint="eastAsia" w:ascii="宋体" w:hAnsi="宋体"/>
          <w:color w:val="auto"/>
          <w:szCs w:val="21"/>
          <w:highlight w:val="none"/>
        </w:rPr>
        <w:t>的，</w:t>
      </w:r>
      <w:r>
        <w:rPr>
          <w:rFonts w:hint="eastAsia" w:ascii="宋体" w:hAnsi="宋体"/>
          <w:color w:val="auto"/>
          <w:szCs w:val="21"/>
          <w:highlight w:val="none"/>
          <w:lang w:val="en-US" w:eastAsia="zh-CN"/>
        </w:rPr>
        <w:t>贵单位</w:t>
      </w:r>
      <w:r>
        <w:rPr>
          <w:rFonts w:hint="eastAsia" w:ascii="宋体" w:hAnsi="宋体"/>
          <w:color w:val="auto"/>
          <w:szCs w:val="21"/>
          <w:highlight w:val="none"/>
        </w:rPr>
        <w:t>按合同相关条款</w:t>
      </w:r>
      <w:r>
        <w:rPr>
          <w:rFonts w:hint="eastAsia" w:ascii="宋体" w:hAnsi="宋体"/>
          <w:color w:val="auto"/>
          <w:szCs w:val="21"/>
          <w:highlight w:val="none"/>
          <w:lang w:val="en-US" w:eastAsia="zh-CN"/>
        </w:rPr>
        <w:t>要求我公司承担责任</w:t>
      </w:r>
      <w:r>
        <w:rPr>
          <w:rFonts w:hint="eastAsia" w:ascii="宋体" w:hAnsi="宋体"/>
          <w:color w:val="auto"/>
          <w:szCs w:val="21"/>
          <w:highlight w:val="none"/>
        </w:rPr>
        <w:t>并上报行政主管部门，给贵单位造成损失的，我公司依法承担赔偿责任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。拟派的项目经理中标后不得随意更换。</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2.2拟派的项目经理未被</w:t>
      </w:r>
      <w:r>
        <w:rPr>
          <w:rFonts w:hint="eastAsia" w:ascii="宋体" w:hAnsi="宋体"/>
          <w:color w:val="auto"/>
          <w:szCs w:val="21"/>
          <w:highlight w:val="none"/>
          <w:lang w:val="en-US" w:eastAsia="zh-CN"/>
        </w:rPr>
        <w:t>有关</w:t>
      </w:r>
      <w:r>
        <w:rPr>
          <w:rFonts w:hint="eastAsia" w:ascii="宋体" w:hAnsi="宋体"/>
          <w:color w:val="auto"/>
          <w:szCs w:val="21"/>
          <w:highlight w:val="none"/>
        </w:rPr>
        <w:t>部门暂停</w:t>
      </w:r>
      <w:r>
        <w:rPr>
          <w:rFonts w:hint="eastAsia" w:ascii="宋体" w:hAnsi="宋体"/>
          <w:color w:val="auto"/>
          <w:szCs w:val="21"/>
          <w:highlight w:val="none"/>
          <w:lang w:val="en-US" w:eastAsia="zh-CN"/>
        </w:rPr>
        <w:t>其</w:t>
      </w:r>
      <w:r>
        <w:rPr>
          <w:rFonts w:hint="eastAsia" w:ascii="宋体" w:hAnsi="宋体"/>
          <w:color w:val="auto"/>
          <w:szCs w:val="21"/>
          <w:highlight w:val="none"/>
        </w:rPr>
        <w:t>在渝承揽</w:t>
      </w:r>
      <w:r>
        <w:rPr>
          <w:rFonts w:hint="eastAsia" w:ascii="宋体" w:hAnsi="宋体"/>
          <w:color w:val="auto"/>
          <w:szCs w:val="21"/>
          <w:highlight w:val="none"/>
          <w:lang w:val="en-US" w:eastAsia="zh-CN"/>
        </w:rPr>
        <w:t>的</w:t>
      </w:r>
      <w:r>
        <w:rPr>
          <w:rFonts w:hint="eastAsia" w:ascii="宋体" w:hAnsi="宋体"/>
          <w:color w:val="auto"/>
          <w:szCs w:val="21"/>
          <w:highlight w:val="none"/>
        </w:rPr>
        <w:t>新业务</w:t>
      </w:r>
      <w:r>
        <w:rPr>
          <w:rFonts w:hint="eastAsia" w:ascii="宋体" w:hAnsi="宋体"/>
          <w:color w:val="auto"/>
          <w:szCs w:val="21"/>
          <w:highlight w:val="none"/>
          <w:lang w:val="en-US" w:eastAsia="zh-CN"/>
        </w:rPr>
        <w:t>中任职</w:t>
      </w:r>
      <w:r>
        <w:rPr>
          <w:rFonts w:hint="eastAsia" w:ascii="宋体" w:hAnsi="宋体"/>
          <w:color w:val="auto"/>
          <w:szCs w:val="21"/>
          <w:highlight w:val="none"/>
        </w:rPr>
        <w:t>，若</w:t>
      </w:r>
      <w:r>
        <w:rPr>
          <w:rFonts w:hint="eastAsia" w:ascii="宋体" w:hAnsi="宋体"/>
          <w:color w:val="auto"/>
          <w:szCs w:val="21"/>
          <w:highlight w:val="none"/>
          <w:lang w:val="en-US" w:eastAsia="zh-CN"/>
        </w:rPr>
        <w:t>其</w:t>
      </w:r>
      <w:r>
        <w:rPr>
          <w:rFonts w:hint="eastAsia" w:ascii="宋体" w:hAnsi="宋体"/>
          <w:color w:val="auto"/>
          <w:szCs w:val="21"/>
          <w:highlight w:val="none"/>
        </w:rPr>
        <w:t>被暂停</w:t>
      </w:r>
      <w:r>
        <w:rPr>
          <w:rFonts w:hint="eastAsia" w:ascii="宋体" w:hAnsi="宋体"/>
          <w:color w:val="auto"/>
          <w:szCs w:val="21"/>
          <w:highlight w:val="none"/>
          <w:lang w:val="en-US" w:eastAsia="zh-CN"/>
        </w:rPr>
        <w:t>在渝承揽的新业务中任职但仍参加投标，将被否决投标</w:t>
      </w:r>
      <w:r>
        <w:rPr>
          <w:rFonts w:hint="eastAsia" w:ascii="宋体" w:hAnsi="宋体"/>
          <w:color w:val="auto"/>
          <w:szCs w:val="21"/>
          <w:highlight w:val="none"/>
        </w:rPr>
        <w:t>；已取得中标候选人资格或中标资格的，贵单位有权取消我公司中标候选人资格或中标资格；给贵单位造成损失的，我公司依法承担赔偿责任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rPr>
        <w:t xml:space="preserve"> 14 </w:t>
      </w:r>
      <w:r>
        <w:rPr>
          <w:rFonts w:hint="eastAsia" w:ascii="宋体" w:hAnsi="宋体"/>
          <w:color w:val="auto"/>
          <w:szCs w:val="21"/>
          <w:highlight w:val="none"/>
        </w:rPr>
        <w:t>日</w:t>
      </w:r>
      <w:r>
        <w:rPr>
          <w:rFonts w:hint="eastAsia" w:ascii="宋体" w:hAnsi="宋体"/>
          <w:i/>
          <w:iCs/>
          <w:color w:val="auto"/>
          <w:szCs w:val="21"/>
          <w:highlight w:val="none"/>
          <w:lang w:val="en-US" w:eastAsia="zh-CN"/>
        </w:rPr>
        <w:t>[提示：</w:t>
      </w:r>
      <w:r>
        <w:rPr>
          <w:rFonts w:hint="eastAsia" w:ascii="宋体" w:hAnsi="宋体"/>
          <w:i/>
          <w:iCs/>
          <w:color w:val="auto"/>
          <w:szCs w:val="21"/>
          <w:highlight w:val="none"/>
        </w:rPr>
        <w:t>7～30日</w:t>
      </w:r>
      <w:r>
        <w:rPr>
          <w:rFonts w:hint="eastAsia" w:ascii="宋体" w:hAnsi="宋体"/>
          <w:i/>
          <w:iCs/>
          <w:color w:val="auto"/>
          <w:szCs w:val="21"/>
          <w:highlight w:val="none"/>
          <w:lang w:val="en-US" w:eastAsia="zh-CN"/>
        </w:rPr>
        <w:t>]</w:t>
      </w:r>
      <w:r>
        <w:rPr>
          <w:rFonts w:hint="eastAsia" w:ascii="宋体" w:hAnsi="宋体"/>
          <w:color w:val="auto"/>
          <w:szCs w:val="21"/>
          <w:highlight w:val="none"/>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若我公司拟派项目经理放弃在其他项目中标或拟中标的将提供：①经中标或拟中标的其他项目建设单位同意的放弃中标函。</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eastAsia="zh-CN"/>
        </w:rPr>
        <w:t>贵单位</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w:t>
      </w:r>
      <w:r>
        <w:rPr>
          <w:rFonts w:hint="eastAsia" w:ascii="宋体" w:hAnsi="宋体"/>
          <w:color w:val="auto"/>
          <w:szCs w:val="21"/>
          <w:highlight w:val="none"/>
          <w:lang w:val="en-US" w:eastAsia="zh-CN"/>
        </w:rPr>
        <w:t>贵单位可</w:t>
      </w:r>
      <w:r>
        <w:rPr>
          <w:rFonts w:hint="eastAsia" w:ascii="宋体" w:hAnsi="宋体"/>
          <w:color w:val="auto"/>
          <w:szCs w:val="21"/>
          <w:highlight w:val="none"/>
        </w:rPr>
        <w:t>取消我公司中标资格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贵单位</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要求我公司承担责任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color w:val="auto"/>
          <w:szCs w:val="21"/>
          <w:highlight w:val="none"/>
        </w:rPr>
        <w:t>给</w:t>
      </w:r>
      <w:r>
        <w:rPr>
          <w:rFonts w:hint="eastAsia" w:ascii="宋体" w:hAnsi="宋体"/>
          <w:color w:val="auto"/>
          <w:szCs w:val="21"/>
          <w:highlight w:val="none"/>
          <w:lang w:eastAsia="zh-CN"/>
        </w:rPr>
        <w:t>贵单位</w:t>
      </w:r>
      <w:r>
        <w:rPr>
          <w:rFonts w:hint="eastAsia" w:ascii="宋体" w:hAnsi="宋体"/>
          <w:color w:val="auto"/>
          <w:szCs w:val="21"/>
          <w:highlight w:val="none"/>
        </w:rPr>
        <w:t>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本投标文件</w:t>
      </w:r>
      <w:r>
        <w:rPr>
          <w:rFonts w:hint="eastAsia" w:ascii="宋体" w:hAnsi="宋体"/>
          <w:color w:val="auto"/>
          <w:szCs w:val="21"/>
          <w:highlight w:val="none"/>
        </w:rPr>
        <w:t>中</w:t>
      </w:r>
      <w:r>
        <w:rPr>
          <w:rFonts w:hint="eastAsia" w:ascii="宋体" w:hAnsi="宋体"/>
          <w:color w:val="auto"/>
          <w:szCs w:val="21"/>
          <w:highlight w:val="none"/>
          <w:lang w:val="en-US" w:eastAsia="zh-CN"/>
        </w:rPr>
        <w:t>的所有内容</w:t>
      </w:r>
      <w:r>
        <w:rPr>
          <w:rFonts w:hint="eastAsia" w:ascii="宋体" w:hAnsi="宋体"/>
          <w:color w:val="auto"/>
          <w:szCs w:val="21"/>
          <w:highlight w:val="none"/>
        </w:rPr>
        <w:t>真实有效，不存在弄虚作假情形。</w:t>
      </w:r>
      <w:r>
        <w:rPr>
          <w:rFonts w:hint="eastAsia" w:ascii="宋体" w:hAnsi="宋体"/>
          <w:color w:val="auto"/>
          <w:szCs w:val="21"/>
          <w:highlight w:val="none"/>
          <w:u w:val="none"/>
          <w:lang w:eastAsia="zh-CN"/>
        </w:rPr>
        <w:t>贵单位</w:t>
      </w:r>
      <w:r>
        <w:rPr>
          <w:rFonts w:hint="eastAsia" w:ascii="宋体" w:hAnsi="宋体"/>
          <w:color w:val="auto"/>
          <w:szCs w:val="21"/>
          <w:highlight w:val="none"/>
          <w:u w:val="none"/>
        </w:rPr>
        <w:t>在本项目合同签订前均有权对</w:t>
      </w:r>
      <w:r>
        <w:rPr>
          <w:rFonts w:hint="eastAsia" w:ascii="宋体" w:hAnsi="宋体"/>
          <w:color w:val="auto"/>
          <w:szCs w:val="21"/>
          <w:highlight w:val="none"/>
          <w:u w:val="none"/>
          <w:lang w:val="en-US" w:eastAsia="zh-CN"/>
        </w:rPr>
        <w:t>我公司</w:t>
      </w:r>
      <w:r>
        <w:rPr>
          <w:rFonts w:hint="eastAsia" w:ascii="宋体" w:hAnsi="宋体"/>
          <w:color w:val="auto"/>
          <w:szCs w:val="21"/>
          <w:highlight w:val="none"/>
          <w:u w:val="none"/>
        </w:rPr>
        <w:t>提供的资料进行核实，包括但不限于核查中标单位办公地址、投标业绩现场地址、行业历史业绩等，若发现弄虚作假情况，则</w:t>
      </w:r>
      <w:r>
        <w:rPr>
          <w:rFonts w:hint="eastAsia" w:ascii="宋体" w:hAnsi="宋体"/>
          <w:color w:val="auto"/>
          <w:szCs w:val="21"/>
          <w:highlight w:val="none"/>
          <w:u w:val="none"/>
          <w:lang w:val="en-US" w:eastAsia="zh-CN"/>
        </w:rPr>
        <w:t>贵单位</w:t>
      </w:r>
      <w:r>
        <w:rPr>
          <w:rFonts w:hint="eastAsia" w:ascii="宋体" w:hAnsi="宋体"/>
          <w:color w:val="auto"/>
          <w:szCs w:val="21"/>
          <w:highlight w:val="none"/>
          <w:u w:val="none"/>
        </w:rPr>
        <w:t>有权按相关规定取消其中标资格，并按相关法律法规报招标投标监督部门，其投标保证金不予退还，</w:t>
      </w:r>
      <w:r>
        <w:rPr>
          <w:rFonts w:hint="eastAsia" w:ascii="宋体" w:hAnsi="宋体"/>
          <w:color w:val="auto"/>
          <w:szCs w:val="21"/>
          <w:highlight w:val="none"/>
          <w:u w:val="none"/>
          <w:lang w:val="en-US" w:eastAsia="zh-CN"/>
        </w:rPr>
        <w:t>我公司</w:t>
      </w:r>
      <w:r>
        <w:rPr>
          <w:rFonts w:hint="eastAsia" w:ascii="宋体" w:hAnsi="宋体"/>
          <w:color w:val="auto"/>
          <w:szCs w:val="21"/>
          <w:highlight w:val="none"/>
          <w:u w:val="none"/>
        </w:rPr>
        <w:t>承担因此造成的相关责任并赔偿相应损失，同时按排名顺位选取下一位拟中标人</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、我公司的投标文件符合第二章 投标人须知第 1.3.1 项的规定。</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、我公司的投标文件符合第四章 合同条款及格式规定，投标文件中没有</w:t>
      </w:r>
      <w:r>
        <w:rPr>
          <w:rFonts w:hint="eastAsia" w:ascii="宋体" w:hAnsi="宋体"/>
          <w:color w:val="auto"/>
          <w:szCs w:val="21"/>
          <w:highlight w:val="none"/>
          <w:lang w:eastAsia="zh-CN"/>
        </w:rPr>
        <w:t>贵单位</w:t>
      </w:r>
      <w:r>
        <w:rPr>
          <w:rFonts w:hint="eastAsia" w:ascii="宋体" w:hAnsi="宋体"/>
          <w:color w:val="auto"/>
          <w:szCs w:val="21"/>
          <w:highlight w:val="none"/>
        </w:rPr>
        <w:t>不能接受的条件。</w:t>
      </w:r>
    </w:p>
    <w:p>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、我公司的投标文件符合第七章 技术标准和要求（如有）。</w:t>
      </w:r>
    </w:p>
    <w:p>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、我公司接受招标文件中关于“不平衡报价”的相关</w:t>
      </w:r>
      <w:r>
        <w:rPr>
          <w:rFonts w:hint="eastAsia" w:ascii="宋体" w:hAnsi="宋体"/>
          <w:color w:val="auto"/>
          <w:szCs w:val="21"/>
          <w:highlight w:val="none"/>
          <w:lang w:val="en-US" w:eastAsia="zh-CN"/>
        </w:rPr>
        <w:t>要求</w:t>
      </w:r>
      <w:r>
        <w:rPr>
          <w:rFonts w:hint="eastAsia" w:ascii="宋体" w:hAnsi="宋体"/>
          <w:color w:val="auto"/>
          <w:szCs w:val="21"/>
          <w:highlight w:val="none"/>
        </w:rPr>
        <w:t>（如有）。</w:t>
      </w:r>
    </w:p>
    <w:p>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、我公司接受招标文件中关于“不允许负数报价”的相关要求（如有）。</w:t>
      </w:r>
    </w:p>
    <w:p>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、我公司接受招标文件中关于“不允许</w:t>
      </w:r>
      <w:r>
        <w:rPr>
          <w:rFonts w:hint="eastAsia" w:ascii="宋体" w:hAnsi="宋体"/>
          <w:color w:val="auto"/>
          <w:szCs w:val="21"/>
          <w:highlight w:val="none"/>
          <w:lang w:val="en-US" w:eastAsia="zh-CN"/>
        </w:rPr>
        <w:t>零</w:t>
      </w:r>
      <w:r>
        <w:rPr>
          <w:rFonts w:hint="eastAsia" w:ascii="宋体" w:hAnsi="宋体"/>
          <w:color w:val="auto"/>
          <w:szCs w:val="21"/>
          <w:highlight w:val="none"/>
        </w:rPr>
        <w:t>报价”的相关要求（如有）。</w:t>
      </w:r>
    </w:p>
    <w:p>
      <w:pPr>
        <w:snapToGrid w:val="0"/>
        <w:spacing w:line="380" w:lineRule="exact"/>
        <w:ind w:firstLine="420" w:firstLineChars="200"/>
        <w:rPr>
          <w:rFonts w:hint="eastAsia" w:ascii="宋体" w:hAnsi="宋体"/>
          <w:color w:val="auto"/>
          <w:szCs w:val="21"/>
          <w:highlight w:val="none"/>
        </w:rPr>
      </w:pPr>
      <w:r>
        <w:rPr>
          <w:rFonts w:hint="eastAsia" w:ascii="宋体" w:hAnsi="宋体" w:cs="宋体"/>
          <w:color w:val="auto"/>
          <w:highlight w:val="none"/>
          <w:lang w:val="en-US" w:eastAsia="zh-CN"/>
        </w:rPr>
        <w:t>11</w:t>
      </w:r>
      <w:r>
        <w:rPr>
          <w:rFonts w:hint="eastAsia" w:ascii="宋体" w:hAnsi="宋体" w:cs="宋体"/>
          <w:color w:val="auto"/>
          <w:highlight w:val="none"/>
        </w:rPr>
        <w:t>、</w:t>
      </w:r>
      <w:r>
        <w:rPr>
          <w:rFonts w:hint="eastAsia" w:ascii="宋体" w:hAnsi="宋体" w:cs="宋体"/>
          <w:color w:val="auto"/>
          <w:szCs w:val="21"/>
          <w:highlight w:val="none"/>
        </w:rPr>
        <w:t>其他承诺事项：</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[提示：招标文件有具体要求的，可在此处增加对应的承诺内容。]</w:t>
      </w:r>
    </w:p>
    <w:p>
      <w:pPr>
        <w:snapToGrid w:val="0"/>
        <w:spacing w:line="380" w:lineRule="exact"/>
        <w:ind w:firstLine="420" w:firstLineChars="200"/>
        <w:rPr>
          <w:rFonts w:ascii="宋体" w:hAnsi="宋体"/>
          <w:color w:val="auto"/>
          <w:szCs w:val="21"/>
          <w:highlight w:val="none"/>
        </w:rPr>
      </w:pPr>
    </w:p>
    <w:p>
      <w:pPr>
        <w:tabs>
          <w:tab w:val="left" w:pos="4200"/>
          <w:tab w:val="left" w:pos="4620"/>
        </w:tabs>
        <w:autoSpaceDE w:val="0"/>
        <w:autoSpaceDN w:val="0"/>
        <w:adjustRightInd w:val="0"/>
        <w:snapToGrid w:val="0"/>
        <w:spacing w:line="3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3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snapToGrid w:val="0"/>
        <w:spacing w:line="380" w:lineRule="exact"/>
        <w:ind w:firstLine="420" w:firstLineChars="200"/>
        <w:jc w:val="right"/>
        <w:rPr>
          <w:rFonts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rPr>
          <w:color w:val="auto"/>
          <w:highlight w:val="none"/>
        </w:rPr>
      </w:pPr>
      <w:r>
        <w:rPr>
          <w:color w:val="auto"/>
          <w:highlight w:val="none"/>
        </w:rPr>
        <w:br w:type="page"/>
      </w:r>
    </w:p>
    <w:p>
      <w:pPr>
        <w:pStyle w:val="5"/>
        <w:spacing w:before="0" w:line="360" w:lineRule="auto"/>
        <w:jc w:val="center"/>
        <w:rPr>
          <w:rFonts w:hint="eastAsia" w:ascii="宋体" w:hAnsi="宋体"/>
          <w:b w:val="0"/>
          <w:color w:val="auto"/>
          <w:highlight w:val="none"/>
        </w:rPr>
      </w:pPr>
      <w:bookmarkStart w:id="2278" w:name="_Toc26931"/>
      <w:r>
        <w:rPr>
          <w:rFonts w:hint="eastAsia" w:ascii="宋体" w:hAnsi="宋体"/>
          <w:b w:val="0"/>
          <w:color w:val="auto"/>
          <w:highlight w:val="none"/>
        </w:rPr>
        <w:t>（</w:t>
      </w:r>
      <w:r>
        <w:rPr>
          <w:rFonts w:hint="eastAsia" w:ascii="宋体" w:hAnsi="宋体"/>
          <w:b w:val="0"/>
          <w:color w:val="auto"/>
          <w:highlight w:val="none"/>
          <w:lang w:val="en-US" w:eastAsia="zh-CN"/>
        </w:rPr>
        <w:t>八</w:t>
      </w:r>
      <w:r>
        <w:rPr>
          <w:rFonts w:hint="eastAsia" w:ascii="宋体" w:hAnsi="宋体"/>
          <w:b w:val="0"/>
          <w:color w:val="auto"/>
          <w:highlight w:val="none"/>
        </w:rPr>
        <w:t>）其他资料</w:t>
      </w:r>
      <w:bookmarkEnd w:id="227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投标保证金</w:t>
      </w:r>
    </w:p>
    <w:p>
      <w:pPr>
        <w:spacing w:line="360" w:lineRule="auto"/>
        <w:ind w:firstLine="420" w:firstLineChars="200"/>
        <w:rPr>
          <w:rFonts w:hint="eastAsia" w:ascii="宋体" w:hAnsi="宋体"/>
          <w:i w:val="0"/>
          <w:iCs/>
          <w:color w:val="auto"/>
          <w:szCs w:val="21"/>
          <w:highlight w:val="none"/>
        </w:rPr>
      </w:pPr>
      <w:r>
        <w:rPr>
          <w:rFonts w:hint="eastAsia" w:ascii="宋体" w:hAnsi="宋体"/>
          <w:i w:val="0"/>
          <w:iCs/>
          <w:color w:val="auto"/>
          <w:szCs w:val="21"/>
          <w:highlight w:val="none"/>
          <w:lang w:eastAsia="zh-CN"/>
        </w:rPr>
        <w:t>（</w:t>
      </w:r>
      <w:r>
        <w:rPr>
          <w:rFonts w:hint="eastAsia" w:ascii="宋体" w:hAnsi="宋体"/>
          <w:i w:val="0"/>
          <w:iCs/>
          <w:color w:val="auto"/>
          <w:szCs w:val="21"/>
          <w:highlight w:val="none"/>
          <w:lang w:val="en-US" w:eastAsia="zh-CN"/>
        </w:rPr>
        <w:t>注</w:t>
      </w:r>
      <w:r>
        <w:rPr>
          <w:rFonts w:hint="eastAsia" w:ascii="宋体" w:hAnsi="宋体"/>
          <w:i w:val="0"/>
          <w:iCs/>
          <w:color w:val="auto"/>
          <w:szCs w:val="21"/>
          <w:highlight w:val="none"/>
        </w:rPr>
        <w:t>：以转账支票或电汇形式交纳投标保证金的提供以下资料</w:t>
      </w:r>
      <w:r>
        <w:rPr>
          <w:rFonts w:hint="eastAsia" w:ascii="宋体" w:hAnsi="宋体"/>
          <w:i w:val="0"/>
          <w:iCs/>
          <w:color w:val="auto"/>
          <w:szCs w:val="21"/>
          <w:highlight w:val="none"/>
          <w:lang w:eastAsia="zh-CN"/>
        </w:rPr>
        <w:t>）</w:t>
      </w:r>
    </w:p>
    <w:p>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（1）企业基本账户开户证明文件。</w:t>
      </w:r>
    </w:p>
    <w:p>
      <w:pPr>
        <w:spacing w:line="240" w:lineRule="auto"/>
        <w:ind w:firstLine="0" w:firstLineChars="0"/>
        <w:rPr>
          <w:rFonts w:hint="eastAsia" w:ascii="宋体" w:hAnsi="宋体"/>
          <w:color w:val="auto"/>
          <w:szCs w:val="21"/>
          <w:highlight w:val="none"/>
        </w:rPr>
      </w:pPr>
      <w:r>
        <w:rPr>
          <w:rFonts w:hint="eastAsia" w:ascii="宋体" w:hAnsi="宋体"/>
          <w:color w:val="auto"/>
          <w:szCs w:val="21"/>
          <w:highlight w:val="none"/>
        </w:rPr>
        <w:br w:type="page"/>
      </w:r>
    </w:p>
    <w:p>
      <w:pPr>
        <w:ind w:firstLine="420" w:firstLineChars="200"/>
        <w:rPr>
          <w:rFonts w:hint="eastAsia" w:ascii="宋体" w:hAnsi="宋体"/>
          <w:b w:val="0"/>
          <w:color w:val="auto"/>
          <w:highlight w:val="none"/>
          <w:lang w:val="en-US" w:eastAsia="zh-CN"/>
        </w:rPr>
      </w:pPr>
      <w:r>
        <w:rPr>
          <w:rFonts w:hint="eastAsia" w:ascii="宋体" w:hAnsi="宋体"/>
          <w:color w:val="auto"/>
          <w:szCs w:val="21"/>
          <w:highlight w:val="none"/>
        </w:rPr>
        <w:t>2.</w:t>
      </w:r>
      <w:r>
        <w:rPr>
          <w:rFonts w:hint="eastAsia" w:ascii="宋体" w:hAnsi="宋体"/>
          <w:b w:val="0"/>
          <w:color w:val="auto"/>
          <w:highlight w:val="none"/>
          <w:lang w:val="en-US" w:eastAsia="zh-CN"/>
        </w:rPr>
        <w:t>按照招标文件第二章投标人须知前附表第1.4.1项、第3.4款要求提供的资料。</w:t>
      </w:r>
    </w:p>
    <w:p>
      <w:pPr>
        <w:ind w:firstLine="420" w:firstLineChars="200"/>
        <w:rPr>
          <w:rFonts w:ascii="宋体" w:hAnsi="宋体"/>
          <w:color w:val="auto"/>
          <w:szCs w:val="21"/>
          <w:highlight w:val="none"/>
        </w:rPr>
      </w:pPr>
      <w:r>
        <w:rPr>
          <w:rFonts w:ascii="宋体" w:hAnsi="宋体"/>
          <w:color w:val="auto"/>
          <w:szCs w:val="21"/>
          <w:highlight w:val="none"/>
        </w:rPr>
        <w:t>……</w:t>
      </w:r>
    </w:p>
    <w:p>
      <w:pPr>
        <w:rPr>
          <w:rFonts w:ascii="宋体" w:hAnsi="宋体"/>
          <w:color w:val="auto"/>
          <w:szCs w:val="21"/>
          <w:highlight w:val="none"/>
        </w:rPr>
      </w:pPr>
      <w:r>
        <w:rPr>
          <w:rFonts w:ascii="宋体" w:hAnsi="宋体"/>
          <w:color w:val="auto"/>
          <w:szCs w:val="21"/>
          <w:highlight w:val="none"/>
        </w:rPr>
        <w:br w:type="page"/>
      </w:r>
    </w:p>
    <w:p>
      <w:pPr>
        <w:pStyle w:val="5"/>
        <w:spacing w:before="0" w:after="0" w:line="240" w:lineRule="auto"/>
        <w:jc w:val="center"/>
        <w:rPr>
          <w:rFonts w:hint="eastAsia" w:ascii="宋体" w:hAnsi="宋体"/>
          <w:b w:val="0"/>
          <w:bCs w:val="0"/>
          <w:color w:val="auto"/>
          <w:highlight w:val="none"/>
          <w:lang w:val="en-US" w:eastAsia="zh-CN"/>
        </w:rPr>
      </w:pPr>
      <w:bookmarkStart w:id="2279" w:name="_Toc6399"/>
      <w:r>
        <w:rPr>
          <w:rFonts w:ascii="宋体" w:hAnsi="宋体"/>
          <w:b w:val="0"/>
          <w:bCs w:val="0"/>
          <w:color w:val="auto"/>
          <w:highlight w:val="none"/>
        </w:rPr>
        <w:t>（</w:t>
      </w:r>
      <w:r>
        <w:rPr>
          <w:rFonts w:hint="eastAsia" w:ascii="宋体" w:hAnsi="宋体"/>
          <w:b w:val="0"/>
          <w:bCs w:val="0"/>
          <w:color w:val="auto"/>
          <w:highlight w:val="none"/>
          <w:lang w:eastAsia="zh-CN"/>
        </w:rPr>
        <w:t>九</w:t>
      </w:r>
      <w:r>
        <w:rPr>
          <w:rFonts w:ascii="宋体" w:hAnsi="宋体"/>
          <w:b w:val="0"/>
          <w:bCs w:val="0"/>
          <w:color w:val="auto"/>
          <w:highlight w:val="none"/>
        </w:rPr>
        <w:t>）</w:t>
      </w:r>
      <w:r>
        <w:rPr>
          <w:rFonts w:hint="eastAsia" w:ascii="宋体" w:hAnsi="宋体"/>
          <w:b w:val="0"/>
          <w:bCs w:val="0"/>
          <w:color w:val="auto"/>
          <w:highlight w:val="none"/>
          <w:lang w:val="en-US" w:eastAsia="zh-CN"/>
        </w:rPr>
        <w:t>商务部分证明材料</w:t>
      </w:r>
      <w:bookmarkEnd w:id="2279"/>
    </w:p>
    <w:p>
      <w:pPr>
        <w:spacing w:line="360" w:lineRule="auto"/>
        <w:rPr>
          <w:rFonts w:hint="eastAsia" w:ascii="宋体" w:hAnsi="宋体"/>
          <w:b w:val="0"/>
          <w:bCs w:val="0"/>
          <w:color w:val="auto"/>
          <w:sz w:val="28"/>
          <w:szCs w:val="28"/>
          <w:highlight w:val="none"/>
          <w:lang w:val="en-US" w:eastAsia="zh-CN"/>
        </w:rPr>
      </w:pPr>
      <w:r>
        <w:rPr>
          <w:rFonts w:hint="eastAsia" w:ascii="宋体" w:hAnsi="宋体"/>
          <w:b w:val="0"/>
          <w:bCs w:val="0"/>
          <w:color w:val="auto"/>
          <w:sz w:val="28"/>
          <w:szCs w:val="28"/>
          <w:highlight w:val="none"/>
          <w:lang w:val="en-US" w:eastAsia="zh-CN"/>
        </w:rPr>
        <w:t>1、投标人业绩</w:t>
      </w:r>
    </w:p>
    <w:p>
      <w:pPr>
        <w:rPr>
          <w:rFonts w:hint="eastAsia" w:ascii="宋体" w:hAnsi="宋体"/>
          <w:b w:val="0"/>
          <w:bCs w:val="0"/>
          <w:color w:val="auto"/>
          <w:sz w:val="28"/>
          <w:szCs w:val="28"/>
          <w:highlight w:val="none"/>
          <w:lang w:val="en-US" w:eastAsia="zh-CN"/>
        </w:rPr>
      </w:pPr>
      <w:r>
        <w:rPr>
          <w:rFonts w:hint="eastAsia" w:ascii="宋体" w:hAnsi="宋体"/>
          <w:b w:val="0"/>
          <w:bCs w:val="0"/>
          <w:color w:val="auto"/>
          <w:sz w:val="28"/>
          <w:szCs w:val="28"/>
          <w:highlight w:val="none"/>
          <w:lang w:val="en-US" w:eastAsia="zh-CN"/>
        </w:rPr>
        <w:br w:type="page"/>
      </w:r>
    </w:p>
    <w:p>
      <w:pPr>
        <w:pStyle w:val="2"/>
        <w:spacing w:line="360" w:lineRule="auto"/>
        <w:rPr>
          <w:rFonts w:hint="eastAsia" w:ascii="宋体" w:hAnsi="宋体"/>
          <w:b w:val="0"/>
          <w:bCs w:val="0"/>
          <w:color w:val="auto"/>
          <w:sz w:val="28"/>
          <w:szCs w:val="28"/>
          <w:highlight w:val="none"/>
          <w:lang w:val="en-US" w:eastAsia="zh-CN"/>
        </w:rPr>
      </w:pPr>
      <w:r>
        <w:rPr>
          <w:rFonts w:hint="eastAsia" w:ascii="宋体" w:hAnsi="宋体"/>
          <w:b w:val="0"/>
          <w:bCs w:val="0"/>
          <w:color w:val="auto"/>
          <w:sz w:val="28"/>
          <w:szCs w:val="28"/>
          <w:highlight w:val="none"/>
          <w:lang w:val="en-US" w:eastAsia="zh-CN"/>
        </w:rPr>
        <w:t>2、售后服务响应承诺</w:t>
      </w:r>
    </w:p>
    <w:p>
      <w:pPr>
        <w:ind w:firstLine="420" w:firstLineChars="200"/>
        <w:rPr>
          <w:rFonts w:ascii="宋体" w:hAnsi="宋体"/>
          <w:color w:val="auto"/>
          <w:szCs w:val="21"/>
          <w:highlight w:val="none"/>
        </w:rPr>
      </w:pPr>
    </w:p>
    <w:p>
      <w:pPr>
        <w:pStyle w:val="2"/>
        <w:spacing w:line="360" w:lineRule="auto"/>
        <w:rPr>
          <w:rFonts w:hint="eastAsia" w:ascii="宋体" w:hAnsi="宋体"/>
          <w:b w:val="0"/>
          <w:bCs w:val="0"/>
          <w:color w:val="auto"/>
          <w:sz w:val="28"/>
          <w:szCs w:val="28"/>
          <w:highlight w:val="none"/>
          <w:lang w:val="en-US" w:eastAsia="zh-CN"/>
        </w:rPr>
      </w:pPr>
    </w:p>
    <w:p>
      <w:pPr>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br w:type="page"/>
      </w:r>
    </w:p>
    <w:p>
      <w:pPr>
        <w:pStyle w:val="4"/>
        <w:bidi w:val="0"/>
        <w:jc w:val="center"/>
        <w:rPr>
          <w:rFonts w:hint="eastAsia"/>
          <w:color w:val="auto"/>
          <w:highlight w:val="none"/>
        </w:rPr>
      </w:pPr>
      <w:bookmarkStart w:id="2280" w:name="_Toc430530536"/>
      <w:bookmarkStart w:id="2281" w:name="_Toc224103502"/>
      <w:bookmarkStart w:id="2282" w:name="_Toc26498"/>
      <w:bookmarkStart w:id="2283" w:name="_Toc29644"/>
      <w:bookmarkStart w:id="2284" w:name="_Toc287607874"/>
      <w:bookmarkStart w:id="2285" w:name="_Toc287620821"/>
      <w:r>
        <w:rPr>
          <w:rFonts w:hint="eastAsia"/>
          <w:color w:val="auto"/>
          <w:highlight w:val="none"/>
          <w:lang w:val="en-US" w:eastAsia="zh-CN"/>
        </w:rPr>
        <w:t>二、技术部分</w:t>
      </w:r>
      <w:bookmarkEnd w:id="2280"/>
      <w:bookmarkEnd w:id="2281"/>
      <w:bookmarkEnd w:id="2282"/>
      <w:bookmarkEnd w:id="2283"/>
    </w:p>
    <w:bookmarkEnd w:id="660"/>
    <w:bookmarkEnd w:id="661"/>
    <w:bookmarkEnd w:id="662"/>
    <w:bookmarkEnd w:id="2284"/>
    <w:bookmarkEnd w:id="2285"/>
    <w:p>
      <w:pPr>
        <w:rPr>
          <w:rFonts w:hint="eastAsia"/>
          <w:color w:val="auto"/>
          <w:highlight w:val="none"/>
          <w:lang w:val="en-US" w:eastAsia="zh-CN"/>
        </w:rPr>
      </w:pPr>
      <w:r>
        <w:rPr>
          <w:rFonts w:hint="eastAsia"/>
          <w:color w:val="auto"/>
          <w:highlight w:val="none"/>
          <w:lang w:val="en-US" w:eastAsia="zh-CN"/>
        </w:rPr>
        <w:t>提示：由投标人自行编制。</w:t>
      </w:r>
    </w:p>
    <w:p>
      <w:pPr>
        <w:pStyle w:val="2"/>
        <w:rPr>
          <w:rFonts w:hint="eastAsia"/>
          <w:color w:val="auto"/>
          <w:highlight w:val="none"/>
          <w:lang w:val="en-US" w:eastAsia="zh-CN"/>
        </w:rPr>
        <w:sectPr>
          <w:pgSz w:w="11906" w:h="16838"/>
          <w:pgMar w:top="1304" w:right="1134" w:bottom="1304" w:left="1304" w:header="851" w:footer="992" w:gutter="0"/>
          <w:pgNumType w:fmt="decimal"/>
          <w:cols w:space="720" w:num="1"/>
          <w:docGrid w:type="lines" w:linePitch="312" w:charSpace="0"/>
        </w:sectPr>
      </w:pPr>
    </w:p>
    <w:p>
      <w:pPr>
        <w:rPr>
          <w:rFonts w:hint="eastAsia"/>
          <w:lang w:val="en-US" w:eastAsia="zh-CN"/>
        </w:rPr>
      </w:pPr>
    </w:p>
    <w:p>
      <w:pPr>
        <w:rPr>
          <w:rFonts w:hint="default"/>
          <w:lang w:val="en-US" w:eastAsia="zh-CN"/>
        </w:rPr>
      </w:pPr>
      <w:r>
        <w:rPr>
          <w:rFonts w:hint="default"/>
          <w:lang w:val="en-US" w:eastAsia="zh-CN"/>
        </w:rPr>
        <w:br w:type="page"/>
      </w:r>
    </w:p>
    <w:p>
      <w:pPr>
        <w:rPr>
          <w:rFonts w:hint="eastAsia" w:ascii="宋体" w:hAnsi="宋体"/>
          <w:b/>
        </w:rPr>
      </w:pPr>
      <w:r>
        <mc:AlternateContent>
          <mc:Choice Requires="wps">
            <w:drawing>
              <wp:anchor distT="0" distB="0" distL="114300" distR="114300" simplePos="0" relativeHeight="251666432"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15" name="矩形 111"/>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pPr>
                              <w:jc w:val="center"/>
                              <w:rPr>
                                <w:rFonts w:hint="eastAsia" w:ascii="仿宋" w:hAnsi="仿宋" w:eastAsia="仿宋" w:cs="仿宋"/>
                                <w:sz w:val="84"/>
                                <w:szCs w:val="84"/>
                              </w:rPr>
                            </w:pPr>
                            <w:r>
                              <w:rPr>
                                <w:rFonts w:hint="eastAsia" w:ascii="仿宋" w:hAnsi="仿宋" w:eastAsia="仿宋" w:cs="仿宋"/>
                                <w:color w:val="000000"/>
                                <w:sz w:val="84"/>
                                <w:szCs w:val="84"/>
                              </w:rPr>
                              <w:t>技术方案</w:t>
                            </w:r>
                          </w:p>
                        </w:txbxContent>
                      </wps:txbx>
                      <wps:bodyPr wrap="none" lIns="0" tIns="0" rIns="0" bIns="0" anchor="ctr" anchorCtr="0" upright="1">
                        <a:spAutoFit/>
                      </wps:bodyPr>
                    </wps:wsp>
                  </a:graphicData>
                </a:graphic>
              </wp:anchor>
            </w:drawing>
          </mc:Choice>
          <mc:Fallback>
            <w:pict>
              <v:rect id="矩形 111" o:spid="_x0000_s1026" o:spt="1" style="position:absolute;left:0pt;margin-left:142.2pt;margin-top:106.4pt;height:62.4pt;width:168.05pt;mso-position-horizontal-relative:char;mso-position-vertical-relative:line;mso-wrap-style:none;z-index:251666432;v-text-anchor:middle;mso-width-relative:page;mso-height-relative:page;" filled="f" stroked="f" coordsize="21600,21600" o:gfxdata="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i0A89sAAAALAQAADwAAAAAAAAABACAAAAAiAAAAZHJzL2Rvd25yZXYueG1sUEsB&#10;AhQAFAAAAAgAh07iQI5Q/a/yAQAAzQMAAA4AAAAAAAAAAQAgAAAAKgEAAGRycy9lMm9Eb2MueG1s&#10;UEsFBgAAAAAGAAYAWQEAAI4FAAAAAA==&#10;">
                <v:fill on="f" focussize="0,0"/>
                <v:stroke on="f"/>
                <v:imagedata o:title=""/>
                <o:lock v:ext="edit" aspectratio="f"/>
                <v:textbox inset="0mm,0mm,0mm,0mm" style="mso-fit-shape-to-text:t;">
                  <w:txbxContent>
                    <w:p>
                      <w:pPr>
                        <w:jc w:val="center"/>
                        <w:rPr>
                          <w:rFonts w:hint="eastAsia"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70528;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pPr>
                        <w:rPr>
                          <w:sz w:val="20"/>
                        </w:rPr>
                      </w:pPr>
                      <w:r>
                        <w:rPr>
                          <w:rFonts w:hint="eastAsia" w:ascii="宋体" w:cs="宋体"/>
                          <w:bCs/>
                          <w:color w:val="000000"/>
                          <w:sz w:val="22"/>
                        </w:rPr>
                        <w:t>密封线</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haracter">
                  <wp:posOffset>3669030</wp:posOffset>
                </wp:positionH>
                <wp:positionV relativeFrom="line">
                  <wp:posOffset>6773545</wp:posOffset>
                </wp:positionV>
                <wp:extent cx="3175" cy="3128010"/>
                <wp:effectExtent l="4445" t="0" r="11430" b="15240"/>
                <wp:wrapNone/>
                <wp:docPr id="117" name="直线 132"/>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id="直线 132" o:spid="_x0000_s1026" o:spt="20" style="position:absolute;left:0pt;flip:x y;margin-left:288.9pt;margin-top:533.35pt;height:246.3pt;width:0.25pt;mso-position-horizontal-relative:char;mso-position-vertical-relative:line;z-index:251668480;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fL+xdwAAAANAQAADwAAAAAAAAABACAAAAAiAAAAZHJzL2Rvd25y&#10;ZXYueG1sUEsBAhQAFAAAAAgAh07iQL25TPL6AQAAAQQAAA4AAAAAAAAAAQAgAAAAKwEAAGRycy9l&#10;Mm9Eb2MueG1sUEsFBgAAAAAGAAYAWQEAAJcFAAAAAA==&#10;">
                <v:fill on="f" focussize="0,0"/>
                <v:stroke color="#000000" joinstyle="miter" dashstyle="dash"/>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19" name="直接连接符 112"/>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直接连接符 112" o:spid="_x0000_s1026" o:spt="32" type="#_x0000_t32" style="position:absolute;left:0pt;flip:y;margin-left:290.2pt;margin-top:533.6pt;height:0.35pt;width:242.3pt;mso-position-horizontal-relative:char;mso-position-vertical-relative:line;z-index:251663360;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30612gAAAA4BAAAPAAAAAAAAAAEA&#10;IAAAACIAAABkcnMvZG93bnJldi54bWxQSwECFAAUAAAACACHTuJAMs8ogQ0CAAAOBAAADgAAAAAA&#10;AAABACAAAAApAQAAZHJzL2Uyb0RvYy54bWxQSwUGAAAAAAYABgBZAQAAqAUAAAAA&#10;">
                <v:fill on="f" focussize="0,0"/>
                <v:stroke color="#000000" joinstyle="miter" dashstyle="dash"/>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haracter">
                  <wp:posOffset>3690620</wp:posOffset>
                </wp:positionH>
                <wp:positionV relativeFrom="line">
                  <wp:posOffset>6783070</wp:posOffset>
                </wp:positionV>
                <wp:extent cx="3057525" cy="3085465"/>
                <wp:effectExtent l="3175" t="3175" r="6350" b="16510"/>
                <wp:wrapNone/>
                <wp:docPr id="120"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id="直线 134" o:spid="_x0000_s1026" o:spt="20" style="position:absolute;left:0pt;flip:y;margin-left:290.6pt;margin-top:534.1pt;height:242.95pt;width:240.75pt;mso-position-horizontal-relative:char;mso-position-vertical-relative:line;z-index:251667456;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kUeydoAAAAOAQAADwAAAAAAAAABACAAAAAiAAAAZHJzL2Rvd25yZXYu&#10;eG1sUEsBAhQAFAAAAAgAh07iQEh3Nkz5AQAA/QMAAA4AAAAAAAAAAQAgAAAAKQEAAGRycy9lMm9E&#10;b2MueG1sUEsFBgAAAAAGAAYAWQEAAJQFAAAAAA==&#10;">
                <v:fill on="f" focussize="0,0"/>
                <v:stroke color="#000000" joinstyle="miter" dashstyle="dashDot"/>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haracter">
                  <wp:posOffset>4256405</wp:posOffset>
                </wp:positionH>
                <wp:positionV relativeFrom="line">
                  <wp:posOffset>7359650</wp:posOffset>
                </wp:positionV>
                <wp:extent cx="1857375" cy="1856740"/>
                <wp:effectExtent l="5080" t="5080" r="4445" b="5080"/>
                <wp:wrapNone/>
                <wp:docPr id="121"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txbxContent>
                      </wps:txbx>
                      <wps:bodyPr wrap="square" upright="1"/>
                    </wps:wsp>
                  </a:graphicData>
                </a:graphic>
              </wp:anchor>
            </w:drawing>
          </mc:Choice>
          <mc:Fallback>
            <w:pict>
              <v:shape id="椭圆 115" o:spid="_x0000_s1026" o:spt="3" type="#_x0000_t3" style="position:absolute;left:0pt;margin-left:335.15pt;margin-top:579.5pt;height:146.2pt;width:146.25pt;mso-position-horizontal-relative:char;mso-position-vertical-relative:line;z-index:251664384;mso-width-relative:page;mso-height-relative:page;" filled="f" stroked="t" coordsize="21600,21600" o:gfxdata="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uE04HaAAAADQEAAA8AAAAA&#10;AAAAAQAgAAAAIgAAAGRycy9kb3ducmV2LnhtbFBLAQIUABQAAAAIAIdO4kCRFjR1EgIAACYEAAAO&#10;AAAAAAAAAAEAIAAAACkBAABkcnMvZTJvRG9jLnhtbFBLBQYAAAAABgAGAFkBAACtBQAAAAA=&#10;">
                <v:fill on="f" focussize="0,0"/>
                <v:stroke color="#000000" joinstyle="miter" dashstyle="dashDot"/>
                <v:imagedata o:title=""/>
                <o:lock v:ext="edit" aspectratio="f"/>
                <v:textbox>
                  <w:txbxContent>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122"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483.5pt;margin-top:558.35pt;height:15.6pt;width:33.05pt;mso-position-horizontal-relative:char;mso-position-vertical-relative:line;mso-wrap-style:none;rotation:-2883584f;z-index:251669504;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t3wFdoAAAAOAQAADwAAAAAAAAABACAAAAAiAAAAZHJzL2Rvd25yZXYueG1sUEsBAhQAFAAA&#10;AAgAh07iQEsc9KztAQAAwAMAAA4AAAAAAAAAAQAgAAAAKQEAAGRycy9lMm9Eb2MueG1sUEsFBgAA&#10;AAAGAAYAWQEAAIgFAAAAAA==&#10;">
                <v:fill on="f" focussize="0,0"/>
                <v:stroke on="f"/>
                <v:imagedata o:title=""/>
                <o:lock v:ext="edit" aspectratio="f"/>
                <v:textbox inset="0mm,0mm,0mm,0mm" style="mso-fit-shape-to-text:t;">
                  <w:txbxContent>
                    <w:p>
                      <w:pPr>
                        <w:rPr>
                          <w:sz w:val="20"/>
                        </w:rPr>
                      </w:pPr>
                      <w:r>
                        <w:rPr>
                          <w:rFonts w:hint="eastAsia" w:ascii="宋体" w:cs="宋体"/>
                          <w:bCs/>
                          <w:color w:val="000000"/>
                          <w:sz w:val="22"/>
                        </w:rPr>
                        <w:t>密封线</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pPr>
                              <w:rPr>
                                <w:sz w:val="20"/>
                              </w:rPr>
                            </w:pPr>
                            <w:r>
                              <w:rPr>
                                <w:rFonts w:hint="eastAsia" w:ascii="宋体" w:cs="宋体"/>
                                <w:bCs/>
                                <w:color w:val="000000"/>
                                <w:sz w:val="28"/>
                                <w:szCs w:val="30"/>
                              </w:rPr>
                              <w:t>(盖单位章处）</w:t>
                            </w: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31.2pt;width:91.05pt;mso-position-horizontal-relative:char;mso-position-vertical-relative:line;mso-wrap-style:none;z-index:251665408;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F3VOu3i&#10;AQAAsgMAAA4AAAAAAAAAAQAgAAAAKAEAAGRycy9lMm9Eb2MueG1sUEsFBgAAAAAGAAYAWQEAAHwF&#10;AAAAAA==&#10;">
                <v:fill on="f" focussize="0,0"/>
                <v:stroke on="f"/>
                <v:imagedata o:title=""/>
                <o:lock v:ext="edit" aspectratio="f"/>
                <v:textbox inset="0mm,0mm,0mm,0mm" style="mso-fit-shape-to-text:t;">
                  <w:txbxContent>
                    <w:p>
                      <w:pPr>
                        <w:rPr>
                          <w:sz w:val="20"/>
                        </w:rPr>
                      </w:pPr>
                      <w:r>
                        <w:rPr>
                          <w:rFonts w:hint="eastAsia" w:ascii="宋体" w:cs="宋体"/>
                          <w:bCs/>
                          <w:color w:val="000000"/>
                          <w:sz w:val="28"/>
                          <w:szCs w:val="30"/>
                        </w:rPr>
                        <w:t>(盖单位章处）</w:t>
                      </w:r>
                    </w:p>
                  </w:txbxContent>
                </v:textbox>
              </v:rect>
            </w:pict>
          </mc:Fallback>
        </mc:AlternateContent>
      </w:r>
    </w:p>
    <w:p/>
    <w:p>
      <w:pPr>
        <w:rPr>
          <w:rFonts w:hint="default"/>
          <w:lang w:val="en-US" w:eastAsia="zh-CN"/>
        </w:rPr>
      </w:pPr>
    </w:p>
    <w:sectPr>
      <w:footerReference r:id="rId10" w:type="default"/>
      <w:type w:val="continuous"/>
      <w:pgSz w:w="11906" w:h="16838"/>
      <w:pgMar w:top="1304" w:right="1134" w:bottom="1304"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方正书宋_GBK"/>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方正仿宋_GBK"/>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icrosoft Sans Serif">
    <w:panose1 w:val="020B0604020202020204"/>
    <w:charset w:val="00"/>
    <w:family w:val="swiss"/>
    <w:pitch w:val="default"/>
    <w:sig w:usb0="E5002EFF" w:usb1="C000605B" w:usb2="00000029" w:usb3="00000000" w:csb0="200101FF" w:csb1="2028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Style w:val="50"/>
                            </w:rPr>
                          </w:pPr>
                          <w:r>
                            <w:fldChar w:fldCharType="begin"/>
                          </w:r>
                          <w:r>
                            <w:rPr>
                              <w:rStyle w:val="50"/>
                            </w:rPr>
                            <w:instrText xml:space="preserve">PAGE  </w:instrText>
                          </w:r>
                          <w:r>
                            <w:fldChar w:fldCharType="separate"/>
                          </w:r>
                          <w:r>
                            <w:rPr>
                              <w:rStyle w:val="50"/>
                            </w:rPr>
                            <w:t>- 2 -</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9"/>
                      <w:rPr>
                        <w:rStyle w:val="50"/>
                      </w:rPr>
                    </w:pPr>
                    <w:r>
                      <w:fldChar w:fldCharType="begin"/>
                    </w:r>
                    <w:r>
                      <w:rPr>
                        <w:rStyle w:val="50"/>
                      </w:rPr>
                      <w:instrText xml:space="preserve">PAGE  </w:instrText>
                    </w:r>
                    <w:r>
                      <w:fldChar w:fldCharType="separate"/>
                    </w:r>
                    <w:r>
                      <w:rPr>
                        <w:rStyle w:val="50"/>
                      </w:rPr>
                      <w:t>- 2 -</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1</w:t>
    </w:r>
    <w:r>
      <w:fldChar w:fldCharType="end"/>
    </w:r>
    <w:r>
      <w:t xml:space="preserve"> -</w:t>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Style w:val="50"/>
                            </w:rPr>
                          </w:pPr>
                          <w:r>
                            <w:fldChar w:fldCharType="begin"/>
                          </w:r>
                          <w:r>
                            <w:rPr>
                              <w:rStyle w:val="50"/>
                            </w:rPr>
                            <w:instrText xml:space="preserve">PAGE  </w:instrText>
                          </w:r>
                          <w:r>
                            <w:fldChar w:fldCharType="separate"/>
                          </w:r>
                          <w:r>
                            <w:rPr>
                              <w:rStyle w:val="50"/>
                            </w:rPr>
                            <w:t>- 3 -</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rPr>
                        <w:rStyle w:val="50"/>
                      </w:rPr>
                    </w:pPr>
                    <w:r>
                      <w:fldChar w:fldCharType="begin"/>
                    </w:r>
                    <w:r>
                      <w:rPr>
                        <w:rStyle w:val="50"/>
                      </w:rPr>
                      <w:instrText xml:space="preserve">PAGE  </w:instrText>
                    </w:r>
                    <w:r>
                      <w:fldChar w:fldCharType="separate"/>
                    </w:r>
                    <w:r>
                      <w:rPr>
                        <w:rStyle w:val="50"/>
                      </w:rPr>
                      <w:t>- 3 -</w:t>
                    </w:r>
                    <w: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jc w:val="center"/>
                          </w:pPr>
                          <w:r>
                            <w:t xml:space="preserve">- </w:t>
                          </w:r>
                          <w:r>
                            <w:fldChar w:fldCharType="begin"/>
                          </w:r>
                          <w:r>
                            <w:instrText xml:space="preserve"> PAGE </w:instrText>
                          </w:r>
                          <w:r>
                            <w:fldChar w:fldCharType="separate"/>
                          </w:r>
                          <w:r>
                            <w:t>243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9"/>
                      <w:jc w:val="center"/>
                    </w:pPr>
                    <w:r>
                      <w:t xml:space="preserve">- </w:t>
                    </w:r>
                    <w:r>
                      <w:fldChar w:fldCharType="begin"/>
                    </w:r>
                    <w:r>
                      <w:instrText xml:space="preserve"> PAGE </w:instrText>
                    </w:r>
                    <w:r>
                      <w:fldChar w:fldCharType="separate"/>
                    </w:r>
                    <w:r>
                      <w:t>243</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61027DAC"/>
    <w:multiLevelType w:val="singleLevel"/>
    <w:tmpl w:val="61027DAC"/>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wODBlZDQ3M2UxMjk0MGRjMjIxNmIyZDJhZjc1Nj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878F0"/>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221"/>
    <w:rsid w:val="000B489F"/>
    <w:rsid w:val="000B4C5B"/>
    <w:rsid w:val="000B5039"/>
    <w:rsid w:val="000B55BE"/>
    <w:rsid w:val="000B5B3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076C"/>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5D6"/>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45E"/>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866B5"/>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23"/>
    <w:rsid w:val="00833CAA"/>
    <w:rsid w:val="0083432A"/>
    <w:rsid w:val="00835326"/>
    <w:rsid w:val="008353C5"/>
    <w:rsid w:val="008363DB"/>
    <w:rsid w:val="008367B9"/>
    <w:rsid w:val="00836AC6"/>
    <w:rsid w:val="00836DE1"/>
    <w:rsid w:val="00837DCE"/>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1EF2"/>
    <w:rsid w:val="0087317F"/>
    <w:rsid w:val="00873488"/>
    <w:rsid w:val="00873586"/>
    <w:rsid w:val="00873B3D"/>
    <w:rsid w:val="008746CF"/>
    <w:rsid w:val="008747AD"/>
    <w:rsid w:val="00874861"/>
    <w:rsid w:val="00874E4B"/>
    <w:rsid w:val="00875E09"/>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3A9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9B7"/>
    <w:rsid w:val="00AA2A40"/>
    <w:rsid w:val="00AA36ED"/>
    <w:rsid w:val="00AA37B5"/>
    <w:rsid w:val="00AA4860"/>
    <w:rsid w:val="00AA4899"/>
    <w:rsid w:val="00AA48B5"/>
    <w:rsid w:val="00AA5262"/>
    <w:rsid w:val="00AA5AB7"/>
    <w:rsid w:val="00AA5BE3"/>
    <w:rsid w:val="00AA5E1A"/>
    <w:rsid w:val="00AA70CC"/>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3E6C"/>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6C4C"/>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A91"/>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5E3D"/>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4D8"/>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417"/>
    <w:rsid w:val="00FF67D2"/>
    <w:rsid w:val="00FF7622"/>
    <w:rsid w:val="012A60A1"/>
    <w:rsid w:val="013F4369"/>
    <w:rsid w:val="02197498"/>
    <w:rsid w:val="029B6737"/>
    <w:rsid w:val="029E16D8"/>
    <w:rsid w:val="02D3433D"/>
    <w:rsid w:val="02E7478A"/>
    <w:rsid w:val="03000A08"/>
    <w:rsid w:val="0341020B"/>
    <w:rsid w:val="03454DED"/>
    <w:rsid w:val="03C545D6"/>
    <w:rsid w:val="046D5737"/>
    <w:rsid w:val="04717E20"/>
    <w:rsid w:val="05036069"/>
    <w:rsid w:val="05AB059E"/>
    <w:rsid w:val="05DC71B6"/>
    <w:rsid w:val="06665122"/>
    <w:rsid w:val="06981B2E"/>
    <w:rsid w:val="06C43DE0"/>
    <w:rsid w:val="06C64491"/>
    <w:rsid w:val="074A1FE5"/>
    <w:rsid w:val="077305E3"/>
    <w:rsid w:val="07D00C4B"/>
    <w:rsid w:val="080A52B6"/>
    <w:rsid w:val="09CB0F9E"/>
    <w:rsid w:val="0A0930C3"/>
    <w:rsid w:val="0A4B36D1"/>
    <w:rsid w:val="0A4B57E2"/>
    <w:rsid w:val="0A93506B"/>
    <w:rsid w:val="0AB21C3C"/>
    <w:rsid w:val="0B113775"/>
    <w:rsid w:val="0B341D58"/>
    <w:rsid w:val="0B9E48FD"/>
    <w:rsid w:val="0BB622A7"/>
    <w:rsid w:val="0C3E42BE"/>
    <w:rsid w:val="0D4806BF"/>
    <w:rsid w:val="0DF406EB"/>
    <w:rsid w:val="0E024D74"/>
    <w:rsid w:val="0E0B0A7A"/>
    <w:rsid w:val="0E484301"/>
    <w:rsid w:val="0E5F1249"/>
    <w:rsid w:val="0F2E736C"/>
    <w:rsid w:val="0FF24D67"/>
    <w:rsid w:val="102B5AE8"/>
    <w:rsid w:val="10611A0A"/>
    <w:rsid w:val="10AC5059"/>
    <w:rsid w:val="113464A3"/>
    <w:rsid w:val="116D0F4A"/>
    <w:rsid w:val="12541D09"/>
    <w:rsid w:val="127A292F"/>
    <w:rsid w:val="1282121E"/>
    <w:rsid w:val="13012641"/>
    <w:rsid w:val="13FD7A4B"/>
    <w:rsid w:val="140D6614"/>
    <w:rsid w:val="146E3E3D"/>
    <w:rsid w:val="14DC6FEA"/>
    <w:rsid w:val="152F2422"/>
    <w:rsid w:val="15F36B10"/>
    <w:rsid w:val="15F67B8F"/>
    <w:rsid w:val="15F873A5"/>
    <w:rsid w:val="1608110C"/>
    <w:rsid w:val="16612C47"/>
    <w:rsid w:val="16CD33F4"/>
    <w:rsid w:val="16E1457B"/>
    <w:rsid w:val="16F26FDC"/>
    <w:rsid w:val="17721137"/>
    <w:rsid w:val="17E75995"/>
    <w:rsid w:val="17F43647"/>
    <w:rsid w:val="191B1D29"/>
    <w:rsid w:val="19450E59"/>
    <w:rsid w:val="19483FD9"/>
    <w:rsid w:val="197C00AC"/>
    <w:rsid w:val="19813FB0"/>
    <w:rsid w:val="1A3D4C07"/>
    <w:rsid w:val="1A755DC7"/>
    <w:rsid w:val="1B5A4D98"/>
    <w:rsid w:val="1B610368"/>
    <w:rsid w:val="1BA96B88"/>
    <w:rsid w:val="1BB235FD"/>
    <w:rsid w:val="1BB534D0"/>
    <w:rsid w:val="1C6A496F"/>
    <w:rsid w:val="1DD063A3"/>
    <w:rsid w:val="1F125176"/>
    <w:rsid w:val="1F374DC3"/>
    <w:rsid w:val="1FFE6BEE"/>
    <w:rsid w:val="2042644D"/>
    <w:rsid w:val="204F166B"/>
    <w:rsid w:val="20BA340F"/>
    <w:rsid w:val="20D64639"/>
    <w:rsid w:val="210E1A59"/>
    <w:rsid w:val="216F7993"/>
    <w:rsid w:val="21825E03"/>
    <w:rsid w:val="21BB220E"/>
    <w:rsid w:val="221D5633"/>
    <w:rsid w:val="22BF26E2"/>
    <w:rsid w:val="22CD71A9"/>
    <w:rsid w:val="24A10DF8"/>
    <w:rsid w:val="261631EE"/>
    <w:rsid w:val="26C171CB"/>
    <w:rsid w:val="27712FBC"/>
    <w:rsid w:val="2805374C"/>
    <w:rsid w:val="28054429"/>
    <w:rsid w:val="285A1251"/>
    <w:rsid w:val="286E52FC"/>
    <w:rsid w:val="28AE630C"/>
    <w:rsid w:val="2ABB7DF2"/>
    <w:rsid w:val="2ADE448E"/>
    <w:rsid w:val="2B247BCA"/>
    <w:rsid w:val="2BD902EC"/>
    <w:rsid w:val="2C3A72D3"/>
    <w:rsid w:val="2D0C6C82"/>
    <w:rsid w:val="2D917000"/>
    <w:rsid w:val="2E135BB8"/>
    <w:rsid w:val="2E386092"/>
    <w:rsid w:val="2EE737A0"/>
    <w:rsid w:val="2EF21CAB"/>
    <w:rsid w:val="2F3841ED"/>
    <w:rsid w:val="2F58187C"/>
    <w:rsid w:val="302A6625"/>
    <w:rsid w:val="30B1408E"/>
    <w:rsid w:val="30CE71F9"/>
    <w:rsid w:val="30EF67E5"/>
    <w:rsid w:val="310311E3"/>
    <w:rsid w:val="318B5333"/>
    <w:rsid w:val="31F4722E"/>
    <w:rsid w:val="320B7848"/>
    <w:rsid w:val="328D7DE2"/>
    <w:rsid w:val="32BA571C"/>
    <w:rsid w:val="32EE6C13"/>
    <w:rsid w:val="33306373"/>
    <w:rsid w:val="333B777A"/>
    <w:rsid w:val="33C53375"/>
    <w:rsid w:val="344D3544"/>
    <w:rsid w:val="34562CDE"/>
    <w:rsid w:val="35DB1C68"/>
    <w:rsid w:val="35EC697A"/>
    <w:rsid w:val="36DD0EA9"/>
    <w:rsid w:val="36F4767F"/>
    <w:rsid w:val="378418A7"/>
    <w:rsid w:val="383C102E"/>
    <w:rsid w:val="384D1FDF"/>
    <w:rsid w:val="385B00ED"/>
    <w:rsid w:val="386709AA"/>
    <w:rsid w:val="387D642F"/>
    <w:rsid w:val="38D86C09"/>
    <w:rsid w:val="3919772A"/>
    <w:rsid w:val="39422191"/>
    <w:rsid w:val="39737EB4"/>
    <w:rsid w:val="3984443A"/>
    <w:rsid w:val="3A310809"/>
    <w:rsid w:val="3A7645E5"/>
    <w:rsid w:val="3A983E53"/>
    <w:rsid w:val="3AA01AB2"/>
    <w:rsid w:val="3AC705C2"/>
    <w:rsid w:val="3ADB6274"/>
    <w:rsid w:val="3B3339E2"/>
    <w:rsid w:val="3B3F0EBD"/>
    <w:rsid w:val="3B4130B9"/>
    <w:rsid w:val="3BBF0327"/>
    <w:rsid w:val="3BD34196"/>
    <w:rsid w:val="3BF6CEF7"/>
    <w:rsid w:val="3D4027C3"/>
    <w:rsid w:val="3D9622D8"/>
    <w:rsid w:val="3DB46376"/>
    <w:rsid w:val="3DEE09BF"/>
    <w:rsid w:val="3DFB39FD"/>
    <w:rsid w:val="3E287CA5"/>
    <w:rsid w:val="3E971150"/>
    <w:rsid w:val="3ECD05CA"/>
    <w:rsid w:val="3ED16F9F"/>
    <w:rsid w:val="3ED95EA9"/>
    <w:rsid w:val="3EFE309E"/>
    <w:rsid w:val="3F512870"/>
    <w:rsid w:val="3F6236D0"/>
    <w:rsid w:val="3F94702A"/>
    <w:rsid w:val="3FCC7931"/>
    <w:rsid w:val="3FE06D3B"/>
    <w:rsid w:val="3FE2521F"/>
    <w:rsid w:val="40D309FB"/>
    <w:rsid w:val="4199652C"/>
    <w:rsid w:val="41D34206"/>
    <w:rsid w:val="41D71CA1"/>
    <w:rsid w:val="41EF2605"/>
    <w:rsid w:val="4233454F"/>
    <w:rsid w:val="42A77BCB"/>
    <w:rsid w:val="43527DA5"/>
    <w:rsid w:val="446454B9"/>
    <w:rsid w:val="45093CD4"/>
    <w:rsid w:val="450D310F"/>
    <w:rsid w:val="454D7023"/>
    <w:rsid w:val="463D1655"/>
    <w:rsid w:val="46C3614F"/>
    <w:rsid w:val="46F07AD6"/>
    <w:rsid w:val="47310891"/>
    <w:rsid w:val="47D9236D"/>
    <w:rsid w:val="48084421"/>
    <w:rsid w:val="48826C2D"/>
    <w:rsid w:val="489573EB"/>
    <w:rsid w:val="49CF100D"/>
    <w:rsid w:val="4A4B561A"/>
    <w:rsid w:val="4AB75DC3"/>
    <w:rsid w:val="4AF83480"/>
    <w:rsid w:val="4B85051F"/>
    <w:rsid w:val="4C806421"/>
    <w:rsid w:val="4CA0475B"/>
    <w:rsid w:val="4CA9593B"/>
    <w:rsid w:val="4CDF4A30"/>
    <w:rsid w:val="4D0E1A0D"/>
    <w:rsid w:val="4D450A84"/>
    <w:rsid w:val="4DFB11F6"/>
    <w:rsid w:val="4E774DAA"/>
    <w:rsid w:val="4EA5336C"/>
    <w:rsid w:val="4EF13B48"/>
    <w:rsid w:val="4F91743E"/>
    <w:rsid w:val="4FA155CE"/>
    <w:rsid w:val="4FB76013"/>
    <w:rsid w:val="4FDD0D75"/>
    <w:rsid w:val="504B2837"/>
    <w:rsid w:val="50B22EF2"/>
    <w:rsid w:val="50B71807"/>
    <w:rsid w:val="50EB36A6"/>
    <w:rsid w:val="527B24DD"/>
    <w:rsid w:val="52D80BEE"/>
    <w:rsid w:val="538928D5"/>
    <w:rsid w:val="546B6E19"/>
    <w:rsid w:val="548254F0"/>
    <w:rsid w:val="5485514F"/>
    <w:rsid w:val="548D558B"/>
    <w:rsid w:val="549A6C2B"/>
    <w:rsid w:val="54C36344"/>
    <w:rsid w:val="55082A65"/>
    <w:rsid w:val="55C53EA6"/>
    <w:rsid w:val="565B7FD3"/>
    <w:rsid w:val="57415259"/>
    <w:rsid w:val="57D3540E"/>
    <w:rsid w:val="57D4668D"/>
    <w:rsid w:val="57FF69B3"/>
    <w:rsid w:val="583A4E43"/>
    <w:rsid w:val="586A00CC"/>
    <w:rsid w:val="59016536"/>
    <w:rsid w:val="590C29FE"/>
    <w:rsid w:val="592C4D48"/>
    <w:rsid w:val="59382F53"/>
    <w:rsid w:val="59A537CB"/>
    <w:rsid w:val="59F26FCA"/>
    <w:rsid w:val="5A2B7E5E"/>
    <w:rsid w:val="5A972B5F"/>
    <w:rsid w:val="5AA07F40"/>
    <w:rsid w:val="5AE96B71"/>
    <w:rsid w:val="5B071AB3"/>
    <w:rsid w:val="5B650D9F"/>
    <w:rsid w:val="5B7C4A30"/>
    <w:rsid w:val="5B8A26BD"/>
    <w:rsid w:val="5BDE0537"/>
    <w:rsid w:val="5BED4D57"/>
    <w:rsid w:val="5D084F2E"/>
    <w:rsid w:val="5D0E6CE6"/>
    <w:rsid w:val="5D4D387D"/>
    <w:rsid w:val="5D6851F5"/>
    <w:rsid w:val="5D815B15"/>
    <w:rsid w:val="5E531B97"/>
    <w:rsid w:val="5F144DEA"/>
    <w:rsid w:val="5F7E3018"/>
    <w:rsid w:val="60445EFC"/>
    <w:rsid w:val="608632DF"/>
    <w:rsid w:val="60D43AFF"/>
    <w:rsid w:val="60F1388E"/>
    <w:rsid w:val="611A4C01"/>
    <w:rsid w:val="61A77079"/>
    <w:rsid w:val="62D6732E"/>
    <w:rsid w:val="638279B4"/>
    <w:rsid w:val="639C64A0"/>
    <w:rsid w:val="642372D3"/>
    <w:rsid w:val="64591E34"/>
    <w:rsid w:val="651708B8"/>
    <w:rsid w:val="65454382"/>
    <w:rsid w:val="655D7FBE"/>
    <w:rsid w:val="65FF1E91"/>
    <w:rsid w:val="670D6C1F"/>
    <w:rsid w:val="672F73EC"/>
    <w:rsid w:val="68222C62"/>
    <w:rsid w:val="68AA7D13"/>
    <w:rsid w:val="68BB4E93"/>
    <w:rsid w:val="693849D8"/>
    <w:rsid w:val="6ABD617F"/>
    <w:rsid w:val="6AC25622"/>
    <w:rsid w:val="6AEC3960"/>
    <w:rsid w:val="6B017E14"/>
    <w:rsid w:val="6B2B4D1D"/>
    <w:rsid w:val="6B57195A"/>
    <w:rsid w:val="6B803880"/>
    <w:rsid w:val="6B8320C0"/>
    <w:rsid w:val="6BD154CC"/>
    <w:rsid w:val="6BE37CDB"/>
    <w:rsid w:val="6CC92D08"/>
    <w:rsid w:val="6CC95FC4"/>
    <w:rsid w:val="6D290B6A"/>
    <w:rsid w:val="6E071562"/>
    <w:rsid w:val="6F083740"/>
    <w:rsid w:val="70904B27"/>
    <w:rsid w:val="70C31D6B"/>
    <w:rsid w:val="70F74CDB"/>
    <w:rsid w:val="71904B0C"/>
    <w:rsid w:val="71C73801"/>
    <w:rsid w:val="7233601F"/>
    <w:rsid w:val="72995877"/>
    <w:rsid w:val="729F6BAB"/>
    <w:rsid w:val="7360731E"/>
    <w:rsid w:val="74533F62"/>
    <w:rsid w:val="74891E24"/>
    <w:rsid w:val="74EB4BE3"/>
    <w:rsid w:val="76623327"/>
    <w:rsid w:val="76C667BC"/>
    <w:rsid w:val="775A1136"/>
    <w:rsid w:val="77646FC0"/>
    <w:rsid w:val="776F0CF3"/>
    <w:rsid w:val="77B64F72"/>
    <w:rsid w:val="78DB67FF"/>
    <w:rsid w:val="78E8101C"/>
    <w:rsid w:val="79FE79DA"/>
    <w:rsid w:val="7A735C17"/>
    <w:rsid w:val="7A887546"/>
    <w:rsid w:val="7AA71D7C"/>
    <w:rsid w:val="7AAC2FA6"/>
    <w:rsid w:val="7AAD5FEE"/>
    <w:rsid w:val="7BF9402F"/>
    <w:rsid w:val="7C765FB8"/>
    <w:rsid w:val="7CF255D2"/>
    <w:rsid w:val="7CF312BE"/>
    <w:rsid w:val="7D2F7577"/>
    <w:rsid w:val="7D9120E2"/>
    <w:rsid w:val="7DFBB16E"/>
    <w:rsid w:val="7E695E0F"/>
    <w:rsid w:val="7E910D86"/>
    <w:rsid w:val="7EF762E5"/>
    <w:rsid w:val="7EFF75B6"/>
    <w:rsid w:val="7FF97519"/>
    <w:rsid w:val="7FFE9751"/>
    <w:rsid w:val="E7EDC8DA"/>
    <w:rsid w:val="F7FF0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2"/>
    <w:qFormat/>
    <w:uiPriority w:val="0"/>
    <w:pPr>
      <w:keepNext/>
      <w:keepLines/>
      <w:spacing w:before="260" w:after="260" w:line="416" w:lineRule="auto"/>
      <w:outlineLvl w:val="2"/>
    </w:pPr>
    <w:rPr>
      <w:b/>
      <w:bCs/>
      <w:sz w:val="32"/>
      <w:szCs w:val="32"/>
    </w:rPr>
  </w:style>
  <w:style w:type="paragraph" w:styleId="6">
    <w:name w:val="heading 4"/>
    <w:basedOn w:val="1"/>
    <w:next w:val="1"/>
    <w:link w:val="17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4"/>
    <w:qFormat/>
    <w:uiPriority w:val="0"/>
    <w:pPr>
      <w:keepNext/>
      <w:keepLines/>
      <w:ind w:firstLine="200" w:firstLineChars="200"/>
      <w:outlineLvl w:val="5"/>
    </w:pPr>
    <w:rPr>
      <w:rFonts w:hAnsi="Arial"/>
    </w:rPr>
  </w:style>
  <w:style w:type="paragraph" w:styleId="10">
    <w:name w:val="heading 7"/>
    <w:basedOn w:val="1"/>
    <w:next w:val="1"/>
    <w:link w:val="2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7"/>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3"/>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3"/>
    <w:qFormat/>
    <w:uiPriority w:val="0"/>
    <w:pPr>
      <w:shd w:val="clear" w:color="auto" w:fill="000080"/>
    </w:pPr>
  </w:style>
  <w:style w:type="paragraph" w:styleId="16">
    <w:name w:val="annotation text"/>
    <w:basedOn w:val="1"/>
    <w:link w:val="288"/>
    <w:qFormat/>
    <w:uiPriority w:val="99"/>
    <w:pPr>
      <w:jc w:val="left"/>
    </w:pPr>
  </w:style>
  <w:style w:type="paragraph" w:styleId="17">
    <w:name w:val="Body Text 3"/>
    <w:basedOn w:val="1"/>
    <w:link w:val="307"/>
    <w:qFormat/>
    <w:uiPriority w:val="0"/>
    <w:pPr>
      <w:spacing w:after="120"/>
    </w:pPr>
    <w:rPr>
      <w:sz w:val="16"/>
      <w:szCs w:val="16"/>
    </w:rPr>
  </w:style>
  <w:style w:type="paragraph" w:styleId="18">
    <w:name w:val="Body Text Indent"/>
    <w:basedOn w:val="1"/>
    <w:link w:val="268"/>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6"/>
    <w:qFormat/>
    <w:uiPriority w:val="0"/>
    <w:pPr>
      <w:ind w:left="100" w:leftChars="2500"/>
    </w:pPr>
  </w:style>
  <w:style w:type="paragraph" w:styleId="26">
    <w:name w:val="Body Text Indent 2"/>
    <w:basedOn w:val="1"/>
    <w:link w:val="270"/>
    <w:qFormat/>
    <w:uiPriority w:val="0"/>
    <w:pPr>
      <w:widowControl/>
      <w:spacing w:line="480" w:lineRule="auto"/>
      <w:ind w:firstLine="560"/>
      <w:jc w:val="left"/>
    </w:pPr>
    <w:rPr>
      <w:kern w:val="0"/>
      <w:sz w:val="28"/>
    </w:rPr>
  </w:style>
  <w:style w:type="paragraph" w:styleId="27">
    <w:name w:val="endnote text"/>
    <w:basedOn w:val="1"/>
    <w:link w:val="180"/>
    <w:qFormat/>
    <w:uiPriority w:val="0"/>
    <w:pPr>
      <w:widowControl/>
      <w:snapToGrid w:val="0"/>
      <w:jc w:val="left"/>
    </w:pPr>
    <w:rPr>
      <w:rFonts w:ascii="Arial" w:hAnsi="Arial" w:cs="Arial"/>
      <w:kern w:val="0"/>
      <w:sz w:val="20"/>
      <w:lang w:eastAsia="en-US"/>
    </w:rPr>
  </w:style>
  <w:style w:type="paragraph" w:styleId="28">
    <w:name w:val="Balloon Text"/>
    <w:basedOn w:val="1"/>
    <w:link w:val="207"/>
    <w:qFormat/>
    <w:uiPriority w:val="0"/>
    <w:rPr>
      <w:sz w:val="18"/>
      <w:szCs w:val="18"/>
    </w:rPr>
  </w:style>
  <w:style w:type="paragraph" w:styleId="29">
    <w:name w:val="footer"/>
    <w:basedOn w:val="1"/>
    <w:link w:val="195"/>
    <w:qFormat/>
    <w:uiPriority w:val="0"/>
    <w:pPr>
      <w:tabs>
        <w:tab w:val="center" w:pos="4153"/>
        <w:tab w:val="right" w:pos="8306"/>
      </w:tabs>
      <w:snapToGrid w:val="0"/>
      <w:jc w:val="left"/>
    </w:pPr>
    <w:rPr>
      <w:sz w:val="18"/>
      <w:szCs w:val="18"/>
    </w:rPr>
  </w:style>
  <w:style w:type="paragraph" w:styleId="30">
    <w:name w:val="header"/>
    <w:basedOn w:val="1"/>
    <w:link w:val="23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qFormat/>
    <w:uiPriority w:val="0"/>
    <w:pPr>
      <w:widowControl/>
      <w:jc w:val="center"/>
    </w:pPr>
    <w:rPr>
      <w:kern w:val="0"/>
      <w:sz w:val="20"/>
      <w:u w:val="single"/>
      <w:lang w:eastAsia="en-US"/>
    </w:rPr>
  </w:style>
  <w:style w:type="paragraph" w:styleId="34">
    <w:name w:val="footnote text"/>
    <w:basedOn w:val="1"/>
    <w:link w:val="21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7"/>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3"/>
    <w:qFormat/>
    <w:uiPriority w:val="0"/>
    <w:rPr>
      <w:i/>
      <w:iCs/>
      <w:sz w:val="26"/>
    </w:rPr>
  </w:style>
  <w:style w:type="paragraph" w:styleId="40">
    <w:name w:val="HTML Preformatted"/>
    <w:basedOn w:val="1"/>
    <w:link w:val="16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0"/>
    <w:qFormat/>
    <w:uiPriority w:val="0"/>
    <w:pPr>
      <w:widowControl/>
      <w:jc w:val="center"/>
    </w:pPr>
    <w:rPr>
      <w:kern w:val="0"/>
      <w:sz w:val="20"/>
      <w:u w:val="single"/>
      <w:lang w:eastAsia="en-US"/>
    </w:rPr>
  </w:style>
  <w:style w:type="paragraph" w:styleId="44">
    <w:name w:val="annotation subject"/>
    <w:basedOn w:val="16"/>
    <w:next w:val="16"/>
    <w:link w:val="262"/>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7">
    <w:name w:val="_Style 101"/>
    <w:basedOn w:val="1"/>
    <w:qFormat/>
    <w:uiPriority w:val="99"/>
    <w:pPr>
      <w:ind w:firstLine="420" w:firstLineChars="200"/>
    </w:pPr>
    <w:rPr>
      <w:sz w:val="28"/>
      <w:szCs w:val="28"/>
    </w:rPr>
  </w:style>
  <w:style w:type="paragraph" w:customStyle="1" w:styleId="58">
    <w:name w:val="表格标题"/>
    <w:basedOn w:val="59"/>
    <w:qFormat/>
    <w:uiPriority w:val="0"/>
  </w:style>
  <w:style w:type="paragraph" w:customStyle="1" w:styleId="59">
    <w:name w:val="表格内容"/>
    <w:basedOn w:val="1"/>
    <w:qFormat/>
    <w:uiPriority w:val="0"/>
    <w:pPr>
      <w:suppressLineNumbers/>
      <w:suppressAutoHyphens/>
    </w:pPr>
  </w:style>
  <w:style w:type="paragraph" w:customStyle="1" w:styleId="6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1">
    <w:name w:val="修订1"/>
    <w:qFormat/>
    <w:uiPriority w:val="0"/>
    <w:rPr>
      <w:rFonts w:ascii="Times New Roman" w:hAnsi="Times New Roman" w:eastAsia="宋体" w:cs="Times New Roman"/>
      <w:kern w:val="2"/>
      <w:sz w:val="21"/>
      <w:szCs w:val="24"/>
      <w:lang w:val="en-US" w:eastAsia="zh-CN" w:bidi="ar-SA"/>
    </w:rPr>
  </w:style>
  <w:style w:type="paragraph" w:customStyle="1" w:styleId="6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3">
    <w:name w:val="标准样式1"/>
    <w:basedOn w:val="1"/>
    <w:qFormat/>
    <w:uiPriority w:val="0"/>
    <w:pPr>
      <w:spacing w:line="600" w:lineRule="exact"/>
      <w:ind w:firstLine="567"/>
    </w:pPr>
    <w:rPr>
      <w:rFonts w:ascii="Calibri" w:hAnsi="Calibri"/>
      <w:sz w:val="28"/>
    </w:rPr>
  </w:style>
  <w:style w:type="paragraph" w:customStyle="1" w:styleId="64">
    <w:name w:val="列出段落11"/>
    <w:basedOn w:val="1"/>
    <w:qFormat/>
    <w:uiPriority w:val="0"/>
    <w:pPr>
      <w:ind w:firstLine="420" w:firstLineChars="200"/>
    </w:pPr>
    <w:rPr>
      <w:sz w:val="28"/>
      <w:szCs w:val="28"/>
    </w:rPr>
  </w:style>
  <w:style w:type="paragraph" w:customStyle="1" w:styleId="6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6">
    <w:name w:val="WW-表格标题"/>
    <w:basedOn w:val="67"/>
    <w:qFormat/>
    <w:uiPriority w:val="0"/>
  </w:style>
  <w:style w:type="paragraph" w:customStyle="1" w:styleId="67">
    <w:name w:val="WW-表格内容"/>
    <w:basedOn w:val="1"/>
    <w:qFormat/>
    <w:uiPriority w:val="0"/>
    <w:pPr>
      <w:suppressLineNumbers/>
      <w:suppressAutoHyphens/>
    </w:pPr>
  </w:style>
  <w:style w:type="paragraph" w:customStyle="1" w:styleId="68">
    <w:name w:val="引用2"/>
    <w:basedOn w:val="1"/>
    <w:next w:val="1"/>
    <w:link w:val="299"/>
    <w:qFormat/>
    <w:uiPriority w:val="0"/>
    <w:rPr>
      <w:i/>
      <w:iCs/>
      <w:color w:val="000000"/>
    </w:rPr>
  </w:style>
  <w:style w:type="paragraph" w:customStyle="1" w:styleId="69">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w:basedOn w:val="15"/>
    <w:qFormat/>
    <w:uiPriority w:val="0"/>
    <w:pPr>
      <w:spacing w:line="360" w:lineRule="auto"/>
      <w:ind w:firstLine="200" w:firstLineChars="200"/>
    </w:pPr>
    <w:rPr>
      <w:rFonts w:ascii="Tahoma" w:hAnsi="Tahoma"/>
      <w:sz w:val="24"/>
    </w:rPr>
  </w:style>
  <w:style w:type="paragraph" w:customStyle="1" w:styleId="7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16"/>
    <w:basedOn w:val="1"/>
    <w:qFormat/>
    <w:uiPriority w:val="0"/>
    <w:pPr>
      <w:widowControl/>
    </w:pPr>
    <w:rPr>
      <w:rFonts w:ascii="Calibri" w:hAnsi="Calibri" w:cs="宋体"/>
      <w:kern w:val="0"/>
      <w:szCs w:val="21"/>
    </w:rPr>
  </w:style>
  <w:style w:type="paragraph" w:customStyle="1" w:styleId="75">
    <w:name w:val="列出段落1"/>
    <w:basedOn w:val="1"/>
    <w:qFormat/>
    <w:uiPriority w:val="0"/>
    <w:pPr>
      <w:ind w:firstLine="420" w:firstLineChars="200"/>
    </w:pPr>
    <w:rPr>
      <w:sz w:val="28"/>
      <w:szCs w:val="28"/>
    </w:rPr>
  </w:style>
  <w:style w:type="paragraph" w:customStyle="1" w:styleId="76">
    <w:name w:val="样式1"/>
    <w:basedOn w:val="1"/>
    <w:next w:val="6"/>
    <w:qFormat/>
    <w:uiPriority w:val="0"/>
    <w:pPr>
      <w:spacing w:line="360" w:lineRule="auto"/>
      <w:ind w:firstLine="420" w:firstLineChars="200"/>
    </w:pPr>
    <w:rPr>
      <w:rFonts w:ascii="宋体" w:hAnsi="宋体"/>
      <w:szCs w:val="21"/>
    </w:rPr>
  </w:style>
  <w:style w:type="paragraph" w:customStyle="1" w:styleId="7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8">
    <w:name w:val="Char9 Char Char Char Char Char Char"/>
    <w:basedOn w:val="15"/>
    <w:qFormat/>
    <w:uiPriority w:val="0"/>
    <w:pPr>
      <w:spacing w:line="360" w:lineRule="auto"/>
      <w:ind w:firstLine="200" w:firstLineChars="200"/>
    </w:pPr>
    <w:rPr>
      <w:rFonts w:ascii="Tahoma" w:hAnsi="Tahoma"/>
      <w:sz w:val="24"/>
    </w:rPr>
  </w:style>
  <w:style w:type="paragraph" w:customStyle="1" w:styleId="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0">
    <w:name w:val="引用1"/>
    <w:basedOn w:val="1"/>
    <w:next w:val="1"/>
    <w:link w:val="149"/>
    <w:qFormat/>
    <w:uiPriority w:val="29"/>
    <w:rPr>
      <w:i/>
      <w:iCs/>
      <w:color w:val="000000"/>
      <w:szCs w:val="20"/>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_Style 96"/>
    <w:semiHidden/>
    <w:qFormat/>
    <w:uiPriority w:val="99"/>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正  文"/>
    <w:basedOn w:val="1"/>
    <w:qFormat/>
    <w:uiPriority w:val="0"/>
    <w:pPr>
      <w:spacing w:line="360" w:lineRule="auto"/>
      <w:ind w:firstLine="200" w:firstLineChars="200"/>
    </w:pPr>
    <w:rPr>
      <w:rFonts w:ascii="宋体" w:hAnsi="Calibri"/>
      <w:sz w:val="24"/>
    </w:rPr>
  </w:style>
  <w:style w:type="paragraph" w:customStyle="1" w:styleId="86">
    <w:name w:val="标题4"/>
    <w:basedOn w:val="4"/>
    <w:next w:val="20"/>
    <w:link w:val="242"/>
    <w:qFormat/>
    <w:uiPriority w:val="0"/>
    <w:pPr>
      <w:spacing w:line="413" w:lineRule="auto"/>
    </w:pPr>
    <w:rPr>
      <w:rFonts w:ascii="Arial" w:hAnsi="Arial"/>
      <w:kern w:val="0"/>
      <w:sz w:val="24"/>
    </w:rPr>
  </w:style>
  <w:style w:type="paragraph" w:customStyle="1" w:styleId="8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1">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4">
    <w:name w:val="1 Char"/>
    <w:basedOn w:val="1"/>
    <w:qFormat/>
    <w:uiPriority w:val="0"/>
    <w:pPr>
      <w:widowControl/>
      <w:spacing w:after="160" w:line="240" w:lineRule="exact"/>
      <w:jc w:val="left"/>
    </w:pPr>
    <w:rPr>
      <w:rFonts w:ascii="Calibri" w:hAnsi="Calibri"/>
      <w:szCs w:val="20"/>
    </w:rPr>
  </w:style>
  <w:style w:type="paragraph" w:customStyle="1" w:styleId="9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pa-34"/>
    <w:basedOn w:val="1"/>
    <w:qFormat/>
    <w:uiPriority w:val="0"/>
    <w:pPr>
      <w:widowControl/>
      <w:spacing w:line="360" w:lineRule="atLeast"/>
      <w:ind w:firstLine="420"/>
      <w:jc w:val="left"/>
    </w:pPr>
    <w:rPr>
      <w:rFonts w:ascii="宋体" w:hAnsi="宋体" w:cs="宋体"/>
      <w:kern w:val="0"/>
      <w:sz w:val="24"/>
    </w:rPr>
  </w:style>
  <w:style w:type="paragraph" w:customStyle="1" w:styleId="9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p15"/>
    <w:basedOn w:val="1"/>
    <w:qFormat/>
    <w:uiPriority w:val="0"/>
    <w:pPr>
      <w:widowControl/>
      <w:spacing w:after="120"/>
    </w:pPr>
    <w:rPr>
      <w:kern w:val="0"/>
      <w:szCs w:val="21"/>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1">
    <w:name w:val="_Style 124"/>
    <w:basedOn w:val="1"/>
    <w:next w:val="1"/>
    <w:link w:val="196"/>
    <w:qFormat/>
    <w:uiPriority w:val="0"/>
    <w:rPr>
      <w:i/>
      <w:iCs/>
      <w:color w:val="000000"/>
      <w:szCs w:val="22"/>
    </w:rPr>
  </w:style>
  <w:style w:type="paragraph" w:customStyle="1" w:styleId="10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5">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pa-27"/>
    <w:basedOn w:val="1"/>
    <w:qFormat/>
    <w:uiPriority w:val="0"/>
    <w:pPr>
      <w:widowControl/>
      <w:spacing w:line="360" w:lineRule="atLeast"/>
      <w:ind w:firstLine="420"/>
    </w:pPr>
    <w:rPr>
      <w:rFonts w:ascii="宋体" w:hAnsi="宋体" w:cs="宋体"/>
      <w:kern w:val="0"/>
      <w:sz w:val="24"/>
    </w:rPr>
  </w:style>
  <w:style w:type="paragraph" w:customStyle="1" w:styleId="107">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明显引用1"/>
    <w:basedOn w:val="1"/>
    <w:next w:val="1"/>
    <w:link w:val="297"/>
    <w:qFormat/>
    <w:uiPriority w:val="30"/>
    <w:pPr>
      <w:pBdr>
        <w:bottom w:val="single" w:color="4F81BD" w:sz="4" w:space="4"/>
      </w:pBdr>
      <w:spacing w:before="200" w:after="280"/>
      <w:ind w:left="936" w:right="936"/>
    </w:pPr>
    <w:rPr>
      <w:b/>
      <w:bCs/>
      <w:i/>
      <w:iCs/>
      <w:color w:val="4F81BD"/>
      <w:szCs w:val="20"/>
    </w:rPr>
  </w:style>
  <w:style w:type="paragraph" w:customStyle="1" w:styleId="111">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2">
    <w:name w:val="TOC 标题2"/>
    <w:basedOn w:val="3"/>
    <w:next w:val="1"/>
    <w:unhideWhenUsed/>
    <w:qFormat/>
    <w:uiPriority w:val="0"/>
    <w:pPr>
      <w:outlineLvl w:val="9"/>
    </w:pPr>
    <w:rPr>
      <w:rFonts w:ascii="Calibri" w:hAnsi="Calibri"/>
    </w:rPr>
  </w:style>
  <w:style w:type="paragraph" w:customStyle="1" w:styleId="11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标题5"/>
    <w:basedOn w:val="5"/>
    <w:link w:val="164"/>
    <w:qFormat/>
    <w:uiPriority w:val="0"/>
    <w:pPr>
      <w:spacing w:line="413" w:lineRule="auto"/>
    </w:pPr>
    <w:rPr>
      <w:rFonts w:ascii="Arial" w:hAnsi="Arial"/>
      <w:kern w:val="0"/>
      <w:sz w:val="24"/>
    </w:rPr>
  </w:style>
  <w:style w:type="paragraph" w:customStyle="1" w:styleId="11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7">
    <w:name w:val="_Style 64"/>
    <w:basedOn w:val="1"/>
    <w:next w:val="1"/>
    <w:link w:val="296"/>
    <w:qFormat/>
    <w:uiPriority w:val="0"/>
    <w:pPr>
      <w:pBdr>
        <w:bottom w:val="single" w:color="4F81BD" w:sz="4" w:space="4"/>
      </w:pBdr>
      <w:spacing w:before="200" w:after="280"/>
      <w:ind w:left="936" w:right="936"/>
    </w:pPr>
    <w:rPr>
      <w:b/>
      <w:bCs/>
      <w:i/>
      <w:iCs/>
      <w:color w:val="4F81BD"/>
      <w:szCs w:val="22"/>
    </w:rPr>
  </w:style>
  <w:style w:type="paragraph" w:customStyle="1" w:styleId="118">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Char2"/>
    <w:basedOn w:val="1"/>
    <w:qFormat/>
    <w:uiPriority w:val="0"/>
    <w:rPr>
      <w:rFonts w:ascii="Calibri" w:hAnsi="Calibri"/>
    </w:rPr>
  </w:style>
  <w:style w:type="paragraph" w:customStyle="1" w:styleId="120">
    <w:name w:val="_Style 87"/>
    <w:basedOn w:val="1"/>
    <w:qFormat/>
    <w:uiPriority w:val="99"/>
    <w:pPr>
      <w:ind w:firstLine="420" w:firstLineChars="200"/>
    </w:pPr>
    <w:rPr>
      <w:rFonts w:ascii="Calibri" w:hAnsi="Calibri"/>
      <w:sz w:val="28"/>
      <w:szCs w:val="28"/>
    </w:rPr>
  </w:style>
  <w:style w:type="paragraph" w:customStyle="1" w:styleId="121">
    <w:name w:val="自定样式1"/>
    <w:basedOn w:val="1"/>
    <w:qFormat/>
    <w:uiPriority w:val="0"/>
    <w:pPr>
      <w:suppressAutoHyphens/>
      <w:jc w:val="center"/>
    </w:pPr>
    <w:rPr>
      <w:rFonts w:ascii="宋体" w:hAnsi="宋体"/>
      <w:color w:val="000000"/>
      <w:sz w:val="18"/>
    </w:rPr>
  </w:style>
  <w:style w:type="paragraph" w:customStyle="1" w:styleId="122">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qFormat/>
    <w:uiPriority w:val="0"/>
  </w:style>
  <w:style w:type="paragraph" w:customStyle="1" w:styleId="124">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7">
    <w:name w:val="表体"/>
    <w:basedOn w:val="1"/>
    <w:next w:val="1"/>
    <w:qFormat/>
    <w:uiPriority w:val="0"/>
    <w:pPr>
      <w:spacing w:line="0" w:lineRule="atLeast"/>
    </w:pPr>
    <w:rPr>
      <w:rFonts w:ascii="Calibri" w:hAnsi="Calibri"/>
      <w:b/>
      <w:snapToGrid w:val="0"/>
      <w:szCs w:val="20"/>
    </w:rPr>
  </w:style>
  <w:style w:type="paragraph" w:customStyle="1" w:styleId="12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0">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1">
    <w:name w:val="Char11"/>
    <w:basedOn w:val="1"/>
    <w:qFormat/>
    <w:uiPriority w:val="0"/>
  </w:style>
  <w:style w:type="paragraph" w:customStyle="1" w:styleId="132">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3">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4">
    <w:name w:val="_Style 86"/>
    <w:qFormat/>
    <w:uiPriority w:val="0"/>
    <w:rPr>
      <w:rFonts w:ascii="Times New Roman" w:hAnsi="Times New Roman" w:eastAsia="宋体" w:cs="Times New Roman"/>
      <w:kern w:val="2"/>
      <w:sz w:val="21"/>
      <w:szCs w:val="24"/>
      <w:lang w:val="en-US" w:eastAsia="zh-CN" w:bidi="ar-SA"/>
    </w:rPr>
  </w:style>
  <w:style w:type="paragraph" w:customStyle="1" w:styleId="135">
    <w:name w:val="Char1"/>
    <w:basedOn w:val="1"/>
    <w:qFormat/>
    <w:uiPriority w:val="0"/>
  </w:style>
  <w:style w:type="paragraph" w:customStyle="1" w:styleId="136">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1">
    <w:name w:val="正文文本 Char2"/>
    <w:qFormat/>
    <w:uiPriority w:val="99"/>
    <w:rPr>
      <w:kern w:val="2"/>
      <w:sz w:val="21"/>
      <w:szCs w:val="24"/>
    </w:rPr>
  </w:style>
  <w:style w:type="character" w:customStyle="1" w:styleId="142">
    <w:name w:val="尾注文本 Char1"/>
    <w:qFormat/>
    <w:uiPriority w:val="0"/>
    <w:rPr>
      <w:rFonts w:ascii="Arial" w:hAnsi="Arial" w:cs="Arial"/>
      <w:szCs w:val="24"/>
      <w:lang w:eastAsia="en-US"/>
    </w:rPr>
  </w:style>
  <w:style w:type="character" w:customStyle="1" w:styleId="143">
    <w:name w:val="脚注文本 Char"/>
    <w:qFormat/>
    <w:uiPriority w:val="0"/>
    <w:rPr>
      <w:rFonts w:ascii="Arial" w:hAnsi="Arial" w:eastAsia="宋体" w:cs="Arial"/>
      <w:sz w:val="18"/>
      <w:szCs w:val="18"/>
      <w:lang w:eastAsia="en-US"/>
    </w:rPr>
  </w:style>
  <w:style w:type="character" w:customStyle="1" w:styleId="144">
    <w:name w:val="Char Char17"/>
    <w:qFormat/>
    <w:uiPriority w:val="0"/>
    <w:rPr>
      <w:kern w:val="2"/>
      <w:sz w:val="26"/>
      <w:szCs w:val="24"/>
    </w:rPr>
  </w:style>
  <w:style w:type="character" w:customStyle="1" w:styleId="145">
    <w:name w:val="副标题 Char1"/>
    <w:qFormat/>
    <w:uiPriority w:val="0"/>
    <w:rPr>
      <w:szCs w:val="24"/>
      <w:u w:val="single"/>
      <w:lang w:eastAsia="en-US"/>
    </w:rPr>
  </w:style>
  <w:style w:type="character" w:customStyle="1" w:styleId="146">
    <w:name w:val="标题 Char1"/>
    <w:qFormat/>
    <w:uiPriority w:val="10"/>
    <w:rPr>
      <w:szCs w:val="24"/>
      <w:u w:val="single"/>
      <w:lang w:eastAsia="en-US"/>
    </w:rPr>
  </w:style>
  <w:style w:type="character" w:customStyle="1" w:styleId="147">
    <w:name w:val="Char Char24"/>
    <w:qFormat/>
    <w:uiPriority w:val="0"/>
    <w:rPr>
      <w:b/>
      <w:bCs/>
      <w:kern w:val="44"/>
      <w:sz w:val="44"/>
      <w:szCs w:val="44"/>
    </w:rPr>
  </w:style>
  <w:style w:type="character" w:customStyle="1" w:styleId="148">
    <w:name w:val="批注主题 Char"/>
    <w:qFormat/>
    <w:uiPriority w:val="0"/>
    <w:rPr>
      <w:rFonts w:ascii="宋体" w:hAnsi="宋体" w:eastAsia="宋体"/>
      <w:kern w:val="2"/>
      <w:sz w:val="24"/>
      <w:szCs w:val="28"/>
      <w:lang w:val="en-US" w:eastAsia="zh-CN" w:bidi="ar-SA"/>
    </w:rPr>
  </w:style>
  <w:style w:type="character" w:customStyle="1" w:styleId="149">
    <w:name w:val="引用 Char1"/>
    <w:link w:val="80"/>
    <w:qFormat/>
    <w:uiPriority w:val="29"/>
    <w:rPr>
      <w:i/>
      <w:iCs/>
      <w:color w:val="000000"/>
      <w:kern w:val="2"/>
      <w:sz w:val="21"/>
    </w:rPr>
  </w:style>
  <w:style w:type="character" w:customStyle="1" w:styleId="150">
    <w:name w:val="Char Char23"/>
    <w:qFormat/>
    <w:uiPriority w:val="0"/>
    <w:rPr>
      <w:rFonts w:ascii="Cambria" w:hAnsi="Cambria" w:eastAsia="宋体" w:cs="Times New Roman"/>
      <w:b/>
      <w:bCs/>
      <w:kern w:val="2"/>
      <w:sz w:val="32"/>
      <w:szCs w:val="32"/>
    </w:rPr>
  </w:style>
  <w:style w:type="character" w:customStyle="1" w:styleId="151">
    <w:name w:val="ITTHEADER2 Char"/>
    <w:qFormat/>
    <w:uiPriority w:val="0"/>
    <w:rPr>
      <w:rFonts w:ascii="仿宋_GB2312" w:eastAsia="仿宋_GB2312" w:cs="MingLiU"/>
      <w:b/>
      <w:spacing w:val="1"/>
      <w:w w:val="99"/>
      <w:sz w:val="28"/>
      <w:szCs w:val="32"/>
      <w:lang w:val="en-US" w:eastAsia="zh-CN" w:bidi="ar-SA"/>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正文文本 Char1"/>
    <w:qFormat/>
    <w:uiPriority w:val="0"/>
    <w:rPr>
      <w:kern w:val="2"/>
      <w:sz w:val="21"/>
      <w:szCs w:val="22"/>
    </w:rPr>
  </w:style>
  <w:style w:type="character" w:customStyle="1" w:styleId="154">
    <w:name w:val="引用 Char2"/>
    <w:qFormat/>
    <w:uiPriority w:val="99"/>
    <w:rPr>
      <w:i/>
      <w:iCs/>
      <w:color w:val="000000"/>
      <w:kern w:val="2"/>
      <w:sz w:val="21"/>
      <w:szCs w:val="24"/>
    </w:rPr>
  </w:style>
  <w:style w:type="character" w:customStyle="1" w:styleId="155">
    <w:name w:val="正文文本 Char3"/>
    <w:semiHidden/>
    <w:qFormat/>
    <w:uiPriority w:val="99"/>
    <w:rPr>
      <w:rFonts w:ascii="Calibri" w:hAnsi="Calibri" w:eastAsia="宋体" w:cs="Times New Roman"/>
      <w:szCs w:val="24"/>
    </w:rPr>
  </w:style>
  <w:style w:type="character" w:customStyle="1" w:styleId="156">
    <w:name w:val="日期 字符"/>
    <w:link w:val="25"/>
    <w:qFormat/>
    <w:uiPriority w:val="0"/>
    <w:rPr>
      <w:rFonts w:eastAsia="宋体"/>
      <w:kern w:val="2"/>
      <w:sz w:val="21"/>
      <w:szCs w:val="24"/>
      <w:lang w:val="en-US" w:eastAsia="zh-CN" w:bidi="ar-SA"/>
    </w:rPr>
  </w:style>
  <w:style w:type="character" w:customStyle="1" w:styleId="157">
    <w:name w:val="标题 2 Char"/>
    <w:qFormat/>
    <w:uiPriority w:val="0"/>
    <w:rPr>
      <w:rFonts w:ascii="仿宋_GB2312" w:hAnsi="Calibri" w:eastAsia="仿宋_GB2312" w:cs="Times New Roman"/>
      <w:b/>
      <w:spacing w:val="1"/>
      <w:w w:val="99"/>
      <w:kern w:val="0"/>
      <w:sz w:val="28"/>
      <w:szCs w:val="32"/>
    </w:rPr>
  </w:style>
  <w:style w:type="character" w:customStyle="1" w:styleId="158">
    <w:name w:val="标题 7 Char"/>
    <w:qFormat/>
    <w:uiPriority w:val="0"/>
    <w:rPr>
      <w:rFonts w:ascii="Calibri" w:hAnsi="Calibri" w:eastAsia="宋体" w:cs="Times New Roman"/>
      <w:b/>
      <w:bCs/>
      <w:sz w:val="24"/>
      <w:szCs w:val="24"/>
    </w:rPr>
  </w:style>
  <w:style w:type="character" w:customStyle="1" w:styleId="159">
    <w:name w:val="批注框文本 Char1"/>
    <w:qFormat/>
    <w:uiPriority w:val="0"/>
    <w:rPr>
      <w:kern w:val="2"/>
      <w:sz w:val="18"/>
      <w:szCs w:val="18"/>
    </w:rPr>
  </w:style>
  <w:style w:type="character" w:customStyle="1" w:styleId="160">
    <w:name w:val="日期 Char1"/>
    <w:qFormat/>
    <w:uiPriority w:val="0"/>
    <w:rPr>
      <w:kern w:val="2"/>
      <w:sz w:val="21"/>
      <w:szCs w:val="22"/>
    </w:rPr>
  </w:style>
  <w:style w:type="character" w:customStyle="1" w:styleId="161">
    <w:name w:val="_Style 171"/>
    <w:qFormat/>
    <w:uiPriority w:val="0"/>
    <w:rPr>
      <w:b/>
      <w:bCs/>
      <w:i/>
      <w:iCs/>
      <w:color w:val="4F81BD"/>
    </w:rPr>
  </w:style>
  <w:style w:type="character" w:customStyle="1" w:styleId="162">
    <w:name w:val="Char Char22"/>
    <w:qFormat/>
    <w:uiPriority w:val="0"/>
    <w:rPr>
      <w:b/>
      <w:bCs/>
      <w:kern w:val="2"/>
      <w:sz w:val="32"/>
      <w:szCs w:val="32"/>
    </w:rPr>
  </w:style>
  <w:style w:type="character" w:customStyle="1" w:styleId="163">
    <w:name w:val="标题 6 Char1"/>
    <w:qFormat/>
    <w:uiPriority w:val="0"/>
    <w:rPr>
      <w:rFonts w:ascii="Times New Roman" w:hAnsi="Arial" w:eastAsia="仿宋_GB2312" w:cs="Times New Roman"/>
      <w:sz w:val="30"/>
      <w:szCs w:val="20"/>
    </w:rPr>
  </w:style>
  <w:style w:type="character" w:customStyle="1" w:styleId="164">
    <w:name w:val="标题5 Char Char"/>
    <w:link w:val="115"/>
    <w:qFormat/>
    <w:uiPriority w:val="0"/>
    <w:rPr>
      <w:rFonts w:ascii="Arial" w:hAnsi="Arial"/>
      <w:b/>
      <w:bCs/>
      <w:sz w:val="24"/>
      <w:szCs w:val="32"/>
      <w:lang w:bidi="ar-SA"/>
    </w:rPr>
  </w:style>
  <w:style w:type="character" w:customStyle="1" w:styleId="165">
    <w:name w:val="正文文本缩进 Char1"/>
    <w:qFormat/>
    <w:uiPriority w:val="0"/>
    <w:rPr>
      <w:kern w:val="2"/>
      <w:sz w:val="21"/>
      <w:szCs w:val="24"/>
    </w:rPr>
  </w:style>
  <w:style w:type="character" w:customStyle="1" w:styleId="166">
    <w:name w:val="标题 4 Char1"/>
    <w:qFormat/>
    <w:uiPriority w:val="0"/>
    <w:rPr>
      <w:rFonts w:ascii="宋体" w:hAnsi="宋体" w:eastAsia="宋体" w:cs="宋体"/>
      <w:b/>
      <w:bCs/>
      <w:sz w:val="24"/>
      <w:szCs w:val="24"/>
    </w:rPr>
  </w:style>
  <w:style w:type="character" w:customStyle="1" w:styleId="167">
    <w:name w:val="尾注文本 Char"/>
    <w:qFormat/>
    <w:uiPriority w:val="0"/>
    <w:rPr>
      <w:kern w:val="2"/>
      <w:sz w:val="21"/>
      <w:szCs w:val="24"/>
    </w:rPr>
  </w:style>
  <w:style w:type="character" w:customStyle="1" w:styleId="168">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9">
    <w:name w:val="尾注文本 Char2"/>
    <w:semiHidden/>
    <w:qFormat/>
    <w:uiPriority w:val="99"/>
    <w:rPr>
      <w:rFonts w:ascii="Calibri" w:hAnsi="Calibri" w:eastAsia="宋体" w:cs="Times New Roman"/>
      <w:szCs w:val="24"/>
    </w:rPr>
  </w:style>
  <w:style w:type="character" w:customStyle="1" w:styleId="170">
    <w:name w:val="明显强调1"/>
    <w:qFormat/>
    <w:uiPriority w:val="0"/>
    <w:rPr>
      <w:b/>
      <w:bCs/>
      <w:i/>
      <w:iCs/>
      <w:color w:val="4F81BD"/>
    </w:rPr>
  </w:style>
  <w:style w:type="character" w:customStyle="1" w:styleId="171">
    <w:name w:val="正文文本 Char"/>
    <w:qFormat/>
    <w:uiPriority w:val="0"/>
    <w:rPr>
      <w:sz w:val="26"/>
      <w:szCs w:val="24"/>
    </w:rPr>
  </w:style>
  <w:style w:type="character" w:customStyle="1" w:styleId="172">
    <w:name w:val="脚注文本 Char2"/>
    <w:semiHidden/>
    <w:qFormat/>
    <w:uiPriority w:val="99"/>
    <w:rPr>
      <w:rFonts w:ascii="Calibri" w:hAnsi="Calibri" w:eastAsia="宋体" w:cs="Times New Roman"/>
      <w:sz w:val="18"/>
      <w:szCs w:val="18"/>
    </w:rPr>
  </w:style>
  <w:style w:type="character" w:customStyle="1" w:styleId="173">
    <w:name w:val="正文文本 2 Char1"/>
    <w:semiHidden/>
    <w:qFormat/>
    <w:uiPriority w:val="99"/>
    <w:rPr>
      <w:rFonts w:ascii="Calibri" w:hAnsi="Calibri" w:eastAsia="宋体" w:cs="Times New Roman"/>
      <w:szCs w:val="24"/>
    </w:rPr>
  </w:style>
  <w:style w:type="character" w:customStyle="1" w:styleId="174">
    <w:name w:val="_Style 248"/>
    <w:qFormat/>
    <w:uiPriority w:val="0"/>
    <w:rPr>
      <w:b/>
      <w:bCs/>
      <w:smallCaps/>
      <w:spacing w:val="5"/>
    </w:rPr>
  </w:style>
  <w:style w:type="character" w:customStyle="1" w:styleId="175">
    <w:name w:val="明显引用 Char3"/>
    <w:qFormat/>
    <w:uiPriority w:val="30"/>
    <w:rPr>
      <w:rFonts w:ascii="Calibri" w:hAnsi="Calibri" w:eastAsia="宋体" w:cs="Times New Roman"/>
      <w:b/>
      <w:bCs/>
      <w:i/>
      <w:iCs/>
      <w:color w:val="4F81BD"/>
      <w:szCs w:val="24"/>
    </w:rPr>
  </w:style>
  <w:style w:type="character" w:customStyle="1" w:styleId="176">
    <w:name w:val="_Style 254"/>
    <w:qFormat/>
    <w:uiPriority w:val="0"/>
    <w:rPr>
      <w:b/>
      <w:bCs/>
      <w:smallCaps/>
      <w:color w:val="C0504D"/>
      <w:spacing w:val="5"/>
      <w:u w:val="single"/>
    </w:rPr>
  </w:style>
  <w:style w:type="character" w:customStyle="1" w:styleId="177">
    <w:name w:val="正文文本缩进 Char2"/>
    <w:semiHidden/>
    <w:qFormat/>
    <w:uiPriority w:val="99"/>
    <w:rPr>
      <w:rFonts w:ascii="Calibri" w:hAnsi="Calibri" w:eastAsia="宋体" w:cs="Times New Roman"/>
      <w:szCs w:val="24"/>
    </w:rPr>
  </w:style>
  <w:style w:type="character" w:customStyle="1" w:styleId="178">
    <w:name w:val="标题 4 字符"/>
    <w:link w:val="6"/>
    <w:qFormat/>
    <w:uiPriority w:val="0"/>
    <w:rPr>
      <w:rFonts w:ascii="宋体" w:hAnsi="宋体" w:eastAsia="宋体" w:cs="宋体"/>
      <w:b/>
      <w:bCs/>
      <w:sz w:val="24"/>
      <w:szCs w:val="24"/>
      <w:lang w:val="en-US" w:eastAsia="zh-CN" w:bidi="ar-SA"/>
    </w:rPr>
  </w:style>
  <w:style w:type="character" w:customStyle="1" w:styleId="179">
    <w:name w:val="正文文本缩进 3 Char"/>
    <w:qFormat/>
    <w:uiPriority w:val="0"/>
    <w:rPr>
      <w:kern w:val="2"/>
      <w:sz w:val="16"/>
      <w:szCs w:val="16"/>
    </w:rPr>
  </w:style>
  <w:style w:type="character" w:customStyle="1" w:styleId="180">
    <w:name w:val="尾注文本 字符"/>
    <w:link w:val="27"/>
    <w:qFormat/>
    <w:uiPriority w:val="0"/>
    <w:rPr>
      <w:rFonts w:ascii="Arial" w:hAnsi="Arial" w:eastAsia="宋体" w:cs="Arial"/>
      <w:szCs w:val="24"/>
      <w:lang w:val="en-US" w:eastAsia="en-US" w:bidi="ar-SA"/>
    </w:rPr>
  </w:style>
  <w:style w:type="character" w:customStyle="1" w:styleId="181">
    <w:name w:val="引用 Char3"/>
    <w:qFormat/>
    <w:uiPriority w:val="29"/>
    <w:rPr>
      <w:rFonts w:ascii="Calibri" w:hAnsi="Calibri" w:eastAsia="宋体" w:cs="Times New Roman"/>
      <w:i/>
      <w:iCs/>
      <w:color w:val="000000"/>
      <w:szCs w:val="24"/>
    </w:rPr>
  </w:style>
  <w:style w:type="character" w:customStyle="1" w:styleId="182">
    <w:name w:val="Char Char32"/>
    <w:qFormat/>
    <w:uiPriority w:val="0"/>
    <w:rPr>
      <w:rFonts w:ascii="仿宋_GB2312" w:eastAsia="仿宋_GB2312" w:cs="MingLiU"/>
      <w:b/>
      <w:spacing w:val="1"/>
      <w:w w:val="99"/>
      <w:sz w:val="28"/>
      <w:szCs w:val="32"/>
    </w:rPr>
  </w:style>
  <w:style w:type="character" w:customStyle="1" w:styleId="183">
    <w:name w:val="日期 Char"/>
    <w:qFormat/>
    <w:uiPriority w:val="0"/>
    <w:rPr>
      <w:rFonts w:eastAsia="宋体"/>
      <w:szCs w:val="24"/>
    </w:rPr>
  </w:style>
  <w:style w:type="character" w:customStyle="1" w:styleId="184">
    <w:name w:val="页脚 Char"/>
    <w:qFormat/>
    <w:uiPriority w:val="0"/>
    <w:rPr>
      <w:sz w:val="18"/>
      <w:szCs w:val="18"/>
    </w:rPr>
  </w:style>
  <w:style w:type="character" w:customStyle="1" w:styleId="185">
    <w:name w:val="style121"/>
    <w:qFormat/>
    <w:uiPriority w:val="0"/>
    <w:rPr>
      <w:rFonts w:hint="eastAsia" w:ascii="宋体" w:hAnsi="宋体" w:eastAsia="宋体"/>
      <w:sz w:val="18"/>
      <w:szCs w:val="18"/>
    </w:rPr>
  </w:style>
  <w:style w:type="character" w:customStyle="1" w:styleId="186">
    <w:name w:val="ss16"/>
    <w:qFormat/>
    <w:uiPriority w:val="0"/>
    <w:rPr>
      <w:rFonts w:hint="eastAsia" w:ascii="宋体" w:hAnsi="宋体" w:eastAsia="宋体"/>
      <w:color w:val="000000"/>
      <w:sz w:val="9"/>
      <w:szCs w:val="9"/>
    </w:rPr>
  </w:style>
  <w:style w:type="character" w:customStyle="1" w:styleId="187">
    <w:name w:val="textcontents"/>
    <w:qFormat/>
    <w:uiPriority w:val="0"/>
    <w:rPr>
      <w:rFonts w:cs="Times New Roman"/>
    </w:rPr>
  </w:style>
  <w:style w:type="character" w:customStyle="1" w:styleId="188">
    <w:name w:val="14t1"/>
    <w:qFormat/>
    <w:uiPriority w:val="0"/>
    <w:rPr>
      <w:rFonts w:hint="eastAsia" w:ascii="宋体" w:hAnsi="宋体" w:eastAsia="宋体"/>
      <w:sz w:val="11"/>
      <w:szCs w:val="11"/>
    </w:rPr>
  </w:style>
  <w:style w:type="character" w:customStyle="1" w:styleId="189">
    <w:name w:val="不明显参考1"/>
    <w:qFormat/>
    <w:uiPriority w:val="0"/>
    <w:rPr>
      <w:smallCaps/>
      <w:color w:val="C0504D"/>
      <w:u w:val="single"/>
    </w:rPr>
  </w:style>
  <w:style w:type="character" w:customStyle="1" w:styleId="190">
    <w:name w:val="unnamed1"/>
    <w:basedOn w:val="47"/>
    <w:qFormat/>
    <w:uiPriority w:val="0"/>
  </w:style>
  <w:style w:type="character" w:customStyle="1" w:styleId="191">
    <w:name w:val="批注主题 Char3"/>
    <w:semiHidden/>
    <w:qFormat/>
    <w:uiPriority w:val="99"/>
    <w:rPr>
      <w:rFonts w:ascii="Calibri" w:hAnsi="Calibri" w:eastAsia="宋体" w:cs="Times New Roman"/>
      <w:b/>
      <w:bCs/>
      <w:szCs w:val="24"/>
    </w:rPr>
  </w:style>
  <w:style w:type="character" w:customStyle="1" w:styleId="192">
    <w:name w:val="标题 3 字符"/>
    <w:link w:val="5"/>
    <w:qFormat/>
    <w:uiPriority w:val="0"/>
    <w:rPr>
      <w:rFonts w:eastAsia="宋体"/>
      <w:b/>
      <w:bCs/>
      <w:kern w:val="2"/>
      <w:sz w:val="32"/>
      <w:szCs w:val="32"/>
      <w:lang w:val="en-US" w:eastAsia="zh-CN" w:bidi="ar-SA"/>
    </w:rPr>
  </w:style>
  <w:style w:type="character" w:customStyle="1" w:styleId="193">
    <w:name w:val="标题 2 字符"/>
    <w:link w:val="4"/>
    <w:qFormat/>
    <w:uiPriority w:val="0"/>
    <w:rPr>
      <w:rFonts w:ascii="Cambria" w:hAnsi="Cambria" w:eastAsia="宋体"/>
      <w:b/>
      <w:bCs/>
      <w:kern w:val="2"/>
      <w:sz w:val="32"/>
      <w:szCs w:val="32"/>
      <w:lang w:val="en-US" w:eastAsia="zh-CN" w:bidi="ar-SA"/>
    </w:rPr>
  </w:style>
  <w:style w:type="character" w:customStyle="1" w:styleId="194">
    <w:name w:val="标题 6 字符"/>
    <w:link w:val="8"/>
    <w:qFormat/>
    <w:uiPriority w:val="0"/>
    <w:rPr>
      <w:rFonts w:hAnsi="Arial" w:eastAsia="仿宋_GB2312"/>
      <w:sz w:val="30"/>
      <w:lang w:val="en-US" w:eastAsia="zh-CN" w:bidi="ar-SA"/>
    </w:rPr>
  </w:style>
  <w:style w:type="character" w:customStyle="1" w:styleId="195">
    <w:name w:val="页脚 字符"/>
    <w:link w:val="29"/>
    <w:qFormat/>
    <w:uiPriority w:val="0"/>
    <w:rPr>
      <w:rFonts w:eastAsia="宋体"/>
      <w:kern w:val="2"/>
      <w:sz w:val="18"/>
      <w:szCs w:val="18"/>
      <w:lang w:val="en-US" w:eastAsia="zh-CN" w:bidi="ar-SA"/>
    </w:rPr>
  </w:style>
  <w:style w:type="character" w:customStyle="1" w:styleId="196">
    <w:name w:val="引用 Char4"/>
    <w:link w:val="101"/>
    <w:qFormat/>
    <w:uiPriority w:val="0"/>
    <w:rPr>
      <w:i/>
      <w:iCs/>
      <w:color w:val="000000"/>
      <w:kern w:val="2"/>
      <w:sz w:val="21"/>
      <w:szCs w:val="22"/>
      <w:lang w:bidi="ar-SA"/>
    </w:rPr>
  </w:style>
  <w:style w:type="character" w:customStyle="1" w:styleId="197">
    <w:name w:val="标题 9 字符"/>
    <w:link w:val="12"/>
    <w:qFormat/>
    <w:uiPriority w:val="0"/>
    <w:rPr>
      <w:rFonts w:eastAsia="仿宋_GB2312"/>
      <w:sz w:val="30"/>
      <w:lang w:val="en-US" w:eastAsia="zh-CN" w:bidi="ar-SA"/>
    </w:rPr>
  </w:style>
  <w:style w:type="character" w:customStyle="1" w:styleId="198">
    <w:name w:val="标题 3 Char"/>
    <w:qFormat/>
    <w:uiPriority w:val="0"/>
    <w:rPr>
      <w:rFonts w:ascii="仿宋_GB2312" w:hAnsi="Calibri" w:eastAsia="仿宋_GB2312" w:cs="Times New Roman"/>
      <w:b/>
      <w:kern w:val="0"/>
      <w:sz w:val="24"/>
      <w:szCs w:val="28"/>
    </w:rPr>
  </w:style>
  <w:style w:type="character" w:customStyle="1" w:styleId="199">
    <w:name w:val="批注文字 Char2"/>
    <w:qFormat/>
    <w:uiPriority w:val="0"/>
    <w:rPr>
      <w:rFonts w:ascii="Calibri" w:hAnsi="Calibri" w:eastAsia="宋体" w:cs="Times New Roman"/>
      <w:szCs w:val="24"/>
    </w:rPr>
  </w:style>
  <w:style w:type="character" w:customStyle="1" w:styleId="200">
    <w:name w:val="normaltext1"/>
    <w:qFormat/>
    <w:uiPriority w:val="0"/>
    <w:rPr>
      <w:rFonts w:hint="default" w:ascii="ˎ̥" w:hAnsi="ˎ̥"/>
      <w:sz w:val="9"/>
      <w:szCs w:val="9"/>
    </w:rPr>
  </w:style>
  <w:style w:type="character" w:customStyle="1" w:styleId="201">
    <w:name w:val="ca-141"/>
    <w:qFormat/>
    <w:uiPriority w:val="0"/>
    <w:rPr>
      <w:rFonts w:hint="eastAsia" w:ascii="仿宋_GB2312" w:eastAsia="仿宋_GB2312"/>
      <w:sz w:val="21"/>
      <w:szCs w:val="21"/>
    </w:rPr>
  </w:style>
  <w:style w:type="character" w:customStyle="1" w:styleId="202">
    <w:name w:val="main_tdbg_7601"/>
    <w:qFormat/>
    <w:uiPriority w:val="0"/>
    <w:rPr>
      <w:sz w:val="14"/>
      <w:szCs w:val="14"/>
    </w:rPr>
  </w:style>
  <w:style w:type="character" w:customStyle="1" w:styleId="203">
    <w:name w:val="文档结构图 字符"/>
    <w:link w:val="15"/>
    <w:qFormat/>
    <w:uiPriority w:val="0"/>
    <w:rPr>
      <w:rFonts w:eastAsia="宋体"/>
      <w:kern w:val="2"/>
      <w:sz w:val="21"/>
      <w:szCs w:val="24"/>
      <w:lang w:val="en-US" w:eastAsia="zh-CN" w:bidi="ar-SA"/>
    </w:rPr>
  </w:style>
  <w:style w:type="character" w:customStyle="1" w:styleId="204">
    <w:name w:val="批注框文本 Char3"/>
    <w:semiHidden/>
    <w:qFormat/>
    <w:uiPriority w:val="99"/>
    <w:rPr>
      <w:rFonts w:ascii="Calibri" w:hAnsi="Calibri" w:eastAsia="宋体" w:cs="Times New Roman"/>
      <w:sz w:val="18"/>
      <w:szCs w:val="18"/>
    </w:rPr>
  </w:style>
  <w:style w:type="character" w:customStyle="1" w:styleId="205">
    <w:name w:val="Char Char9"/>
    <w:qFormat/>
    <w:locked/>
    <w:uiPriority w:val="0"/>
    <w:rPr>
      <w:rFonts w:ascii="仿宋_GB2312" w:eastAsia="仿宋_GB2312" w:cs="MingLiU"/>
      <w:b/>
      <w:sz w:val="24"/>
      <w:szCs w:val="28"/>
      <w:lang w:val="en-US" w:eastAsia="zh-CN" w:bidi="ar-SA"/>
    </w:rPr>
  </w:style>
  <w:style w:type="character" w:customStyle="1" w:styleId="206">
    <w:name w:val="title11"/>
    <w:qFormat/>
    <w:uiPriority w:val="0"/>
    <w:rPr>
      <w:b/>
      <w:bCs/>
      <w:color w:val="FFFFFF"/>
      <w:sz w:val="11"/>
      <w:szCs w:val="11"/>
    </w:rPr>
  </w:style>
  <w:style w:type="character" w:customStyle="1" w:styleId="207">
    <w:name w:val="批注框文本 字符"/>
    <w:link w:val="28"/>
    <w:qFormat/>
    <w:uiPriority w:val="0"/>
    <w:rPr>
      <w:rFonts w:eastAsia="宋体"/>
      <w:kern w:val="2"/>
      <w:sz w:val="18"/>
      <w:szCs w:val="18"/>
      <w:lang w:val="en-US" w:eastAsia="zh-CN" w:bidi="ar-SA"/>
    </w:rPr>
  </w:style>
  <w:style w:type="character" w:customStyle="1" w:styleId="208">
    <w:name w:val="标题 8 Char1"/>
    <w:qFormat/>
    <w:uiPriority w:val="0"/>
    <w:rPr>
      <w:rFonts w:ascii="Times New Roman" w:hAnsi="Arial" w:eastAsia="仿宋_GB2312" w:cs="Times New Roman"/>
      <w:sz w:val="30"/>
      <w:szCs w:val="20"/>
    </w:rPr>
  </w:style>
  <w:style w:type="character" w:customStyle="1" w:styleId="209">
    <w:name w:val="标题 Char2"/>
    <w:qFormat/>
    <w:uiPriority w:val="10"/>
    <w:rPr>
      <w:rFonts w:ascii="Cambria" w:hAnsi="Cambria" w:eastAsia="宋体" w:cs="Times New Roman"/>
      <w:b/>
      <w:bCs/>
      <w:sz w:val="32"/>
      <w:szCs w:val="32"/>
    </w:rPr>
  </w:style>
  <w:style w:type="character" w:customStyle="1" w:styleId="210">
    <w:name w:val="标题 字符"/>
    <w:link w:val="43"/>
    <w:qFormat/>
    <w:uiPriority w:val="0"/>
    <w:rPr>
      <w:rFonts w:eastAsia="宋体"/>
      <w:szCs w:val="24"/>
      <w:u w:val="single"/>
      <w:lang w:val="en-US" w:eastAsia="en-US" w:bidi="ar-SA"/>
    </w:rPr>
  </w:style>
  <w:style w:type="character" w:customStyle="1" w:styleId="211">
    <w:name w:val="批注主题 Char1"/>
    <w:qFormat/>
    <w:uiPriority w:val="0"/>
    <w:rPr>
      <w:b/>
      <w:bCs/>
      <w:kern w:val="2"/>
      <w:sz w:val="21"/>
      <w:szCs w:val="22"/>
    </w:rPr>
  </w:style>
  <w:style w:type="character" w:customStyle="1" w:styleId="212">
    <w:name w:val="副标题 Char"/>
    <w:qFormat/>
    <w:uiPriority w:val="0"/>
    <w:rPr>
      <w:rFonts w:ascii="Cambria" w:hAnsi="Cambria" w:eastAsia="宋体" w:cs="Times New Roman"/>
      <w:b/>
      <w:bCs/>
      <w:kern w:val="28"/>
      <w:sz w:val="32"/>
      <w:szCs w:val="32"/>
    </w:rPr>
  </w:style>
  <w:style w:type="character" w:customStyle="1" w:styleId="213">
    <w:name w:val="正文文本 字符"/>
    <w:link w:val="2"/>
    <w:qFormat/>
    <w:uiPriority w:val="0"/>
    <w:rPr>
      <w:rFonts w:eastAsia="宋体"/>
      <w:kern w:val="2"/>
      <w:sz w:val="21"/>
      <w:szCs w:val="24"/>
      <w:lang w:val="en-US" w:eastAsia="zh-CN" w:bidi="ar-SA"/>
    </w:rPr>
  </w:style>
  <w:style w:type="character" w:customStyle="1" w:styleId="214">
    <w:name w:val="纯文本 Char1"/>
    <w:qFormat/>
    <w:uiPriority w:val="0"/>
    <w:rPr>
      <w:rFonts w:ascii="宋体" w:hAnsi="Courier New" w:cs="Courier New"/>
      <w:kern w:val="2"/>
      <w:sz w:val="21"/>
      <w:szCs w:val="21"/>
    </w:rPr>
  </w:style>
  <w:style w:type="character" w:customStyle="1" w:styleId="215">
    <w:name w:val="脚注文本 字符"/>
    <w:link w:val="34"/>
    <w:qFormat/>
    <w:uiPriority w:val="0"/>
    <w:rPr>
      <w:rFonts w:ascii="Arial" w:hAnsi="Arial" w:eastAsia="宋体" w:cs="Arial"/>
      <w:sz w:val="18"/>
      <w:szCs w:val="18"/>
      <w:lang w:val="en-US" w:eastAsia="en-US" w:bidi="ar-SA"/>
    </w:rPr>
  </w:style>
  <w:style w:type="character" w:customStyle="1" w:styleId="216">
    <w:name w:val="标题 2 Char1"/>
    <w:qFormat/>
    <w:uiPriority w:val="0"/>
    <w:rPr>
      <w:rFonts w:ascii="Cambria" w:hAnsi="Cambria" w:eastAsia="宋体" w:cs="Times New Roman"/>
      <w:b/>
      <w:bCs/>
      <w:kern w:val="2"/>
      <w:sz w:val="32"/>
      <w:szCs w:val="32"/>
    </w:rPr>
  </w:style>
  <w:style w:type="character" w:customStyle="1" w:styleId="217">
    <w:name w:val="脚注文本 Char1"/>
    <w:qFormat/>
    <w:uiPriority w:val="0"/>
    <w:rPr>
      <w:rFonts w:ascii="Arial" w:hAnsi="Arial" w:cs="Arial"/>
      <w:sz w:val="18"/>
      <w:szCs w:val="18"/>
      <w:lang w:eastAsia="en-US"/>
    </w:rPr>
  </w:style>
  <w:style w:type="character" w:customStyle="1" w:styleId="218">
    <w:name w:val="HTML 预设格式 Char2"/>
    <w:semiHidden/>
    <w:qFormat/>
    <w:uiPriority w:val="99"/>
    <w:rPr>
      <w:rFonts w:ascii="Courier New" w:hAnsi="Courier New" w:eastAsia="宋体" w:cs="Courier New"/>
      <w:sz w:val="20"/>
      <w:szCs w:val="20"/>
    </w:rPr>
  </w:style>
  <w:style w:type="character" w:customStyle="1" w:styleId="219">
    <w:name w:val="标题 8 Char"/>
    <w:qFormat/>
    <w:uiPriority w:val="0"/>
    <w:rPr>
      <w:rFonts w:ascii="Arial" w:hAnsi="Arial" w:eastAsia="黑体" w:cs="Times New Roman"/>
      <w:sz w:val="24"/>
      <w:szCs w:val="24"/>
    </w:rPr>
  </w:style>
  <w:style w:type="character" w:customStyle="1" w:styleId="220">
    <w:name w:val="s3"/>
    <w:qFormat/>
    <w:uiPriority w:val="0"/>
  </w:style>
  <w:style w:type="character" w:customStyle="1" w:styleId="221">
    <w:name w:val="标题 4 Char"/>
    <w:qFormat/>
    <w:uiPriority w:val="0"/>
    <w:rPr>
      <w:rFonts w:ascii="仿宋_GB2312" w:hAnsi="Calibri" w:eastAsia="仿宋_GB2312" w:cs="Times New Roman"/>
      <w:b/>
      <w:kern w:val="0"/>
      <w:sz w:val="24"/>
      <w:szCs w:val="28"/>
    </w:rPr>
  </w:style>
  <w:style w:type="character" w:customStyle="1" w:styleId="222">
    <w:name w:val="正文文本缩进 2 Char"/>
    <w:qFormat/>
    <w:uiPriority w:val="0"/>
    <w:rPr>
      <w:kern w:val="2"/>
      <w:sz w:val="21"/>
      <w:szCs w:val="24"/>
    </w:rPr>
  </w:style>
  <w:style w:type="character" w:customStyle="1" w:styleId="223">
    <w:name w:val="style21"/>
    <w:qFormat/>
    <w:uiPriority w:val="0"/>
    <w:rPr>
      <w:b/>
      <w:bCs/>
      <w:sz w:val="28"/>
      <w:szCs w:val="28"/>
    </w:rPr>
  </w:style>
  <w:style w:type="character" w:customStyle="1" w:styleId="224">
    <w:name w:val="正文文本缩进 2 Char2"/>
    <w:semiHidden/>
    <w:qFormat/>
    <w:uiPriority w:val="99"/>
    <w:rPr>
      <w:rFonts w:ascii="Calibri" w:hAnsi="Calibri" w:eastAsia="宋体" w:cs="Times New Roman"/>
      <w:szCs w:val="24"/>
    </w:rPr>
  </w:style>
  <w:style w:type="character" w:customStyle="1" w:styleId="225">
    <w:name w:val="ht1"/>
    <w:qFormat/>
    <w:uiPriority w:val="0"/>
    <w:rPr>
      <w:rFonts w:ascii="黑体" w:eastAsia="黑体"/>
      <w:b/>
      <w:bCs/>
    </w:rPr>
  </w:style>
  <w:style w:type="character" w:customStyle="1" w:styleId="226">
    <w:name w:val="文档结构图 Char3"/>
    <w:semiHidden/>
    <w:qFormat/>
    <w:uiPriority w:val="99"/>
    <w:rPr>
      <w:rFonts w:ascii="宋体" w:hAnsi="Calibri" w:eastAsia="宋体" w:cs="Times New Roman"/>
      <w:sz w:val="18"/>
      <w:szCs w:val="18"/>
    </w:rPr>
  </w:style>
  <w:style w:type="character" w:customStyle="1" w:styleId="227">
    <w:name w:val="书籍标题1"/>
    <w:qFormat/>
    <w:uiPriority w:val="0"/>
    <w:rPr>
      <w:b/>
      <w:bCs/>
      <w:smallCaps/>
      <w:spacing w:val="5"/>
    </w:rPr>
  </w:style>
  <w:style w:type="character" w:customStyle="1" w:styleId="228">
    <w:name w:val="标题 7 Char1"/>
    <w:qFormat/>
    <w:uiPriority w:val="0"/>
    <w:rPr>
      <w:rFonts w:ascii="Times New Roman" w:hAnsi="Times New Roman" w:eastAsia="仿宋_GB2312" w:cs="Times New Roman"/>
      <w:sz w:val="30"/>
      <w:szCs w:val="20"/>
    </w:rPr>
  </w:style>
  <w:style w:type="character" w:customStyle="1" w:styleId="229">
    <w:name w:val="明显引用 Char2"/>
    <w:qFormat/>
    <w:uiPriority w:val="99"/>
    <w:rPr>
      <w:b/>
      <w:bCs/>
      <w:i/>
      <w:iCs/>
      <w:color w:val="4F81BD"/>
      <w:kern w:val="2"/>
      <w:sz w:val="21"/>
      <w:szCs w:val="24"/>
    </w:rPr>
  </w:style>
  <w:style w:type="character" w:customStyle="1" w:styleId="230">
    <w:name w:val="不明显强调1"/>
    <w:qFormat/>
    <w:uiPriority w:val="0"/>
    <w:rPr>
      <w:i/>
      <w:iCs/>
      <w:color w:val="808080"/>
    </w:rPr>
  </w:style>
  <w:style w:type="character" w:customStyle="1" w:styleId="231">
    <w:name w:val="普通文字 Char Char2"/>
    <w:qFormat/>
    <w:uiPriority w:val="0"/>
    <w:rPr>
      <w:rFonts w:ascii="宋体" w:hAnsi="Courier New"/>
      <w:kern w:val="2"/>
      <w:sz w:val="28"/>
      <w:szCs w:val="28"/>
    </w:rPr>
  </w:style>
  <w:style w:type="character" w:customStyle="1" w:styleId="232">
    <w:name w:val="标题 6 Char"/>
    <w:qFormat/>
    <w:uiPriority w:val="0"/>
    <w:rPr>
      <w:rFonts w:ascii="Arial" w:hAnsi="Arial" w:eastAsia="黑体" w:cs="Times New Roman"/>
      <w:b/>
      <w:bCs/>
      <w:sz w:val="24"/>
      <w:szCs w:val="24"/>
    </w:rPr>
  </w:style>
  <w:style w:type="character" w:customStyle="1" w:styleId="233">
    <w:name w:val="l1"/>
    <w:basedOn w:val="47"/>
    <w:qFormat/>
    <w:uiPriority w:val="0"/>
  </w:style>
  <w:style w:type="character" w:customStyle="1" w:styleId="234">
    <w:name w:val="未处理的提及1"/>
    <w:unhideWhenUsed/>
    <w:qFormat/>
    <w:uiPriority w:val="99"/>
    <w:rPr>
      <w:color w:val="808080"/>
      <w:shd w:val="clear" w:color="auto" w:fill="E6E6E6"/>
    </w:rPr>
  </w:style>
  <w:style w:type="character" w:customStyle="1" w:styleId="235">
    <w:name w:val="页眉 字符"/>
    <w:link w:val="30"/>
    <w:qFormat/>
    <w:uiPriority w:val="0"/>
    <w:rPr>
      <w:rFonts w:eastAsia="宋体"/>
      <w:kern w:val="2"/>
      <w:sz w:val="18"/>
      <w:szCs w:val="18"/>
      <w:lang w:val="en-US" w:eastAsia="zh-CN" w:bidi="ar-SA"/>
    </w:rPr>
  </w:style>
  <w:style w:type="character" w:customStyle="1" w:styleId="236">
    <w:name w:val="Char Char35"/>
    <w:qFormat/>
    <w:uiPriority w:val="0"/>
    <w:rPr>
      <w:rFonts w:ascii="仿宋_GB2312" w:eastAsia="仿宋_GB2312" w:cs="MingLiU"/>
      <w:b/>
      <w:sz w:val="24"/>
      <w:szCs w:val="28"/>
    </w:rPr>
  </w:style>
  <w:style w:type="character" w:customStyle="1" w:styleId="237">
    <w:name w:val="Char Char11"/>
    <w:qFormat/>
    <w:locked/>
    <w:uiPriority w:val="0"/>
    <w:rPr>
      <w:rFonts w:eastAsia="黑体"/>
      <w:kern w:val="2"/>
      <w:sz w:val="44"/>
      <w:szCs w:val="44"/>
      <w:lang w:val="en-US" w:eastAsia="zh-CN" w:bidi="ar-SA"/>
    </w:rPr>
  </w:style>
  <w:style w:type="character" w:customStyle="1" w:styleId="238">
    <w:name w:val="style31"/>
    <w:qFormat/>
    <w:uiPriority w:val="0"/>
    <w:rPr>
      <w:sz w:val="10"/>
      <w:szCs w:val="10"/>
    </w:rPr>
  </w:style>
  <w:style w:type="character" w:customStyle="1" w:styleId="239">
    <w:name w:val="0d1471"/>
    <w:qFormat/>
    <w:uiPriority w:val="0"/>
    <w:rPr>
      <w:color w:val="000000"/>
      <w:sz w:val="11"/>
      <w:szCs w:val="11"/>
      <w:u w:val="none"/>
    </w:rPr>
  </w:style>
  <w:style w:type="character" w:customStyle="1" w:styleId="240">
    <w:name w:val="标题 9 Char"/>
    <w:qFormat/>
    <w:uiPriority w:val="0"/>
    <w:rPr>
      <w:rFonts w:ascii="Arial" w:hAnsi="Arial" w:eastAsia="黑体" w:cs="Times New Roman"/>
      <w:szCs w:val="21"/>
    </w:rPr>
  </w:style>
  <w:style w:type="character" w:customStyle="1" w:styleId="241">
    <w:name w:val="标题 3 Char1"/>
    <w:qFormat/>
    <w:uiPriority w:val="0"/>
    <w:rPr>
      <w:rFonts w:ascii="Times New Roman" w:hAnsi="Times New Roman" w:eastAsia="宋体" w:cs="Times New Roman"/>
      <w:b/>
      <w:bCs/>
      <w:kern w:val="2"/>
      <w:sz w:val="32"/>
      <w:szCs w:val="32"/>
    </w:rPr>
  </w:style>
  <w:style w:type="character" w:customStyle="1" w:styleId="242">
    <w:name w:val="标题4 Char Char"/>
    <w:link w:val="86"/>
    <w:qFormat/>
    <w:uiPriority w:val="0"/>
    <w:rPr>
      <w:rFonts w:ascii="Arial" w:hAnsi="Arial"/>
      <w:b/>
      <w:bCs/>
      <w:sz w:val="24"/>
      <w:szCs w:val="32"/>
      <w:lang w:bidi="ar-SA"/>
    </w:rPr>
  </w:style>
  <w:style w:type="character" w:customStyle="1" w:styleId="243">
    <w:name w:val="标题 5 Char1"/>
    <w:qFormat/>
    <w:uiPriority w:val="0"/>
    <w:rPr>
      <w:rFonts w:ascii="宋体" w:hAnsi="宋体" w:eastAsia="宋体" w:cs="宋体"/>
      <w:b/>
      <w:bCs/>
      <w:sz w:val="20"/>
      <w:szCs w:val="20"/>
    </w:rPr>
  </w:style>
  <w:style w:type="character" w:customStyle="1" w:styleId="244">
    <w:name w:val="正文文本缩进 3 Char1"/>
    <w:qFormat/>
    <w:uiPriority w:val="0"/>
    <w:rPr>
      <w:rFonts w:ascii="宋体" w:hAnsi="宋体"/>
      <w:kern w:val="2"/>
      <w:sz w:val="28"/>
      <w:szCs w:val="28"/>
    </w:rPr>
  </w:style>
  <w:style w:type="character" w:customStyle="1" w:styleId="245">
    <w:name w:val="Char Char33"/>
    <w:qFormat/>
    <w:uiPriority w:val="0"/>
    <w:rPr>
      <w:rFonts w:ascii="仿宋_GB2312" w:eastAsia="仿宋_GB2312" w:cs="MingLiU"/>
      <w:b/>
      <w:sz w:val="24"/>
      <w:szCs w:val="28"/>
    </w:rPr>
  </w:style>
  <w:style w:type="character" w:customStyle="1" w:styleId="246">
    <w:name w:val="批注文字 Char1"/>
    <w:qFormat/>
    <w:uiPriority w:val="99"/>
    <w:rPr>
      <w:rFonts w:ascii="Times New Roman" w:hAnsi="Times New Roman" w:eastAsia="宋体" w:cs="Times New Roman"/>
      <w:szCs w:val="24"/>
    </w:rPr>
  </w:style>
  <w:style w:type="character" w:customStyle="1" w:styleId="247">
    <w:name w:val="正文文本 3 Char1"/>
    <w:qFormat/>
    <w:uiPriority w:val="0"/>
    <w:rPr>
      <w:kern w:val="2"/>
      <w:sz w:val="16"/>
      <w:szCs w:val="16"/>
    </w:rPr>
  </w:style>
  <w:style w:type="character" w:customStyle="1" w:styleId="248">
    <w:name w:val="页眉 Char"/>
    <w:qFormat/>
    <w:uiPriority w:val="0"/>
    <w:rPr>
      <w:sz w:val="18"/>
      <w:szCs w:val="18"/>
    </w:rPr>
  </w:style>
  <w:style w:type="character" w:customStyle="1" w:styleId="249">
    <w:name w:val="明显引用 Char"/>
    <w:qFormat/>
    <w:uiPriority w:val="0"/>
    <w:rPr>
      <w:rFonts w:ascii="Times New Roman" w:hAnsi="Times New Roman" w:eastAsia="宋体" w:cs="Times New Roman"/>
      <w:b/>
      <w:bCs/>
      <w:i/>
      <w:iCs/>
      <w:color w:val="4F81BD"/>
      <w:kern w:val="2"/>
      <w:sz w:val="21"/>
      <w:szCs w:val="24"/>
    </w:rPr>
  </w:style>
  <w:style w:type="character" w:customStyle="1" w:styleId="250">
    <w:name w:val="color_red1"/>
    <w:qFormat/>
    <w:uiPriority w:val="0"/>
    <w:rPr>
      <w:color w:val="FA0004"/>
    </w:rPr>
  </w:style>
  <w:style w:type="character" w:customStyle="1" w:styleId="251">
    <w:name w:val="批注主题 Char2"/>
    <w:qFormat/>
    <w:uiPriority w:val="99"/>
    <w:rPr>
      <w:b/>
      <w:bCs/>
      <w:kern w:val="2"/>
      <w:sz w:val="21"/>
      <w:szCs w:val="24"/>
    </w:rPr>
  </w:style>
  <w:style w:type="character" w:customStyle="1" w:styleId="252">
    <w:name w:val="Char Char34"/>
    <w:qFormat/>
    <w:uiPriority w:val="0"/>
    <w:rPr>
      <w:rFonts w:ascii="仿宋_GB2312" w:eastAsia="仿宋_GB2312" w:cs="MingLiU"/>
      <w:b/>
      <w:spacing w:val="1"/>
      <w:w w:val="99"/>
      <w:sz w:val="28"/>
      <w:szCs w:val="32"/>
    </w:rPr>
  </w:style>
  <w:style w:type="character" w:customStyle="1" w:styleId="253">
    <w:name w:val="标题 1 Char"/>
    <w:qFormat/>
    <w:uiPriority w:val="0"/>
    <w:rPr>
      <w:rFonts w:ascii="Times New Roman" w:hAnsi="Times New Roman" w:eastAsia="宋体" w:cs="Times New Roman"/>
      <w:b/>
      <w:bCs/>
      <w:kern w:val="44"/>
      <w:sz w:val="44"/>
      <w:szCs w:val="44"/>
    </w:rPr>
  </w:style>
  <w:style w:type="character" w:customStyle="1" w:styleId="254">
    <w:name w:val="docpro"/>
    <w:basedOn w:val="47"/>
    <w:qFormat/>
    <w:uiPriority w:val="0"/>
  </w:style>
  <w:style w:type="character" w:customStyle="1" w:styleId="255">
    <w:name w:val="正文文本 3 Char"/>
    <w:qFormat/>
    <w:uiPriority w:val="0"/>
    <w:rPr>
      <w:kern w:val="2"/>
      <w:sz w:val="16"/>
      <w:szCs w:val="16"/>
    </w:rPr>
  </w:style>
  <w:style w:type="character" w:customStyle="1" w:styleId="256">
    <w:name w:val="标题 5 Char"/>
    <w:qFormat/>
    <w:uiPriority w:val="0"/>
    <w:rPr>
      <w:rFonts w:ascii="Calibri" w:hAnsi="Calibri" w:eastAsia="宋体" w:cs="Times New Roman"/>
      <w:b/>
      <w:bCs/>
      <w:sz w:val="28"/>
      <w:szCs w:val="28"/>
    </w:rPr>
  </w:style>
  <w:style w:type="character" w:customStyle="1" w:styleId="257">
    <w:name w:val="style161"/>
    <w:qFormat/>
    <w:uiPriority w:val="0"/>
    <w:rPr>
      <w:b/>
      <w:bCs/>
      <w:color w:val="333333"/>
    </w:rPr>
  </w:style>
  <w:style w:type="character" w:customStyle="1" w:styleId="258">
    <w:name w:val="文档结构图 Char2"/>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qFormat/>
    <w:uiPriority w:val="99"/>
    <w:rPr>
      <w:kern w:val="2"/>
      <w:sz w:val="21"/>
      <w:szCs w:val="24"/>
    </w:rPr>
  </w:style>
  <w:style w:type="character" w:customStyle="1" w:styleId="261">
    <w:name w:val="HTML 预设格式 Char"/>
    <w:qFormat/>
    <w:uiPriority w:val="0"/>
    <w:rPr>
      <w:rFonts w:ascii="宋体" w:hAnsi="宋体" w:eastAsia="宋体" w:cs="宋体"/>
      <w:color w:val="000000"/>
      <w:sz w:val="24"/>
      <w:szCs w:val="24"/>
    </w:rPr>
  </w:style>
  <w:style w:type="character" w:customStyle="1" w:styleId="262">
    <w:name w:val="批注主题 字符"/>
    <w:link w:val="44"/>
    <w:qFormat/>
    <w:uiPriority w:val="0"/>
    <w:rPr>
      <w:rFonts w:eastAsia="宋体"/>
      <w:b/>
      <w:bCs/>
      <w:kern w:val="2"/>
      <w:sz w:val="21"/>
      <w:szCs w:val="24"/>
      <w:lang w:val="en-US" w:eastAsia="zh-CN" w:bidi="ar-SA"/>
    </w:rPr>
  </w:style>
  <w:style w:type="character" w:customStyle="1" w:styleId="263">
    <w:name w:val="正文文本 2 字符"/>
    <w:link w:val="39"/>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qFormat/>
    <w:uiPriority w:val="0"/>
    <w:rPr>
      <w:rFonts w:ascii="宋体"/>
      <w:kern w:val="2"/>
      <w:sz w:val="18"/>
      <w:szCs w:val="18"/>
    </w:rPr>
  </w:style>
  <w:style w:type="character" w:customStyle="1" w:styleId="266">
    <w:name w:val="标题 8 字符"/>
    <w:link w:val="11"/>
    <w:qFormat/>
    <w:uiPriority w:val="0"/>
    <w:rPr>
      <w:rFonts w:hAnsi="Arial" w:eastAsia="仿宋_GB2312"/>
      <w:sz w:val="30"/>
      <w:lang w:val="en-US" w:eastAsia="zh-CN" w:bidi="ar-SA"/>
    </w:rPr>
  </w:style>
  <w:style w:type="character" w:customStyle="1" w:styleId="267">
    <w:name w:val="正文文本缩进 3 字符"/>
    <w:link w:val="36"/>
    <w:qFormat/>
    <w:uiPriority w:val="0"/>
    <w:rPr>
      <w:rFonts w:ascii="宋体" w:hAnsi="宋体" w:eastAsia="宋体"/>
      <w:kern w:val="2"/>
      <w:sz w:val="28"/>
      <w:szCs w:val="28"/>
      <w:lang w:val="en-US" w:eastAsia="zh-CN" w:bidi="ar-SA"/>
    </w:rPr>
  </w:style>
  <w:style w:type="character" w:customStyle="1" w:styleId="268">
    <w:name w:val="正文文本缩进 字符"/>
    <w:link w:val="18"/>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qFormat/>
    <w:uiPriority w:val="0"/>
    <w:rPr>
      <w:rFonts w:eastAsia="宋体"/>
      <w:sz w:val="28"/>
      <w:szCs w:val="24"/>
      <w:lang w:val="en-US" w:eastAsia="zh-CN" w:bidi="ar-SA"/>
    </w:rPr>
  </w:style>
  <w:style w:type="character" w:customStyle="1" w:styleId="271">
    <w:name w:val="标题 7 字符"/>
    <w:link w:val="10"/>
    <w:qFormat/>
    <w:uiPriority w:val="0"/>
    <w:rPr>
      <w:rFonts w:eastAsia="仿宋_GB2312"/>
      <w:sz w:val="30"/>
      <w:lang w:val="en-US" w:eastAsia="zh-CN" w:bidi="ar-SA"/>
    </w:rPr>
  </w:style>
  <w:style w:type="character" w:customStyle="1" w:styleId="272">
    <w:name w:val="Char Char13"/>
    <w:qFormat/>
    <w:uiPriority w:val="0"/>
    <w:rPr>
      <w:kern w:val="2"/>
      <w:sz w:val="18"/>
      <w:szCs w:val="18"/>
    </w:rPr>
  </w:style>
  <w:style w:type="character" w:customStyle="1" w:styleId="273">
    <w:name w:val="正文文本缩进 2 Char1"/>
    <w:qFormat/>
    <w:uiPriority w:val="0"/>
    <w:rPr>
      <w:sz w:val="28"/>
      <w:szCs w:val="24"/>
    </w:rPr>
  </w:style>
  <w:style w:type="character" w:customStyle="1" w:styleId="274">
    <w:name w:val="Char Char21"/>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qFormat/>
    <w:uiPriority w:val="0"/>
    <w:rPr>
      <w:rFonts w:ascii="Cambria" w:hAnsi="Cambria" w:eastAsia="宋体" w:cs="Times New Roman"/>
      <w:b/>
      <w:bCs/>
      <w:kern w:val="2"/>
      <w:sz w:val="32"/>
      <w:szCs w:val="32"/>
    </w:rPr>
  </w:style>
  <w:style w:type="character" w:customStyle="1" w:styleId="277">
    <w:name w:val="_Style 275"/>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qFormat/>
    <w:uiPriority w:val="99"/>
    <w:rPr>
      <w:kern w:val="2"/>
      <w:sz w:val="18"/>
      <w:szCs w:val="18"/>
    </w:rPr>
  </w:style>
  <w:style w:type="character" w:customStyle="1" w:styleId="282">
    <w:name w:val="subhead1"/>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semiHidden/>
    <w:qFormat/>
    <w:uiPriority w:val="99"/>
    <w:rPr>
      <w:rFonts w:ascii="Calibri" w:hAnsi="Calibri" w:eastAsia="宋体" w:cs="Times New Roman"/>
      <w:sz w:val="16"/>
      <w:szCs w:val="16"/>
    </w:rPr>
  </w:style>
  <w:style w:type="character" w:customStyle="1" w:styleId="284">
    <w:name w:val="纯文本 Char"/>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semiHidden/>
    <w:qFormat/>
    <w:uiPriority w:val="99"/>
    <w:rPr>
      <w:kern w:val="2"/>
      <w:sz w:val="18"/>
      <w:szCs w:val="18"/>
    </w:rPr>
  </w:style>
  <w:style w:type="character" w:customStyle="1" w:styleId="287">
    <w:name w:val="Char Char14"/>
    <w:qFormat/>
    <w:uiPriority w:val="0"/>
    <w:rPr>
      <w:kern w:val="2"/>
      <w:sz w:val="18"/>
      <w:szCs w:val="18"/>
    </w:rPr>
  </w:style>
  <w:style w:type="character" w:customStyle="1" w:styleId="288">
    <w:name w:val="批注文字 字符"/>
    <w:link w:val="16"/>
    <w:qFormat/>
    <w:uiPriority w:val="99"/>
    <w:rPr>
      <w:rFonts w:eastAsia="宋体"/>
      <w:kern w:val="2"/>
      <w:sz w:val="21"/>
      <w:szCs w:val="24"/>
      <w:lang w:val="en-US" w:eastAsia="zh-CN" w:bidi="ar-SA"/>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7"/>
    <w:qFormat/>
    <w:uiPriority w:val="0"/>
    <w:rPr>
      <w:rFonts w:ascii="宋体" w:hAnsi="宋体" w:eastAsia="宋体" w:cs="宋体"/>
      <w:b/>
      <w:bCs/>
      <w:lang w:val="en-US" w:eastAsia="zh-CN" w:bidi="ar-SA"/>
    </w:rPr>
  </w:style>
  <w:style w:type="character" w:customStyle="1" w:styleId="292">
    <w:name w:val="手改 Char Char"/>
    <w:qFormat/>
    <w:uiPriority w:val="0"/>
    <w:rPr>
      <w:kern w:val="2"/>
      <w:sz w:val="21"/>
      <w:szCs w:val="24"/>
    </w:rPr>
  </w:style>
  <w:style w:type="character" w:customStyle="1" w:styleId="293">
    <w:name w:val="标题 1 字符"/>
    <w:link w:val="3"/>
    <w:qFormat/>
    <w:uiPriority w:val="0"/>
    <w:rPr>
      <w:rFonts w:eastAsia="宋体"/>
      <w:b/>
      <w:bCs/>
      <w:kern w:val="44"/>
      <w:sz w:val="44"/>
      <w:szCs w:val="44"/>
      <w:lang w:val="en-US" w:eastAsia="zh-CN" w:bidi="ar-SA"/>
    </w:rPr>
  </w:style>
  <w:style w:type="character" w:customStyle="1" w:styleId="294">
    <w:name w:val="intel3"/>
    <w:basedOn w:val="47"/>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7"/>
    <w:qFormat/>
    <w:uiPriority w:val="0"/>
    <w:rPr>
      <w:b/>
      <w:bCs/>
      <w:i/>
      <w:iCs/>
      <w:color w:val="4F81BD"/>
      <w:kern w:val="2"/>
      <w:sz w:val="21"/>
      <w:szCs w:val="22"/>
      <w:lang w:bidi="ar-SA"/>
    </w:rPr>
  </w:style>
  <w:style w:type="character" w:customStyle="1" w:styleId="297">
    <w:name w:val="明显引用 Char1"/>
    <w:link w:val="110"/>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68"/>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qFormat/>
    <w:uiPriority w:val="0"/>
    <w:rPr>
      <w:rFonts w:eastAsia="黑体"/>
      <w:kern w:val="2"/>
      <w:sz w:val="44"/>
      <w:szCs w:val="44"/>
      <w:lang w:val="en-US" w:eastAsia="zh-CN" w:bidi="ar-SA"/>
    </w:rPr>
  </w:style>
  <w:style w:type="character" w:customStyle="1" w:styleId="302">
    <w:name w:val="日期 Char3"/>
    <w:semiHidden/>
    <w:qFormat/>
    <w:uiPriority w:val="99"/>
    <w:rPr>
      <w:rFonts w:ascii="Calibri" w:hAnsi="Calibri" w:eastAsia="宋体" w:cs="Times New Roman"/>
      <w:szCs w:val="24"/>
    </w:rPr>
  </w:style>
  <w:style w:type="character" w:customStyle="1" w:styleId="303">
    <w:name w:val="纯文本 字符"/>
    <w:link w:val="23"/>
    <w:qFormat/>
    <w:uiPriority w:val="0"/>
    <w:rPr>
      <w:rFonts w:ascii="宋体" w:hAnsi="Courier New" w:eastAsia="宋体" w:cs="Courier New"/>
      <w:kern w:val="2"/>
      <w:sz w:val="21"/>
      <w:szCs w:val="21"/>
      <w:lang w:val="en-US" w:eastAsia="zh-CN" w:bidi="ar-SA"/>
    </w:rPr>
  </w:style>
  <w:style w:type="character" w:customStyle="1" w:styleId="304">
    <w:name w:val="批注文字 Char"/>
    <w:qFormat/>
    <w:uiPriority w:val="0"/>
    <w:rPr>
      <w:rFonts w:ascii="Times New Roman" w:hAnsi="Times New Roman" w:eastAsia="宋体" w:cs="Times New Roman"/>
      <w:kern w:val="2"/>
      <w:sz w:val="21"/>
      <w:szCs w:val="24"/>
    </w:rPr>
  </w:style>
  <w:style w:type="character" w:customStyle="1" w:styleId="305">
    <w:name w:val="Section Char"/>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7"/>
    <w:qFormat/>
    <w:uiPriority w:val="0"/>
    <w:rPr>
      <w:rFonts w:eastAsia="宋体"/>
      <w:kern w:val="2"/>
      <w:sz w:val="16"/>
      <w:szCs w:val="16"/>
      <w:lang w:val="en-US" w:eastAsia="zh-CN" w:bidi="ar-SA"/>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列表段落2"/>
    <w:basedOn w:val="1"/>
    <w:qFormat/>
    <w:uiPriority w:val="99"/>
    <w:pPr>
      <w:ind w:firstLine="420" w:firstLineChars="200"/>
    </w:pPr>
    <w:rPr>
      <w:sz w:val="28"/>
      <w:szCs w:val="28"/>
    </w:rPr>
  </w:style>
  <w:style w:type="paragraph" w:customStyle="1" w:styleId="31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3">
    <w:name w:val="未处理的提及2"/>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wmf"/><Relationship Id="rId22" Type="http://schemas.openxmlformats.org/officeDocument/2006/relationships/oleObject" Target="embeddings/oleObject5.bin"/><Relationship Id="rId21" Type="http://schemas.openxmlformats.org/officeDocument/2006/relationships/image" Target="media/image6.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3.bin"/><Relationship Id="rId17" Type="http://schemas.openxmlformats.org/officeDocument/2006/relationships/image" Target="media/image4.wmf"/><Relationship Id="rId16" Type="http://schemas.openxmlformats.org/officeDocument/2006/relationships/oleObject" Target="embeddings/oleObject2.bin"/><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209</Pages>
  <Words>2067</Words>
  <Characters>2398</Characters>
  <Lines>1190</Lines>
  <Paragraphs>335</Paragraphs>
  <TotalTime>7</TotalTime>
  <ScaleCrop>false</ScaleCrop>
  <LinksUpToDate>false</LinksUpToDate>
  <CharactersWithSpaces>2720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2021-12-18T11:12:00Z</dcterms:created>
  <dc:creator>USER</dc:creator>
  <cp:lastModifiedBy>杨青国</cp:lastModifiedBy>
  <cp:lastPrinted>2020-08-28T03:13:00Z</cp:lastPrinted>
  <dcterms:modified xsi:type="dcterms:W3CDTF">2026-05-21T02:07:08Z</dcterms:modified>
  <dc:title>第一卷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3878727533B149C589E686EF2678EA58_13</vt:lpwstr>
  </property>
  <property fmtid="{D5CDD505-2E9C-101B-9397-08002B2CF9AE}" pid="4" name="KSOTemplateDocerSaveRecord">
    <vt:lpwstr>eyJoZGlkIjoiMmZhOTliYWRkODQyNDliY2QyNjZjYzk3YTM1YjhlNGUiLCJ1c2VySWQiOiIzNzk3MTg4ODcifQ==</vt:lpwstr>
  </property>
</Properties>
</file>