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FCF80">
      <w:pPr>
        <w:keepNext w:val="0"/>
        <w:keepLines w:val="0"/>
        <w:pageBreakBefore w:val="0"/>
        <w:widowControl/>
        <w:tabs>
          <w:tab w:val="left" w:pos="1695"/>
          <w:tab w:val="left" w:pos="3370"/>
          <w:tab w:val="left" w:pos="5555"/>
        </w:tabs>
        <w:kinsoku/>
        <w:wordWrap/>
        <w:overflowPunct/>
        <w:topLinePunct w:val="0"/>
        <w:autoSpaceDE w:val="0"/>
        <w:autoSpaceDN w:val="0"/>
        <w:bidi w:val="0"/>
        <w:adjustRightInd w:val="0"/>
        <w:snapToGrid w:val="0"/>
        <w:spacing w:line="600" w:lineRule="exact"/>
        <w:ind w:left="0" w:leftChars="0" w:firstLine="560" w:firstLineChars="200"/>
        <w:textAlignment w:val="auto"/>
        <w:rPr>
          <w:rFonts w:ascii="宋体" w:hAnsi="宋体" w:cs="宋体"/>
          <w:b/>
          <w:color w:val="auto"/>
          <w:sz w:val="28"/>
          <w:szCs w:val="28"/>
          <w:highlight w:val="none"/>
        </w:rPr>
      </w:pPr>
      <w:r>
        <w:rPr>
          <w:rFonts w:ascii="宋体" w:hAnsi="宋体" w:cs="宋体"/>
          <w:b/>
          <w:color w:val="auto"/>
          <w:sz w:val="28"/>
          <w:szCs w:val="28"/>
          <w:highlight w:val="none"/>
        </w:rPr>
        <w:t>项目名称</w:t>
      </w:r>
      <w:r>
        <w:rPr>
          <w:rFonts w:hint="eastAsia" w:ascii="宋体" w:hAnsi="宋体" w:cs="宋体"/>
          <w:b/>
          <w:color w:val="auto"/>
          <w:sz w:val="28"/>
          <w:szCs w:val="28"/>
          <w:highlight w:val="none"/>
        </w:rPr>
        <w:t>：重庆三峡银行积分商城商品权益供应入围项目</w:t>
      </w:r>
    </w:p>
    <w:p w14:paraId="29379185">
      <w:pPr>
        <w:spacing w:line="600" w:lineRule="exact"/>
        <w:ind w:firstLine="562"/>
        <w:jc w:val="both"/>
        <w:rPr>
          <w:rFonts w:ascii="宋体" w:hAnsi="宋体"/>
          <w:color w:val="auto"/>
          <w:sz w:val="24"/>
          <w:szCs w:val="24"/>
          <w:highlight w:val="none"/>
        </w:rPr>
      </w:pPr>
      <w:r>
        <w:rPr>
          <w:rFonts w:hint="eastAsia" w:ascii="宋体" w:hAnsi="宋体" w:cs="宋体"/>
          <w:b/>
          <w:color w:val="auto"/>
          <w:sz w:val="28"/>
          <w:szCs w:val="28"/>
          <w:highlight w:val="none"/>
        </w:rPr>
        <w:t>招标编号：ZBCG-26620057</w:t>
      </w:r>
    </w:p>
    <w:p w14:paraId="067E2394">
      <w:pPr>
        <w:tabs>
          <w:tab w:val="left" w:pos="5600"/>
        </w:tabs>
        <w:spacing w:line="400" w:lineRule="exact"/>
        <w:ind w:firstLine="480"/>
        <w:rPr>
          <w:rFonts w:ascii="宋体" w:hAnsi="宋体"/>
          <w:color w:val="auto"/>
          <w:sz w:val="24"/>
          <w:szCs w:val="24"/>
          <w:highlight w:val="none"/>
        </w:rPr>
      </w:pPr>
      <w:r>
        <w:rPr>
          <w:rFonts w:ascii="宋体" w:hAnsi="宋体"/>
          <w:color w:val="auto"/>
          <w:sz w:val="24"/>
          <w:szCs w:val="24"/>
          <w:highlight w:val="none"/>
        </w:rPr>
        <w:tab/>
      </w:r>
    </w:p>
    <w:p w14:paraId="4E7805A1">
      <w:pPr>
        <w:spacing w:line="400" w:lineRule="exact"/>
        <w:ind w:firstLine="480"/>
        <w:jc w:val="center"/>
        <w:rPr>
          <w:rFonts w:ascii="宋体" w:hAnsi="宋体"/>
          <w:color w:val="auto"/>
          <w:sz w:val="24"/>
          <w:szCs w:val="24"/>
          <w:highlight w:val="none"/>
        </w:rPr>
      </w:pPr>
    </w:p>
    <w:p w14:paraId="53C382F5">
      <w:pPr>
        <w:pStyle w:val="2"/>
        <w:ind w:firstLine="480"/>
        <w:rPr>
          <w:color w:val="auto"/>
          <w:highlight w:val="none"/>
        </w:rPr>
      </w:pPr>
    </w:p>
    <w:p w14:paraId="4D2594BA">
      <w:pPr>
        <w:ind w:firstLine="420"/>
        <w:rPr>
          <w:color w:val="auto"/>
          <w:highlight w:val="none"/>
        </w:rPr>
      </w:pPr>
    </w:p>
    <w:p w14:paraId="2303ED84">
      <w:pPr>
        <w:pStyle w:val="2"/>
        <w:ind w:firstLine="480"/>
        <w:jc w:val="left"/>
        <w:rPr>
          <w:color w:val="auto"/>
          <w:highlight w:val="none"/>
        </w:rPr>
      </w:pPr>
    </w:p>
    <w:p w14:paraId="2A634ECA">
      <w:pPr>
        <w:spacing w:before="312" w:beforeLines="100" w:line="400" w:lineRule="exact"/>
        <w:ind w:firstLine="1687"/>
        <w:jc w:val="center"/>
        <w:rPr>
          <w:rFonts w:ascii="宋体" w:hAnsi="宋体"/>
          <w:b/>
          <w:color w:val="auto"/>
          <w:sz w:val="84"/>
          <w:szCs w:val="84"/>
          <w:highlight w:val="none"/>
        </w:rPr>
      </w:pPr>
    </w:p>
    <w:p w14:paraId="5F563721">
      <w:pPr>
        <w:spacing w:before="312" w:beforeLines="100" w:line="400" w:lineRule="exact"/>
        <w:ind w:left="0" w:leftChars="0" w:firstLine="0" w:firstLineChars="0"/>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42EC887B">
      <w:pPr>
        <w:spacing w:line="400" w:lineRule="exact"/>
        <w:ind w:firstLine="482"/>
        <w:rPr>
          <w:rFonts w:ascii="宋体" w:hAnsi="宋体"/>
          <w:b/>
          <w:color w:val="auto"/>
          <w:sz w:val="24"/>
          <w:szCs w:val="24"/>
          <w:highlight w:val="none"/>
        </w:rPr>
      </w:pPr>
    </w:p>
    <w:p w14:paraId="039E9FE3">
      <w:pPr>
        <w:spacing w:line="400" w:lineRule="exact"/>
        <w:ind w:firstLine="480"/>
        <w:rPr>
          <w:rFonts w:ascii="宋体" w:hAnsi="宋体"/>
          <w:color w:val="auto"/>
          <w:sz w:val="24"/>
          <w:szCs w:val="24"/>
          <w:highlight w:val="none"/>
        </w:rPr>
      </w:pPr>
    </w:p>
    <w:p w14:paraId="31E26239">
      <w:pPr>
        <w:spacing w:line="400" w:lineRule="exact"/>
        <w:ind w:left="0" w:leftChars="0" w:firstLine="0" w:firstLineChars="0"/>
        <w:rPr>
          <w:rFonts w:ascii="宋体" w:hAnsi="宋体"/>
          <w:color w:val="auto"/>
          <w:sz w:val="24"/>
          <w:szCs w:val="24"/>
          <w:highlight w:val="none"/>
        </w:rPr>
      </w:pPr>
      <w:r>
        <w:rPr>
          <w:rFonts w:hint="eastAsia" w:ascii="宋体" w:hAnsi="宋体"/>
          <w:b/>
          <w:color w:val="auto"/>
          <w:spacing w:val="60"/>
          <w:sz w:val="104"/>
          <w:highlight w:val="none"/>
        </w:rPr>
        <w:drawing>
          <wp:anchor distT="0" distB="0" distL="114300" distR="114300" simplePos="0" relativeHeight="251661312" behindDoc="0" locked="0" layoutInCell="1" allowOverlap="1">
            <wp:simplePos x="0" y="0"/>
            <wp:positionH relativeFrom="column">
              <wp:posOffset>2379980</wp:posOffset>
            </wp:positionH>
            <wp:positionV relativeFrom="paragraph">
              <wp:posOffset>230505</wp:posOffset>
            </wp:positionV>
            <wp:extent cx="1602105" cy="974725"/>
            <wp:effectExtent l="0" t="0" r="17145" b="15875"/>
            <wp:wrapSquare wrapText="bothSides"/>
            <wp:docPr id="7" name="图片 3"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招采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602105" cy="974725"/>
                    </a:xfrm>
                    <a:prstGeom prst="rect">
                      <a:avLst/>
                    </a:prstGeom>
                    <a:noFill/>
                    <a:ln>
                      <a:noFill/>
                    </a:ln>
                  </pic:spPr>
                </pic:pic>
              </a:graphicData>
            </a:graphic>
          </wp:anchor>
        </w:drawing>
      </w:r>
    </w:p>
    <w:p w14:paraId="5D45D00E">
      <w:pPr>
        <w:spacing w:before="120" w:after="120" w:line="400" w:lineRule="exact"/>
        <w:ind w:firstLine="1038" w:firstLineChars="346"/>
        <w:jc w:val="center"/>
        <w:rPr>
          <w:rFonts w:ascii="宋体" w:hAnsi="宋体" w:cs="Arial"/>
          <w:b/>
          <w:bCs/>
          <w:color w:val="auto"/>
          <w:kern w:val="2"/>
          <w:sz w:val="30"/>
          <w:szCs w:val="30"/>
          <w:highlight w:val="none"/>
        </w:rPr>
      </w:pPr>
    </w:p>
    <w:p w14:paraId="538DBEAE">
      <w:pPr>
        <w:spacing w:before="120" w:after="120" w:line="400" w:lineRule="exact"/>
        <w:ind w:left="0" w:leftChars="0" w:firstLine="0" w:firstLineChars="0"/>
        <w:jc w:val="both"/>
        <w:rPr>
          <w:rFonts w:ascii="宋体" w:hAnsi="宋体"/>
          <w:b/>
          <w:snapToGrid w:val="0"/>
          <w:color w:val="auto"/>
          <w:sz w:val="30"/>
          <w:szCs w:val="30"/>
          <w:highlight w:val="none"/>
        </w:rPr>
      </w:pPr>
    </w:p>
    <w:p w14:paraId="3F19C9AC">
      <w:pPr>
        <w:spacing w:before="120" w:after="120" w:line="400" w:lineRule="exact"/>
        <w:ind w:firstLine="602"/>
        <w:jc w:val="both"/>
        <w:rPr>
          <w:rFonts w:ascii="宋体" w:hAnsi="宋体"/>
          <w:b/>
          <w:snapToGrid w:val="0"/>
          <w:color w:val="auto"/>
          <w:sz w:val="30"/>
          <w:szCs w:val="30"/>
          <w:highlight w:val="none"/>
        </w:rPr>
      </w:pPr>
    </w:p>
    <w:p w14:paraId="6EAFA8A1">
      <w:pPr>
        <w:spacing w:before="120" w:after="120" w:line="400" w:lineRule="exact"/>
        <w:ind w:firstLine="602"/>
        <w:jc w:val="both"/>
        <w:rPr>
          <w:rFonts w:ascii="宋体" w:hAnsi="宋体"/>
          <w:b/>
          <w:snapToGrid w:val="0"/>
          <w:color w:val="auto"/>
          <w:sz w:val="30"/>
          <w:szCs w:val="30"/>
          <w:highlight w:val="none"/>
        </w:rPr>
      </w:pPr>
    </w:p>
    <w:p w14:paraId="424E25A8">
      <w:pPr>
        <w:pStyle w:val="2"/>
        <w:ind w:firstLine="480"/>
        <w:rPr>
          <w:color w:val="auto"/>
          <w:highlight w:val="none"/>
        </w:rPr>
      </w:pPr>
    </w:p>
    <w:p w14:paraId="27321638">
      <w:pPr>
        <w:ind w:firstLine="420"/>
        <w:rPr>
          <w:color w:val="auto"/>
          <w:highlight w:val="none"/>
        </w:rPr>
      </w:pPr>
    </w:p>
    <w:p w14:paraId="3233999C">
      <w:pPr>
        <w:pStyle w:val="2"/>
        <w:ind w:firstLine="480"/>
        <w:rPr>
          <w:color w:val="auto"/>
          <w:highlight w:val="none"/>
        </w:rPr>
      </w:pPr>
    </w:p>
    <w:p w14:paraId="5BBB1F81">
      <w:pPr>
        <w:ind w:firstLine="420"/>
        <w:rPr>
          <w:color w:val="auto"/>
          <w:highlight w:val="none"/>
        </w:rPr>
      </w:pPr>
    </w:p>
    <w:p w14:paraId="685F65B9">
      <w:pPr>
        <w:pStyle w:val="2"/>
        <w:ind w:firstLine="480"/>
        <w:rPr>
          <w:color w:val="auto"/>
          <w:highlight w:val="none"/>
        </w:rPr>
      </w:pPr>
    </w:p>
    <w:p w14:paraId="22E35C7B">
      <w:pPr>
        <w:spacing w:line="600" w:lineRule="exact"/>
        <w:ind w:left="0" w:leftChars="0" w:firstLine="0" w:firstLineChars="0"/>
        <w:rPr>
          <w:rFonts w:ascii="宋体" w:hAnsi="宋体" w:cs="宋体"/>
          <w:b/>
          <w:color w:val="auto"/>
          <w:sz w:val="30"/>
          <w:szCs w:val="30"/>
          <w:highlight w:val="none"/>
        </w:rPr>
      </w:pPr>
      <w:r>
        <w:rPr>
          <w:rFonts w:hint="eastAsia" w:ascii="宋体" w:hAnsi="宋体" w:cs="宋体"/>
          <w:b/>
          <w:color w:val="auto"/>
          <w:sz w:val="30"/>
          <w:szCs w:val="30"/>
          <w:highlight w:val="none"/>
        </w:rPr>
        <w:t>招</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 xml:space="preserve"> 标 </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人：</w:t>
      </w:r>
      <w:r>
        <w:rPr>
          <w:rFonts w:hint="eastAsia" w:ascii="宋体" w:hAnsi="宋体" w:cs="宋体"/>
          <w:b/>
          <w:color w:val="auto"/>
          <w:sz w:val="30"/>
          <w:szCs w:val="30"/>
          <w:highlight w:val="none"/>
          <w:u w:val="single"/>
        </w:rPr>
        <w:t>重庆三峡银行股份有限公司</w:t>
      </w:r>
      <w:r>
        <w:rPr>
          <w:rFonts w:hint="eastAsia" w:ascii="宋体" w:hAnsi="宋体" w:cs="宋体"/>
          <w:b/>
          <w:color w:val="auto"/>
          <w:sz w:val="30"/>
          <w:szCs w:val="30"/>
          <w:highlight w:val="none"/>
        </w:rPr>
        <w:t>（盖单位法人章）</w:t>
      </w:r>
    </w:p>
    <w:p w14:paraId="10871050">
      <w:pPr>
        <w:spacing w:line="600" w:lineRule="exact"/>
        <w:ind w:left="0" w:leftChars="0" w:firstLine="0" w:firstLineChars="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招标</w:t>
      </w:r>
      <w:r>
        <w:rPr>
          <w:rFonts w:hint="eastAsia" w:ascii="宋体" w:hAnsi="宋体" w:cs="宋体"/>
          <w:b/>
          <w:color w:val="auto"/>
          <w:sz w:val="30"/>
          <w:szCs w:val="30"/>
          <w:highlight w:val="none"/>
        </w:rPr>
        <w:t>代理机构：</w:t>
      </w:r>
      <w:r>
        <w:rPr>
          <w:rFonts w:hint="eastAsia" w:ascii="宋体" w:hAnsi="宋体" w:cs="宋体"/>
          <w:b/>
          <w:color w:val="auto"/>
          <w:sz w:val="30"/>
          <w:szCs w:val="30"/>
          <w:highlight w:val="none"/>
          <w:u w:val="single"/>
        </w:rPr>
        <w:t>重庆招标采购（集团）有限责任公司</w:t>
      </w:r>
      <w:r>
        <w:rPr>
          <w:rFonts w:hint="eastAsia" w:ascii="宋体" w:hAnsi="宋体" w:cs="宋体"/>
          <w:b/>
          <w:color w:val="auto"/>
          <w:sz w:val="30"/>
          <w:szCs w:val="30"/>
          <w:highlight w:val="none"/>
        </w:rPr>
        <w:t>（盖单位法人章）</w:t>
      </w:r>
    </w:p>
    <w:p w14:paraId="2078523C">
      <w:pPr>
        <w:autoSpaceDE w:val="0"/>
        <w:autoSpaceDN w:val="0"/>
        <w:adjustRightInd w:val="0"/>
        <w:snapToGrid w:val="0"/>
        <w:spacing w:line="600" w:lineRule="exact"/>
        <w:ind w:left="0" w:leftChars="0" w:firstLine="0" w:firstLineChars="0"/>
        <w:jc w:val="center"/>
        <w:rPr>
          <w:rFonts w:hint="eastAsia" w:ascii="宋体" w:hAnsi="宋体" w:cs="宋体"/>
          <w:b/>
          <w:color w:val="auto"/>
          <w:spacing w:val="8"/>
          <w:sz w:val="28"/>
          <w:szCs w:val="28"/>
          <w:highlight w:val="none"/>
        </w:rPr>
      </w:pPr>
    </w:p>
    <w:p w14:paraId="06CE60B8">
      <w:pPr>
        <w:autoSpaceDE w:val="0"/>
        <w:autoSpaceDN w:val="0"/>
        <w:adjustRightInd w:val="0"/>
        <w:snapToGrid w:val="0"/>
        <w:spacing w:line="600" w:lineRule="exact"/>
        <w:ind w:left="0" w:leftChars="0" w:firstLine="0" w:firstLineChars="0"/>
        <w:jc w:val="center"/>
        <w:rPr>
          <w:rFonts w:ascii="宋体" w:hAnsi="宋体" w:cs="宋体"/>
          <w:b/>
          <w:color w:val="auto"/>
          <w:sz w:val="28"/>
          <w:szCs w:val="28"/>
          <w:highlight w:val="none"/>
        </w:rPr>
      </w:pPr>
      <w:r>
        <w:rPr>
          <w:rFonts w:hint="eastAsia" w:ascii="宋体" w:hAnsi="宋体" w:cs="宋体"/>
          <w:b/>
          <w:color w:val="auto"/>
          <w:spacing w:val="8"/>
          <w:sz w:val="28"/>
          <w:szCs w:val="28"/>
          <w:highlight w:val="none"/>
        </w:rPr>
        <w:t>二〇二</w:t>
      </w:r>
      <w:r>
        <w:rPr>
          <w:rFonts w:hint="eastAsia" w:ascii="宋体" w:hAnsi="宋体" w:cs="宋体"/>
          <w:b/>
          <w:color w:val="auto"/>
          <w:spacing w:val="8"/>
          <w:sz w:val="28"/>
          <w:szCs w:val="28"/>
          <w:highlight w:val="none"/>
          <w:lang w:val="en-US" w:eastAsia="zh-CN"/>
        </w:rPr>
        <w:t>六</w:t>
      </w:r>
      <w:r>
        <w:rPr>
          <w:rFonts w:hint="eastAsia" w:ascii="宋体" w:hAnsi="宋体" w:cs="宋体"/>
          <w:b/>
          <w:color w:val="auto"/>
          <w:spacing w:val="8"/>
          <w:sz w:val="28"/>
          <w:szCs w:val="28"/>
          <w:highlight w:val="none"/>
        </w:rPr>
        <w:t>年</w:t>
      </w:r>
      <w:r>
        <w:rPr>
          <w:rFonts w:hint="eastAsia" w:ascii="宋体" w:hAnsi="宋体" w:cs="宋体"/>
          <w:b/>
          <w:color w:val="auto"/>
          <w:spacing w:val="8"/>
          <w:sz w:val="28"/>
          <w:szCs w:val="28"/>
          <w:highlight w:val="none"/>
          <w:lang w:val="en-US" w:eastAsia="zh-CN"/>
        </w:rPr>
        <w:t>二</w:t>
      </w:r>
      <w:r>
        <w:rPr>
          <w:rFonts w:hint="eastAsia" w:ascii="宋体" w:hAnsi="宋体" w:cs="宋体"/>
          <w:b/>
          <w:color w:val="auto"/>
          <w:spacing w:val="8"/>
          <w:sz w:val="28"/>
          <w:szCs w:val="28"/>
          <w:highlight w:val="none"/>
        </w:rPr>
        <w:t>月</w:t>
      </w:r>
    </w:p>
    <w:p w14:paraId="6567AAC0">
      <w:pPr>
        <w:spacing w:before="156" w:beforeLines="50" w:after="156" w:afterLines="50" w:line="400" w:lineRule="exact"/>
        <w:ind w:firstLine="602"/>
        <w:rPr>
          <w:rFonts w:ascii="宋体" w:hAnsi="宋体" w:cs="Arial"/>
          <w:b/>
          <w:color w:val="auto"/>
          <w:kern w:val="2"/>
          <w:sz w:val="30"/>
          <w:szCs w:val="30"/>
          <w:highlight w:val="none"/>
        </w:rPr>
      </w:pPr>
    </w:p>
    <w:p w14:paraId="490EF96E">
      <w:pPr>
        <w:spacing w:before="156" w:beforeLines="50" w:after="156" w:afterLines="50" w:line="400" w:lineRule="exact"/>
        <w:ind w:firstLine="562"/>
        <w:jc w:val="center"/>
        <w:rPr>
          <w:rFonts w:ascii="宋体" w:hAnsi="宋体"/>
          <w:b/>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737" w:footer="737" w:gutter="0"/>
          <w:pgNumType w:start="1"/>
          <w:cols w:space="720" w:num="1"/>
          <w:docGrid w:type="linesAndChars" w:linePitch="312" w:charSpace="0"/>
        </w:sectPr>
      </w:pPr>
    </w:p>
    <w:p w14:paraId="0AE60AA6">
      <w:pPr>
        <w:spacing w:before="156" w:beforeLines="50" w:after="156" w:afterLines="50" w:line="400" w:lineRule="exact"/>
        <w:ind w:firstLine="562"/>
        <w:jc w:val="center"/>
        <w:rPr>
          <w:rFonts w:ascii="宋体" w:hAnsi="宋体"/>
          <w:b/>
          <w:color w:val="auto"/>
          <w:sz w:val="28"/>
          <w:szCs w:val="28"/>
          <w:highlight w:val="none"/>
        </w:rPr>
      </w:pPr>
    </w:p>
    <w:p w14:paraId="17621158">
      <w:pPr>
        <w:spacing w:before="156" w:beforeLines="50" w:after="156" w:afterLines="50" w:line="400" w:lineRule="exact"/>
        <w:ind w:left="0" w:leftChars="0" w:firstLine="0" w:firstLineChars="0"/>
        <w:jc w:val="center"/>
        <w:rPr>
          <w:rFonts w:ascii="宋体" w:hAnsi="宋体"/>
          <w:b/>
          <w:color w:val="auto"/>
          <w:sz w:val="36"/>
          <w:szCs w:val="36"/>
          <w:highlight w:val="none"/>
        </w:rPr>
      </w:pPr>
      <w:r>
        <w:rPr>
          <w:rFonts w:ascii="宋体" w:hAnsi="宋体"/>
          <w:b/>
          <w:color w:val="auto"/>
          <w:sz w:val="36"/>
          <w:szCs w:val="36"/>
          <w:highlight w:val="none"/>
        </w:rPr>
        <w:t>目 录</w:t>
      </w:r>
    </w:p>
    <w:p w14:paraId="5E8108EB">
      <w:pPr>
        <w:pStyle w:val="7"/>
        <w:ind w:firstLine="480"/>
        <w:rPr>
          <w:color w:val="auto"/>
          <w:highlight w:val="none"/>
        </w:rPr>
      </w:pPr>
    </w:p>
    <w:p w14:paraId="0F6B1BE1">
      <w:pPr>
        <w:pStyle w:val="17"/>
        <w:tabs>
          <w:tab w:val="right" w:leader="dot" w:pos="9660"/>
        </w:tabs>
        <w:ind w:left="0" w:leftChars="0" w:firstLine="0" w:firstLineChars="0"/>
        <w:rPr>
          <w:rFonts w:eastAsiaTheme="minorEastAsia" w:cstheme="minorBidi"/>
          <w:b w:val="0"/>
          <w:bCs w:val="0"/>
          <w:caps w:val="0"/>
          <w:color w:val="auto"/>
          <w:kern w:val="2"/>
          <w:sz w:val="21"/>
          <w:szCs w:val="22"/>
          <w:highlight w:val="none"/>
        </w:rPr>
      </w:pPr>
      <w:r>
        <w:rPr>
          <w:rStyle w:val="37"/>
          <w:rFonts w:ascii="宋体" w:hAnsi="宋体"/>
          <w:b w:val="0"/>
          <w:color w:val="auto"/>
          <w:sz w:val="28"/>
          <w:szCs w:val="28"/>
          <w:highlight w:val="none"/>
        </w:rPr>
        <w:fldChar w:fldCharType="begin"/>
      </w:r>
      <w:r>
        <w:rPr>
          <w:rStyle w:val="37"/>
          <w:rFonts w:ascii="宋体" w:hAnsi="宋体"/>
          <w:b w:val="0"/>
          <w:color w:val="auto"/>
          <w:sz w:val="28"/>
          <w:szCs w:val="28"/>
          <w:highlight w:val="none"/>
        </w:rPr>
        <w:instrText xml:space="preserve"> TOC \o "1-1" \h \z \u </w:instrText>
      </w:r>
      <w:r>
        <w:rPr>
          <w:rStyle w:val="37"/>
          <w:rFonts w:ascii="宋体" w:hAnsi="宋体"/>
          <w:b w:val="0"/>
          <w:color w:val="auto"/>
          <w:sz w:val="28"/>
          <w:szCs w:val="28"/>
          <w:highlight w:val="none"/>
        </w:rPr>
        <w:fldChar w:fldCharType="separate"/>
      </w:r>
      <w:r>
        <w:rPr>
          <w:color w:val="auto"/>
          <w:highlight w:val="none"/>
        </w:rPr>
        <w:fldChar w:fldCharType="begin"/>
      </w:r>
      <w:r>
        <w:rPr>
          <w:color w:val="auto"/>
          <w:highlight w:val="none"/>
        </w:rPr>
        <w:instrText xml:space="preserve"> HYPERLINK \l "_Toc173415201" </w:instrText>
      </w:r>
      <w:r>
        <w:rPr>
          <w:color w:val="auto"/>
          <w:highlight w:val="none"/>
        </w:rPr>
        <w:fldChar w:fldCharType="separate"/>
      </w:r>
      <w:r>
        <w:rPr>
          <w:rStyle w:val="32"/>
          <w:rFonts w:hint="eastAsia"/>
          <w:color w:val="auto"/>
          <w:highlight w:val="none"/>
        </w:rPr>
        <w:t>第一章</w:t>
      </w:r>
      <w:r>
        <w:rPr>
          <w:rStyle w:val="32"/>
          <w:color w:val="auto"/>
          <w:highlight w:val="none"/>
        </w:rPr>
        <w:t xml:space="preserve"> </w:t>
      </w:r>
      <w:r>
        <w:rPr>
          <w:rStyle w:val="32"/>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_Toc173415201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9ADA1AA">
      <w:pPr>
        <w:pStyle w:val="17"/>
        <w:tabs>
          <w:tab w:val="right" w:leader="dot" w:pos="9660"/>
        </w:tabs>
        <w:ind w:left="0" w:leftChars="0" w:firstLine="0" w:firstLineChars="0"/>
        <w:rPr>
          <w:rFonts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"_Toc173415202" </w:instrText>
      </w:r>
      <w:r>
        <w:rPr>
          <w:color w:val="auto"/>
          <w:highlight w:val="none"/>
        </w:rPr>
        <w:fldChar w:fldCharType="separate"/>
      </w:r>
      <w:r>
        <w:rPr>
          <w:rStyle w:val="32"/>
          <w:rFonts w:hint="eastAsia"/>
          <w:color w:val="auto"/>
          <w:highlight w:val="none"/>
        </w:rPr>
        <w:t>第二章</w:t>
      </w:r>
      <w:r>
        <w:rPr>
          <w:rStyle w:val="32"/>
          <w:color w:val="auto"/>
          <w:highlight w:val="none"/>
        </w:rPr>
        <w:t xml:space="preserve"> </w:t>
      </w:r>
      <w:r>
        <w:rPr>
          <w:rStyle w:val="32"/>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_Toc173415202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292E1F1">
      <w:pPr>
        <w:pStyle w:val="17"/>
        <w:tabs>
          <w:tab w:val="right" w:leader="dot" w:pos="9660"/>
        </w:tabs>
        <w:ind w:left="0" w:leftChars="0" w:firstLine="0" w:firstLineChars="0"/>
        <w:rPr>
          <w:rFonts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"_Toc173415203" </w:instrText>
      </w:r>
      <w:r>
        <w:rPr>
          <w:color w:val="auto"/>
          <w:highlight w:val="none"/>
        </w:rPr>
        <w:fldChar w:fldCharType="separate"/>
      </w:r>
      <w:r>
        <w:rPr>
          <w:rStyle w:val="32"/>
          <w:rFonts w:hint="eastAsia"/>
          <w:color w:val="auto"/>
          <w:highlight w:val="none"/>
        </w:rPr>
        <w:t>第三章</w:t>
      </w:r>
      <w:r>
        <w:rPr>
          <w:rStyle w:val="32"/>
          <w:color w:val="auto"/>
          <w:highlight w:val="none"/>
        </w:rPr>
        <w:t xml:space="preserve"> </w:t>
      </w:r>
      <w:r>
        <w:rPr>
          <w:rStyle w:val="32"/>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_Toc173415203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2E47490">
      <w:pPr>
        <w:pStyle w:val="17"/>
        <w:tabs>
          <w:tab w:val="right" w:leader="dot" w:pos="9660"/>
        </w:tabs>
        <w:ind w:left="0" w:leftChars="0" w:firstLine="0" w:firstLineChars="0"/>
        <w:rPr>
          <w:rFonts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"_Toc173415204" </w:instrText>
      </w:r>
      <w:r>
        <w:rPr>
          <w:color w:val="auto"/>
          <w:highlight w:val="none"/>
        </w:rPr>
        <w:fldChar w:fldCharType="separate"/>
      </w:r>
      <w:r>
        <w:rPr>
          <w:rStyle w:val="32"/>
          <w:rFonts w:hint="eastAsia"/>
          <w:color w:val="auto"/>
          <w:highlight w:val="none"/>
        </w:rPr>
        <w:t>第四章</w:t>
      </w:r>
      <w:r>
        <w:rPr>
          <w:rStyle w:val="32"/>
          <w:color w:val="auto"/>
          <w:highlight w:val="none"/>
        </w:rPr>
        <w:t xml:space="preserve"> </w:t>
      </w:r>
      <w:r>
        <w:rPr>
          <w:rStyle w:val="32"/>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_Toc173415204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A8CC6B5">
      <w:pPr>
        <w:pStyle w:val="17"/>
        <w:tabs>
          <w:tab w:val="right" w:leader="dot" w:pos="9660"/>
        </w:tabs>
        <w:ind w:left="0" w:leftChars="0" w:firstLine="0" w:firstLineChars="0"/>
        <w:rPr>
          <w:rFonts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"_Toc173415205" </w:instrText>
      </w:r>
      <w:r>
        <w:rPr>
          <w:color w:val="auto"/>
          <w:highlight w:val="none"/>
        </w:rPr>
        <w:fldChar w:fldCharType="separate"/>
      </w:r>
      <w:r>
        <w:rPr>
          <w:rStyle w:val="32"/>
          <w:rFonts w:hint="eastAsia"/>
          <w:color w:val="auto"/>
          <w:highlight w:val="none"/>
        </w:rPr>
        <w:t>第五章</w:t>
      </w:r>
      <w:r>
        <w:rPr>
          <w:rStyle w:val="32"/>
          <w:color w:val="auto"/>
          <w:highlight w:val="none"/>
        </w:rPr>
        <w:t xml:space="preserve"> </w:t>
      </w:r>
      <w:r>
        <w:rPr>
          <w:rStyle w:val="32"/>
          <w:rFonts w:hint="eastAsia"/>
          <w:color w:val="auto"/>
          <w:highlight w:val="none"/>
        </w:rPr>
        <w:t>委托人要求</w:t>
      </w:r>
      <w:r>
        <w:rPr>
          <w:color w:val="auto"/>
          <w:highlight w:val="none"/>
        </w:rPr>
        <w:tab/>
      </w:r>
      <w:r>
        <w:rPr>
          <w:color w:val="auto"/>
          <w:highlight w:val="none"/>
        </w:rPr>
        <w:fldChar w:fldCharType="begin"/>
      </w:r>
      <w:r>
        <w:rPr>
          <w:color w:val="auto"/>
          <w:highlight w:val="none"/>
        </w:rPr>
        <w:instrText xml:space="preserve"> PAGEREF _Toc173415205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5364248">
      <w:pPr>
        <w:pStyle w:val="17"/>
        <w:tabs>
          <w:tab w:val="right" w:leader="dot" w:pos="9660"/>
        </w:tabs>
        <w:ind w:left="0" w:leftChars="0" w:firstLine="0" w:firstLineChars="0"/>
        <w:rPr>
          <w:rFonts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"_Toc173415206" </w:instrText>
      </w:r>
      <w:r>
        <w:rPr>
          <w:color w:val="auto"/>
          <w:highlight w:val="none"/>
        </w:rPr>
        <w:fldChar w:fldCharType="separate"/>
      </w:r>
      <w:r>
        <w:rPr>
          <w:rStyle w:val="32"/>
          <w:rFonts w:hint="eastAsia"/>
          <w:color w:val="auto"/>
          <w:highlight w:val="none"/>
        </w:rPr>
        <w:t>第六章</w:t>
      </w:r>
      <w:r>
        <w:rPr>
          <w:rStyle w:val="32"/>
          <w:color w:val="auto"/>
          <w:highlight w:val="none"/>
        </w:rPr>
        <w:t xml:space="preserve"> </w:t>
      </w:r>
      <w:r>
        <w:rPr>
          <w:rStyle w:val="32"/>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_Toc173415206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CA5B192">
      <w:pPr>
        <w:ind w:firstLine="562"/>
        <w:rPr>
          <w:rStyle w:val="37"/>
          <w:rFonts w:ascii="宋体" w:hAnsi="宋体"/>
          <w:color w:val="auto"/>
          <w:sz w:val="28"/>
          <w:szCs w:val="28"/>
          <w:highlight w:val="none"/>
        </w:rPr>
        <w:sectPr>
          <w:headerReference r:id="rId11" w:type="default"/>
          <w:footerReference r:id="rId12" w:type="default"/>
          <w:pgSz w:w="11906" w:h="16838"/>
          <w:pgMar w:top="1134" w:right="1134" w:bottom="1134" w:left="1134" w:header="737" w:footer="737" w:gutter="0"/>
          <w:pgNumType w:start="1"/>
          <w:cols w:space="720" w:num="1"/>
          <w:docGrid w:type="linesAndChars" w:linePitch="312" w:charSpace="0"/>
        </w:sectPr>
      </w:pPr>
      <w:r>
        <w:rPr>
          <w:rStyle w:val="37"/>
          <w:rFonts w:ascii="宋体" w:hAnsi="宋体"/>
          <w:color w:val="auto"/>
          <w:sz w:val="28"/>
          <w:szCs w:val="28"/>
          <w:highlight w:val="none"/>
        </w:rPr>
        <w:fldChar w:fldCharType="end"/>
      </w:r>
    </w:p>
    <w:p w14:paraId="72A8F6F8">
      <w:pPr>
        <w:pStyle w:val="3"/>
        <w:spacing w:before="0" w:after="0" w:line="360" w:lineRule="auto"/>
        <w:ind w:firstLine="0" w:firstLineChars="0"/>
        <w:jc w:val="center"/>
        <w:rPr>
          <w:rStyle w:val="41"/>
          <w:b/>
          <w:color w:val="auto"/>
          <w:highlight w:val="none"/>
        </w:rPr>
      </w:pPr>
      <w:bookmarkStart w:id="0" w:name="_Toc6812"/>
      <w:bookmarkStart w:id="1" w:name="_Toc173415201"/>
      <w:r>
        <w:rPr>
          <w:rStyle w:val="41"/>
          <w:b/>
          <w:color w:val="auto"/>
          <w:highlight w:val="none"/>
        </w:rPr>
        <w:t>第一章</w:t>
      </w:r>
      <w:r>
        <w:rPr>
          <w:rStyle w:val="41"/>
          <w:rFonts w:hint="eastAsia"/>
          <w:b/>
          <w:color w:val="auto"/>
          <w:highlight w:val="none"/>
        </w:rPr>
        <w:t xml:space="preserve"> </w:t>
      </w:r>
      <w:r>
        <w:rPr>
          <w:rStyle w:val="41"/>
          <w:b/>
          <w:color w:val="auto"/>
          <w:highlight w:val="none"/>
        </w:rPr>
        <w:t>招标公告</w:t>
      </w:r>
      <w:bookmarkEnd w:id="0"/>
      <w:bookmarkEnd w:id="1"/>
      <w:bookmarkStart w:id="2" w:name="_Toc294686068"/>
    </w:p>
    <w:p w14:paraId="5BAD0884">
      <w:pPr>
        <w:tabs>
          <w:tab w:val="left" w:pos="1695"/>
          <w:tab w:val="left" w:pos="3370"/>
          <w:tab w:val="left" w:pos="5555"/>
        </w:tabs>
        <w:autoSpaceDE w:val="0"/>
        <w:autoSpaceDN w:val="0"/>
        <w:adjustRightInd w:val="0"/>
        <w:snapToGrid w:val="0"/>
        <w:ind w:firstLine="0" w:firstLineChars="0"/>
        <w:jc w:val="center"/>
        <w:rPr>
          <w:rFonts w:ascii="宋体" w:hAnsi="宋体" w:cs="宋体"/>
          <w:b/>
          <w:color w:val="auto"/>
          <w:sz w:val="28"/>
          <w:szCs w:val="28"/>
          <w:highlight w:val="none"/>
        </w:rPr>
      </w:pPr>
      <w:bookmarkStart w:id="3" w:name="_Toc26371"/>
      <w:bookmarkStart w:id="4" w:name="_Toc26577"/>
      <w:bookmarkStart w:id="5" w:name="_Toc29200"/>
      <w:bookmarkStart w:id="6" w:name="_Toc17033"/>
      <w:r>
        <w:rPr>
          <w:rFonts w:hint="eastAsia" w:ascii="宋体" w:hAnsi="宋体" w:cs="宋体"/>
          <w:b/>
          <w:color w:val="auto"/>
          <w:sz w:val="28"/>
          <w:szCs w:val="28"/>
          <w:highlight w:val="none"/>
        </w:rPr>
        <w:t>重庆三峡银行积分商城商品权益供应入围项目</w:t>
      </w:r>
      <w:r>
        <w:rPr>
          <w:rFonts w:ascii="宋体" w:hAnsi="宋体" w:cs="宋体"/>
          <w:b/>
          <w:color w:val="auto"/>
          <w:sz w:val="28"/>
          <w:szCs w:val="28"/>
          <w:highlight w:val="none"/>
        </w:rPr>
        <w:t>招标公告</w:t>
      </w:r>
      <w:bookmarkEnd w:id="3"/>
      <w:bookmarkEnd w:id="4"/>
      <w:bookmarkEnd w:id="5"/>
    </w:p>
    <w:p w14:paraId="7FF5FDA7">
      <w:pPr>
        <w:pStyle w:val="4"/>
        <w:spacing w:before="0" w:after="0" w:line="360" w:lineRule="auto"/>
        <w:ind w:firstLine="422"/>
        <w:rPr>
          <w:rFonts w:ascii="宋体" w:hAnsi="宋体" w:eastAsia="宋体" w:cs="宋体"/>
          <w:color w:val="auto"/>
          <w:sz w:val="21"/>
          <w:szCs w:val="21"/>
          <w:highlight w:val="none"/>
        </w:rPr>
      </w:pPr>
      <w:bookmarkStart w:id="7" w:name="_Toc20578"/>
      <w:bookmarkStart w:id="8" w:name="_Toc20821"/>
      <w:bookmarkStart w:id="9" w:name="_Toc17932"/>
      <w:r>
        <w:rPr>
          <w:rFonts w:hint="eastAsia" w:ascii="宋体" w:hAnsi="宋体" w:eastAsia="宋体" w:cs="宋体"/>
          <w:color w:val="auto"/>
          <w:sz w:val="21"/>
          <w:szCs w:val="21"/>
          <w:highlight w:val="none"/>
        </w:rPr>
        <w:t>1.招标条件</w:t>
      </w:r>
      <w:bookmarkEnd w:id="6"/>
      <w:bookmarkEnd w:id="7"/>
      <w:bookmarkEnd w:id="8"/>
      <w:bookmarkEnd w:id="9"/>
    </w:p>
    <w:p w14:paraId="56B3782C">
      <w:pPr>
        <w:widowControl w:val="0"/>
        <w:tabs>
          <w:tab w:val="left" w:pos="1020"/>
        </w:tabs>
        <w:wordWrap w:val="0"/>
        <w:ind w:firstLine="420"/>
        <w:jc w:val="both"/>
        <w:rPr>
          <w:rFonts w:ascii="宋体" w:hAnsi="宋体" w:cs="宋体"/>
          <w:color w:val="auto"/>
          <w:szCs w:val="21"/>
          <w:highlight w:val="none"/>
          <w:lang w:bidi="ar"/>
        </w:rPr>
      </w:pPr>
      <w:bookmarkStart w:id="10" w:name="_Toc27259"/>
      <w:bookmarkStart w:id="11" w:name="_Toc15372"/>
      <w:r>
        <w:rPr>
          <w:rFonts w:hint="eastAsia" w:ascii="宋体" w:hAnsi="宋体" w:cs="宋体"/>
          <w:color w:val="auto"/>
          <w:szCs w:val="21"/>
          <w:highlight w:val="none"/>
          <w:lang w:bidi="ar"/>
        </w:rPr>
        <w:t>本招标项目重庆三峡银行积分商城商品权益供应入围项目，项目业主为</w:t>
      </w:r>
      <w:r>
        <w:rPr>
          <w:rFonts w:hint="eastAsia" w:ascii="宋体" w:hAnsi="宋体" w:cs="宋体"/>
          <w:color w:val="auto"/>
          <w:szCs w:val="21"/>
          <w:highlight w:val="none"/>
          <w:u w:val="single"/>
          <w:lang w:bidi="ar"/>
        </w:rPr>
        <w:t>重庆三峡银行股份有限公司</w:t>
      </w:r>
      <w:r>
        <w:rPr>
          <w:rFonts w:hint="eastAsia" w:ascii="宋体" w:hAnsi="宋体" w:cs="宋体"/>
          <w:color w:val="auto"/>
          <w:szCs w:val="21"/>
          <w:highlight w:val="none"/>
          <w:lang w:bidi="ar"/>
        </w:rPr>
        <w:t>，建设资金来自</w:t>
      </w:r>
      <w:r>
        <w:rPr>
          <w:rFonts w:hint="eastAsia" w:ascii="宋体" w:hAnsi="宋体" w:cs="宋体"/>
          <w:color w:val="auto"/>
          <w:szCs w:val="21"/>
          <w:highlight w:val="none"/>
          <w:u w:val="single"/>
          <w:lang w:bidi="ar"/>
        </w:rPr>
        <w:t>企业自筹</w:t>
      </w:r>
      <w:r>
        <w:rPr>
          <w:rFonts w:hint="eastAsia" w:ascii="宋体" w:hAnsi="宋体" w:cs="宋体"/>
          <w:color w:val="auto"/>
          <w:szCs w:val="21"/>
          <w:highlight w:val="none"/>
          <w:lang w:bidi="ar"/>
        </w:rPr>
        <w:t>，项目出资比例为</w:t>
      </w:r>
      <w:r>
        <w:rPr>
          <w:rFonts w:hint="eastAsia" w:ascii="宋体" w:hAnsi="宋体" w:cs="宋体"/>
          <w:color w:val="auto"/>
          <w:szCs w:val="21"/>
          <w:highlight w:val="none"/>
          <w:u w:val="single"/>
          <w:lang w:bidi="ar"/>
        </w:rPr>
        <w:t>100%</w:t>
      </w:r>
      <w:r>
        <w:rPr>
          <w:rFonts w:hint="eastAsia" w:ascii="宋体" w:hAnsi="宋体" w:cs="宋体"/>
          <w:color w:val="auto"/>
          <w:szCs w:val="21"/>
          <w:highlight w:val="none"/>
          <w:lang w:bidi="ar"/>
        </w:rPr>
        <w:t>，招标人为</w:t>
      </w:r>
      <w:r>
        <w:rPr>
          <w:rFonts w:hint="eastAsia" w:ascii="宋体" w:hAnsi="宋体" w:cs="宋体"/>
          <w:color w:val="auto"/>
          <w:szCs w:val="21"/>
          <w:highlight w:val="none"/>
          <w:u w:val="single"/>
          <w:lang w:bidi="ar"/>
        </w:rPr>
        <w:t>重庆三峡银行股份有限公司</w:t>
      </w:r>
      <w:r>
        <w:rPr>
          <w:rFonts w:hint="eastAsia" w:ascii="宋体" w:hAnsi="宋体" w:cs="宋体"/>
          <w:color w:val="auto"/>
          <w:szCs w:val="21"/>
          <w:highlight w:val="none"/>
          <w:lang w:bidi="ar"/>
        </w:rPr>
        <w:t>。项目已具备招标条件，现对该项目进行公开招标。</w:t>
      </w:r>
    </w:p>
    <w:p w14:paraId="68949403">
      <w:pPr>
        <w:pStyle w:val="4"/>
        <w:spacing w:before="0" w:after="0" w:line="360" w:lineRule="auto"/>
        <w:ind w:firstLine="422"/>
        <w:rPr>
          <w:rFonts w:ascii="宋体" w:hAnsi="宋体" w:eastAsia="宋体" w:cs="宋体"/>
          <w:color w:val="auto"/>
          <w:sz w:val="21"/>
          <w:szCs w:val="21"/>
          <w:highlight w:val="none"/>
        </w:rPr>
      </w:pPr>
      <w:bookmarkStart w:id="12" w:name="_Toc20812"/>
      <w:bookmarkStart w:id="13" w:name="_Toc14542"/>
      <w:r>
        <w:rPr>
          <w:rFonts w:hint="eastAsia" w:ascii="宋体" w:hAnsi="宋体" w:eastAsia="宋体" w:cs="宋体"/>
          <w:color w:val="auto"/>
          <w:sz w:val="21"/>
          <w:szCs w:val="21"/>
          <w:highlight w:val="none"/>
        </w:rPr>
        <w:t>2.</w:t>
      </w:r>
      <w:bookmarkEnd w:id="10"/>
      <w:r>
        <w:rPr>
          <w:rFonts w:hint="eastAsia" w:ascii="宋体" w:hAnsi="宋体" w:eastAsia="宋体" w:cs="宋体"/>
          <w:color w:val="auto"/>
          <w:sz w:val="21"/>
          <w:szCs w:val="21"/>
          <w:highlight w:val="none"/>
        </w:rPr>
        <w:t>项目概况与招标</w:t>
      </w:r>
      <w:bookmarkEnd w:id="11"/>
      <w:r>
        <w:rPr>
          <w:rFonts w:hint="eastAsia" w:ascii="宋体" w:hAnsi="宋体" w:eastAsia="宋体" w:cs="宋体"/>
          <w:color w:val="auto"/>
          <w:sz w:val="21"/>
          <w:szCs w:val="21"/>
          <w:highlight w:val="none"/>
        </w:rPr>
        <w:t>范围</w:t>
      </w:r>
      <w:bookmarkEnd w:id="12"/>
      <w:bookmarkEnd w:id="13"/>
    </w:p>
    <w:p w14:paraId="2B46267B">
      <w:pPr>
        <w:widowControl w:val="0"/>
        <w:tabs>
          <w:tab w:val="left" w:pos="1020"/>
        </w:tabs>
        <w:wordWrap w:val="0"/>
        <w:ind w:firstLine="420"/>
        <w:rPr>
          <w:rFonts w:hint="eastAsia" w:ascii="宋体" w:hAnsi="宋体" w:eastAsia="宋体" w:cs="宋体"/>
          <w:color w:val="auto"/>
          <w:szCs w:val="21"/>
          <w:highlight w:val="none"/>
          <w:lang w:eastAsia="zh-CN" w:bidi="ar"/>
        </w:rPr>
      </w:pPr>
      <w:bookmarkStart w:id="14" w:name="_Toc348949151"/>
      <w:bookmarkStart w:id="15" w:name="_Toc365621241"/>
      <w:bookmarkStart w:id="16" w:name="_Toc23129"/>
      <w:bookmarkStart w:id="17" w:name="_Toc22679"/>
      <w:r>
        <w:rPr>
          <w:rFonts w:hint="eastAsia" w:ascii="宋体" w:hAnsi="宋体" w:cs="宋体"/>
          <w:color w:val="auto"/>
          <w:szCs w:val="21"/>
          <w:highlight w:val="none"/>
          <w:lang w:bidi="ar"/>
        </w:rPr>
        <w:t>2.1 项目概况：重庆三峡银行积分商城商品权益供应入围</w:t>
      </w:r>
      <w:r>
        <w:rPr>
          <w:rFonts w:hint="eastAsia" w:ascii="宋体" w:hAnsi="宋体" w:cs="宋体"/>
          <w:color w:val="auto"/>
          <w:szCs w:val="21"/>
          <w:highlight w:val="none"/>
          <w:lang w:eastAsia="zh-CN" w:bidi="ar"/>
        </w:rPr>
        <w:t>，</w:t>
      </w:r>
      <w:r>
        <w:rPr>
          <w:rFonts w:hint="eastAsia"/>
          <w:highlight w:val="none"/>
          <w:lang w:val="en-US" w:eastAsia="zh-CN"/>
        </w:rPr>
        <w:t>本次商品权益供应入围项目，旨在为重庆三峡银行个人客户提供涵盖实物商品、虚拟商品的多元化积分兑换、权益领取及核销服务，全面提升个人客户增值服务体验</w:t>
      </w:r>
      <w:r>
        <w:rPr>
          <w:rFonts w:hint="eastAsia" w:ascii="宋体" w:hAnsi="宋体" w:cs="宋体"/>
          <w:color w:val="auto"/>
          <w:szCs w:val="21"/>
          <w:highlight w:val="none"/>
          <w:lang w:eastAsia="zh-CN" w:bidi="ar"/>
        </w:rPr>
        <w:t>。</w:t>
      </w:r>
    </w:p>
    <w:p w14:paraId="26DE85B1">
      <w:pPr>
        <w:widowControl w:val="0"/>
        <w:tabs>
          <w:tab w:val="left" w:pos="1020"/>
        </w:tabs>
        <w:wordWrap w:val="0"/>
        <w:ind w:firstLine="42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bidi="ar"/>
        </w:rPr>
        <w:t>2.2 招标范围：</w:t>
      </w:r>
      <w:r>
        <w:rPr>
          <w:rFonts w:hint="eastAsia" w:ascii="宋体" w:hAnsi="宋体" w:cs="宋体"/>
          <w:color w:val="auto"/>
          <w:szCs w:val="21"/>
          <w:highlight w:val="none"/>
          <w:lang w:val="en-US" w:eastAsia="zh-CN" w:bidi="ar"/>
        </w:rPr>
        <w:t>一为重庆三峡银行积分商城提供商品权益供应；二是免费策划、开发积分及个人客户权益相关营销活动，并对活动提供商品权益供应。</w:t>
      </w:r>
    </w:p>
    <w:p w14:paraId="32592E46">
      <w:pPr>
        <w:widowControl w:val="0"/>
        <w:tabs>
          <w:tab w:val="left" w:pos="1020"/>
        </w:tabs>
        <w:wordWrap w:val="0"/>
        <w:ind w:firstLine="42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主要的商品采购范围包括：</w:t>
      </w:r>
    </w:p>
    <w:p w14:paraId="63D563A7">
      <w:pPr>
        <w:widowControl w:val="0"/>
        <w:tabs>
          <w:tab w:val="left" w:pos="1020"/>
        </w:tabs>
        <w:wordWrap w:val="0"/>
        <w:ind w:firstLine="42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实物商品：包括但不限于米面粮油类、家清日化类、厨房用具类、家居家纺类、家用电器类、饮料冲调类、坚果零食类、运动户外类、个护美妆类、箱包皮具类等银行积分商城常见实物商品。</w:t>
      </w:r>
    </w:p>
    <w:p w14:paraId="0022DED1">
      <w:pPr>
        <w:widowControl w:val="0"/>
        <w:tabs>
          <w:tab w:val="left" w:pos="1020"/>
        </w:tabs>
        <w:wordWrap w:val="0"/>
        <w:ind w:firstLine="420"/>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虚拟商品：包括但不限于支付立减类（微信立减金、京东E卡等）；视频会员类（优酷、爱奇艺、腾讯等）；商超类（沃尔玛、山姆、盒马生鲜等）；加油卡类（中石油、中石化等）；全国连锁商户类（星巴克、Costa、哈根达斯、必胜客等）；电影票券类（猫眼、淘票票等）；健康体检类（爱康国宾、三甲医院体检中心等）；食品生鲜类（美团、饿了么、顺丰优选、中粮等）；话费流量类（移动、联通、电信）；旅游出行类（机场、高铁贵宾厅、携程等）；打车类（滴滴等）；家政服务类（天鹅到家、京东家政等）等虚拟商品。</w:t>
      </w:r>
    </w:p>
    <w:p w14:paraId="28DF0293">
      <w:pPr>
        <w:widowControl w:val="0"/>
        <w:tabs>
          <w:tab w:val="left" w:pos="1020"/>
        </w:tabs>
        <w:wordWrap w:val="0"/>
        <w:ind w:firstLine="420"/>
        <w:rPr>
          <w:rFonts w:ascii="宋体" w:hAnsi="宋体" w:cs="宋体"/>
          <w:color w:val="auto"/>
          <w:szCs w:val="21"/>
          <w:highlight w:val="none"/>
          <w:lang w:bidi="ar"/>
        </w:rPr>
      </w:pPr>
      <w:r>
        <w:rPr>
          <w:rFonts w:hint="eastAsia" w:ascii="宋体" w:hAnsi="宋体" w:cs="宋体"/>
          <w:color w:val="auto"/>
          <w:szCs w:val="21"/>
          <w:highlight w:val="none"/>
          <w:lang w:bidi="ar"/>
        </w:rPr>
        <w:t>2.3入围单位及数量：</w:t>
      </w:r>
      <w:r>
        <w:rPr>
          <w:rFonts w:hint="eastAsia" w:ascii="宋体" w:hAnsi="宋体" w:cs="宋体"/>
          <w:color w:val="auto"/>
          <w:szCs w:val="21"/>
          <w:highlight w:val="none"/>
          <w:lang w:val="en-US" w:eastAsia="zh-CN" w:bidi="ar"/>
        </w:rPr>
        <w:t>共入围4家商品权益供应商</w:t>
      </w:r>
      <w:r>
        <w:rPr>
          <w:rFonts w:hint="eastAsia" w:ascii="宋体" w:hAnsi="宋体" w:cs="宋体"/>
          <w:color w:val="auto"/>
          <w:szCs w:val="21"/>
          <w:highlight w:val="none"/>
          <w:lang w:bidi="ar"/>
        </w:rPr>
        <w:t>。</w:t>
      </w:r>
    </w:p>
    <w:p w14:paraId="65AC25D0">
      <w:pPr>
        <w:widowControl w:val="0"/>
        <w:tabs>
          <w:tab w:val="left" w:pos="1020"/>
        </w:tabs>
        <w:wordWrap w:val="0"/>
        <w:ind w:firstLine="420"/>
        <w:rPr>
          <w:rFonts w:ascii="宋体" w:hAnsi="宋体" w:cs="宋体"/>
          <w:color w:val="auto"/>
          <w:szCs w:val="21"/>
          <w:highlight w:val="none"/>
          <w:lang w:bidi="ar"/>
        </w:rPr>
      </w:pPr>
      <w:r>
        <w:rPr>
          <w:rFonts w:hint="eastAsia" w:ascii="宋体" w:hAnsi="宋体" w:cs="宋体"/>
          <w:color w:val="auto"/>
          <w:szCs w:val="21"/>
          <w:highlight w:val="none"/>
          <w:lang w:bidi="ar"/>
        </w:rPr>
        <w:t>2.4</w:t>
      </w:r>
      <w:r>
        <w:rPr>
          <w:rFonts w:hint="eastAsia" w:ascii="宋体" w:hAnsi="宋体" w:cs="宋体"/>
          <w:color w:val="auto"/>
          <w:szCs w:val="21"/>
          <w:highlight w:val="none"/>
          <w:lang w:val="en-US" w:eastAsia="zh-CN" w:bidi="ar"/>
        </w:rPr>
        <w:t>服务地点</w:t>
      </w:r>
      <w:r>
        <w:rPr>
          <w:rFonts w:hint="eastAsia" w:ascii="宋体" w:hAnsi="宋体" w:cs="宋体"/>
          <w:color w:val="auto"/>
          <w:szCs w:val="21"/>
          <w:highlight w:val="none"/>
          <w:lang w:bidi="ar"/>
        </w:rPr>
        <w:t>：招标人指定地点。</w:t>
      </w:r>
    </w:p>
    <w:p w14:paraId="483D497A">
      <w:pPr>
        <w:widowControl w:val="0"/>
        <w:tabs>
          <w:tab w:val="left" w:pos="1020"/>
        </w:tabs>
        <w:wordWrap w:val="0"/>
        <w:ind w:firstLine="420"/>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bidi="ar"/>
        </w:rPr>
        <w:t>2.5</w:t>
      </w:r>
      <w:r>
        <w:rPr>
          <w:rFonts w:hint="eastAsia" w:ascii="宋体" w:hAnsi="宋体" w:cs="宋体"/>
          <w:color w:val="auto"/>
          <w:szCs w:val="21"/>
          <w:highlight w:val="none"/>
          <w:lang w:val="en-US" w:eastAsia="zh-CN" w:bidi="ar"/>
        </w:rPr>
        <w:t>服务期</w:t>
      </w:r>
      <w:r>
        <w:rPr>
          <w:rFonts w:hint="eastAsia" w:ascii="宋体" w:hAnsi="宋体" w:cs="宋体"/>
          <w:color w:val="auto"/>
          <w:szCs w:val="21"/>
          <w:highlight w:val="none"/>
          <w:lang w:bidi="ar"/>
        </w:rPr>
        <w:t>：</w:t>
      </w:r>
      <w:r>
        <w:rPr>
          <w:rFonts w:hint="eastAsia"/>
          <w:highlight w:val="none"/>
          <w:lang w:val="en-US" w:eastAsia="zh-CN"/>
        </w:rPr>
        <w:t>三年。</w:t>
      </w:r>
    </w:p>
    <w:p w14:paraId="42A4D316">
      <w:pPr>
        <w:pStyle w:val="4"/>
        <w:spacing w:before="0" w:after="0" w:line="360" w:lineRule="auto"/>
        <w:ind w:firstLine="422"/>
        <w:rPr>
          <w:rFonts w:ascii="宋体" w:hAnsi="宋体" w:eastAsia="宋体" w:cs="宋体"/>
          <w:color w:val="auto"/>
          <w:sz w:val="21"/>
          <w:szCs w:val="21"/>
          <w:highlight w:val="none"/>
        </w:rPr>
      </w:pPr>
      <w:bookmarkStart w:id="18" w:name="_Toc31765"/>
      <w:bookmarkStart w:id="19" w:name="_Toc23848"/>
      <w:r>
        <w:rPr>
          <w:rFonts w:hint="eastAsia" w:ascii="宋体" w:hAnsi="宋体" w:eastAsia="宋体" w:cs="宋体"/>
          <w:color w:val="auto"/>
          <w:sz w:val="21"/>
          <w:szCs w:val="21"/>
          <w:highlight w:val="none"/>
        </w:rPr>
        <w:t>3.投标人资格要求</w:t>
      </w:r>
      <w:bookmarkEnd w:id="14"/>
      <w:bookmarkEnd w:id="15"/>
      <w:bookmarkEnd w:id="16"/>
      <w:r>
        <w:rPr>
          <w:rFonts w:hint="eastAsia" w:ascii="宋体" w:hAnsi="宋体" w:eastAsia="宋体" w:cs="宋体"/>
          <w:color w:val="auto"/>
          <w:sz w:val="21"/>
          <w:szCs w:val="21"/>
          <w:highlight w:val="none"/>
        </w:rPr>
        <w:t>（具体资格要求以投标人须知前附表1.4.1为准）</w:t>
      </w:r>
      <w:bookmarkEnd w:id="17"/>
      <w:bookmarkEnd w:id="18"/>
      <w:bookmarkEnd w:id="19"/>
    </w:p>
    <w:p w14:paraId="22607EA1">
      <w:pPr>
        <w:widowControl w:val="0"/>
        <w:tabs>
          <w:tab w:val="left" w:pos="1020"/>
        </w:tabs>
        <w:wordWrap w:val="0"/>
        <w:ind w:firstLine="420"/>
        <w:rPr>
          <w:rFonts w:ascii="宋体" w:hAnsi="宋体" w:cs="宋体"/>
          <w:color w:val="auto"/>
          <w:szCs w:val="21"/>
          <w:highlight w:val="none"/>
        </w:rPr>
      </w:pPr>
      <w:bookmarkStart w:id="20" w:name="_Toc7063"/>
      <w:bookmarkStart w:id="21" w:name="_Toc8150"/>
      <w:r>
        <w:rPr>
          <w:rFonts w:hint="eastAsia" w:ascii="宋体" w:hAnsi="宋体" w:cs="宋体"/>
          <w:color w:val="auto"/>
          <w:szCs w:val="21"/>
          <w:highlight w:val="none"/>
        </w:rPr>
        <w:t>3.1 投标人具备有效的中华人民共和国电信与信息服务业务经营许可证（即ICP许可证）、中华人民共和国增值电信业务经营许可证（即EDI经营许可证）。</w:t>
      </w:r>
    </w:p>
    <w:p w14:paraId="59CEAABE">
      <w:pPr>
        <w:widowControl w:val="0"/>
        <w:tabs>
          <w:tab w:val="left" w:pos="1020"/>
        </w:tabs>
        <w:wordWrap w:val="0"/>
        <w:ind w:firstLine="420"/>
        <w:rPr>
          <w:rFonts w:ascii="宋体" w:hAnsi="宋体" w:cs="宋体"/>
          <w:color w:val="auto"/>
          <w:szCs w:val="21"/>
          <w:highlight w:val="none"/>
        </w:rPr>
      </w:pPr>
      <w:r>
        <w:rPr>
          <w:rFonts w:hint="eastAsia" w:ascii="宋体" w:hAnsi="宋体" w:cs="宋体"/>
          <w:color w:val="auto"/>
          <w:szCs w:val="21"/>
          <w:highlight w:val="none"/>
        </w:rPr>
        <w:t>3.2  投标人还应在业绩、资金、人员等方面具有相应的</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能力，详见招标文件第二章投标人须知前附表第1.4.1项内容。</w:t>
      </w:r>
    </w:p>
    <w:p w14:paraId="08B210F1">
      <w:pPr>
        <w:widowControl w:val="0"/>
        <w:tabs>
          <w:tab w:val="left" w:pos="1020"/>
        </w:tabs>
        <w:wordWrap w:val="0"/>
        <w:ind w:firstLine="420"/>
        <w:rPr>
          <w:rFonts w:ascii="宋体" w:hAnsi="宋体" w:cs="宋体"/>
          <w:color w:val="auto"/>
          <w:szCs w:val="21"/>
          <w:highlight w:val="none"/>
        </w:rPr>
      </w:pPr>
      <w:r>
        <w:rPr>
          <w:rFonts w:hint="eastAsia" w:ascii="宋体" w:hAnsi="宋体" w:cs="宋体"/>
          <w:color w:val="auto"/>
          <w:szCs w:val="21"/>
          <w:highlight w:val="none"/>
        </w:rPr>
        <w:t>3.3  本次招标不接受联合体投标。</w:t>
      </w:r>
    </w:p>
    <w:p w14:paraId="1C0EFE54">
      <w:pPr>
        <w:pStyle w:val="4"/>
        <w:spacing w:before="0" w:after="0" w:line="360" w:lineRule="auto"/>
        <w:ind w:firstLine="422"/>
        <w:rPr>
          <w:rFonts w:hint="eastAsia" w:ascii="宋体" w:hAnsi="宋体" w:eastAsia="宋体" w:cs="宋体"/>
          <w:color w:val="auto"/>
          <w:sz w:val="21"/>
          <w:szCs w:val="21"/>
          <w:highlight w:val="none"/>
        </w:rPr>
      </w:pPr>
      <w:bookmarkStart w:id="22" w:name="_Toc4730"/>
      <w:bookmarkStart w:id="23" w:name="_Toc26760"/>
      <w:r>
        <w:rPr>
          <w:rFonts w:hint="eastAsia" w:ascii="宋体" w:hAnsi="宋体" w:eastAsia="宋体" w:cs="宋体"/>
          <w:color w:val="auto"/>
          <w:sz w:val="21"/>
          <w:szCs w:val="21"/>
          <w:highlight w:val="none"/>
        </w:rPr>
        <w:t>4.  招标文件的获取</w:t>
      </w:r>
      <w:bookmarkEnd w:id="20"/>
      <w:bookmarkEnd w:id="21"/>
      <w:bookmarkEnd w:id="22"/>
      <w:bookmarkEnd w:id="23"/>
    </w:p>
    <w:p w14:paraId="1A196542">
      <w:pPr>
        <w:widowControl w:val="0"/>
        <w:tabs>
          <w:tab w:val="left" w:pos="1020"/>
        </w:tabs>
        <w:wordWrap w:val="0"/>
        <w:ind w:firstLine="420"/>
        <w:rPr>
          <w:rFonts w:hint="eastAsia" w:ascii="宋体" w:hAnsi="宋体" w:cs="宋体"/>
          <w:color w:val="auto"/>
          <w:szCs w:val="21"/>
          <w:highlight w:val="none"/>
        </w:rPr>
      </w:pPr>
      <w:bookmarkStart w:id="24" w:name="_Toc9609"/>
      <w:bookmarkStart w:id="25" w:name="_Toc6599"/>
      <w:bookmarkStart w:id="26" w:name="_Toc11890"/>
      <w:bookmarkStart w:id="27" w:name="_Toc25372"/>
      <w:r>
        <w:rPr>
          <w:rFonts w:hint="eastAsia" w:ascii="宋体" w:hAnsi="宋体" w:cs="宋体"/>
          <w:color w:val="auto"/>
          <w:szCs w:val="21"/>
          <w:highlight w:val="none"/>
        </w:rPr>
        <w:t>4.1  凡有意参加投标者，请于</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日（北京时间，下同）起在重庆市公共资源交易网（www.cqggzy.com）下载招标文件、工程量清单、图纸、澄清、修改、补充通知、最高限价通知等全部内容。不管下载与否都视为潜在投标人全部知晓有关招投标过程和全部内容。</w:t>
      </w:r>
    </w:p>
    <w:p w14:paraId="0110FE7A">
      <w:pPr>
        <w:widowControl w:val="0"/>
        <w:tabs>
          <w:tab w:val="left" w:pos="1020"/>
        </w:tabs>
        <w:wordWrap w:val="0"/>
        <w:ind w:firstLine="420"/>
        <w:rPr>
          <w:rFonts w:hint="eastAsia" w:ascii="宋体" w:hAnsi="宋体" w:cs="宋体"/>
          <w:color w:val="auto"/>
          <w:szCs w:val="21"/>
          <w:highlight w:val="none"/>
        </w:rPr>
      </w:pPr>
      <w:r>
        <w:rPr>
          <w:rFonts w:hint="eastAsia" w:ascii="宋体" w:hAnsi="宋体" w:cs="宋体"/>
          <w:color w:val="auto"/>
          <w:szCs w:val="21"/>
          <w:highlight w:val="none"/>
        </w:rPr>
        <w:t>4.2  投标人可在重庆市公共资源交易网（www.cqggzy.com）本项目招标公告网页下方“我要提问”栏提出疑问，提问时间从本公告发布至</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分（北京时间）前。</w:t>
      </w:r>
    </w:p>
    <w:p w14:paraId="4A044324">
      <w:pPr>
        <w:pageBreakBefore w:val="0"/>
        <w:widowControl w:val="0"/>
        <w:tabs>
          <w:tab w:val="left" w:pos="1020"/>
        </w:tabs>
        <w:kinsoku/>
        <w:wordWrap w:val="0"/>
        <w:overflowPunct/>
        <w:topLinePunct w:val="0"/>
        <w:autoSpaceDE/>
        <w:autoSpaceDN/>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4.3  招标人应于</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分（（北京时间）前在重庆市公共资源交易网（www.cqggzy.com）发布澄清</w:t>
      </w:r>
      <w:r>
        <w:rPr>
          <w:rFonts w:hint="eastAsia" w:ascii="宋体" w:hAnsi="宋体" w:cs="宋体"/>
          <w:color w:val="auto"/>
          <w:szCs w:val="21"/>
          <w:highlight w:val="none"/>
          <w:lang w:val="en-US" w:eastAsia="zh-CN"/>
        </w:rPr>
        <w:t>或修改</w:t>
      </w:r>
      <w:r>
        <w:rPr>
          <w:rFonts w:hint="eastAsia" w:ascii="宋体" w:hAnsi="宋体" w:cs="宋体"/>
          <w:color w:val="auto"/>
          <w:szCs w:val="21"/>
          <w:highlight w:val="none"/>
        </w:rPr>
        <w:t>。</w:t>
      </w:r>
    </w:p>
    <w:p w14:paraId="3B4DB093">
      <w:pPr>
        <w:pStyle w:val="4"/>
        <w:pageBreakBefore w:val="0"/>
        <w:kinsoku/>
        <w:overflowPunct/>
        <w:topLinePunct w:val="0"/>
        <w:autoSpaceDE/>
        <w:autoSpaceDN/>
        <w:bidi w:val="0"/>
        <w:snapToGrid w:val="0"/>
        <w:spacing w:before="0" w:after="0" w:line="36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投标文件的递交</w:t>
      </w:r>
      <w:bookmarkEnd w:id="24"/>
      <w:bookmarkEnd w:id="25"/>
      <w:bookmarkStart w:id="1017" w:name="_GoBack"/>
      <w:bookmarkEnd w:id="1017"/>
    </w:p>
    <w:p w14:paraId="161C1418">
      <w:pPr>
        <w:pageBreakBefore w:val="0"/>
        <w:widowControl w:val="0"/>
        <w:tabs>
          <w:tab w:val="left" w:pos="1020"/>
        </w:tabs>
        <w:kinsoku/>
        <w:wordWrap w:val="0"/>
        <w:overflowPunct/>
        <w:topLinePunct w:val="0"/>
        <w:autoSpaceDE/>
        <w:autoSpaceDN/>
        <w:bidi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  投标文件递交的截止时间（投标截止时间，下同）为</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 xml:space="preserve">分，地点为 </w:t>
      </w:r>
      <w:r>
        <w:rPr>
          <w:rFonts w:hint="eastAsia" w:ascii="宋体" w:hAnsi="宋体" w:cs="宋体"/>
          <w:color w:val="auto"/>
          <w:szCs w:val="21"/>
          <w:highlight w:val="none"/>
          <w:u w:val="single"/>
        </w:rPr>
        <w:t>重庆市公共资源交易中心（重庆市渝北区青枫北路6号渝兴广场B10栋2层），具体房间号见开标当日指示牌</w:t>
      </w:r>
      <w:r>
        <w:rPr>
          <w:rFonts w:hint="eastAsia" w:ascii="宋体" w:hAnsi="宋体" w:cs="宋体"/>
          <w:color w:val="auto"/>
          <w:szCs w:val="21"/>
          <w:highlight w:val="none"/>
        </w:rPr>
        <w:t>。</w:t>
      </w:r>
    </w:p>
    <w:p w14:paraId="24E3DEFE">
      <w:pPr>
        <w:pageBreakBefore w:val="0"/>
        <w:widowControl w:val="0"/>
        <w:tabs>
          <w:tab w:val="left" w:pos="1020"/>
        </w:tabs>
        <w:kinsoku/>
        <w:wordWrap w:val="0"/>
        <w:overflowPunct/>
        <w:topLinePunct w:val="0"/>
        <w:autoSpaceDE/>
        <w:autoSpaceDN/>
        <w:bidi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5.2  逾期送达的或者未送达指定地点的投标文件，招标人不予受理。</w:t>
      </w:r>
    </w:p>
    <w:p w14:paraId="45B66299">
      <w:pPr>
        <w:pStyle w:val="4"/>
        <w:pageBreakBefore w:val="0"/>
        <w:kinsoku/>
        <w:overflowPunct/>
        <w:topLinePunct w:val="0"/>
        <w:autoSpaceDE/>
        <w:autoSpaceDN/>
        <w:bidi w:val="0"/>
        <w:snapToGrid w:val="0"/>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.发布公告的媒介</w:t>
      </w:r>
    </w:p>
    <w:p w14:paraId="7540911B">
      <w:pPr>
        <w:pStyle w:val="34"/>
        <w:pageBreakBefore w:val="0"/>
        <w:kinsoku/>
        <w:overflowPunct/>
        <w:topLinePunct w:val="0"/>
        <w:autoSpaceDE/>
        <w:autoSpaceDN/>
        <w:bidi w:val="0"/>
        <w:snapToGrid w:val="0"/>
        <w:spacing w:after="0" w:line="360" w:lineRule="auto"/>
        <w:ind w:firstLine="420"/>
        <w:rPr>
          <w:color w:val="auto"/>
          <w:highlight w:val="none"/>
        </w:rPr>
      </w:pPr>
      <w:r>
        <w:rPr>
          <w:rFonts w:ascii="宋体" w:hAnsi="宋体"/>
          <w:snapToGrid w:val="0"/>
          <w:kern w:val="0"/>
          <w:szCs w:val="21"/>
        </w:rPr>
        <w:t>本次招标公告同时在</w:t>
      </w:r>
      <w:r>
        <w:rPr>
          <w:rFonts w:hint="eastAsia" w:ascii="宋体" w:hAnsi="宋体"/>
          <w:snapToGrid w:val="0"/>
          <w:kern w:val="0"/>
          <w:szCs w:val="21"/>
          <w:u w:val="single"/>
        </w:rPr>
        <w:t>重庆市公共资源交易网（www.cqggzy.com）</w:t>
      </w:r>
      <w:r>
        <w:rPr>
          <w:rFonts w:ascii="宋体" w:hAnsi="宋体"/>
          <w:snapToGrid w:val="0"/>
          <w:kern w:val="0"/>
          <w:szCs w:val="21"/>
        </w:rPr>
        <w:t>上发布</w:t>
      </w:r>
      <w:r>
        <w:rPr>
          <w:rFonts w:hint="eastAsia"/>
          <w:color w:val="auto"/>
          <w:highlight w:val="none"/>
        </w:rPr>
        <w:t>。</w:t>
      </w:r>
    </w:p>
    <w:p w14:paraId="6D8865ED">
      <w:pPr>
        <w:pStyle w:val="4"/>
        <w:pageBreakBefore w:val="0"/>
        <w:kinsoku/>
        <w:overflowPunct/>
        <w:topLinePunct w:val="0"/>
        <w:autoSpaceDE/>
        <w:autoSpaceDN/>
        <w:bidi w:val="0"/>
        <w:snapToGrid w:val="0"/>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.招标单位及联系方式</w:t>
      </w:r>
    </w:p>
    <w:bookmarkEnd w:id="26"/>
    <w:bookmarkEnd w:id="27"/>
    <w:p w14:paraId="13DBB5E1">
      <w:pPr>
        <w:pStyle w:val="34"/>
        <w:pageBreakBefore w:val="0"/>
        <w:kinsoku/>
        <w:overflowPunct/>
        <w:topLinePunct w:val="0"/>
        <w:autoSpaceDE/>
        <w:autoSpaceDN/>
        <w:bidi w:val="0"/>
        <w:snapToGrid w:val="0"/>
        <w:spacing w:after="0" w:line="360" w:lineRule="auto"/>
        <w:ind w:firstLine="420"/>
        <w:rPr>
          <w:rFonts w:hint="eastAsia"/>
          <w:color w:val="auto"/>
          <w:highlight w:val="none"/>
        </w:rPr>
      </w:pPr>
      <w:bookmarkStart w:id="28" w:name="_Toc27885"/>
      <w:bookmarkStart w:id="29" w:name="_Toc26421"/>
      <w:bookmarkStart w:id="30" w:name="_Toc23696"/>
      <w:bookmarkStart w:id="31" w:name="_Toc3078"/>
      <w:r>
        <w:rPr>
          <w:rFonts w:hint="eastAsia"/>
          <w:color w:val="auto"/>
          <w:highlight w:val="none"/>
        </w:rPr>
        <w:t>招标人：重庆三峡银行股份有限公司</w:t>
      </w:r>
    </w:p>
    <w:p w14:paraId="4EB1C772">
      <w:pPr>
        <w:pStyle w:val="34"/>
        <w:pageBreakBefore w:val="0"/>
        <w:kinsoku/>
        <w:overflowPunct/>
        <w:topLinePunct w:val="0"/>
        <w:autoSpaceDE/>
        <w:autoSpaceDN/>
        <w:bidi w:val="0"/>
        <w:snapToGrid w:val="0"/>
        <w:spacing w:after="0" w:line="360" w:lineRule="auto"/>
        <w:ind w:firstLine="420"/>
        <w:rPr>
          <w:rFonts w:hint="eastAsia"/>
          <w:color w:val="auto"/>
          <w:highlight w:val="none"/>
        </w:rPr>
      </w:pPr>
      <w:r>
        <w:rPr>
          <w:rFonts w:hint="eastAsia"/>
          <w:color w:val="auto"/>
          <w:highlight w:val="none"/>
        </w:rPr>
        <w:t>地  址：重庆市渝北区嘉州路88号中渝国际都会4号写字楼</w:t>
      </w:r>
    </w:p>
    <w:p w14:paraId="764C51C5">
      <w:pPr>
        <w:pStyle w:val="34"/>
        <w:pageBreakBefore w:val="0"/>
        <w:kinsoku/>
        <w:overflowPunct/>
        <w:topLinePunct w:val="0"/>
        <w:autoSpaceDE/>
        <w:autoSpaceDN/>
        <w:bidi w:val="0"/>
        <w:snapToGrid w:val="0"/>
        <w:spacing w:after="0" w:line="360" w:lineRule="auto"/>
        <w:ind w:firstLine="420"/>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谭老师、敬老师</w:t>
      </w:r>
    </w:p>
    <w:p w14:paraId="0097556B">
      <w:pPr>
        <w:pStyle w:val="34"/>
        <w:pageBreakBefore w:val="0"/>
        <w:kinsoku/>
        <w:overflowPunct/>
        <w:topLinePunct w:val="0"/>
        <w:autoSpaceDE/>
        <w:autoSpaceDN/>
        <w:bidi w:val="0"/>
        <w:snapToGrid w:val="0"/>
        <w:spacing w:after="0" w:line="360" w:lineRule="auto"/>
        <w:ind w:firstLine="420"/>
        <w:rPr>
          <w:rFonts w:hint="eastAsia" w:eastAsia="宋体"/>
          <w:color w:val="auto"/>
          <w:highlight w:val="none"/>
          <w:lang w:eastAsia="zh-CN"/>
        </w:rPr>
      </w:pPr>
      <w:r>
        <w:rPr>
          <w:rFonts w:hint="eastAsia"/>
          <w:color w:val="auto"/>
          <w:highlight w:val="none"/>
        </w:rPr>
        <w:t>电  话：023-88890272</w:t>
      </w:r>
      <w:r>
        <w:rPr>
          <w:rFonts w:hint="eastAsia"/>
          <w:color w:val="auto"/>
          <w:highlight w:val="none"/>
          <w:lang w:eastAsia="zh-CN"/>
        </w:rPr>
        <w:t>、023-88890395</w:t>
      </w:r>
    </w:p>
    <w:bookmarkEnd w:id="28"/>
    <w:bookmarkEnd w:id="29"/>
    <w:p w14:paraId="71B64D42">
      <w:pPr>
        <w:pStyle w:val="34"/>
        <w:pageBreakBefore w:val="0"/>
        <w:kinsoku/>
        <w:overflowPunct/>
        <w:topLinePunct w:val="0"/>
        <w:autoSpaceDE/>
        <w:autoSpaceDN/>
        <w:bidi w:val="0"/>
        <w:snapToGrid w:val="0"/>
        <w:spacing w:after="0" w:line="360" w:lineRule="auto"/>
        <w:ind w:firstLine="420"/>
        <w:rPr>
          <w:color w:val="auto"/>
          <w:highlight w:val="none"/>
        </w:rPr>
      </w:pPr>
    </w:p>
    <w:p w14:paraId="2D088543">
      <w:pPr>
        <w:pStyle w:val="34"/>
        <w:pageBreakBefore w:val="0"/>
        <w:kinsoku/>
        <w:overflowPunct/>
        <w:topLinePunct w:val="0"/>
        <w:autoSpaceDE/>
        <w:autoSpaceDN/>
        <w:bidi w:val="0"/>
        <w:snapToGrid w:val="0"/>
        <w:spacing w:after="0" w:line="360" w:lineRule="auto"/>
        <w:ind w:firstLine="420"/>
        <w:rPr>
          <w:color w:val="auto"/>
          <w:highlight w:val="none"/>
        </w:rPr>
      </w:pPr>
      <w:r>
        <w:rPr>
          <w:rFonts w:hint="eastAsia"/>
          <w:color w:val="auto"/>
          <w:highlight w:val="none"/>
        </w:rPr>
        <w:t>招标代理机构名称：</w:t>
      </w:r>
      <w:bookmarkEnd w:id="30"/>
      <w:bookmarkEnd w:id="31"/>
      <w:r>
        <w:rPr>
          <w:rFonts w:hint="eastAsia"/>
          <w:color w:val="auto"/>
          <w:highlight w:val="none"/>
        </w:rPr>
        <w:t>重庆招标采购（集团）有限责任公司</w:t>
      </w:r>
    </w:p>
    <w:p w14:paraId="4DF2A69A">
      <w:pPr>
        <w:pStyle w:val="34"/>
        <w:pageBreakBefore w:val="0"/>
        <w:kinsoku/>
        <w:overflowPunct/>
        <w:topLinePunct w:val="0"/>
        <w:autoSpaceDE/>
        <w:autoSpaceDN/>
        <w:bidi w:val="0"/>
        <w:snapToGrid w:val="0"/>
        <w:spacing w:after="0" w:line="360" w:lineRule="auto"/>
        <w:ind w:firstLine="420"/>
        <w:rPr>
          <w:color w:val="auto"/>
          <w:highlight w:val="none"/>
        </w:rPr>
      </w:pPr>
      <w:bookmarkStart w:id="32" w:name="_Toc29207"/>
      <w:bookmarkStart w:id="33" w:name="_Toc21791"/>
      <w:r>
        <w:rPr>
          <w:rFonts w:hint="eastAsia"/>
          <w:color w:val="auto"/>
          <w:highlight w:val="none"/>
        </w:rPr>
        <w:t>地址：重庆市江北区五简路2号重咨大厦A栋9楼904室</w:t>
      </w:r>
      <w:bookmarkEnd w:id="32"/>
      <w:bookmarkEnd w:id="33"/>
    </w:p>
    <w:p w14:paraId="040C50B3">
      <w:pPr>
        <w:pageBreakBefore w:val="0"/>
        <w:kinsoku/>
        <w:overflowPunct/>
        <w:topLinePunct w:val="0"/>
        <w:autoSpaceDE/>
        <w:autoSpaceDN/>
        <w:bidi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联系人：罗老师</w:t>
      </w:r>
    </w:p>
    <w:p w14:paraId="04FF3BB9">
      <w:pPr>
        <w:pageBreakBefore w:val="0"/>
        <w:kinsoku/>
        <w:overflowPunct/>
        <w:topLinePunct w:val="0"/>
        <w:autoSpaceDE/>
        <w:autoSpaceDN/>
        <w:bidi w:val="0"/>
        <w:snapToGrid w:val="0"/>
        <w:spacing w:line="360" w:lineRule="auto"/>
        <w:ind w:firstLine="420"/>
        <w:rPr>
          <w:rFonts w:ascii="宋体" w:hAnsi="宋体" w:cs="宋体"/>
          <w:color w:val="auto"/>
          <w:szCs w:val="21"/>
          <w:highlight w:val="none"/>
        </w:rPr>
      </w:pPr>
      <w:bookmarkStart w:id="34" w:name="_Toc254"/>
      <w:bookmarkStart w:id="35" w:name="_Toc15060"/>
      <w:r>
        <w:rPr>
          <w:rFonts w:hint="eastAsia" w:ascii="宋体" w:hAnsi="宋体" w:cs="宋体"/>
          <w:color w:val="auto"/>
          <w:szCs w:val="21"/>
          <w:highlight w:val="none"/>
        </w:rPr>
        <w:t>电话：</w:t>
      </w:r>
      <w:bookmarkEnd w:id="34"/>
      <w:bookmarkEnd w:id="35"/>
      <w:r>
        <w:rPr>
          <w:rFonts w:hint="eastAsia" w:ascii="宋体" w:hAnsi="宋体" w:cs="宋体"/>
          <w:color w:val="auto"/>
          <w:szCs w:val="21"/>
          <w:highlight w:val="none"/>
        </w:rPr>
        <w:t xml:space="preserve">023-67717810 </w:t>
      </w:r>
    </w:p>
    <w:p w14:paraId="15140326">
      <w:pPr>
        <w:pStyle w:val="4"/>
        <w:pageBreakBefore w:val="0"/>
        <w:tabs>
          <w:tab w:val="left" w:pos="666"/>
        </w:tabs>
        <w:kinsoku/>
        <w:overflowPunct/>
        <w:topLinePunct w:val="0"/>
        <w:autoSpaceDE/>
        <w:autoSpaceDN/>
        <w:bidi w:val="0"/>
        <w:snapToGrid/>
        <w:spacing w:before="0" w:after="0" w:line="360" w:lineRule="auto"/>
        <w:ind w:firstLine="422"/>
        <w:jc w:val="center"/>
        <w:rPr>
          <w:rFonts w:ascii="宋体" w:hAnsi="宋体" w:eastAsia="宋体" w:cs="Arial"/>
          <w:color w:val="auto"/>
          <w:sz w:val="21"/>
          <w:szCs w:val="21"/>
          <w:highlight w:val="none"/>
        </w:rPr>
        <w:sectPr>
          <w:headerReference r:id="rId13" w:type="default"/>
          <w:footerReference r:id="rId14" w:type="default"/>
          <w:pgSz w:w="11906" w:h="16838"/>
          <w:pgMar w:top="1134" w:right="1134" w:bottom="1134" w:left="1134" w:header="851" w:footer="851" w:gutter="0"/>
          <w:pgNumType w:start="1" w:chapStyle="1"/>
          <w:cols w:space="720" w:num="1"/>
        </w:sectPr>
      </w:pPr>
    </w:p>
    <w:p w14:paraId="45A09247">
      <w:pPr>
        <w:pStyle w:val="3"/>
        <w:spacing w:before="0" w:after="0" w:line="360" w:lineRule="auto"/>
        <w:ind w:left="0" w:leftChars="0" w:firstLine="0" w:firstLineChars="0"/>
        <w:jc w:val="center"/>
        <w:rPr>
          <w:rStyle w:val="41"/>
          <w:b/>
          <w:color w:val="auto"/>
          <w:highlight w:val="none"/>
        </w:rPr>
      </w:pPr>
      <w:bookmarkStart w:id="36" w:name="_Toc173415202"/>
      <w:bookmarkStart w:id="37" w:name="_Toc11167"/>
      <w:r>
        <w:rPr>
          <w:rStyle w:val="41"/>
          <w:b/>
          <w:color w:val="auto"/>
          <w:highlight w:val="none"/>
        </w:rPr>
        <w:t>第</w:t>
      </w:r>
      <w:r>
        <w:rPr>
          <w:rStyle w:val="41"/>
          <w:rFonts w:hint="eastAsia"/>
          <w:b/>
          <w:color w:val="auto"/>
          <w:highlight w:val="none"/>
        </w:rPr>
        <w:t>二章</w:t>
      </w:r>
      <w:r>
        <w:rPr>
          <w:rStyle w:val="41"/>
          <w:b/>
          <w:color w:val="auto"/>
          <w:highlight w:val="none"/>
        </w:rPr>
        <w:t xml:space="preserve">   </w:t>
      </w:r>
      <w:r>
        <w:rPr>
          <w:rStyle w:val="41"/>
          <w:rFonts w:hint="eastAsia"/>
          <w:b/>
          <w:color w:val="auto"/>
          <w:highlight w:val="none"/>
        </w:rPr>
        <w:t>投标人须知前附表</w:t>
      </w:r>
      <w:bookmarkEnd w:id="36"/>
      <w:bookmarkEnd w:id="37"/>
    </w:p>
    <w:bookmarkEnd w:id="2"/>
    <w:p w14:paraId="1309C6B8">
      <w:pPr>
        <w:pStyle w:val="4"/>
        <w:pageBreakBefore w:val="0"/>
        <w:kinsoku/>
        <w:wordWrap/>
        <w:overflowPunct/>
        <w:topLinePunct w:val="0"/>
        <w:autoSpaceDE/>
        <w:autoSpaceDN/>
        <w:bidi w:val="0"/>
        <w:spacing w:before="0" w:after="0" w:line="360" w:lineRule="auto"/>
        <w:ind w:left="0" w:leftChars="0" w:firstLine="422" w:firstLineChars="200"/>
        <w:rPr>
          <w:rFonts w:ascii="宋体" w:hAnsi="宋体" w:cs="宋体"/>
          <w:b w:val="0"/>
          <w:color w:val="auto"/>
          <w:sz w:val="21"/>
          <w:szCs w:val="21"/>
          <w:highlight w:val="none"/>
        </w:rPr>
      </w:pPr>
      <w:bookmarkStart w:id="38" w:name="_Toc489138538"/>
      <w:bookmarkStart w:id="39" w:name="_Toc438467313"/>
      <w:bookmarkStart w:id="40" w:name="_Toc481136731"/>
      <w:r>
        <w:rPr>
          <w:rFonts w:ascii="宋体" w:hAnsi="宋体" w:eastAsia="宋体" w:cs="宋体"/>
          <w:color w:val="auto"/>
          <w:sz w:val="21"/>
          <w:szCs w:val="21"/>
          <w:highlight w:val="none"/>
        </w:rPr>
        <w:t>投标人须知前附表</w:t>
      </w:r>
      <w:bookmarkEnd w:id="38"/>
      <w:bookmarkEnd w:id="39"/>
    </w:p>
    <w:p w14:paraId="208C7367">
      <w:pPr>
        <w:pageBreakBefore w:val="0"/>
        <w:kinsoku/>
        <w:wordWrap/>
        <w:overflowPunct/>
        <w:topLinePunct w:val="0"/>
        <w:autoSpaceDE/>
        <w:autoSpaceDN/>
        <w:bidi w:val="0"/>
        <w:snapToGrid w:val="0"/>
        <w:spacing w:line="400" w:lineRule="exact"/>
        <w:ind w:left="0" w:leftChars="0" w:firstLine="422" w:firstLineChars="200"/>
        <w:rPr>
          <w:rFonts w:ascii="宋体" w:hAnsi="宋体"/>
          <w:b/>
          <w:color w:val="auto"/>
          <w:szCs w:val="21"/>
          <w:highlight w:val="none"/>
        </w:rPr>
      </w:pPr>
      <w:r>
        <w:rPr>
          <w:rFonts w:ascii="宋体" w:hAnsi="宋体"/>
          <w:b/>
          <w:color w:val="auto"/>
          <w:szCs w:val="21"/>
          <w:highlight w:val="none"/>
        </w:rPr>
        <w:t>“投标人须知前附表”是“投标人须知”正文相应条款针对本项目的具体修改和补充，两者有矛盾时以“投标人须知前附表”相应条款为准。</w:t>
      </w:r>
    </w:p>
    <w:tbl>
      <w:tblPr>
        <w:tblStyle w:val="27"/>
        <w:tblW w:w="96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67"/>
        <w:gridCol w:w="7150"/>
      </w:tblGrid>
      <w:tr w14:paraId="4418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930" w:type="dxa"/>
            <w:vAlign w:val="center"/>
          </w:tcPr>
          <w:p w14:paraId="1642FDC8">
            <w:pPr>
              <w:adjustRightInd w:val="0"/>
              <w:snapToGrid w:val="0"/>
              <w:spacing w:line="400" w:lineRule="exact"/>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567" w:type="dxa"/>
            <w:vAlign w:val="center"/>
          </w:tcPr>
          <w:p w14:paraId="03DC7407">
            <w:pPr>
              <w:adjustRightInd w:val="0"/>
              <w:snapToGrid w:val="0"/>
              <w:spacing w:line="400" w:lineRule="exact"/>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7150" w:type="dxa"/>
            <w:vAlign w:val="center"/>
          </w:tcPr>
          <w:p w14:paraId="1149A3D2">
            <w:pPr>
              <w:adjustRightInd w:val="0"/>
              <w:snapToGrid w:val="0"/>
              <w:spacing w:line="400" w:lineRule="exact"/>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233E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930" w:type="dxa"/>
            <w:vAlign w:val="center"/>
          </w:tcPr>
          <w:p w14:paraId="0DAFDE19">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567" w:type="dxa"/>
            <w:vAlign w:val="center"/>
          </w:tcPr>
          <w:p w14:paraId="6D2258BE">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150" w:type="dxa"/>
            <w:vAlign w:val="center"/>
          </w:tcPr>
          <w:p w14:paraId="1CF7B424">
            <w:pPr>
              <w:snapToGrid w:val="0"/>
              <w:spacing w:line="400" w:lineRule="exact"/>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名称：重庆三峡银行股份有限公司</w:t>
            </w:r>
          </w:p>
          <w:p w14:paraId="3925F4E5">
            <w:pPr>
              <w:snapToGrid w:val="0"/>
              <w:spacing w:line="400" w:lineRule="exact"/>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地址：重庆市渝北区嘉州路88号中渝国际都会4号写字楼</w:t>
            </w:r>
          </w:p>
          <w:p w14:paraId="2CB677F5">
            <w:pPr>
              <w:snapToGrid w:val="0"/>
              <w:spacing w:line="400" w:lineRule="exact"/>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联系人：谭老师、敬老师</w:t>
            </w:r>
          </w:p>
          <w:p w14:paraId="0F6B2194">
            <w:pPr>
              <w:snapToGrid w:val="0"/>
              <w:spacing w:line="400" w:lineRule="exact"/>
              <w:ind w:left="0" w:leftChars="0" w:firstLine="0" w:firstLineChars="0"/>
              <w:rPr>
                <w:color w:val="auto"/>
                <w:highlight w:val="none"/>
              </w:rPr>
            </w:pPr>
            <w:r>
              <w:rPr>
                <w:rFonts w:hint="eastAsia" w:ascii="宋体" w:hAnsi="宋体" w:cs="宋体"/>
                <w:color w:val="auto"/>
                <w:szCs w:val="21"/>
                <w:highlight w:val="none"/>
                <w:lang w:val="en-US" w:eastAsia="zh-CN"/>
              </w:rPr>
              <w:t>电话：023-88890272、023-88890395</w:t>
            </w:r>
          </w:p>
        </w:tc>
      </w:tr>
      <w:tr w14:paraId="6E0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930" w:type="dxa"/>
            <w:vAlign w:val="center"/>
          </w:tcPr>
          <w:p w14:paraId="079E3E78">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1.1.3</w:t>
            </w:r>
          </w:p>
        </w:tc>
        <w:tc>
          <w:tcPr>
            <w:tcW w:w="1567" w:type="dxa"/>
            <w:vAlign w:val="center"/>
          </w:tcPr>
          <w:p w14:paraId="71F71097">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150" w:type="dxa"/>
            <w:vAlign w:val="center"/>
          </w:tcPr>
          <w:p w14:paraId="1AA06BCF">
            <w:pPr>
              <w:snapToGrid w:val="0"/>
              <w:spacing w:line="40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：重庆招标采购（集团）有限责任公司</w:t>
            </w:r>
          </w:p>
          <w:p w14:paraId="4863BBA3">
            <w:pPr>
              <w:snapToGrid w:val="0"/>
              <w:spacing w:line="40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地址：重庆市江北区五简路2号重咨大厦A栋9楼904室</w:t>
            </w:r>
          </w:p>
          <w:p w14:paraId="1D9E071C">
            <w:pPr>
              <w:snapToGrid w:val="0"/>
              <w:spacing w:line="40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联系人：罗老师</w:t>
            </w:r>
          </w:p>
          <w:p w14:paraId="27C06EAA">
            <w:pPr>
              <w:snapToGrid w:val="0"/>
              <w:spacing w:line="40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电话：023-67717810</w:t>
            </w:r>
          </w:p>
        </w:tc>
      </w:tr>
      <w:tr w14:paraId="124D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0" w:type="dxa"/>
            <w:vAlign w:val="center"/>
          </w:tcPr>
          <w:p w14:paraId="772B5370">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1.1.4</w:t>
            </w:r>
          </w:p>
        </w:tc>
        <w:tc>
          <w:tcPr>
            <w:tcW w:w="1567" w:type="dxa"/>
            <w:vAlign w:val="center"/>
          </w:tcPr>
          <w:p w14:paraId="554ED47B">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150" w:type="dxa"/>
            <w:vAlign w:val="center"/>
          </w:tcPr>
          <w:p w14:paraId="5B9712EE">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lang w:bidi="ar"/>
              </w:rPr>
              <w:t>重庆三峡银行积分商城商品权益供应入围项目</w:t>
            </w:r>
          </w:p>
        </w:tc>
      </w:tr>
      <w:tr w14:paraId="4BEF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2E3BE70C">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1.1.5</w:t>
            </w:r>
          </w:p>
        </w:tc>
        <w:tc>
          <w:tcPr>
            <w:tcW w:w="1567" w:type="dxa"/>
            <w:vAlign w:val="center"/>
          </w:tcPr>
          <w:p w14:paraId="79AF4C9E">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w:t>
            </w:r>
          </w:p>
        </w:tc>
        <w:tc>
          <w:tcPr>
            <w:tcW w:w="7150" w:type="dxa"/>
            <w:vAlign w:val="center"/>
          </w:tcPr>
          <w:p w14:paraId="6A0F1851">
            <w:pPr>
              <w:widowControl w:val="0"/>
              <w:tabs>
                <w:tab w:val="left" w:pos="1020"/>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招标人指定地点。</w:t>
            </w:r>
          </w:p>
        </w:tc>
      </w:tr>
      <w:tr w14:paraId="0574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57AFAA65">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1.2.1</w:t>
            </w:r>
          </w:p>
        </w:tc>
        <w:tc>
          <w:tcPr>
            <w:tcW w:w="1567" w:type="dxa"/>
            <w:vAlign w:val="center"/>
          </w:tcPr>
          <w:p w14:paraId="43B79D2A">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50" w:type="dxa"/>
            <w:vAlign w:val="center"/>
          </w:tcPr>
          <w:p w14:paraId="5831C3AF">
            <w:pPr>
              <w:adjustRightInd w:val="0"/>
              <w:snapToGrid w:val="0"/>
              <w:spacing w:line="400" w:lineRule="exact"/>
              <w:ind w:firstLine="420"/>
              <w:rPr>
                <w:rFonts w:ascii="宋体" w:hAnsi="宋体" w:cs="宋体"/>
                <w:b/>
                <w:color w:val="auto"/>
                <w:szCs w:val="21"/>
                <w:highlight w:val="none"/>
              </w:rPr>
            </w:pPr>
            <w:r>
              <w:rPr>
                <w:rFonts w:hint="eastAsia" w:ascii="宋体" w:hAnsi="宋体" w:cs="宋体"/>
                <w:color w:val="auto"/>
                <w:szCs w:val="21"/>
                <w:highlight w:val="none"/>
              </w:rPr>
              <w:t>企业自筹</w:t>
            </w:r>
          </w:p>
        </w:tc>
      </w:tr>
      <w:tr w14:paraId="469E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007E0733">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567" w:type="dxa"/>
            <w:vAlign w:val="center"/>
          </w:tcPr>
          <w:p w14:paraId="4FC579C1">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7150" w:type="dxa"/>
            <w:vAlign w:val="center"/>
          </w:tcPr>
          <w:p w14:paraId="6A83B9F8">
            <w:pPr>
              <w:adjustRightInd w:val="0"/>
              <w:snapToGrid w:val="0"/>
              <w:spacing w:line="400" w:lineRule="exact"/>
              <w:ind w:firstLine="420"/>
              <w:rPr>
                <w:rFonts w:ascii="宋体" w:hAnsi="宋体" w:cs="宋体"/>
                <w:b/>
                <w:color w:val="auto"/>
                <w:szCs w:val="21"/>
                <w:highlight w:val="none"/>
              </w:rPr>
            </w:pPr>
            <w:r>
              <w:rPr>
                <w:rFonts w:hint="eastAsia" w:ascii="宋体" w:hAnsi="宋体" w:cs="宋体"/>
                <w:color w:val="auto"/>
                <w:szCs w:val="21"/>
                <w:highlight w:val="none"/>
              </w:rPr>
              <w:t>100%</w:t>
            </w:r>
          </w:p>
        </w:tc>
      </w:tr>
      <w:tr w14:paraId="46C4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5F8ABD55">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1.2.3</w:t>
            </w:r>
          </w:p>
        </w:tc>
        <w:tc>
          <w:tcPr>
            <w:tcW w:w="1567" w:type="dxa"/>
            <w:vAlign w:val="center"/>
          </w:tcPr>
          <w:p w14:paraId="518ECF8E">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150" w:type="dxa"/>
            <w:vAlign w:val="center"/>
          </w:tcPr>
          <w:p w14:paraId="64E6414C">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已落实</w:t>
            </w:r>
          </w:p>
        </w:tc>
      </w:tr>
      <w:tr w14:paraId="0F33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30" w:type="dxa"/>
            <w:vAlign w:val="center"/>
          </w:tcPr>
          <w:p w14:paraId="01B781A8">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567" w:type="dxa"/>
            <w:vAlign w:val="center"/>
          </w:tcPr>
          <w:p w14:paraId="4BB66BF9">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150" w:type="dxa"/>
            <w:vAlign w:val="center"/>
          </w:tcPr>
          <w:p w14:paraId="7BB14B9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4A9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30" w:type="dxa"/>
            <w:vAlign w:val="center"/>
          </w:tcPr>
          <w:p w14:paraId="27284485">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1.3.2</w:t>
            </w:r>
          </w:p>
        </w:tc>
        <w:tc>
          <w:tcPr>
            <w:tcW w:w="1567" w:type="dxa"/>
            <w:vAlign w:val="center"/>
          </w:tcPr>
          <w:p w14:paraId="75155000">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w:t>
            </w:r>
          </w:p>
        </w:tc>
        <w:tc>
          <w:tcPr>
            <w:tcW w:w="7150" w:type="dxa"/>
            <w:vAlign w:val="center"/>
          </w:tcPr>
          <w:p w14:paraId="4C09BE09">
            <w:pPr>
              <w:adjustRightInd w:val="0"/>
              <w:snapToGrid w:val="0"/>
              <w:spacing w:line="400" w:lineRule="exact"/>
              <w:ind w:firstLine="420"/>
              <w:textAlignment w:val="baseline"/>
              <w:rPr>
                <w:rFonts w:ascii="宋体" w:hAnsi="宋体" w:cs="宋体"/>
                <w:snapToGrid w:val="0"/>
                <w:color w:val="auto"/>
                <w:szCs w:val="21"/>
                <w:highlight w:val="none"/>
              </w:rPr>
            </w:pPr>
            <w:r>
              <w:rPr>
                <w:rFonts w:hint="eastAsia" w:ascii="宋体" w:hAnsi="宋体" w:cs="宋体"/>
                <w:color w:val="auto"/>
                <w:szCs w:val="21"/>
                <w:highlight w:val="none"/>
              </w:rPr>
              <w:t>详见招标公告</w:t>
            </w:r>
          </w:p>
        </w:tc>
      </w:tr>
      <w:tr w14:paraId="5F8C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30" w:type="dxa"/>
            <w:vAlign w:val="center"/>
          </w:tcPr>
          <w:p w14:paraId="3BAC9173">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1.4.1</w:t>
            </w:r>
          </w:p>
        </w:tc>
        <w:tc>
          <w:tcPr>
            <w:tcW w:w="1567" w:type="dxa"/>
            <w:vAlign w:val="center"/>
          </w:tcPr>
          <w:p w14:paraId="063B2823">
            <w:pPr>
              <w:widowControl w:val="0"/>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投标人资质条件</w:t>
            </w:r>
          </w:p>
        </w:tc>
        <w:tc>
          <w:tcPr>
            <w:tcW w:w="7150" w:type="dxa"/>
            <w:vAlign w:val="center"/>
          </w:tcPr>
          <w:p w14:paraId="17018E1C">
            <w:pPr>
              <w:widowControl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本次招标实行资格后审，投标人应满足下列资格条件：</w:t>
            </w:r>
          </w:p>
          <w:p w14:paraId="55861D0E">
            <w:pPr>
              <w:autoSpaceDE w:val="0"/>
              <w:autoSpaceDN w:val="0"/>
              <w:adjustRightInd w:val="0"/>
              <w:snapToGrid w:val="0"/>
              <w:spacing w:line="400" w:lineRule="exact"/>
              <w:ind w:firstLine="422"/>
              <w:rPr>
                <w:rFonts w:ascii="宋体" w:hAnsi="宋体"/>
                <w:snapToGrid w:val="0"/>
                <w:color w:val="auto"/>
                <w:szCs w:val="21"/>
                <w:highlight w:val="none"/>
              </w:rPr>
            </w:pPr>
            <w:r>
              <w:rPr>
                <w:rFonts w:hint="eastAsia" w:ascii="宋体" w:hAnsi="宋体"/>
                <w:b/>
                <w:bCs/>
                <w:iCs/>
                <w:color w:val="auto"/>
                <w:szCs w:val="21"/>
                <w:highlight w:val="none"/>
              </w:rPr>
              <w:t>1.</w:t>
            </w:r>
            <w:r>
              <w:rPr>
                <w:rFonts w:hint="eastAsia" w:ascii="宋体" w:hAnsi="宋体" w:cs="宋体"/>
                <w:b/>
                <w:szCs w:val="21"/>
                <w:highlight w:val="none"/>
              </w:rPr>
              <w:t>独立法人资格和资质要求</w:t>
            </w:r>
          </w:p>
          <w:p w14:paraId="1A3D62F8">
            <w:pPr>
              <w:autoSpaceDE w:val="0"/>
              <w:autoSpaceDN w:val="0"/>
              <w:adjustRightInd w:val="0"/>
              <w:snapToGrid w:val="0"/>
              <w:spacing w:line="400" w:lineRule="exact"/>
              <w:ind w:firstLine="420" w:firstLineChars="200"/>
              <w:rPr>
                <w:rFonts w:hint="eastAsia" w:ascii="宋体" w:hAnsi="宋体" w:cs="宋体"/>
                <w:snapToGrid w:val="0"/>
                <w:kern w:val="0"/>
                <w:szCs w:val="21"/>
                <w:highlight w:val="none"/>
              </w:rPr>
            </w:pPr>
            <w:r>
              <w:rPr>
                <w:rFonts w:hint="eastAsia" w:ascii="宋体" w:hAnsi="宋体" w:cs="宋体"/>
                <w:szCs w:val="21"/>
                <w:highlight w:val="none"/>
              </w:rPr>
              <w:t>（1）具备独立法人资格；</w:t>
            </w:r>
          </w:p>
          <w:p w14:paraId="22AF174B">
            <w:pPr>
              <w:autoSpaceDE w:val="0"/>
              <w:autoSpaceDN w:val="0"/>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具备</w:t>
            </w:r>
            <w:r>
              <w:rPr>
                <w:rFonts w:hint="eastAsia" w:ascii="宋体" w:hAnsi="宋体" w:cs="宋体"/>
                <w:szCs w:val="21"/>
                <w:highlight w:val="none"/>
                <w:u w:val="single"/>
              </w:rPr>
              <w:t>有效的中华人民共和国电信与信息服务业务经营许可证（即ICP许可证）、中华人民共和国增值电信业务经营许可证（即EDI经营许可证）</w:t>
            </w:r>
            <w:r>
              <w:rPr>
                <w:rFonts w:hint="eastAsia" w:ascii="宋体" w:hAnsi="宋体" w:cs="宋体"/>
                <w:snapToGrid w:val="0"/>
                <w:kern w:val="0"/>
                <w:szCs w:val="21"/>
                <w:highlight w:val="none"/>
              </w:rPr>
              <w:t>。</w:t>
            </w:r>
          </w:p>
          <w:p w14:paraId="2DB8E8AC">
            <w:pPr>
              <w:autoSpaceDE w:val="0"/>
              <w:autoSpaceDN w:val="0"/>
              <w:adjustRightInd w:val="0"/>
              <w:snapToGrid w:val="0"/>
              <w:spacing w:line="400" w:lineRule="exact"/>
              <w:ind w:firstLine="420"/>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提供：有效的营业执照、资质证书。</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如证书主体与</w:t>
            </w:r>
            <w:r>
              <w:rPr>
                <w:rFonts w:hint="eastAsia" w:ascii="宋体" w:hAnsi="宋体"/>
                <w:b/>
                <w:bCs/>
                <w:color w:val="auto"/>
                <w:szCs w:val="21"/>
                <w:highlight w:val="none"/>
                <w:lang w:val="en-US" w:eastAsia="zh-CN"/>
              </w:rPr>
              <w:t>投标人</w:t>
            </w:r>
            <w:r>
              <w:rPr>
                <w:rFonts w:hint="eastAsia" w:ascii="宋体" w:hAnsi="宋体"/>
                <w:b/>
                <w:bCs/>
                <w:color w:val="auto"/>
                <w:szCs w:val="21"/>
                <w:highlight w:val="none"/>
              </w:rPr>
              <w:t>名称不一致，主体应与</w:t>
            </w:r>
            <w:r>
              <w:rPr>
                <w:rFonts w:hint="eastAsia" w:ascii="宋体" w:hAnsi="宋体"/>
                <w:b/>
                <w:bCs/>
                <w:color w:val="auto"/>
                <w:szCs w:val="21"/>
                <w:highlight w:val="none"/>
                <w:lang w:val="en-US" w:eastAsia="zh-CN"/>
              </w:rPr>
              <w:t>投标人</w:t>
            </w:r>
            <w:r>
              <w:rPr>
                <w:rFonts w:hint="eastAsia" w:ascii="宋体" w:hAnsi="宋体"/>
                <w:b/>
                <w:bCs/>
                <w:color w:val="auto"/>
                <w:szCs w:val="21"/>
                <w:highlight w:val="none"/>
              </w:rPr>
              <w:t>为同一企业法人或属于同一集团，</w:t>
            </w:r>
            <w:r>
              <w:rPr>
                <w:rFonts w:hint="eastAsia" w:ascii="宋体" w:hAnsi="宋体"/>
                <w:b/>
                <w:bCs/>
                <w:color w:val="auto"/>
                <w:szCs w:val="21"/>
                <w:highlight w:val="none"/>
                <w:lang w:val="en-US" w:eastAsia="zh-CN"/>
              </w:rPr>
              <w:t>须</w:t>
            </w:r>
            <w:r>
              <w:rPr>
                <w:rFonts w:hint="eastAsia" w:ascii="宋体" w:hAnsi="宋体"/>
                <w:b/>
                <w:bCs/>
                <w:color w:val="auto"/>
                <w:szCs w:val="21"/>
                <w:highlight w:val="none"/>
              </w:rPr>
              <w:t>提供关联关系说明，</w:t>
            </w:r>
            <w:r>
              <w:rPr>
                <w:rFonts w:hint="eastAsia" w:ascii="宋体" w:hAnsi="宋体"/>
                <w:b/>
                <w:bCs/>
                <w:color w:val="auto"/>
                <w:szCs w:val="21"/>
                <w:highlight w:val="none"/>
                <w:lang w:val="en-US" w:eastAsia="zh-CN"/>
              </w:rPr>
              <w:t>并</w:t>
            </w:r>
            <w:r>
              <w:rPr>
                <w:rFonts w:hint="eastAsia" w:ascii="宋体" w:hAnsi="宋体"/>
                <w:b/>
                <w:bCs/>
                <w:color w:val="auto"/>
                <w:szCs w:val="21"/>
                <w:highlight w:val="none"/>
              </w:rPr>
              <w:t>加盖主体及</w:t>
            </w:r>
            <w:r>
              <w:rPr>
                <w:rFonts w:hint="eastAsia" w:ascii="宋体" w:hAnsi="宋体"/>
                <w:b/>
                <w:bCs/>
                <w:color w:val="auto"/>
                <w:szCs w:val="21"/>
                <w:highlight w:val="none"/>
                <w:lang w:val="en-US" w:eastAsia="zh-CN"/>
              </w:rPr>
              <w:t>投标人</w:t>
            </w:r>
            <w:r>
              <w:rPr>
                <w:rFonts w:hint="eastAsia" w:ascii="宋体" w:hAnsi="宋体"/>
                <w:b/>
                <w:bCs/>
                <w:color w:val="auto"/>
                <w:szCs w:val="21"/>
                <w:highlight w:val="none"/>
              </w:rPr>
              <w:t>公章</w:t>
            </w:r>
            <w:r>
              <w:rPr>
                <w:rFonts w:hint="eastAsia" w:ascii="宋体" w:hAnsi="宋体"/>
                <w:b/>
                <w:bCs/>
                <w:color w:val="auto"/>
                <w:szCs w:val="21"/>
                <w:highlight w:val="none"/>
                <w:lang w:val="en-US" w:eastAsia="zh-CN"/>
              </w:rPr>
              <w:t>。）</w:t>
            </w:r>
          </w:p>
          <w:p w14:paraId="1B805CF2">
            <w:pPr>
              <w:autoSpaceDE w:val="0"/>
              <w:autoSpaceDN w:val="0"/>
              <w:adjustRightInd w:val="0"/>
              <w:snapToGrid w:val="0"/>
              <w:spacing w:line="400" w:lineRule="exact"/>
              <w:ind w:firstLine="420"/>
              <w:rPr>
                <w:color w:val="auto"/>
                <w:highlight w:val="none"/>
              </w:rPr>
            </w:pPr>
            <w:r>
              <w:rPr>
                <w:rFonts w:hint="eastAsia"/>
                <w:color w:val="auto"/>
                <w:szCs w:val="21"/>
                <w:highlight w:val="none"/>
              </w:rPr>
              <w:t>注：不得将营业执照记载的经营范围作为评审因素。</w:t>
            </w:r>
          </w:p>
          <w:p w14:paraId="2A982025">
            <w:pPr>
              <w:autoSpaceDE w:val="0"/>
              <w:autoSpaceDN w:val="0"/>
              <w:adjustRightInd w:val="0"/>
              <w:snapToGrid w:val="0"/>
              <w:spacing w:line="400" w:lineRule="exact"/>
              <w:ind w:firstLine="422"/>
              <w:rPr>
                <w:rFonts w:hint="eastAsia" w:ascii="宋体" w:hAnsi="宋体" w:eastAsia="宋体"/>
                <w:b/>
                <w:color w:val="auto"/>
                <w:szCs w:val="21"/>
                <w:highlight w:val="none"/>
                <w:lang w:val="en-US" w:eastAsia="zh-CN"/>
              </w:rPr>
            </w:pPr>
            <w:r>
              <w:rPr>
                <w:rFonts w:ascii="宋体" w:hAnsi="宋体"/>
                <w:b/>
                <w:color w:val="auto"/>
                <w:szCs w:val="21"/>
                <w:highlight w:val="none"/>
              </w:rPr>
              <w:t>2.</w:t>
            </w:r>
            <w:r>
              <w:rPr>
                <w:rFonts w:hint="eastAsia" w:ascii="宋体" w:hAnsi="宋体"/>
                <w:b/>
                <w:color w:val="auto"/>
                <w:szCs w:val="21"/>
                <w:highlight w:val="none"/>
              </w:rPr>
              <w:t>信誉和会计制度</w:t>
            </w:r>
            <w:r>
              <w:rPr>
                <w:rFonts w:hint="eastAsia" w:ascii="宋体" w:hAnsi="宋体"/>
                <w:b/>
                <w:color w:val="auto"/>
                <w:szCs w:val="21"/>
                <w:highlight w:val="none"/>
                <w:lang w:val="en-US" w:eastAsia="zh-CN"/>
              </w:rPr>
              <w:t>要求</w:t>
            </w:r>
          </w:p>
          <w:p w14:paraId="69ADD0BA">
            <w:pPr>
              <w:numPr>
                <w:ilvl w:val="0"/>
                <w:numId w:val="0"/>
              </w:numPr>
              <w:autoSpaceDE w:val="0"/>
              <w:autoSpaceDN w:val="0"/>
              <w:adjustRightInd w:val="0"/>
              <w:snapToGrid w:val="0"/>
              <w:spacing w:line="400" w:lineRule="exact"/>
              <w:ind w:firstLine="420" w:firstLineChars="200"/>
              <w:rPr>
                <w:rFonts w:hint="eastAsia" w:ascii="宋体" w:hAnsi="宋体"/>
                <w:b/>
                <w:color w:val="auto"/>
                <w:szCs w:val="21"/>
                <w:highlight w:val="none"/>
                <w:u w:val="none"/>
                <w:lang w:val="en-US" w:eastAsia="zh-CN"/>
              </w:rPr>
            </w:pPr>
            <w:r>
              <w:rPr>
                <w:rFonts w:hint="eastAsia" w:ascii="宋体" w:hAnsi="宋体"/>
                <w:color w:val="auto"/>
                <w:szCs w:val="21"/>
                <w:highlight w:val="none"/>
                <w:u w:val="none"/>
                <w:lang w:val="en-US" w:eastAsia="zh-CN"/>
              </w:rPr>
              <w:t>投标人</w:t>
            </w:r>
            <w:r>
              <w:rPr>
                <w:rFonts w:hint="eastAsia" w:ascii="宋体" w:hAnsi="宋体"/>
                <w:color w:val="auto"/>
                <w:szCs w:val="21"/>
                <w:highlight w:val="none"/>
                <w:u w:val="none"/>
              </w:rPr>
              <w:t>应具有良好的商业信誉和健全的财务会计制度，具有履行合同所必需的设备和专业技术能力，有依法缴纳税收和社会保障金的良好记录，三年内在经营活动中没有重大违法记录。</w:t>
            </w:r>
            <w:r>
              <w:rPr>
                <w:rFonts w:hint="eastAsia"/>
                <w:highlight w:val="none"/>
                <w:u w:val="none"/>
              </w:rPr>
              <w:t>未被有关行政部门暂停投标资格或被有关行政部门暂停投标资格期限已满，也无行贿犯罪记录。</w:t>
            </w:r>
          </w:p>
          <w:p w14:paraId="668CA396">
            <w:pPr>
              <w:autoSpaceDE w:val="0"/>
              <w:autoSpaceDN w:val="0"/>
              <w:adjustRightInd w:val="0"/>
              <w:snapToGrid w:val="0"/>
              <w:spacing w:line="400" w:lineRule="exact"/>
              <w:ind w:firstLine="422"/>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rPr>
              <w:t>提供：</w:t>
            </w:r>
            <w:r>
              <w:rPr>
                <w:rFonts w:hint="eastAsia" w:ascii="宋体" w:hAnsi="宋体"/>
                <w:b/>
                <w:bCs/>
                <w:color w:val="auto"/>
                <w:szCs w:val="21"/>
                <w:highlight w:val="none"/>
                <w:lang w:val="en-US" w:eastAsia="zh-CN"/>
              </w:rPr>
              <w:t>书面声明</w:t>
            </w:r>
            <w:r>
              <w:rPr>
                <w:rFonts w:hint="eastAsia"/>
                <w:b/>
                <w:bCs/>
                <w:color w:val="auto"/>
                <w:szCs w:val="21"/>
                <w:highlight w:val="none"/>
              </w:rPr>
              <w:t>（格式见第六章投标文件格式）</w:t>
            </w:r>
            <w:r>
              <w:rPr>
                <w:rFonts w:hint="eastAsia"/>
                <w:b/>
                <w:bCs/>
                <w:color w:val="auto"/>
                <w:szCs w:val="21"/>
                <w:highlight w:val="none"/>
                <w:lang w:eastAsia="zh-CN"/>
              </w:rPr>
              <w:t>。</w:t>
            </w:r>
          </w:p>
          <w:p w14:paraId="6A30AD39">
            <w:pPr>
              <w:autoSpaceDE w:val="0"/>
              <w:autoSpaceDN w:val="0"/>
              <w:adjustRightInd w:val="0"/>
              <w:snapToGrid w:val="0"/>
              <w:spacing w:line="400" w:lineRule="exact"/>
              <w:ind w:firstLine="422"/>
              <w:rPr>
                <w:rFonts w:ascii="宋体" w:hAnsi="宋体"/>
                <w:b/>
                <w:color w:val="auto"/>
                <w:szCs w:val="21"/>
                <w:highlight w:val="none"/>
              </w:rPr>
            </w:pPr>
            <w:r>
              <w:rPr>
                <w:rFonts w:ascii="宋体" w:hAnsi="宋体"/>
                <w:b/>
                <w:color w:val="auto"/>
                <w:szCs w:val="21"/>
                <w:highlight w:val="none"/>
              </w:rPr>
              <w:t>3.业绩要求</w:t>
            </w:r>
          </w:p>
          <w:p w14:paraId="6C58B3D8">
            <w:pPr>
              <w:autoSpaceDE w:val="0"/>
              <w:autoSpaceDN w:val="0"/>
              <w:adjustRightInd w:val="0"/>
              <w:snapToGrid w:val="0"/>
              <w:spacing w:line="400" w:lineRule="exact"/>
              <w:ind w:firstLine="420"/>
              <w:rPr>
                <w:rFonts w:ascii="宋体" w:hAnsi="宋体"/>
                <w:iCs/>
                <w:color w:val="auto"/>
                <w:szCs w:val="21"/>
                <w:highlight w:val="none"/>
              </w:rPr>
            </w:pPr>
            <w:r>
              <w:rPr>
                <w:rFonts w:hint="eastAsia" w:ascii="宋体" w:hAnsi="宋体"/>
                <w:color w:val="auto"/>
                <w:szCs w:val="21"/>
                <w:highlight w:val="none"/>
                <w:lang w:val="en-US" w:eastAsia="zh-CN"/>
              </w:rPr>
              <w:t>投标人</w:t>
            </w: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月1日至</w:t>
            </w:r>
            <w:r>
              <w:rPr>
                <w:rFonts w:hint="eastAsia" w:ascii="宋体" w:hAnsi="宋体"/>
                <w:color w:val="auto"/>
                <w:szCs w:val="21"/>
                <w:highlight w:val="none"/>
                <w:lang w:val="en-US" w:eastAsia="zh-CN"/>
              </w:rPr>
              <w:t>投标</w:t>
            </w:r>
            <w:r>
              <w:rPr>
                <w:rFonts w:hint="eastAsia" w:ascii="宋体" w:hAnsi="宋体"/>
                <w:color w:val="auto"/>
                <w:szCs w:val="21"/>
                <w:highlight w:val="none"/>
              </w:rPr>
              <w:t>截止之日（以合同签订日期为准），至少具备1个为银行（注：含国有大型商业银行总行或省市分行、全国股份制商业银行、城市商业银行、农村商业银行，下同）提供积分商城、电子商城供货服务，且单个合同金额在500万元以上（含500万元）的业绩案例。</w:t>
            </w:r>
          </w:p>
          <w:p w14:paraId="00C02B3B">
            <w:pPr>
              <w:autoSpaceDE w:val="0"/>
              <w:autoSpaceDN w:val="0"/>
              <w:adjustRightInd w:val="0"/>
              <w:snapToGrid w:val="0"/>
              <w:spacing w:line="400" w:lineRule="exact"/>
              <w:ind w:firstLine="420"/>
              <w:rPr>
                <w:rFonts w:ascii="宋体" w:hAnsi="宋体"/>
                <w:b/>
                <w:bCs/>
                <w:color w:val="auto"/>
                <w:szCs w:val="21"/>
                <w:highlight w:val="none"/>
              </w:rPr>
            </w:pPr>
            <w:r>
              <w:rPr>
                <w:rFonts w:hint="eastAsia" w:ascii="宋体" w:hAnsi="宋体"/>
                <w:b/>
                <w:bCs/>
                <w:color w:val="auto"/>
                <w:szCs w:val="21"/>
                <w:highlight w:val="none"/>
              </w:rPr>
              <w:t>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w:t>
            </w:r>
            <w:r>
              <w:rPr>
                <w:rFonts w:hint="eastAsia" w:ascii="宋体" w:hAnsi="宋体"/>
                <w:b/>
                <w:bCs/>
                <w:color w:val="auto"/>
                <w:szCs w:val="21"/>
                <w:highlight w:val="none"/>
                <w:lang w:val="en-US" w:eastAsia="zh-CN"/>
              </w:rPr>
              <w:t>投标人</w:t>
            </w:r>
            <w:r>
              <w:rPr>
                <w:rFonts w:hint="eastAsia" w:ascii="宋体" w:hAnsi="宋体"/>
                <w:b/>
                <w:bCs/>
                <w:color w:val="auto"/>
                <w:szCs w:val="21"/>
                <w:highlight w:val="none"/>
              </w:rPr>
              <w:t>）一致），如协议为无规定金额的入围（框架）协议，须提供能够证明案例金额的足额发票。</w:t>
            </w:r>
          </w:p>
          <w:p w14:paraId="642DD3A0">
            <w:pPr>
              <w:adjustRightInd w:val="0"/>
              <w:snapToGrid w:val="0"/>
              <w:spacing w:line="400" w:lineRule="exact"/>
              <w:ind w:firstLine="422"/>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lang w:val="en-US" w:eastAsia="zh-CN"/>
              </w:rPr>
              <w:t>信用</w:t>
            </w:r>
            <w:r>
              <w:rPr>
                <w:rFonts w:hint="eastAsia" w:ascii="宋体" w:hAnsi="宋体"/>
                <w:b/>
                <w:color w:val="auto"/>
                <w:szCs w:val="21"/>
                <w:highlight w:val="none"/>
              </w:rPr>
              <w:t>要求</w:t>
            </w:r>
          </w:p>
          <w:p w14:paraId="69E86F1C">
            <w:pPr>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投标人不得列入信用中国（http://www.creditchina.gov.cn/）、国家企业信用信息公示系统http://www.gsxt.gov.cn/index.html）、中国执行信息公开网（http://zxgk.court.gov.cn/）三网失信企业目录。</w:t>
            </w:r>
          </w:p>
          <w:p w14:paraId="4283B46B">
            <w:pPr>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ascii="宋体" w:hAnsi="宋体"/>
                <w:b/>
                <w:bCs/>
                <w:color w:val="auto"/>
                <w:szCs w:val="21"/>
                <w:highlight w:val="none"/>
              </w:rPr>
              <w:t>三个网站未列入失信企业目录网页截图</w:t>
            </w:r>
            <w:r>
              <w:rPr>
                <w:rFonts w:hint="eastAsia" w:ascii="宋体" w:hAnsi="宋体"/>
                <w:b/>
                <w:bCs/>
                <w:color w:val="auto"/>
                <w:szCs w:val="21"/>
                <w:highlight w:val="none"/>
                <w:lang w:eastAsia="zh-CN"/>
              </w:rPr>
              <w:t>。</w:t>
            </w:r>
          </w:p>
          <w:p w14:paraId="6B30FE2E">
            <w:pPr>
              <w:autoSpaceDE w:val="0"/>
              <w:autoSpaceDN w:val="0"/>
              <w:adjustRightInd w:val="0"/>
              <w:snapToGrid w:val="0"/>
              <w:spacing w:line="400" w:lineRule="exact"/>
              <w:ind w:firstLine="422"/>
              <w:rPr>
                <w:color w:val="auto"/>
                <w:szCs w:val="21"/>
                <w:highlight w:val="none"/>
              </w:rPr>
            </w:pPr>
            <w:r>
              <w:rPr>
                <w:rFonts w:hint="eastAsia" w:ascii="宋体" w:hAnsi="宋体"/>
                <w:b/>
                <w:color w:val="auto"/>
                <w:szCs w:val="21"/>
                <w:highlight w:val="none"/>
                <w:lang w:val="en-US" w:eastAsia="zh-CN"/>
              </w:rPr>
              <w:t>5.</w:t>
            </w:r>
            <w:r>
              <w:rPr>
                <w:rFonts w:ascii="宋体" w:hAnsi="宋体"/>
                <w:b/>
                <w:color w:val="auto"/>
                <w:szCs w:val="21"/>
                <w:highlight w:val="none"/>
              </w:rPr>
              <w:t>其他要求</w:t>
            </w:r>
          </w:p>
          <w:p w14:paraId="33D707BC">
            <w:pPr>
              <w:keepNext w:val="0"/>
              <w:keepLines w:val="0"/>
              <w:pageBreakBefore w:val="0"/>
              <w:widowControl/>
              <w:kinsoku/>
              <w:wordWrap/>
              <w:overflowPunct/>
              <w:topLinePunct w:val="0"/>
              <w:autoSpaceDE w:val="0"/>
              <w:autoSpaceDN w:val="0"/>
              <w:bidi w:val="0"/>
              <w:adjustRightInd w:val="0"/>
              <w:snapToGrid w:val="0"/>
              <w:spacing w:line="400" w:lineRule="exact"/>
              <w:ind w:firstLine="420"/>
              <w:textAlignment w:val="auto"/>
              <w:rPr>
                <w:rFonts w:ascii="宋体" w:hAnsi="宋体"/>
                <w:color w:val="auto"/>
                <w:szCs w:val="21"/>
                <w:highlight w:val="none"/>
              </w:rPr>
            </w:pPr>
            <w:r>
              <w:rPr>
                <w:rFonts w:hint="eastAsia" w:ascii="宋体" w:hAnsi="宋体"/>
                <w:color w:val="auto"/>
                <w:szCs w:val="21"/>
                <w:highlight w:val="none"/>
                <w:lang w:val="en-US" w:eastAsia="zh-CN"/>
              </w:rPr>
              <w:t>（1）</w:t>
            </w:r>
            <w:r>
              <w:rPr>
                <w:rFonts w:ascii="宋体" w:hAnsi="宋体"/>
                <w:color w:val="auto"/>
                <w:szCs w:val="21"/>
                <w:highlight w:val="none"/>
              </w:rPr>
              <w:t>委托代理人</w:t>
            </w:r>
          </w:p>
          <w:p w14:paraId="2427C9B9">
            <w:pPr>
              <w:keepNext w:val="0"/>
              <w:keepLines w:val="0"/>
              <w:pageBreakBefore w:val="0"/>
              <w:widowControl/>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s="宋体"/>
                <w:szCs w:val="21"/>
                <w:highlight w:val="none"/>
              </w:rPr>
            </w:pPr>
            <w:r>
              <w:rPr>
                <w:rFonts w:hint="eastAsia" w:ascii="宋体" w:hAnsi="宋体" w:cs="宋体"/>
                <w:szCs w:val="21"/>
                <w:highlight w:val="none"/>
              </w:rPr>
              <w:t xml:space="preserve"> 法定代表人或委托代理人代表投标人签署、澄清、说明、补正、递交、撤回、修改本项目投标文件、签订合同和处理有关事宜，其法律后果由投标人承担。委托代理人须是投标人单位人员。</w:t>
            </w:r>
          </w:p>
          <w:p w14:paraId="7C5E726E">
            <w:pPr>
              <w:keepNext w:val="0"/>
              <w:keepLines w:val="0"/>
              <w:pageBreakBefore w:val="0"/>
              <w:widowControl/>
              <w:kinsoku/>
              <w:wordWrap/>
              <w:overflowPunct/>
              <w:topLinePunct w:val="0"/>
              <w:autoSpaceDE w:val="0"/>
              <w:autoSpaceDN w:val="0"/>
              <w:bidi w:val="0"/>
              <w:adjustRightInd w:val="0"/>
              <w:snapToGrid w:val="0"/>
              <w:spacing w:line="400" w:lineRule="exact"/>
              <w:ind w:firstLine="417" w:firstLineChars="198"/>
              <w:textAlignment w:val="auto"/>
              <w:rPr>
                <w:rFonts w:hint="eastAsia" w:ascii="宋体" w:hAnsi="宋体" w:cs="宋体"/>
                <w:b/>
                <w:bCs/>
                <w:szCs w:val="21"/>
                <w:highlight w:val="none"/>
              </w:rPr>
            </w:pPr>
            <w:r>
              <w:rPr>
                <w:rFonts w:hint="eastAsia" w:ascii="宋体" w:hAnsi="宋体" w:cs="宋体"/>
                <w:b/>
                <w:bCs/>
                <w:szCs w:val="21"/>
                <w:highlight w:val="none"/>
              </w:rPr>
              <w:t>提供：法定代表人身份证明（格式见第六章投标文件格式）。法定代表人委托代理人投标的，还须提供授权委托书（格式见第六章投标文件格式）、投标人为该委托代理人缴纳的养老保险证明材料。</w:t>
            </w:r>
          </w:p>
          <w:p w14:paraId="37A49D04">
            <w:pPr>
              <w:keepNext w:val="0"/>
              <w:keepLines w:val="0"/>
              <w:pageBreakBefore w:val="0"/>
              <w:widowControl/>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投标文件真实性</w:t>
            </w:r>
          </w:p>
          <w:p w14:paraId="16473B14">
            <w:pPr>
              <w:keepNext w:val="0"/>
              <w:keepLines w:val="0"/>
              <w:pageBreakBefore w:val="0"/>
              <w:widowControl/>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s="宋体"/>
                <w:szCs w:val="21"/>
                <w:highlight w:val="none"/>
              </w:rPr>
            </w:pPr>
            <w:r>
              <w:rPr>
                <w:rFonts w:hint="eastAsia" w:ascii="宋体" w:hAnsi="宋体" w:cs="宋体"/>
                <w:szCs w:val="21"/>
                <w:highlight w:val="none"/>
              </w:rPr>
              <w:t>投标文件中的所有内容真实有效，不存在弄虚作假情形。</w:t>
            </w:r>
          </w:p>
          <w:p w14:paraId="41287433">
            <w:pPr>
              <w:keepNext w:val="0"/>
              <w:keepLines w:val="0"/>
              <w:pageBreakBefore w:val="0"/>
              <w:widowControl/>
              <w:kinsoku/>
              <w:wordWrap/>
              <w:overflowPunct/>
              <w:topLinePunct w:val="0"/>
              <w:autoSpaceDE w:val="0"/>
              <w:autoSpaceDN w:val="0"/>
              <w:bidi w:val="0"/>
              <w:adjustRightInd w:val="0"/>
              <w:snapToGrid w:val="0"/>
              <w:spacing w:line="400" w:lineRule="exact"/>
              <w:ind w:firstLine="417" w:firstLineChars="198"/>
              <w:textAlignment w:val="auto"/>
              <w:rPr>
                <w:rFonts w:hint="eastAsia" w:ascii="宋体" w:hAnsi="宋体" w:eastAsia="宋体" w:cs="宋体"/>
                <w:b/>
                <w:bCs/>
                <w:szCs w:val="21"/>
                <w:highlight w:val="none"/>
                <w:lang w:eastAsia="zh-CN"/>
              </w:rPr>
            </w:pPr>
            <w:r>
              <w:rPr>
                <w:rFonts w:hint="eastAsia" w:ascii="宋体" w:hAnsi="宋体" w:cs="宋体"/>
                <w:b/>
                <w:bCs/>
                <w:szCs w:val="21"/>
                <w:highlight w:val="none"/>
              </w:rPr>
              <w:t>提供</w:t>
            </w:r>
            <w:r>
              <w:rPr>
                <w:rFonts w:hint="eastAsia" w:ascii="宋体" w:hAnsi="宋体" w:cs="宋体"/>
                <w:b/>
                <w:bCs/>
                <w:szCs w:val="21"/>
                <w:highlight w:val="none"/>
                <w:lang w:eastAsia="zh-CN"/>
              </w:rPr>
              <w:t>：</w:t>
            </w:r>
            <w:r>
              <w:rPr>
                <w:rFonts w:hint="eastAsia" w:ascii="宋体" w:hAnsi="宋体" w:cs="宋体"/>
                <w:b/>
                <w:bCs/>
                <w:szCs w:val="21"/>
                <w:highlight w:val="none"/>
              </w:rPr>
              <w:t>承诺（格式见第六章投标文件格式）</w:t>
            </w:r>
            <w:r>
              <w:rPr>
                <w:rFonts w:hint="eastAsia" w:ascii="宋体" w:hAnsi="宋体" w:cs="宋体"/>
                <w:b/>
                <w:bCs/>
                <w:szCs w:val="21"/>
                <w:highlight w:val="none"/>
                <w:lang w:eastAsia="zh-CN"/>
              </w:rPr>
              <w:t>。</w:t>
            </w:r>
          </w:p>
          <w:p w14:paraId="61106270">
            <w:pPr>
              <w:autoSpaceDE w:val="0"/>
              <w:autoSpaceDN w:val="0"/>
              <w:adjustRightInd w:val="0"/>
              <w:snapToGrid w:val="0"/>
              <w:spacing w:line="400" w:lineRule="exact"/>
              <w:ind w:firstLine="422"/>
              <w:rPr>
                <w:rFonts w:ascii="宋体" w:hAnsi="宋体" w:cs="宋体"/>
                <w:b/>
                <w:color w:val="auto"/>
                <w:szCs w:val="21"/>
                <w:highlight w:val="none"/>
              </w:rPr>
            </w:pPr>
            <w:r>
              <w:rPr>
                <w:rFonts w:hint="eastAsia" w:ascii="宋体" w:hAnsi="宋体" w:cs="宋体"/>
                <w:b/>
                <w:color w:val="auto"/>
                <w:szCs w:val="21"/>
                <w:highlight w:val="none"/>
              </w:rPr>
              <w:t>特别说明：</w:t>
            </w:r>
          </w:p>
          <w:p w14:paraId="021458B5">
            <w:pPr>
              <w:autoSpaceDE w:val="0"/>
              <w:autoSpaceDN w:val="0"/>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1）上述</w:t>
            </w:r>
            <w:r>
              <w:rPr>
                <w:rFonts w:hint="eastAsia" w:ascii="宋体" w:hAnsi="宋体" w:cs="宋体"/>
                <w:color w:val="auto"/>
                <w:szCs w:val="21"/>
                <w:highlight w:val="none"/>
              </w:rPr>
              <w:t>要求须提交的相关证明材料均为复印件均</w:t>
            </w:r>
            <w:r>
              <w:rPr>
                <w:rFonts w:hint="eastAsia" w:ascii="宋体" w:hAnsi="宋体" w:cs="宋体"/>
                <w:bCs/>
                <w:color w:val="auto"/>
                <w:szCs w:val="21"/>
                <w:highlight w:val="none"/>
                <w:lang w:val="en-US" w:eastAsia="zh-CN"/>
              </w:rPr>
              <w:t>须</w:t>
            </w:r>
            <w:r>
              <w:rPr>
                <w:rFonts w:hint="eastAsia" w:ascii="宋体" w:hAnsi="宋体" w:cs="宋体"/>
                <w:color w:val="auto"/>
                <w:szCs w:val="21"/>
                <w:highlight w:val="none"/>
              </w:rPr>
              <w:t>加盖投标人单位法人章，复印件须清晰可辨，有一条不满足，则投标文件由评标委员会作否决投标处理。</w:t>
            </w:r>
          </w:p>
          <w:p w14:paraId="021D2B23">
            <w:pPr>
              <w:autoSpaceDE w:val="0"/>
              <w:autoSpaceDN w:val="0"/>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招标人在合同签订前均有权对投标人提供的资料进行核实，若发现弄虚作假，按相关规定取消其</w:t>
            </w:r>
            <w:r>
              <w:rPr>
                <w:rFonts w:hint="eastAsia" w:ascii="宋体" w:hAnsi="宋体" w:cs="宋体"/>
                <w:color w:val="auto"/>
                <w:szCs w:val="21"/>
                <w:highlight w:val="none"/>
                <w:u w:val="single"/>
                <w:lang w:val="en-US" w:eastAsia="zh-CN"/>
              </w:rPr>
              <w:t>入围</w:t>
            </w:r>
            <w:r>
              <w:rPr>
                <w:rFonts w:hint="eastAsia" w:ascii="宋体" w:hAnsi="宋体" w:cs="宋体"/>
                <w:color w:val="auto"/>
                <w:szCs w:val="21"/>
                <w:highlight w:val="none"/>
                <w:u w:val="single"/>
              </w:rPr>
              <w:t>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14:paraId="289A57B2">
            <w:pPr>
              <w:spacing w:line="400" w:lineRule="exact"/>
              <w:ind w:firstLine="420"/>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本招标文件中所要求的人员</w:t>
            </w:r>
            <w:r>
              <w:rPr>
                <w:rFonts w:hint="eastAsia" w:ascii="宋体" w:hAnsi="宋体"/>
                <w:bCs/>
                <w:color w:val="auto"/>
                <w:szCs w:val="21"/>
                <w:highlight w:val="none"/>
              </w:rPr>
              <w:t>养老保险</w:t>
            </w:r>
            <w:r>
              <w:rPr>
                <w:rFonts w:ascii="宋体" w:hAnsi="宋体"/>
                <w:bCs/>
                <w:color w:val="auto"/>
                <w:szCs w:val="21"/>
                <w:highlight w:val="none"/>
              </w:rPr>
              <w:t>证明要求如下：</w:t>
            </w:r>
          </w:p>
          <w:p w14:paraId="478FDA75">
            <w:pPr>
              <w:spacing w:line="400" w:lineRule="exact"/>
              <w:ind w:firstLine="420"/>
              <w:rPr>
                <w:rFonts w:ascii="宋体" w:hAnsi="宋体"/>
                <w:bCs/>
                <w:color w:val="auto"/>
                <w:szCs w:val="21"/>
                <w:highlight w:val="none"/>
              </w:rPr>
            </w:pPr>
            <w:r>
              <w:rPr>
                <w:rFonts w:ascii="宋体" w:hAnsi="宋体"/>
                <w:bCs/>
                <w:color w:val="auto"/>
                <w:szCs w:val="21"/>
                <w:highlight w:val="none"/>
              </w:rPr>
              <w:t>①</w:t>
            </w:r>
            <w:r>
              <w:rPr>
                <w:rFonts w:hint="eastAsia" w:ascii="宋体" w:hAnsi="宋体"/>
                <w:bCs/>
                <w:color w:val="auto"/>
                <w:szCs w:val="21"/>
                <w:highlight w:val="none"/>
              </w:rPr>
              <w:t>企业</w:t>
            </w:r>
            <w:r>
              <w:rPr>
                <w:rFonts w:ascii="宋体" w:hAnsi="宋体"/>
                <w:bCs/>
                <w:color w:val="auto"/>
                <w:szCs w:val="21"/>
                <w:highlight w:val="none"/>
              </w:rPr>
              <w:t>提供</w:t>
            </w:r>
            <w:r>
              <w:rPr>
                <w:rFonts w:hint="eastAsia" w:ascii="宋体" w:hAnsi="宋体"/>
                <w:bCs/>
                <w:color w:val="auto"/>
                <w:szCs w:val="21"/>
                <w:highlight w:val="none"/>
              </w:rPr>
              <w:t>养老保险</w:t>
            </w:r>
            <w:r>
              <w:rPr>
                <w:rFonts w:ascii="宋体" w:hAnsi="宋体"/>
                <w:bCs/>
                <w:color w:val="auto"/>
                <w:szCs w:val="21"/>
                <w:highlight w:val="none"/>
              </w:rPr>
              <w:t>证明，事业单位提供</w:t>
            </w:r>
            <w:r>
              <w:rPr>
                <w:rFonts w:hint="eastAsia" w:ascii="宋体" w:hAnsi="宋体"/>
                <w:bCs/>
                <w:color w:val="auto"/>
                <w:szCs w:val="21"/>
                <w:highlight w:val="none"/>
              </w:rPr>
              <w:t>养老保险</w:t>
            </w:r>
            <w:r>
              <w:rPr>
                <w:rFonts w:ascii="宋体" w:hAnsi="宋体"/>
                <w:bCs/>
                <w:color w:val="auto"/>
                <w:szCs w:val="21"/>
                <w:highlight w:val="none"/>
              </w:rPr>
              <w:t>证明或行政主管部门在编证明。</w:t>
            </w:r>
          </w:p>
          <w:p w14:paraId="7DC178FE">
            <w:pPr>
              <w:widowControl w:val="0"/>
              <w:spacing w:line="400" w:lineRule="exact"/>
              <w:ind w:firstLine="420"/>
              <w:rPr>
                <w:rFonts w:ascii="宋体" w:hAnsi="宋体" w:cs="宋体"/>
                <w:color w:val="auto"/>
                <w:szCs w:val="21"/>
                <w:highlight w:val="none"/>
              </w:rPr>
            </w:pPr>
            <w:r>
              <w:rPr>
                <w:rFonts w:ascii="宋体" w:hAnsi="宋体"/>
                <w:bCs/>
                <w:color w:val="auto"/>
                <w:szCs w:val="21"/>
                <w:highlight w:val="none"/>
              </w:rPr>
              <w:t>②</w:t>
            </w:r>
            <w:r>
              <w:rPr>
                <w:rFonts w:hint="eastAsia" w:ascii="宋体" w:hAnsi="宋体"/>
                <w:bCs/>
                <w:snapToGrid w:val="0"/>
                <w:color w:val="auto"/>
                <w:szCs w:val="21"/>
                <w:highlight w:val="none"/>
              </w:rPr>
              <w:t>委托代理人</w:t>
            </w:r>
            <w:r>
              <w:rPr>
                <w:rFonts w:ascii="宋体" w:hAnsi="宋体"/>
                <w:bCs/>
                <w:snapToGrid w:val="0"/>
                <w:color w:val="auto"/>
                <w:szCs w:val="21"/>
                <w:highlight w:val="none"/>
              </w:rPr>
              <w:t>的</w:t>
            </w:r>
            <w:r>
              <w:rPr>
                <w:rFonts w:hint="eastAsia" w:ascii="宋体" w:hAnsi="宋体"/>
                <w:bCs/>
                <w:snapToGrid w:val="0"/>
                <w:color w:val="auto"/>
                <w:szCs w:val="21"/>
                <w:highlight w:val="none"/>
              </w:rPr>
              <w:t>连续养老保险</w:t>
            </w:r>
            <w:r>
              <w:rPr>
                <w:rFonts w:ascii="宋体" w:hAnsi="宋体"/>
                <w:bCs/>
                <w:snapToGrid w:val="0"/>
                <w:color w:val="auto"/>
                <w:szCs w:val="21"/>
                <w:highlight w:val="none"/>
              </w:rPr>
              <w:t>证明期限</w:t>
            </w:r>
            <w:r>
              <w:rPr>
                <w:rFonts w:hint="eastAsia" w:ascii="宋体" w:hAnsi="宋体"/>
                <w:bCs/>
                <w:snapToGrid w:val="0"/>
                <w:color w:val="auto"/>
                <w:szCs w:val="21"/>
                <w:highlight w:val="none"/>
              </w:rPr>
              <w:t>须包含</w:t>
            </w:r>
            <w:r>
              <w:rPr>
                <w:rFonts w:hint="eastAsia" w:ascii="宋体" w:hAnsi="宋体"/>
                <w:bCs/>
                <w:snapToGrid w:val="0"/>
                <w:color w:val="auto"/>
                <w:szCs w:val="21"/>
                <w:highlight w:val="none"/>
                <w:u w:val="single"/>
              </w:rPr>
              <w:t>202</w:t>
            </w:r>
            <w:r>
              <w:rPr>
                <w:rFonts w:hint="eastAsia" w:ascii="宋体" w:hAnsi="宋体"/>
                <w:bCs/>
                <w:snapToGrid w:val="0"/>
                <w:color w:val="auto"/>
                <w:szCs w:val="21"/>
                <w:highlight w:val="none"/>
                <w:u w:val="single"/>
                <w:lang w:val="en-US" w:eastAsia="zh-CN"/>
              </w:rPr>
              <w:t>5</w:t>
            </w:r>
            <w:r>
              <w:rPr>
                <w:rFonts w:ascii="宋体" w:hAnsi="宋体"/>
                <w:bCs/>
                <w:snapToGrid w:val="0"/>
                <w:color w:val="auto"/>
                <w:szCs w:val="21"/>
                <w:highlight w:val="none"/>
              </w:rPr>
              <w:t>年</w:t>
            </w:r>
            <w:r>
              <w:rPr>
                <w:rFonts w:hint="eastAsia" w:ascii="宋体" w:hAnsi="宋体"/>
                <w:bCs/>
                <w:snapToGrid w:val="0"/>
                <w:color w:val="auto"/>
                <w:szCs w:val="21"/>
                <w:highlight w:val="none"/>
                <w:u w:val="single"/>
                <w:lang w:val="en-US" w:eastAsia="zh-CN"/>
              </w:rPr>
              <w:t>8</w:t>
            </w:r>
            <w:r>
              <w:rPr>
                <w:rFonts w:ascii="宋体" w:hAnsi="宋体"/>
                <w:bCs/>
                <w:snapToGrid w:val="0"/>
                <w:color w:val="auto"/>
                <w:szCs w:val="21"/>
                <w:highlight w:val="none"/>
              </w:rPr>
              <w:t>月至</w:t>
            </w:r>
            <w:r>
              <w:rPr>
                <w:rFonts w:hint="eastAsia" w:ascii="宋体" w:hAnsi="宋体"/>
                <w:bCs/>
                <w:snapToGrid w:val="0"/>
                <w:color w:val="auto"/>
                <w:szCs w:val="21"/>
                <w:highlight w:val="none"/>
                <w:u w:val="single"/>
              </w:rPr>
              <w:t>202</w:t>
            </w:r>
            <w:r>
              <w:rPr>
                <w:rFonts w:hint="eastAsia" w:ascii="宋体" w:hAnsi="宋体"/>
                <w:bCs/>
                <w:snapToGrid w:val="0"/>
                <w:color w:val="auto"/>
                <w:szCs w:val="21"/>
                <w:highlight w:val="none"/>
                <w:u w:val="single"/>
                <w:lang w:val="en-US" w:eastAsia="zh-CN"/>
              </w:rPr>
              <w:t>5</w:t>
            </w:r>
            <w:r>
              <w:rPr>
                <w:rFonts w:ascii="宋体" w:hAnsi="宋体"/>
                <w:bCs/>
                <w:snapToGrid w:val="0"/>
                <w:color w:val="auto"/>
                <w:szCs w:val="21"/>
                <w:highlight w:val="none"/>
              </w:rPr>
              <w:t>年</w:t>
            </w:r>
            <w:r>
              <w:rPr>
                <w:rFonts w:hint="eastAsia" w:ascii="宋体" w:hAnsi="宋体"/>
                <w:bCs/>
                <w:snapToGrid w:val="0"/>
                <w:color w:val="auto"/>
                <w:szCs w:val="21"/>
                <w:highlight w:val="none"/>
                <w:u w:val="single"/>
                <w:lang w:val="en-US" w:eastAsia="zh-CN"/>
              </w:rPr>
              <w:t>1</w:t>
            </w:r>
            <w:r>
              <w:rPr>
                <w:rFonts w:ascii="宋体" w:hAnsi="宋体"/>
                <w:bCs/>
                <w:snapToGrid w:val="0"/>
                <w:color w:val="auto"/>
                <w:szCs w:val="21"/>
                <w:highlight w:val="none"/>
              </w:rPr>
              <w:t>月</w:t>
            </w:r>
            <w:r>
              <w:rPr>
                <w:rFonts w:hint="eastAsia" w:ascii="宋体" w:hAnsi="宋体"/>
                <w:bCs/>
                <w:color w:val="auto"/>
                <w:szCs w:val="21"/>
                <w:highlight w:val="none"/>
              </w:rPr>
              <w:t>。提供的养老保险参保证明须体现上述人员的姓名、身份证号（或社保号）、单位名称、参保时间（或起始参保时间），并带有社保部门公章或社保部门的有效电子印章。</w:t>
            </w:r>
            <w:r>
              <w:rPr>
                <w:rFonts w:hint="eastAsia" w:ascii="宋体" w:hAnsi="宋体"/>
                <w:bCs/>
                <w:i/>
                <w:color w:val="auto"/>
                <w:szCs w:val="21"/>
                <w:highlight w:val="none"/>
              </w:rPr>
              <w:t xml:space="preserve"> </w:t>
            </w:r>
          </w:p>
        </w:tc>
      </w:tr>
      <w:tr w14:paraId="5E4E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0" w:type="dxa"/>
            <w:vAlign w:val="center"/>
          </w:tcPr>
          <w:p w14:paraId="171D0F91">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1.4.2</w:t>
            </w:r>
          </w:p>
        </w:tc>
        <w:tc>
          <w:tcPr>
            <w:tcW w:w="1567" w:type="dxa"/>
            <w:vAlign w:val="center"/>
          </w:tcPr>
          <w:p w14:paraId="57747342">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7150" w:type="dxa"/>
            <w:vAlign w:val="center"/>
          </w:tcPr>
          <w:p w14:paraId="6B917F9F">
            <w:pPr>
              <w:adjustRightInd w:val="0"/>
              <w:snapToGrid w:val="0"/>
              <w:spacing w:line="400" w:lineRule="exact"/>
              <w:ind w:firstLine="412"/>
              <w:rPr>
                <w:rFonts w:ascii="宋体" w:hAnsi="宋体" w:cs="宋体"/>
                <w:color w:val="auto"/>
                <w:szCs w:val="21"/>
                <w:highlight w:val="none"/>
              </w:rPr>
            </w:pPr>
            <w:r>
              <w:rPr>
                <w:rFonts w:ascii="宋体" w:hAnsi="宋体" w:cs="宋体"/>
                <w:color w:val="auto"/>
                <w:spacing w:val="-2"/>
                <w:szCs w:val="21"/>
                <w:highlight w:val="none"/>
              </w:rPr>
              <w:t>不接受</w:t>
            </w:r>
            <w:r>
              <w:rPr>
                <w:rFonts w:ascii="宋体" w:hAnsi="宋体" w:cs="宋体"/>
                <w:color w:val="auto"/>
                <w:spacing w:val="-1"/>
                <w:szCs w:val="21"/>
                <w:highlight w:val="none"/>
              </w:rPr>
              <w:t>。</w:t>
            </w:r>
          </w:p>
        </w:tc>
      </w:tr>
      <w:tr w14:paraId="56EE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1B00253F">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1.9</w:t>
            </w:r>
          </w:p>
        </w:tc>
        <w:tc>
          <w:tcPr>
            <w:tcW w:w="1567" w:type="dxa"/>
            <w:vAlign w:val="center"/>
          </w:tcPr>
          <w:p w14:paraId="56ADBFAB">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150" w:type="dxa"/>
            <w:vAlign w:val="center"/>
          </w:tcPr>
          <w:p w14:paraId="55E4553D">
            <w:pPr>
              <w:adjustRightInd w:val="0"/>
              <w:snapToGrid w:val="0"/>
              <w:spacing w:line="400" w:lineRule="exact"/>
              <w:ind w:firstLine="420"/>
              <w:rPr>
                <w:rFonts w:ascii="宋体" w:hAnsi="宋体" w:cs="宋体"/>
                <w:iCs/>
                <w:color w:val="auto"/>
                <w:szCs w:val="21"/>
                <w:highlight w:val="none"/>
              </w:rPr>
            </w:pPr>
            <w:r>
              <w:rPr>
                <w:rFonts w:hint="eastAsia" w:ascii="宋体" w:hAnsi="宋体" w:cs="宋体"/>
                <w:color w:val="auto"/>
                <w:szCs w:val="21"/>
                <w:highlight w:val="none"/>
              </w:rPr>
              <w:t>不组织。</w:t>
            </w:r>
          </w:p>
        </w:tc>
      </w:tr>
      <w:tr w14:paraId="6F6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00567B87">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1.10</w:t>
            </w:r>
          </w:p>
        </w:tc>
        <w:tc>
          <w:tcPr>
            <w:tcW w:w="1567" w:type="dxa"/>
            <w:vAlign w:val="center"/>
          </w:tcPr>
          <w:p w14:paraId="29751219">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7150" w:type="dxa"/>
            <w:vAlign w:val="center"/>
          </w:tcPr>
          <w:p w14:paraId="26B3D208">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不召开。</w:t>
            </w:r>
          </w:p>
        </w:tc>
      </w:tr>
      <w:tr w14:paraId="4CB2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30" w:type="dxa"/>
            <w:vAlign w:val="center"/>
          </w:tcPr>
          <w:p w14:paraId="7C6A4C2F">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1.11</w:t>
            </w:r>
          </w:p>
        </w:tc>
        <w:tc>
          <w:tcPr>
            <w:tcW w:w="1567" w:type="dxa"/>
            <w:vAlign w:val="center"/>
          </w:tcPr>
          <w:p w14:paraId="26AB43AF">
            <w:pPr>
              <w:snapToGrid w:val="0"/>
              <w:spacing w:line="400" w:lineRule="exact"/>
              <w:ind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分包</w:t>
            </w:r>
            <w:r>
              <w:rPr>
                <w:rFonts w:hint="eastAsia" w:ascii="宋体" w:hAnsi="宋体" w:cs="宋体"/>
                <w:color w:val="auto"/>
                <w:szCs w:val="21"/>
                <w:highlight w:val="none"/>
                <w:lang w:val="en-US" w:eastAsia="zh-CN"/>
              </w:rPr>
              <w:t>及转包</w:t>
            </w:r>
          </w:p>
        </w:tc>
        <w:tc>
          <w:tcPr>
            <w:tcW w:w="7150" w:type="dxa"/>
            <w:vAlign w:val="center"/>
          </w:tcPr>
          <w:p w14:paraId="04C8D16B">
            <w:pPr>
              <w:snapToGrid w:val="0"/>
              <w:spacing w:line="400" w:lineRule="exact"/>
              <w:ind w:firstLine="420"/>
              <w:jc w:val="both"/>
              <w:rPr>
                <w:rFonts w:ascii="宋体" w:hAnsi="宋体" w:cs="宋体"/>
                <w:color w:val="auto"/>
                <w:spacing w:val="-6"/>
                <w:szCs w:val="21"/>
                <w:highlight w:val="none"/>
              </w:rPr>
            </w:pP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不允许分包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转包</w:t>
            </w:r>
            <w:r>
              <w:rPr>
                <w:rFonts w:hint="eastAsia" w:ascii="宋体" w:hAnsi="宋体" w:cs="宋体"/>
                <w:color w:val="auto"/>
                <w:szCs w:val="21"/>
                <w:highlight w:val="none"/>
              </w:rPr>
              <w:t>。</w:t>
            </w:r>
          </w:p>
        </w:tc>
      </w:tr>
      <w:tr w14:paraId="0DCD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30" w:type="dxa"/>
            <w:vAlign w:val="center"/>
          </w:tcPr>
          <w:p w14:paraId="5234DE62">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567" w:type="dxa"/>
            <w:vAlign w:val="center"/>
          </w:tcPr>
          <w:p w14:paraId="613CA6C1">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7150" w:type="dxa"/>
            <w:vAlign w:val="center"/>
          </w:tcPr>
          <w:p w14:paraId="5174F316">
            <w:pPr>
              <w:snapToGrid w:val="0"/>
              <w:spacing w:line="400" w:lineRule="exact"/>
              <w:ind w:firstLine="422"/>
              <w:rPr>
                <w:rFonts w:ascii="宋体" w:hAnsi="宋体" w:cs="宋体"/>
                <w:b/>
                <w:color w:val="auto"/>
                <w:szCs w:val="21"/>
                <w:highlight w:val="none"/>
              </w:rPr>
            </w:pPr>
            <w:r>
              <w:rPr>
                <w:rFonts w:hint="eastAsia"/>
                <w:highlight w:val="none"/>
              </w:rPr>
              <w:t>不</w:t>
            </w:r>
            <w:r>
              <w:rPr>
                <w:highlight w:val="none"/>
              </w:rPr>
              <w:t>允许偏离。</w:t>
            </w:r>
          </w:p>
        </w:tc>
      </w:tr>
      <w:tr w14:paraId="7010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30" w:type="dxa"/>
            <w:vAlign w:val="center"/>
          </w:tcPr>
          <w:p w14:paraId="57B2B7D0">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2.1</w:t>
            </w:r>
          </w:p>
        </w:tc>
        <w:tc>
          <w:tcPr>
            <w:tcW w:w="1567" w:type="dxa"/>
            <w:vAlign w:val="center"/>
          </w:tcPr>
          <w:p w14:paraId="6C698209">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150" w:type="dxa"/>
            <w:vAlign w:val="center"/>
          </w:tcPr>
          <w:p w14:paraId="58BCCDF8">
            <w:pPr>
              <w:snapToGrid w:val="0"/>
              <w:spacing w:line="400" w:lineRule="exact"/>
              <w:ind w:firstLine="420"/>
              <w:rPr>
                <w:rFonts w:hint="eastAsia" w:ascii="宋体" w:hAnsi="宋体" w:cs="宋体" w:eastAsiaTheme="minorEastAsia"/>
                <w:color w:val="auto"/>
                <w:szCs w:val="21"/>
                <w:highlight w:val="none"/>
                <w:u w:val="single"/>
                <w:lang w:eastAsia="zh-CN"/>
              </w:rPr>
            </w:pPr>
            <w:r>
              <w:rPr>
                <w:rFonts w:hint="eastAsia" w:ascii="宋体" w:hAnsi="宋体" w:cs="宋体"/>
                <w:color w:val="auto"/>
                <w:szCs w:val="21"/>
                <w:highlight w:val="none"/>
              </w:rPr>
              <w:t>招标人发出的</w:t>
            </w:r>
            <w:r>
              <w:rPr>
                <w:rFonts w:hint="eastAsia" w:asciiTheme="minorEastAsia" w:hAnsiTheme="minorEastAsia" w:eastAsiaTheme="minorEastAsia" w:cstheme="minorEastAsia"/>
                <w:szCs w:val="21"/>
              </w:rPr>
              <w:t>澄清及修改</w:t>
            </w:r>
            <w:r>
              <w:rPr>
                <w:rFonts w:hint="eastAsia" w:asciiTheme="minorEastAsia" w:hAnsiTheme="minorEastAsia" w:eastAsiaTheme="minorEastAsia" w:cstheme="minorEastAsia"/>
                <w:szCs w:val="21"/>
                <w:lang w:eastAsia="zh-CN"/>
              </w:rPr>
              <w:t>。</w:t>
            </w:r>
          </w:p>
        </w:tc>
      </w:tr>
      <w:tr w14:paraId="1FD8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30" w:type="dxa"/>
            <w:vAlign w:val="center"/>
          </w:tcPr>
          <w:p w14:paraId="2ADFBF69">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2.2.1</w:t>
            </w:r>
          </w:p>
        </w:tc>
        <w:tc>
          <w:tcPr>
            <w:tcW w:w="1567" w:type="dxa"/>
            <w:vAlign w:val="center"/>
          </w:tcPr>
          <w:p w14:paraId="4158A8E7">
            <w:pPr>
              <w:spacing w:line="400" w:lineRule="exact"/>
              <w:ind w:left="0" w:leftChars="0" w:firstLine="0" w:firstLineChars="0"/>
              <w:jc w:val="center"/>
              <w:rPr>
                <w:rFonts w:ascii="宋体" w:hAnsi="宋体" w:cs="宋体"/>
                <w:color w:val="auto"/>
                <w:sz w:val="21"/>
                <w:szCs w:val="21"/>
                <w:highlight w:val="none"/>
              </w:rPr>
            </w:pPr>
            <w:r>
              <w:rPr>
                <w:rFonts w:hint="eastAsia" w:asciiTheme="minorEastAsia" w:hAnsiTheme="minorEastAsia" w:eastAsiaTheme="minorEastAsia" w:cstheme="minorEastAsia"/>
                <w:szCs w:val="21"/>
              </w:rPr>
              <w:t>投标人要求澄清招标文件</w:t>
            </w:r>
          </w:p>
        </w:tc>
        <w:tc>
          <w:tcPr>
            <w:tcW w:w="7150" w:type="dxa"/>
            <w:vAlign w:val="center"/>
          </w:tcPr>
          <w:p w14:paraId="03398565">
            <w:pPr>
              <w:spacing w:line="400" w:lineRule="exact"/>
              <w:ind w:firstLine="420" w:firstLineChars="200"/>
              <w:rPr>
                <w:rFonts w:ascii="宋体" w:hAnsi="宋体" w:cs="宋体"/>
                <w:color w:val="auto"/>
                <w:sz w:val="21"/>
                <w:szCs w:val="21"/>
                <w:highlight w:val="none"/>
              </w:rPr>
            </w:pPr>
            <w:r>
              <w:rPr>
                <w:rFonts w:hint="eastAsia" w:asciiTheme="minorEastAsia" w:hAnsiTheme="minorEastAsia" w:eastAsiaTheme="minorEastAsia" w:cstheme="minorEastAsia"/>
                <w:szCs w:val="21"/>
              </w:rPr>
              <w:t>投标人应仔细阅读招标文件及附件的所有内容，如有文字表述不清，图纸尺寸标注不明以及存在错、漏、缺、概念模糊和有可能出现歧义或理解上的偏差的内容等应在招标公告规定的时间前在本项目招标公告网页下方“我要提问”栏提交。</w:t>
            </w:r>
          </w:p>
        </w:tc>
      </w:tr>
      <w:tr w14:paraId="47D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30" w:type="dxa"/>
            <w:vAlign w:val="center"/>
          </w:tcPr>
          <w:p w14:paraId="45E234D9">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2.2.2</w:t>
            </w:r>
          </w:p>
        </w:tc>
        <w:tc>
          <w:tcPr>
            <w:tcW w:w="1567" w:type="dxa"/>
            <w:vAlign w:val="center"/>
          </w:tcPr>
          <w:p w14:paraId="215A0B98">
            <w:pPr>
              <w:spacing w:line="400" w:lineRule="exact"/>
              <w:ind w:left="0" w:leftChars="0" w:firstLine="0" w:firstLineChars="0"/>
              <w:jc w:val="center"/>
              <w:rPr>
                <w:rFonts w:ascii="宋体" w:hAnsi="宋体" w:cs="宋体"/>
                <w:color w:val="auto"/>
                <w:szCs w:val="21"/>
                <w:highlight w:val="none"/>
              </w:rPr>
            </w:pPr>
            <w:r>
              <w:rPr>
                <w:rFonts w:hint="eastAsia" w:asciiTheme="minorEastAsia" w:hAnsiTheme="minorEastAsia" w:eastAsiaTheme="minorEastAsia" w:cstheme="minorEastAsia"/>
                <w:szCs w:val="21"/>
              </w:rPr>
              <w:t>招标文件澄清发出的形式</w:t>
            </w:r>
          </w:p>
        </w:tc>
        <w:tc>
          <w:tcPr>
            <w:tcW w:w="7150" w:type="dxa"/>
            <w:vAlign w:val="center"/>
          </w:tcPr>
          <w:p w14:paraId="68409D32">
            <w:pPr>
              <w:spacing w:line="400" w:lineRule="exact"/>
              <w:ind w:firstLine="420" w:firstLineChars="200"/>
              <w:rPr>
                <w:rFonts w:ascii="宋体" w:hAnsi="宋体" w:cs="宋体"/>
                <w:color w:val="auto"/>
                <w:sz w:val="21"/>
                <w:szCs w:val="21"/>
                <w:highlight w:val="none"/>
              </w:rPr>
            </w:pPr>
            <w:r>
              <w:rPr>
                <w:rFonts w:hint="eastAsia" w:asciiTheme="minorEastAsia" w:hAnsiTheme="minorEastAsia" w:eastAsiaTheme="minorEastAsia" w:cstheme="minorEastAsia"/>
                <w:szCs w:val="21"/>
              </w:rPr>
              <w:t>招标人应在招标公告规定的时间前，</w:t>
            </w:r>
            <w:r>
              <w:rPr>
                <w:rFonts w:hint="eastAsia" w:asciiTheme="minorEastAsia" w:hAnsiTheme="minorEastAsia" w:eastAsiaTheme="minorEastAsia" w:cstheme="minorEastAsia"/>
                <w:kern w:val="0"/>
                <w:szCs w:val="21"/>
              </w:rPr>
              <w:t>在</w:t>
            </w:r>
            <w:r>
              <w:rPr>
                <w:rFonts w:hint="eastAsia" w:asciiTheme="minorEastAsia" w:hAnsiTheme="minorEastAsia" w:eastAsiaTheme="minorEastAsia" w:cstheme="minorEastAsia"/>
                <w:kern w:val="0"/>
                <w:szCs w:val="21"/>
                <w:u w:val="single"/>
              </w:rPr>
              <w:t>重庆市公共资源交易网</w:t>
            </w:r>
            <w:r>
              <w:rPr>
                <w:rFonts w:hint="eastAsia" w:asciiTheme="minorEastAsia" w:hAnsiTheme="minorEastAsia" w:eastAsiaTheme="minorEastAsia" w:cstheme="minorEastAsia"/>
                <w:kern w:val="0"/>
                <w:szCs w:val="21"/>
              </w:rPr>
              <w:t>发布澄清。</w:t>
            </w:r>
          </w:p>
        </w:tc>
      </w:tr>
      <w:tr w14:paraId="0924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30" w:type="dxa"/>
            <w:vAlign w:val="center"/>
          </w:tcPr>
          <w:p w14:paraId="2A71D2CF">
            <w:pPr>
              <w:snapToGrid w:val="0"/>
              <w:spacing w:line="400" w:lineRule="exact"/>
              <w:ind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highlight w:val="none"/>
              </w:rPr>
              <w:t>2.</w:t>
            </w:r>
            <w:r>
              <w:rPr>
                <w:rFonts w:hint="eastAsia" w:ascii="宋体" w:hAnsi="宋体" w:cs="宋体"/>
                <w:color w:val="auto"/>
                <w:highlight w:val="none"/>
                <w:lang w:val="en-US" w:eastAsia="zh-CN"/>
              </w:rPr>
              <w:t>3.1</w:t>
            </w:r>
          </w:p>
        </w:tc>
        <w:tc>
          <w:tcPr>
            <w:tcW w:w="1567" w:type="dxa"/>
            <w:vAlign w:val="center"/>
          </w:tcPr>
          <w:p w14:paraId="69E9C035">
            <w:pPr>
              <w:spacing w:line="400" w:lineRule="exact"/>
              <w:ind w:left="0" w:leftChars="0" w:firstLine="0" w:firstLineChars="0"/>
              <w:jc w:val="center"/>
              <w:rPr>
                <w:rFonts w:ascii="宋体" w:hAnsi="宋体" w:cs="宋体"/>
                <w:color w:val="auto"/>
                <w:szCs w:val="21"/>
                <w:highlight w:val="none"/>
              </w:rPr>
            </w:pPr>
            <w:r>
              <w:rPr>
                <w:rFonts w:hint="eastAsia" w:asciiTheme="minorEastAsia" w:hAnsiTheme="minorEastAsia" w:eastAsiaTheme="minorEastAsia" w:cstheme="minorEastAsia"/>
                <w:szCs w:val="21"/>
              </w:rPr>
              <w:t>招标文件修改发出的形式</w:t>
            </w:r>
          </w:p>
        </w:tc>
        <w:tc>
          <w:tcPr>
            <w:tcW w:w="7150" w:type="dxa"/>
            <w:vAlign w:val="center"/>
          </w:tcPr>
          <w:p w14:paraId="6B3BCE0D">
            <w:pPr>
              <w:spacing w:line="400" w:lineRule="exact"/>
              <w:ind w:firstLine="420" w:firstLineChars="200"/>
              <w:rPr>
                <w:rFonts w:ascii="宋体" w:hAnsi="宋体" w:cs="宋体"/>
                <w:color w:val="auto"/>
                <w:sz w:val="21"/>
                <w:szCs w:val="21"/>
                <w:highlight w:val="none"/>
              </w:rPr>
            </w:pPr>
            <w:r>
              <w:rPr>
                <w:rFonts w:hint="eastAsia" w:asciiTheme="minorEastAsia" w:hAnsiTheme="minorEastAsia" w:eastAsiaTheme="minorEastAsia" w:cstheme="minorEastAsia"/>
                <w:snapToGrid w:val="0"/>
                <w:kern w:val="0"/>
                <w:szCs w:val="21"/>
              </w:rPr>
              <w:t>修改内容可能影响投标文件编制的，须在投标截止时间15日前发布，发布时间至投标截止时间不足15日的，须相应延后投标截止时间。</w:t>
            </w:r>
          </w:p>
        </w:tc>
      </w:tr>
      <w:tr w14:paraId="384F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30" w:type="dxa"/>
            <w:vAlign w:val="center"/>
          </w:tcPr>
          <w:p w14:paraId="3808E1A4">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2.4</w:t>
            </w:r>
          </w:p>
        </w:tc>
        <w:tc>
          <w:tcPr>
            <w:tcW w:w="1567" w:type="dxa"/>
            <w:vAlign w:val="center"/>
          </w:tcPr>
          <w:p w14:paraId="34E48117">
            <w:pPr>
              <w:spacing w:line="400" w:lineRule="exact"/>
              <w:ind w:left="0" w:leftChars="0" w:firstLine="0" w:firstLineChars="0"/>
              <w:jc w:val="center"/>
              <w:rPr>
                <w:rFonts w:ascii="宋体" w:hAnsi="宋体" w:cs="宋体"/>
                <w:color w:val="auto"/>
                <w:szCs w:val="21"/>
                <w:highlight w:val="none"/>
              </w:rPr>
            </w:pPr>
            <w:r>
              <w:rPr>
                <w:rFonts w:hint="eastAsia" w:asciiTheme="minorEastAsia" w:hAnsiTheme="minorEastAsia" w:eastAsiaTheme="minorEastAsia" w:cstheme="minorEastAsia"/>
                <w:szCs w:val="21"/>
              </w:rPr>
              <w:t>投标人对招标文件及澄清修改的异议</w:t>
            </w:r>
          </w:p>
        </w:tc>
        <w:tc>
          <w:tcPr>
            <w:tcW w:w="7150" w:type="dxa"/>
            <w:vAlign w:val="center"/>
          </w:tcPr>
          <w:p w14:paraId="217CE8B6">
            <w:pPr>
              <w:spacing w:line="400" w:lineRule="exact"/>
              <w:ind w:firstLine="420" w:firstLineChars="200"/>
              <w:rPr>
                <w:rFonts w:ascii="宋体" w:hAnsi="宋体" w:cs="宋体"/>
                <w:color w:val="auto"/>
                <w:sz w:val="21"/>
                <w:szCs w:val="21"/>
                <w:highlight w:val="none"/>
              </w:rPr>
            </w:pPr>
            <w:r>
              <w:rPr>
                <w:rFonts w:hint="eastAsia" w:asciiTheme="minorEastAsia" w:hAnsiTheme="minorEastAsia" w:eastAsiaTheme="minorEastAsia" w:cstheme="minorEastAsia"/>
                <w:snapToGrid w:val="0"/>
                <w:kern w:val="0"/>
                <w:szCs w:val="21"/>
              </w:rPr>
              <w:t>投标人对招标文件和澄清修改有异议的，应当在投标截止时间10日前，</w:t>
            </w:r>
            <w:r>
              <w:rPr>
                <w:rFonts w:hint="eastAsia" w:ascii="宋体" w:hAnsi="宋体"/>
                <w:snapToGrid w:val="0"/>
                <w:kern w:val="0"/>
                <w:szCs w:val="21"/>
              </w:rPr>
              <w:t>以书面形式向招标人或招标代理机构</w:t>
            </w:r>
            <w:r>
              <w:rPr>
                <w:rFonts w:hint="eastAsia" w:asciiTheme="minorEastAsia" w:hAnsiTheme="minorEastAsia" w:eastAsiaTheme="minorEastAsia" w:cstheme="minorEastAsia"/>
                <w:snapToGrid w:val="0"/>
                <w:kern w:val="0"/>
                <w:szCs w:val="21"/>
              </w:rPr>
              <w:t>提出。招标人应当自收到异议之日起3日内做出答复，答复内容可能影响投标文件编制的，将以修改的形式于投标截止时间15日前在</w:t>
            </w:r>
            <w:r>
              <w:rPr>
                <w:rFonts w:hint="eastAsia" w:asciiTheme="minorEastAsia" w:hAnsiTheme="minorEastAsia" w:eastAsiaTheme="minorEastAsia" w:cstheme="minorEastAsia"/>
                <w:snapToGrid w:val="0"/>
                <w:kern w:val="0"/>
                <w:szCs w:val="21"/>
                <w:u w:val="single"/>
              </w:rPr>
              <w:t>重庆市公共资源交易网</w:t>
            </w:r>
            <w:r>
              <w:rPr>
                <w:rFonts w:hint="eastAsia" w:asciiTheme="minorEastAsia" w:hAnsiTheme="minorEastAsia" w:eastAsiaTheme="minorEastAsia" w:cstheme="minorEastAsia"/>
                <w:snapToGrid w:val="0"/>
                <w:kern w:val="0"/>
                <w:szCs w:val="21"/>
              </w:rPr>
              <w:t>澄清修改区发布，发布时间至投标截止时间不足15日的，须相应延后投标截止时间。</w:t>
            </w:r>
          </w:p>
        </w:tc>
      </w:tr>
      <w:tr w14:paraId="1449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30" w:type="dxa"/>
            <w:vAlign w:val="center"/>
          </w:tcPr>
          <w:p w14:paraId="470757DD">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3.1.1</w:t>
            </w:r>
          </w:p>
        </w:tc>
        <w:tc>
          <w:tcPr>
            <w:tcW w:w="1567" w:type="dxa"/>
            <w:vAlign w:val="center"/>
          </w:tcPr>
          <w:p w14:paraId="77C5E32D">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构成投标文件的其他材料</w:t>
            </w:r>
          </w:p>
        </w:tc>
        <w:tc>
          <w:tcPr>
            <w:tcW w:w="7150" w:type="dxa"/>
            <w:vAlign w:val="center"/>
          </w:tcPr>
          <w:p w14:paraId="6655E2B3">
            <w:pPr>
              <w:snapToGrid w:val="0"/>
              <w:spacing w:line="400" w:lineRule="exact"/>
              <w:ind w:firstLine="420"/>
              <w:rPr>
                <w:rFonts w:ascii="宋体" w:hAnsi="宋体" w:cs="宋体"/>
                <w:b/>
                <w:color w:val="auto"/>
                <w:szCs w:val="21"/>
                <w:highlight w:val="none"/>
                <w:u w:val="single"/>
              </w:rPr>
            </w:pPr>
            <w:r>
              <w:rPr>
                <w:rFonts w:hint="eastAsia" w:asciiTheme="minorEastAsia" w:hAnsiTheme="minorEastAsia" w:eastAsiaTheme="minorEastAsia" w:cstheme="minorEastAsia"/>
                <w:szCs w:val="21"/>
              </w:rPr>
              <w:t>投标人的书面澄清、说明和补正（但不得改变投标文件的实质性内容）</w:t>
            </w:r>
          </w:p>
        </w:tc>
      </w:tr>
      <w:tr w14:paraId="1CA2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08DB4647">
            <w:pPr>
              <w:spacing w:line="400" w:lineRule="exact"/>
              <w:ind w:left="0" w:leftChars="0" w:firstLine="0" w:firstLineChars="0"/>
              <w:jc w:val="center"/>
              <w:rPr>
                <w:rFonts w:hint="eastAsia" w:ascii="宋体" w:hAnsi="宋体" w:cs="宋体"/>
                <w:color w:val="auto"/>
                <w:szCs w:val="21"/>
                <w:highlight w:val="none"/>
              </w:rPr>
            </w:pPr>
            <w:r>
              <w:rPr>
                <w:rFonts w:hint="eastAsia" w:asciiTheme="minorEastAsia" w:hAnsiTheme="minorEastAsia" w:eastAsiaTheme="minorEastAsia" w:cstheme="minorEastAsia"/>
                <w:szCs w:val="21"/>
              </w:rPr>
              <w:t>3.2.1</w:t>
            </w:r>
          </w:p>
        </w:tc>
        <w:tc>
          <w:tcPr>
            <w:tcW w:w="1567" w:type="dxa"/>
            <w:vAlign w:val="center"/>
          </w:tcPr>
          <w:p w14:paraId="63134EB8">
            <w:pPr>
              <w:spacing w:line="400" w:lineRule="exact"/>
              <w:ind w:left="0" w:leftChars="0" w:firstLine="0" w:firstLineChars="0"/>
              <w:jc w:val="center"/>
              <w:rPr>
                <w:rFonts w:hint="eastAsia" w:ascii="宋体" w:hAnsi="宋体" w:cs="宋体"/>
                <w:snapToGrid w:val="0"/>
                <w:color w:val="auto"/>
                <w:position w:val="-2"/>
                <w:sz w:val="21"/>
                <w:szCs w:val="21"/>
                <w:highlight w:val="none"/>
              </w:rPr>
            </w:pPr>
            <w:r>
              <w:rPr>
                <w:rFonts w:hint="eastAsia" w:asciiTheme="minorEastAsia" w:hAnsiTheme="minorEastAsia" w:eastAsiaTheme="minorEastAsia" w:cstheme="minorEastAsia"/>
                <w:szCs w:val="21"/>
              </w:rPr>
              <w:t>增值税税金的计算方式</w:t>
            </w:r>
          </w:p>
        </w:tc>
        <w:tc>
          <w:tcPr>
            <w:tcW w:w="7150" w:type="dxa"/>
            <w:vAlign w:val="center"/>
          </w:tcPr>
          <w:p w14:paraId="5FEC8F25">
            <w:pPr>
              <w:pStyle w:val="2"/>
              <w:tabs>
                <w:tab w:val="left" w:pos="546"/>
                <w:tab w:val="left" w:pos="711"/>
              </w:tabs>
              <w:snapToGrid w:val="0"/>
              <w:spacing w:after="0" w:line="400" w:lineRule="exact"/>
              <w:ind w:left="6" w:leftChars="3" w:firstLine="420" w:firstLineChars="200"/>
              <w:rPr>
                <w:rFonts w:hint="eastAsia" w:ascii="宋体" w:hAnsi="宋体" w:cs="宋体"/>
                <w:snapToGrid w:val="0"/>
                <w:color w:val="auto"/>
                <w:position w:val="-2"/>
                <w:sz w:val="21"/>
                <w:szCs w:val="21"/>
                <w:highlight w:val="none"/>
              </w:rPr>
            </w:pPr>
            <w:r>
              <w:rPr>
                <w:rFonts w:hint="eastAsia" w:asciiTheme="minorEastAsia" w:hAnsiTheme="minorEastAsia" w:eastAsiaTheme="minorEastAsia" w:cstheme="minorEastAsia"/>
                <w:sz w:val="21"/>
                <w:szCs w:val="21"/>
              </w:rPr>
              <w:t>增值税计税方法由招标人依据国家税法规定选择：一般计税法</w:t>
            </w:r>
          </w:p>
        </w:tc>
      </w:tr>
      <w:tr w14:paraId="277C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7A685819">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3.2</w:t>
            </w:r>
          </w:p>
        </w:tc>
        <w:tc>
          <w:tcPr>
            <w:tcW w:w="1567" w:type="dxa"/>
            <w:vAlign w:val="center"/>
          </w:tcPr>
          <w:p w14:paraId="4DB2E4F0">
            <w:pPr>
              <w:pStyle w:val="42"/>
              <w:adjustRightInd w:val="0"/>
              <w:snapToGrid w:val="0"/>
              <w:spacing w:line="400" w:lineRule="exact"/>
              <w:jc w:val="center"/>
              <w:rPr>
                <w:rFonts w:hint="default" w:ascii="宋体" w:hAnsi="宋体" w:eastAsia="宋体" w:cs="宋体"/>
                <w:snapToGrid w:val="0"/>
                <w:color w:val="auto"/>
                <w:position w:val="-2"/>
                <w:sz w:val="21"/>
                <w:szCs w:val="21"/>
                <w:highlight w:val="none"/>
                <w:lang w:val="en-US" w:eastAsia="zh-CN"/>
              </w:rPr>
            </w:pPr>
            <w:r>
              <w:rPr>
                <w:rFonts w:hint="eastAsia" w:ascii="宋体" w:hAnsi="宋体" w:cs="宋体"/>
                <w:snapToGrid w:val="0"/>
                <w:color w:val="auto"/>
                <w:position w:val="-2"/>
                <w:sz w:val="21"/>
                <w:szCs w:val="21"/>
                <w:highlight w:val="none"/>
              </w:rPr>
              <w:t>投标报价</w:t>
            </w:r>
            <w:r>
              <w:rPr>
                <w:rFonts w:hint="eastAsia" w:ascii="宋体" w:hAnsi="宋体" w:cs="宋体"/>
                <w:snapToGrid w:val="0"/>
                <w:color w:val="auto"/>
                <w:position w:val="-2"/>
                <w:sz w:val="21"/>
                <w:szCs w:val="21"/>
                <w:highlight w:val="none"/>
                <w:lang w:eastAsia="zh-CN"/>
              </w:rPr>
              <w:t>、</w:t>
            </w:r>
            <w:r>
              <w:rPr>
                <w:rFonts w:hint="eastAsia" w:ascii="宋体" w:hAnsi="宋体" w:cs="宋体"/>
                <w:snapToGrid w:val="0"/>
                <w:color w:val="auto"/>
                <w:position w:val="-2"/>
                <w:sz w:val="21"/>
                <w:szCs w:val="21"/>
                <w:highlight w:val="none"/>
                <w:lang w:val="en-US" w:eastAsia="zh-CN"/>
              </w:rPr>
              <w:t>最高限价及结算要求</w:t>
            </w:r>
          </w:p>
        </w:tc>
        <w:tc>
          <w:tcPr>
            <w:tcW w:w="7150" w:type="dxa"/>
            <w:vAlign w:val="center"/>
          </w:tcPr>
          <w:p w14:paraId="062B85A9">
            <w:pPr>
              <w:pStyle w:val="42"/>
              <w:snapToGrid w:val="0"/>
              <w:spacing w:line="400" w:lineRule="exact"/>
              <w:ind w:firstLine="420" w:firstLineChars="200"/>
              <w:jc w:val="both"/>
              <w:rPr>
                <w:rFonts w:hint="eastAsia" w:ascii="宋体" w:hAnsi="宋体" w:cs="宋体"/>
                <w:snapToGrid w:val="0"/>
                <w:color w:val="auto"/>
                <w:position w:val="-2"/>
                <w:sz w:val="21"/>
                <w:szCs w:val="21"/>
                <w:highlight w:val="none"/>
                <w:lang w:val="en-US" w:eastAsia="zh-CN"/>
              </w:rPr>
            </w:pPr>
            <w:r>
              <w:rPr>
                <w:rFonts w:hint="eastAsia" w:ascii="宋体" w:hAnsi="宋体" w:cs="宋体"/>
                <w:snapToGrid w:val="0"/>
                <w:color w:val="auto"/>
                <w:position w:val="-2"/>
                <w:sz w:val="21"/>
                <w:szCs w:val="21"/>
                <w:highlight w:val="none"/>
                <w:lang w:val="en-US" w:eastAsia="zh-CN"/>
              </w:rPr>
              <w:t>1.投标人所报的投标报价包含但不限于各类商品供货、包装费、运输费、保险费、装卸费（含上下车、二次转运等）、仓储费、服务费、售后服务费及各种税费等乙方为完成合同全部义务应承担的一切成本、税金、风险、费用和支出以及合理利润等所有费用。此外，招标人不再向入围供应商和（或）第三方支付任何费用。</w:t>
            </w:r>
          </w:p>
          <w:p w14:paraId="607CAC6D">
            <w:pPr>
              <w:pStyle w:val="42"/>
              <w:snapToGrid w:val="0"/>
              <w:spacing w:line="400" w:lineRule="exact"/>
              <w:ind w:firstLine="420" w:firstLineChars="200"/>
              <w:jc w:val="both"/>
              <w:rPr>
                <w:rFonts w:hint="eastAsia" w:ascii="宋体" w:hAnsi="宋体" w:cs="宋体"/>
                <w:snapToGrid w:val="0"/>
                <w:color w:val="auto"/>
                <w:position w:val="-2"/>
                <w:sz w:val="21"/>
                <w:szCs w:val="21"/>
                <w:highlight w:val="none"/>
                <w:lang w:val="en-US" w:eastAsia="zh-CN"/>
              </w:rPr>
            </w:pPr>
            <w:r>
              <w:rPr>
                <w:rFonts w:hint="eastAsia" w:ascii="宋体" w:hAnsi="宋体" w:cs="宋体"/>
                <w:snapToGrid w:val="0"/>
                <w:color w:val="auto"/>
                <w:position w:val="-2"/>
                <w:sz w:val="21"/>
                <w:szCs w:val="21"/>
                <w:highlight w:val="none"/>
                <w:lang w:val="en-US" w:eastAsia="zh-CN"/>
              </w:rPr>
              <w:t>2.本次招标采用的报价方式为：折扣率报价</w:t>
            </w:r>
          </w:p>
          <w:p w14:paraId="508D202C">
            <w:pPr>
              <w:pStyle w:val="42"/>
              <w:snapToGrid w:val="0"/>
              <w:spacing w:line="400" w:lineRule="exact"/>
              <w:ind w:firstLine="422" w:firstLineChars="200"/>
              <w:jc w:val="both"/>
              <w:rPr>
                <w:rFonts w:hint="default" w:ascii="宋体" w:hAnsi="宋体" w:cs="宋体"/>
                <w:b/>
                <w:bCs/>
                <w:snapToGrid w:val="0"/>
                <w:color w:val="auto"/>
                <w:position w:val="-2"/>
                <w:sz w:val="21"/>
                <w:szCs w:val="21"/>
                <w:highlight w:val="none"/>
                <w:lang w:val="en-US" w:eastAsia="zh-CN"/>
              </w:rPr>
            </w:pPr>
            <w:r>
              <w:rPr>
                <w:rFonts w:hint="eastAsia" w:ascii="宋体" w:hAnsi="宋体" w:cs="宋体"/>
                <w:b/>
                <w:bCs/>
                <w:snapToGrid w:val="0"/>
                <w:color w:val="auto"/>
                <w:position w:val="-2"/>
                <w:sz w:val="21"/>
                <w:szCs w:val="21"/>
                <w:highlight w:val="none"/>
                <w:lang w:val="en-US" w:eastAsia="zh-CN"/>
              </w:rPr>
              <w:t>（1）实物商品折扣率以目前国内电商市场占有率最高的京东、天猫自营价（均含邮、含税）为基数，供应商在此价格基数上提供折扣率。如商品价格为京东平台自营价格的M折、天猫平台自营价格的N折，则折扣率为（M+N)/20×100%，举例：若商品价格（含邮、含税）为京东平台自营价格的8折，天猫平台自营价格的8.5折，则折扣率为82.5%。</w:t>
            </w:r>
          </w:p>
          <w:p w14:paraId="0D8958EE">
            <w:pPr>
              <w:pStyle w:val="42"/>
              <w:snapToGrid w:val="0"/>
              <w:spacing w:line="400" w:lineRule="exact"/>
              <w:ind w:firstLine="422" w:firstLineChars="200"/>
              <w:jc w:val="both"/>
              <w:rPr>
                <w:rFonts w:hint="default" w:ascii="宋体" w:hAnsi="宋体" w:cs="宋体"/>
                <w:b/>
                <w:bCs/>
                <w:snapToGrid w:val="0"/>
                <w:color w:val="auto"/>
                <w:position w:val="-2"/>
                <w:sz w:val="21"/>
                <w:szCs w:val="21"/>
                <w:highlight w:val="none"/>
                <w:lang w:val="en-US" w:eastAsia="zh-CN"/>
              </w:rPr>
            </w:pPr>
            <w:r>
              <w:rPr>
                <w:rFonts w:hint="eastAsia" w:ascii="宋体" w:hAnsi="宋体" w:cs="宋体"/>
                <w:b/>
                <w:bCs/>
                <w:snapToGrid w:val="0"/>
                <w:color w:val="auto"/>
                <w:position w:val="-2"/>
                <w:sz w:val="21"/>
                <w:szCs w:val="21"/>
                <w:highlight w:val="none"/>
                <w:lang w:val="en-US" w:eastAsia="zh-CN"/>
              </w:rPr>
              <w:t>（2）现金类虚拟商品包括但不限于：微信立减金、微信红包、支付宝立减金、话费、加油卡、商超购物卡、京东e卡等预付费储值类、通讯充值类、第三方支付工具商品。现金类虚拟商品折扣率以商品自身面值为基数，举例：若100元话费，供货价（含税）为105元，则折扣率为105%。</w:t>
            </w:r>
          </w:p>
          <w:p w14:paraId="24197CF5">
            <w:pPr>
              <w:pStyle w:val="42"/>
              <w:snapToGrid w:val="0"/>
              <w:spacing w:line="400" w:lineRule="exact"/>
              <w:ind w:firstLine="422" w:firstLineChars="200"/>
              <w:jc w:val="both"/>
              <w:rPr>
                <w:rFonts w:hint="default" w:ascii="宋体" w:hAnsi="宋体" w:cs="宋体"/>
                <w:b/>
                <w:bCs/>
                <w:snapToGrid w:val="0"/>
                <w:color w:val="auto"/>
                <w:position w:val="-2"/>
                <w:sz w:val="21"/>
                <w:szCs w:val="21"/>
                <w:highlight w:val="none"/>
                <w:lang w:val="en-US" w:eastAsia="zh-CN"/>
              </w:rPr>
            </w:pPr>
            <w:r>
              <w:rPr>
                <w:rFonts w:hint="eastAsia" w:ascii="宋体" w:hAnsi="宋体" w:cs="宋体"/>
                <w:b/>
                <w:bCs/>
                <w:snapToGrid w:val="0"/>
                <w:color w:val="auto"/>
                <w:position w:val="-2"/>
                <w:sz w:val="21"/>
                <w:szCs w:val="21"/>
                <w:highlight w:val="none"/>
                <w:lang w:val="en-US" w:eastAsia="zh-CN"/>
              </w:rPr>
              <w:t>（3）非现金类虚拟商品包括但不限于：影视会员、出行服务、家政服务、体检服务等具体的商品或服务。非现金类虚拟商品折扣率以商品官方价格为基数，举例：若高铁贵宾厅，官方价格为200元/次，供货价为180元/次（含税），则折扣率为90%。</w:t>
            </w:r>
          </w:p>
          <w:p w14:paraId="2E78F5CC">
            <w:pPr>
              <w:pStyle w:val="42"/>
              <w:snapToGrid w:val="0"/>
              <w:spacing w:line="400" w:lineRule="exact"/>
              <w:ind w:firstLine="420" w:firstLineChars="200"/>
              <w:jc w:val="both"/>
              <w:rPr>
                <w:rFonts w:hint="eastAsia" w:ascii="宋体" w:hAnsi="宋体" w:cs="宋体"/>
                <w:snapToGrid w:val="0"/>
                <w:color w:val="auto"/>
                <w:position w:val="-2"/>
                <w:sz w:val="21"/>
                <w:szCs w:val="21"/>
                <w:highlight w:val="none"/>
                <w:lang w:val="en-US" w:eastAsia="zh-CN"/>
              </w:rPr>
            </w:pPr>
            <w:r>
              <w:rPr>
                <w:rFonts w:hint="eastAsia" w:ascii="宋体" w:hAnsi="宋体" w:cs="宋体"/>
                <w:snapToGrid w:val="0"/>
                <w:color w:val="auto"/>
                <w:position w:val="-2"/>
                <w:sz w:val="21"/>
                <w:szCs w:val="21"/>
                <w:highlight w:val="none"/>
                <w:lang w:val="en-US" w:eastAsia="zh-CN"/>
              </w:rPr>
              <w:t>折扣率报价以百分号为单位，百分号前保留两位小数，小数点后第三位四舍五入，小数点后不足两位的按实际位数保留。</w:t>
            </w:r>
          </w:p>
          <w:p w14:paraId="0A964EAD">
            <w:pPr>
              <w:pStyle w:val="42"/>
              <w:snapToGrid w:val="0"/>
              <w:spacing w:line="400" w:lineRule="exact"/>
              <w:ind w:firstLine="420" w:firstLineChars="200"/>
              <w:jc w:val="both"/>
              <w:rPr>
                <w:rFonts w:hint="default" w:ascii="宋体" w:hAnsi="宋体" w:cs="宋体"/>
                <w:snapToGrid w:val="0"/>
                <w:color w:val="auto"/>
                <w:position w:val="-2"/>
                <w:sz w:val="21"/>
                <w:szCs w:val="21"/>
                <w:highlight w:val="none"/>
                <w:lang w:val="en-US" w:eastAsia="zh-CN"/>
              </w:rPr>
            </w:pPr>
            <w:r>
              <w:rPr>
                <w:rFonts w:hint="eastAsia" w:ascii="宋体" w:hAnsi="宋体" w:eastAsia="宋体" w:cs="宋体"/>
                <w:snapToGrid w:val="0"/>
                <w:color w:val="auto"/>
                <w:position w:val="-2"/>
                <w:sz w:val="21"/>
                <w:szCs w:val="21"/>
                <w:highlight w:val="none"/>
                <w:lang w:val="en-US" w:eastAsia="zh-CN" w:bidi="ar-SA"/>
              </w:rPr>
              <w:t>3</w:t>
            </w:r>
            <w:r>
              <w:rPr>
                <w:rFonts w:hint="eastAsia" w:ascii="宋体" w:hAnsi="宋体" w:cs="宋体"/>
                <w:snapToGrid w:val="0"/>
                <w:color w:val="auto"/>
                <w:position w:val="-2"/>
                <w:sz w:val="21"/>
                <w:szCs w:val="21"/>
                <w:highlight w:val="none"/>
                <w:lang w:val="en-US" w:eastAsia="zh-CN"/>
              </w:rPr>
              <w:t>.最高限价</w:t>
            </w:r>
          </w:p>
          <w:p w14:paraId="2EEB58DA">
            <w:pPr>
              <w:pStyle w:val="42"/>
              <w:snapToGrid w:val="0"/>
              <w:spacing w:line="400" w:lineRule="exact"/>
              <w:ind w:firstLine="422" w:firstLineChars="200"/>
              <w:jc w:val="both"/>
              <w:rPr>
                <w:rFonts w:hint="eastAsia" w:ascii="宋体" w:hAnsi="宋体" w:cs="宋体"/>
                <w:b/>
                <w:bCs/>
                <w:snapToGrid w:val="0"/>
                <w:color w:val="auto"/>
                <w:position w:val="-2"/>
                <w:sz w:val="21"/>
                <w:szCs w:val="21"/>
                <w:highlight w:val="none"/>
                <w:lang w:val="en-US" w:eastAsia="zh-CN"/>
              </w:rPr>
            </w:pPr>
            <w:r>
              <w:rPr>
                <w:rFonts w:hint="eastAsia" w:ascii="宋体" w:hAnsi="宋体" w:cs="宋体"/>
                <w:b/>
                <w:bCs/>
                <w:snapToGrid w:val="0"/>
                <w:color w:val="auto"/>
                <w:position w:val="-2"/>
                <w:sz w:val="21"/>
                <w:szCs w:val="21"/>
                <w:highlight w:val="none"/>
                <w:lang w:val="en-US" w:eastAsia="zh-CN"/>
              </w:rPr>
              <w:t>（1）实物类商品响应最高限价（含税、含邮）：100%折扣率；</w:t>
            </w:r>
          </w:p>
          <w:p w14:paraId="545DBFA8">
            <w:pPr>
              <w:pStyle w:val="42"/>
              <w:snapToGrid w:val="0"/>
              <w:spacing w:line="400" w:lineRule="exact"/>
              <w:ind w:firstLine="422" w:firstLineChars="200"/>
              <w:jc w:val="both"/>
              <w:rPr>
                <w:rFonts w:hint="eastAsia" w:ascii="宋体" w:hAnsi="宋体" w:cs="宋体"/>
                <w:b/>
                <w:bCs/>
                <w:snapToGrid w:val="0"/>
                <w:color w:val="auto"/>
                <w:position w:val="-2"/>
                <w:sz w:val="21"/>
                <w:szCs w:val="21"/>
                <w:highlight w:val="none"/>
                <w:lang w:val="en-US" w:eastAsia="zh-CN"/>
              </w:rPr>
            </w:pPr>
            <w:r>
              <w:rPr>
                <w:rFonts w:hint="eastAsia" w:ascii="宋体" w:hAnsi="宋体" w:cs="宋体"/>
                <w:b/>
                <w:bCs/>
                <w:snapToGrid w:val="0"/>
                <w:color w:val="auto"/>
                <w:position w:val="-2"/>
                <w:sz w:val="21"/>
                <w:szCs w:val="21"/>
                <w:highlight w:val="none"/>
                <w:lang w:val="en-US" w:eastAsia="zh-CN"/>
              </w:rPr>
              <w:t>（2）现金类虚拟商品响应最高限价（含税）：110%折扣率；</w:t>
            </w:r>
          </w:p>
          <w:p w14:paraId="7E753EE8">
            <w:pPr>
              <w:pStyle w:val="42"/>
              <w:snapToGrid w:val="0"/>
              <w:spacing w:line="400" w:lineRule="exact"/>
              <w:ind w:firstLine="422" w:firstLineChars="200"/>
              <w:jc w:val="both"/>
              <w:rPr>
                <w:rFonts w:hint="eastAsia" w:ascii="宋体" w:hAnsi="宋体" w:cs="宋体"/>
                <w:b/>
                <w:bCs/>
                <w:snapToGrid w:val="0"/>
                <w:color w:val="auto"/>
                <w:position w:val="-2"/>
                <w:sz w:val="21"/>
                <w:szCs w:val="21"/>
                <w:highlight w:val="none"/>
                <w:lang w:val="en-US" w:eastAsia="zh-CN"/>
              </w:rPr>
            </w:pPr>
            <w:r>
              <w:rPr>
                <w:rFonts w:hint="eastAsia" w:ascii="宋体" w:hAnsi="宋体" w:cs="宋体"/>
                <w:b/>
                <w:bCs/>
                <w:snapToGrid w:val="0"/>
                <w:color w:val="auto"/>
                <w:position w:val="-2"/>
                <w:sz w:val="21"/>
                <w:szCs w:val="21"/>
                <w:highlight w:val="none"/>
                <w:lang w:val="en-US" w:eastAsia="zh-CN"/>
              </w:rPr>
              <w:t>（3）非现金类虚拟商品响应最高限价（含税）：100%折扣率。</w:t>
            </w:r>
          </w:p>
          <w:p w14:paraId="11DF34CF">
            <w:pPr>
              <w:pStyle w:val="42"/>
              <w:snapToGrid w:val="0"/>
              <w:spacing w:line="400" w:lineRule="exact"/>
              <w:ind w:firstLine="420" w:firstLineChars="200"/>
              <w:jc w:val="both"/>
              <w:rPr>
                <w:rFonts w:hint="eastAsia" w:ascii="宋体" w:hAnsi="宋体" w:cs="宋体"/>
                <w:snapToGrid w:val="0"/>
                <w:color w:val="auto"/>
                <w:position w:val="-2"/>
                <w:sz w:val="21"/>
                <w:szCs w:val="21"/>
                <w:highlight w:val="none"/>
                <w:lang w:val="en-US" w:eastAsia="zh-CN"/>
              </w:rPr>
            </w:pPr>
            <w:r>
              <w:rPr>
                <w:rFonts w:hint="eastAsia" w:ascii="宋体" w:hAnsi="宋体" w:cs="宋体"/>
                <w:snapToGrid w:val="0"/>
                <w:color w:val="auto"/>
                <w:position w:val="-2"/>
                <w:sz w:val="21"/>
                <w:szCs w:val="21"/>
                <w:highlight w:val="none"/>
                <w:lang w:val="en-US" w:eastAsia="zh-CN"/>
              </w:rPr>
              <w:t>投标人所报折扣率均不得超过最高限价，否则，其投标文件将按否决投标处理。</w:t>
            </w:r>
          </w:p>
          <w:p w14:paraId="619CCF3E">
            <w:pPr>
              <w:keepNext w:val="0"/>
              <w:keepLines w:val="0"/>
              <w:pageBreakBefore w:val="0"/>
              <w:widowControl/>
              <w:kinsoku/>
              <w:wordWrap/>
              <w:overflowPunct/>
              <w:topLinePunct w:val="0"/>
              <w:bidi w:val="0"/>
              <w:adjustRightInd/>
              <w:spacing w:line="400" w:lineRule="exact"/>
              <w:ind w:left="0" w:leftChars="0" w:firstLine="420" w:firstLineChars="200"/>
              <w:textAlignment w:val="auto"/>
              <w:rPr>
                <w:rFonts w:hint="eastAsia" w:ascii="宋体" w:hAnsi="宋体" w:eastAsia="宋体" w:cs="宋体"/>
                <w:snapToGrid w:val="0"/>
                <w:color w:val="auto"/>
                <w:position w:val="-2"/>
                <w:sz w:val="21"/>
                <w:szCs w:val="21"/>
                <w:highlight w:val="none"/>
                <w:lang w:val="en-US" w:eastAsia="zh-CN" w:bidi="ar-SA"/>
              </w:rPr>
            </w:pPr>
            <w:r>
              <w:rPr>
                <w:rFonts w:hint="eastAsia" w:ascii="宋体" w:hAnsi="宋体" w:eastAsia="宋体" w:cs="宋体"/>
                <w:snapToGrid w:val="0"/>
                <w:color w:val="auto"/>
                <w:position w:val="-2"/>
                <w:sz w:val="21"/>
                <w:szCs w:val="21"/>
                <w:highlight w:val="none"/>
                <w:lang w:val="en-US" w:eastAsia="zh-CN" w:bidi="ar-SA"/>
              </w:rPr>
              <w:t>4.结算要求</w:t>
            </w:r>
          </w:p>
          <w:p w14:paraId="5A352E62">
            <w:pPr>
              <w:pStyle w:val="42"/>
              <w:snapToGrid w:val="0"/>
              <w:spacing w:line="400" w:lineRule="exact"/>
              <w:ind w:firstLine="420" w:firstLineChars="200"/>
              <w:jc w:val="both"/>
              <w:rPr>
                <w:rFonts w:hint="eastAsia" w:ascii="宋体" w:hAnsi="宋体" w:cs="宋体"/>
                <w:snapToGrid w:val="0"/>
                <w:color w:val="auto"/>
                <w:position w:val="-2"/>
                <w:sz w:val="21"/>
                <w:szCs w:val="21"/>
                <w:highlight w:val="none"/>
              </w:rPr>
            </w:pPr>
            <w:r>
              <w:rPr>
                <w:rFonts w:hint="eastAsia" w:ascii="宋体" w:hAnsi="宋体" w:cs="宋体"/>
                <w:snapToGrid w:val="0"/>
                <w:color w:val="auto"/>
                <w:position w:val="-2"/>
                <w:sz w:val="21"/>
                <w:szCs w:val="21"/>
                <w:highlight w:val="none"/>
                <w:lang w:val="en-US" w:eastAsia="zh-CN"/>
              </w:rPr>
              <w:t>按季度结算，入围供应商在每季度结束后向招标人出具上季度对账清单；招标人在收到对账清单10个工作日内完成确认。双方确认后，入围供应商按照招标人要求提供结算等额、合法有效的增值税专用发票，招标人自收到发票后15个工作日内完成费用支付。</w:t>
            </w:r>
          </w:p>
        </w:tc>
      </w:tr>
      <w:tr w14:paraId="2AAB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0" w:type="dxa"/>
            <w:vAlign w:val="center"/>
          </w:tcPr>
          <w:p w14:paraId="66026887">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3.3.1</w:t>
            </w:r>
          </w:p>
        </w:tc>
        <w:tc>
          <w:tcPr>
            <w:tcW w:w="1567" w:type="dxa"/>
            <w:vAlign w:val="center"/>
          </w:tcPr>
          <w:p w14:paraId="642ED0D2">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50" w:type="dxa"/>
            <w:vAlign w:val="center"/>
          </w:tcPr>
          <w:p w14:paraId="7F3E047C">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日历天（从提交投标文件截止日起计算）</w:t>
            </w:r>
          </w:p>
        </w:tc>
      </w:tr>
      <w:tr w14:paraId="4A12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2C472ACB">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3.4.1</w:t>
            </w:r>
          </w:p>
        </w:tc>
        <w:tc>
          <w:tcPr>
            <w:tcW w:w="1567" w:type="dxa"/>
            <w:vAlign w:val="center"/>
          </w:tcPr>
          <w:p w14:paraId="350CA432">
            <w:pPr>
              <w:spacing w:line="400" w:lineRule="exact"/>
              <w:ind w:left="0" w:leftChars="0" w:firstLine="0" w:firstLineChars="0"/>
              <w:jc w:val="center"/>
              <w:rPr>
                <w:rFonts w:ascii="宋体" w:hAnsi="宋体" w:cs="宋体"/>
                <w:color w:val="auto"/>
                <w:spacing w:val="-3"/>
                <w:szCs w:val="21"/>
                <w:highlight w:val="none"/>
              </w:rPr>
            </w:pPr>
            <w:r>
              <w:rPr>
                <w:rFonts w:hint="eastAsia" w:ascii="宋体" w:hAnsi="宋体" w:cs="宋体"/>
                <w:color w:val="auto"/>
                <w:szCs w:val="21"/>
                <w:highlight w:val="none"/>
              </w:rPr>
              <w:t>投标保证金</w:t>
            </w:r>
          </w:p>
        </w:tc>
        <w:tc>
          <w:tcPr>
            <w:tcW w:w="7150" w:type="dxa"/>
            <w:vAlign w:val="center"/>
          </w:tcPr>
          <w:p w14:paraId="77832AE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是否要求投标人提交投标保证金：</w:t>
            </w:r>
          </w:p>
          <w:p w14:paraId="7D4BB41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要求，投标保证金的交纳方式：投标人可选择以下三种方式之一。</w:t>
            </w:r>
          </w:p>
          <w:p w14:paraId="1C6BD89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w:t>
            </w:r>
          </w:p>
          <w:p w14:paraId="6F3CF5A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一、以电子投标保函形式交纳投标保证金</w:t>
            </w:r>
          </w:p>
          <w:p w14:paraId="0C7ED3BE">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14:paraId="1FB98B9F">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若投标截止时间延期，则电子投标保函提交的截止时间和投标截止时间应当保持一致。</w:t>
            </w:r>
          </w:p>
          <w:p w14:paraId="45DEC481">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不满足上述要求的电子投标保函视为无效。</w:t>
            </w:r>
          </w:p>
          <w:p w14:paraId="14725E0F">
            <w:pPr>
              <w:snapToGrid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szCs w:val="21"/>
                <w:highlight w:val="none"/>
              </w:rPr>
              <w:t>2.以电子投标保函形式担保的投标保证金的金额</w:t>
            </w:r>
            <w:r>
              <w:rPr>
                <w:rFonts w:hint="eastAsia" w:ascii="宋体" w:hAnsi="宋体" w:cs="宋体"/>
                <w:color w:val="auto"/>
                <w:szCs w:val="21"/>
                <w:highlight w:val="none"/>
              </w:rPr>
              <w:t>：</w:t>
            </w:r>
            <w:r>
              <w:rPr>
                <w:rFonts w:hint="eastAsia" w:ascii="宋体" w:hAnsi="宋体" w:cs="宋体"/>
                <w:b/>
                <w:bCs/>
                <w:color w:val="auto"/>
                <w:szCs w:val="21"/>
                <w:highlight w:val="none"/>
                <w:u w:val="single"/>
                <w:lang w:val="en-US" w:eastAsia="zh-CN"/>
              </w:rPr>
              <w:t xml:space="preserve"> 壹 </w:t>
            </w:r>
            <w:r>
              <w:rPr>
                <w:rFonts w:hint="eastAsia" w:ascii="宋体" w:hAnsi="宋体" w:cs="宋体"/>
                <w:color w:val="auto"/>
                <w:szCs w:val="21"/>
                <w:highlight w:val="none"/>
              </w:rPr>
              <w:t>万元整（人民币）</w:t>
            </w:r>
            <w:r>
              <w:rPr>
                <w:rFonts w:hint="eastAsia" w:ascii="宋体" w:hAnsi="宋体" w:cs="宋体"/>
                <w:color w:val="auto"/>
                <w:highlight w:val="none"/>
              </w:rPr>
              <w:t>。</w:t>
            </w:r>
          </w:p>
          <w:p w14:paraId="6A75632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3.电子投标保函</w:t>
            </w:r>
          </w:p>
          <w:p w14:paraId="0F5A4BED">
            <w:pPr>
              <w:snapToGrid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szCs w:val="21"/>
                <w:highlight w:val="none"/>
              </w:rPr>
              <w:t>以</w:t>
            </w:r>
            <w:r>
              <w:rPr>
                <w:rFonts w:hint="eastAsia" w:ascii="宋体" w:hAnsi="宋体" w:eastAsia="宋体" w:cs="宋体"/>
                <w:szCs w:val="21"/>
                <w:highlight w:val="none"/>
                <w:u w:val="single"/>
              </w:rPr>
              <w:t>重庆市公共资源交易中心</w:t>
            </w:r>
            <w:r>
              <w:rPr>
                <w:rFonts w:hint="eastAsia" w:ascii="宋体" w:hAnsi="宋体" w:eastAsia="宋体" w:cs="宋体"/>
                <w:szCs w:val="21"/>
                <w:highlight w:val="none"/>
              </w:rPr>
              <w:t>开标现场展示的电子投标保函交纳情况为准</w:t>
            </w:r>
            <w:r>
              <w:rPr>
                <w:rFonts w:hint="eastAsia" w:ascii="宋体" w:hAnsi="宋体" w:eastAsia="宋体" w:cs="宋体"/>
                <w:highlight w:val="none"/>
              </w:rPr>
              <w:t>，投标人在投标时无须再提供电子投标保函的相关资料</w:t>
            </w:r>
            <w:r>
              <w:rPr>
                <w:rFonts w:hint="eastAsia" w:ascii="宋体" w:hAnsi="宋体" w:cs="宋体"/>
                <w:color w:val="auto"/>
                <w:szCs w:val="21"/>
                <w:highlight w:val="none"/>
              </w:rPr>
              <w:t>。</w:t>
            </w:r>
          </w:p>
          <w:p w14:paraId="30458D2B">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二、电子投标保函的注销</w:t>
            </w:r>
          </w:p>
          <w:p w14:paraId="17EA595A">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招标人应当在法定时间内确定</w:t>
            </w:r>
            <w:r>
              <w:rPr>
                <w:rFonts w:hint="eastAsia" w:ascii="宋体" w:hAnsi="宋体" w:cs="宋体"/>
                <w:szCs w:val="21"/>
                <w:highlight w:val="none"/>
                <w:lang w:val="en-US" w:eastAsia="zh-CN"/>
              </w:rPr>
              <w:t>入围供应商</w:t>
            </w:r>
            <w:r>
              <w:rPr>
                <w:rFonts w:hint="eastAsia" w:ascii="宋体" w:hAnsi="宋体" w:cs="宋体"/>
                <w:highlight w:val="none"/>
              </w:rPr>
              <w:t>。招标人或者招标投标交易场所运行服务机构应当在</w:t>
            </w:r>
            <w:r>
              <w:rPr>
                <w:rFonts w:hint="eastAsia" w:ascii="宋体" w:hAnsi="宋体" w:cs="宋体"/>
                <w:szCs w:val="21"/>
                <w:highlight w:val="none"/>
                <w:lang w:val="en-US" w:eastAsia="zh-CN"/>
              </w:rPr>
              <w:t>入围</w:t>
            </w:r>
            <w:r>
              <w:rPr>
                <w:rFonts w:hint="eastAsia" w:ascii="宋体" w:hAnsi="宋体" w:cs="宋体"/>
                <w:highlight w:val="none"/>
              </w:rPr>
              <w:t>通知书发出后5日内，向除</w:t>
            </w:r>
            <w:r>
              <w:rPr>
                <w:rFonts w:hint="eastAsia" w:ascii="宋体" w:hAnsi="宋体" w:cs="宋体"/>
                <w:szCs w:val="21"/>
                <w:highlight w:val="none"/>
                <w:lang w:val="en-US" w:eastAsia="zh-CN"/>
              </w:rPr>
              <w:t>入围供应商</w:t>
            </w:r>
            <w:r>
              <w:rPr>
                <w:rFonts w:hint="eastAsia" w:ascii="宋体" w:hAnsi="宋体" w:cs="宋体"/>
                <w:highlight w:val="none"/>
              </w:rPr>
              <w:t>以外的投标人退还电子投标保函，并书面通知保函出具机构本项目准予注销电子投标保函。具体注销事宜由投标人与保函出具机构协商。</w:t>
            </w:r>
          </w:p>
          <w:p w14:paraId="6EE66A22">
            <w:pPr>
              <w:spacing w:line="400" w:lineRule="exact"/>
              <w:ind w:firstLine="420" w:firstLineChars="200"/>
              <w:rPr>
                <w:rFonts w:hint="eastAsia" w:ascii="宋体" w:hAnsi="宋体" w:cs="宋体"/>
                <w:color w:val="auto"/>
                <w:szCs w:val="21"/>
                <w:highlight w:val="none"/>
              </w:rPr>
            </w:pPr>
            <w:r>
              <w:rPr>
                <w:rFonts w:hint="eastAsia" w:ascii="宋体" w:hAnsi="宋体" w:cs="宋体"/>
                <w:highlight w:val="none"/>
              </w:rPr>
              <w:t>招标人应当在法定时间内和</w:t>
            </w:r>
            <w:r>
              <w:rPr>
                <w:rFonts w:hint="eastAsia" w:ascii="宋体" w:hAnsi="宋体" w:cs="宋体"/>
                <w:szCs w:val="21"/>
                <w:highlight w:val="none"/>
                <w:lang w:val="en-US" w:eastAsia="zh-CN"/>
              </w:rPr>
              <w:t>入围供应商</w:t>
            </w:r>
            <w:r>
              <w:rPr>
                <w:rFonts w:hint="eastAsia" w:ascii="宋体" w:hAnsi="宋体" w:cs="宋体"/>
                <w:highlight w:val="none"/>
              </w:rPr>
              <w:t>签订合同。招标人或者招标投标交易场所运行服务机构应当在招标人与</w:t>
            </w:r>
            <w:r>
              <w:rPr>
                <w:rFonts w:hint="eastAsia" w:ascii="宋体" w:hAnsi="宋体" w:cs="宋体"/>
                <w:szCs w:val="21"/>
                <w:highlight w:val="none"/>
                <w:lang w:val="en-US" w:eastAsia="zh-CN"/>
              </w:rPr>
              <w:t>入围供应商</w:t>
            </w:r>
            <w:r>
              <w:rPr>
                <w:rFonts w:hint="eastAsia" w:ascii="宋体" w:hAnsi="宋体" w:cs="宋体"/>
                <w:highlight w:val="none"/>
              </w:rPr>
              <w:t>签订合同后5日内，向</w:t>
            </w:r>
            <w:r>
              <w:rPr>
                <w:rFonts w:hint="eastAsia" w:ascii="宋体" w:hAnsi="宋体" w:cs="宋体"/>
                <w:szCs w:val="21"/>
                <w:highlight w:val="none"/>
                <w:lang w:val="en-US" w:eastAsia="zh-CN"/>
              </w:rPr>
              <w:t>入围供应商</w:t>
            </w:r>
            <w:r>
              <w:rPr>
                <w:rFonts w:hint="eastAsia" w:ascii="宋体" w:hAnsi="宋体" w:cs="宋体"/>
                <w:highlight w:val="none"/>
              </w:rPr>
              <w:t>退还电子投标保函，并书面通知保函出具机构本项目准予注销电子投标保函。具体注销事宜由投标人与保函出具机构协商</w:t>
            </w:r>
            <w:r>
              <w:rPr>
                <w:rFonts w:hint="eastAsia" w:ascii="宋体" w:hAnsi="宋体" w:cs="宋体"/>
                <w:color w:val="auto"/>
                <w:szCs w:val="21"/>
                <w:highlight w:val="none"/>
              </w:rPr>
              <w:t>。</w:t>
            </w:r>
          </w:p>
          <w:p w14:paraId="57AF60D6">
            <w:pPr>
              <w:snapToGrid w:val="0"/>
              <w:spacing w:line="400" w:lineRule="exact"/>
              <w:ind w:firstLine="420" w:firstLineChars="200"/>
              <w:rPr>
                <w:rFonts w:hint="eastAsia" w:ascii="宋体" w:hAnsi="宋体" w:cs="宋体"/>
                <w:color w:val="auto"/>
                <w:szCs w:val="21"/>
                <w:highlight w:val="none"/>
              </w:rPr>
            </w:pPr>
          </w:p>
          <w:p w14:paraId="25A490E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w:t>
            </w:r>
          </w:p>
          <w:p w14:paraId="55F2EBD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一、以转账支票或电汇形式交纳投标保证金</w:t>
            </w:r>
          </w:p>
          <w:p w14:paraId="6234FC3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w:t>
            </w:r>
            <w:r>
              <w:rPr>
                <w:rFonts w:hint="eastAsia" w:ascii="宋体" w:hAnsi="宋体" w:eastAsia="宋体" w:cs="宋体"/>
                <w:kern w:val="0"/>
                <w:szCs w:val="21"/>
                <w:highlight w:val="none"/>
              </w:rPr>
              <w:t>不满足上述要求的投标保证金视为无效。</w:t>
            </w:r>
          </w:p>
          <w:p w14:paraId="1A97F78A">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投标人自行考虑汇入时间风险，如同城汇入、异地汇入、跨行汇入的时间要求。</w:t>
            </w:r>
          </w:p>
          <w:p w14:paraId="6FC586E4">
            <w:pPr>
              <w:snapToGrid w:val="0"/>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szCs w:val="21"/>
                <w:highlight w:val="none"/>
              </w:rPr>
              <w:t>2．以转账支票或电汇形式提交投标保证金的金额</w:t>
            </w:r>
            <w:r>
              <w:rPr>
                <w:rFonts w:hint="eastAsia" w:ascii="宋体" w:hAnsi="宋体" w:cs="宋体"/>
                <w:color w:val="auto"/>
                <w:szCs w:val="21"/>
                <w:highlight w:val="none"/>
              </w:rPr>
              <w:t>：</w:t>
            </w:r>
            <w:r>
              <w:rPr>
                <w:rFonts w:hint="eastAsia" w:ascii="宋体" w:hAnsi="宋体" w:cs="宋体"/>
                <w:b/>
                <w:bCs/>
                <w:color w:val="auto"/>
                <w:szCs w:val="21"/>
                <w:highlight w:val="none"/>
                <w:u w:val="single"/>
                <w:lang w:val="en-US" w:eastAsia="zh-CN"/>
              </w:rPr>
              <w:t xml:space="preserve"> 壹 </w:t>
            </w:r>
            <w:r>
              <w:rPr>
                <w:rFonts w:hint="eastAsia" w:ascii="宋体" w:hAnsi="宋体" w:eastAsia="宋体" w:cs="宋体"/>
                <w:szCs w:val="21"/>
                <w:highlight w:val="none"/>
              </w:rPr>
              <w:t>万元整（人民币）</w:t>
            </w:r>
            <w:r>
              <w:rPr>
                <w:rFonts w:hint="eastAsia" w:ascii="宋体" w:hAnsi="宋体" w:eastAsia="宋体" w:cs="宋体"/>
                <w:highlight w:val="none"/>
                <w:lang w:eastAsia="zh-CN"/>
              </w:rPr>
              <w:t>。</w:t>
            </w:r>
          </w:p>
          <w:p w14:paraId="6440949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3．投标保证金账户及账号（任选其一）：</w:t>
            </w:r>
          </w:p>
          <w:p w14:paraId="7185953F">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详见</w:t>
            </w:r>
            <w:r>
              <w:rPr>
                <w:rFonts w:hint="eastAsia" w:ascii="宋体" w:hAnsi="宋体" w:eastAsia="宋体" w:cs="宋体"/>
                <w:szCs w:val="21"/>
                <w:highlight w:val="none"/>
                <w:u w:val="single"/>
              </w:rPr>
              <w:t>重庆市公共资源交易网</w:t>
            </w:r>
            <w:r>
              <w:rPr>
                <w:rFonts w:hint="eastAsia" w:ascii="宋体" w:hAnsi="宋体" w:eastAsia="宋体" w:cs="宋体"/>
                <w:szCs w:val="21"/>
                <w:highlight w:val="none"/>
              </w:rPr>
              <w:t>对应本项目招标公告信息栏中的保证金信息。</w:t>
            </w:r>
          </w:p>
          <w:p w14:paraId="40929C26">
            <w:pPr>
              <w:snapToGrid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szCs w:val="21"/>
                <w:highlight w:val="none"/>
              </w:rPr>
              <w:t>投标保证金以</w:t>
            </w:r>
            <w:r>
              <w:rPr>
                <w:rFonts w:hint="eastAsia" w:ascii="宋体" w:hAnsi="宋体" w:eastAsia="宋体" w:cs="宋体"/>
                <w:szCs w:val="21"/>
                <w:highlight w:val="none"/>
                <w:u w:val="single"/>
              </w:rPr>
              <w:t>重庆市公共资源交易中心</w:t>
            </w:r>
            <w:r>
              <w:rPr>
                <w:rFonts w:hint="eastAsia" w:ascii="宋体" w:hAnsi="宋体" w:eastAsia="宋体" w:cs="宋体"/>
                <w:szCs w:val="21"/>
                <w:highlight w:val="none"/>
              </w:rPr>
              <w:t>开标现场展示的保证金交纳情况为准。投标人须在投标文件资格审查部分</w:t>
            </w:r>
            <w:r>
              <w:rPr>
                <w:rFonts w:hint="eastAsia" w:ascii="宋体" w:hAnsi="宋体" w:eastAsia="宋体" w:cs="宋体"/>
                <w:kern w:val="0"/>
                <w:szCs w:val="21"/>
                <w:highlight w:val="none"/>
              </w:rPr>
              <w:t>“其他资料”中</w:t>
            </w:r>
            <w:r>
              <w:rPr>
                <w:rFonts w:hint="eastAsia" w:ascii="宋体" w:hAnsi="宋体" w:eastAsia="宋体" w:cs="宋体"/>
                <w:szCs w:val="21"/>
                <w:highlight w:val="none"/>
              </w:rPr>
              <w:t>提供企业基本账户开户证明文件</w:t>
            </w:r>
            <w:r>
              <w:rPr>
                <w:rFonts w:hint="eastAsia" w:ascii="宋体" w:hAnsi="宋体" w:cs="宋体"/>
                <w:color w:val="auto"/>
                <w:szCs w:val="21"/>
                <w:highlight w:val="none"/>
              </w:rPr>
              <w:t>。</w:t>
            </w:r>
          </w:p>
          <w:p w14:paraId="41D5B93C">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4．投标人必须在付款凭证备注栏中注明是“</w:t>
            </w:r>
            <w:r>
              <w:rPr>
                <w:rFonts w:hint="eastAsia" w:ascii="宋体" w:hAnsi="宋体" w:eastAsia="宋体" w:cs="宋体"/>
                <w:color w:val="auto"/>
                <w:szCs w:val="21"/>
                <w:highlight w:val="none"/>
                <w:u w:val="single"/>
                <w:lang w:eastAsia="zh-CN"/>
              </w:rPr>
              <w:t>重庆三峡银行积分商城商品权益供应入围项目</w:t>
            </w:r>
            <w:r>
              <w:rPr>
                <w:rFonts w:hint="eastAsia" w:ascii="宋体" w:hAnsi="宋体" w:cs="宋体"/>
                <w:color w:val="auto"/>
                <w:szCs w:val="21"/>
                <w:highlight w:val="none"/>
              </w:rPr>
              <w:t>投标保证金”。项目名称可简写</w:t>
            </w:r>
            <w:r>
              <w:rPr>
                <w:rFonts w:hint="eastAsia" w:ascii="宋体" w:hAnsi="宋体" w:cs="宋体"/>
                <w:color w:val="auto"/>
                <w:szCs w:val="21"/>
                <w:highlight w:val="none"/>
                <w:lang w:val="en-US" w:eastAsia="zh-CN"/>
              </w:rPr>
              <w:t>成：</w:t>
            </w:r>
            <w:r>
              <w:rPr>
                <w:rFonts w:hint="eastAsia" w:ascii="宋体" w:hAnsi="宋体" w:cs="宋体"/>
                <w:color w:val="auto"/>
                <w:szCs w:val="21"/>
                <w:highlight w:val="none"/>
                <w:u w:val="single"/>
                <w:lang w:val="en-US" w:eastAsia="zh-CN"/>
              </w:rPr>
              <w:t>三峡银行积分商城入围</w:t>
            </w:r>
            <w:r>
              <w:rPr>
                <w:rFonts w:hint="eastAsia" w:ascii="宋体" w:hAnsi="宋体" w:cs="宋体"/>
                <w:color w:val="auto"/>
                <w:szCs w:val="21"/>
                <w:highlight w:val="none"/>
              </w:rPr>
              <w:t>。</w:t>
            </w:r>
          </w:p>
          <w:p w14:paraId="1406040A">
            <w:pPr>
              <w:snapToGrid w:val="0"/>
              <w:spacing w:line="400" w:lineRule="exact"/>
              <w:ind w:firstLine="420" w:firstLineChars="200"/>
              <w:rPr>
                <w:rFonts w:hint="eastAsia" w:ascii="宋体" w:hAnsi="宋体" w:eastAsia="宋体" w:cs="宋体"/>
                <w:szCs w:val="21"/>
                <w:highlight w:val="none"/>
              </w:rPr>
            </w:pPr>
            <w:r>
              <w:rPr>
                <w:rFonts w:hint="eastAsia" w:ascii="宋体" w:hAnsi="宋体" w:cs="宋体"/>
                <w:color w:val="auto"/>
                <w:szCs w:val="21"/>
                <w:highlight w:val="none"/>
              </w:rPr>
              <w:t>5．</w:t>
            </w:r>
            <w:r>
              <w:rPr>
                <w:rFonts w:hint="eastAsia" w:ascii="宋体" w:hAnsi="宋体" w:eastAsia="宋体" w:cs="宋体"/>
                <w:szCs w:val="21"/>
                <w:highlight w:val="none"/>
              </w:rPr>
              <w:t>投标保证金有效期与投标有效期一致。</w:t>
            </w:r>
          </w:p>
          <w:p w14:paraId="75518CBB">
            <w:pPr>
              <w:snapToGrid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szCs w:val="21"/>
                <w:highlight w:val="none"/>
              </w:rPr>
              <w:t>6．根据重庆市公共资源交易中心《关于开展公共资源交易市场主体信息登记工作的公告》的要求，投标人在开标前需在</w:t>
            </w:r>
            <w:r>
              <w:rPr>
                <w:rFonts w:hint="eastAsia" w:ascii="宋体" w:hAnsi="宋体" w:eastAsia="宋体" w:cs="宋体"/>
                <w:szCs w:val="21"/>
                <w:highlight w:val="none"/>
                <w:u w:val="single"/>
              </w:rPr>
              <w:t>重庆市公共资源交易网</w:t>
            </w:r>
            <w:r>
              <w:rPr>
                <w:rFonts w:hint="eastAsia" w:ascii="宋体" w:hAnsi="宋体" w:eastAsia="宋体" w:cs="宋体"/>
                <w:szCs w:val="21"/>
                <w:highlight w:val="none"/>
              </w:rPr>
              <w:t>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r>
              <w:rPr>
                <w:rFonts w:hint="eastAsia" w:ascii="宋体" w:hAnsi="宋体" w:cs="宋体"/>
                <w:color w:val="auto"/>
                <w:szCs w:val="21"/>
                <w:highlight w:val="none"/>
              </w:rPr>
              <w:t>。</w:t>
            </w:r>
          </w:p>
          <w:p w14:paraId="3D72C5F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二、投标保证金的退还</w:t>
            </w:r>
          </w:p>
          <w:p w14:paraId="7777DE3A">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招标人应当在法定时间内确定</w:t>
            </w:r>
            <w:r>
              <w:rPr>
                <w:rFonts w:hint="eastAsia" w:ascii="宋体" w:hAnsi="宋体" w:cs="宋体"/>
                <w:szCs w:val="21"/>
                <w:highlight w:val="none"/>
                <w:lang w:val="en-US" w:eastAsia="zh-CN"/>
              </w:rPr>
              <w:t>入围供应商</w:t>
            </w:r>
            <w:r>
              <w:rPr>
                <w:rFonts w:hint="eastAsia" w:ascii="宋体" w:hAnsi="宋体" w:cs="宋体"/>
                <w:highlight w:val="none"/>
              </w:rPr>
              <w:t>。招标人或者招标投标交易场所运行服务机构应当在</w:t>
            </w:r>
            <w:r>
              <w:rPr>
                <w:rFonts w:hint="eastAsia" w:ascii="宋体" w:hAnsi="宋体" w:cs="宋体"/>
                <w:szCs w:val="21"/>
                <w:highlight w:val="none"/>
                <w:lang w:val="en-US" w:eastAsia="zh-CN"/>
              </w:rPr>
              <w:t>入围</w:t>
            </w:r>
            <w:r>
              <w:rPr>
                <w:rFonts w:hint="eastAsia" w:ascii="宋体" w:hAnsi="宋体" w:cs="宋体"/>
                <w:highlight w:val="none"/>
              </w:rPr>
              <w:t>通知书发出后5日内，向除</w:t>
            </w:r>
            <w:r>
              <w:rPr>
                <w:rFonts w:hint="eastAsia" w:ascii="宋体" w:hAnsi="宋体" w:cs="宋体"/>
                <w:szCs w:val="21"/>
                <w:highlight w:val="none"/>
                <w:lang w:val="en-US" w:eastAsia="zh-CN"/>
              </w:rPr>
              <w:t>入围供应商</w:t>
            </w:r>
            <w:r>
              <w:rPr>
                <w:rFonts w:hint="eastAsia" w:ascii="宋体" w:hAnsi="宋体" w:cs="宋体"/>
                <w:highlight w:val="none"/>
              </w:rPr>
              <w:t>以外的投标人，退还投标保证金及银行同期活期存款利息。</w:t>
            </w:r>
          </w:p>
          <w:p w14:paraId="54BE5C7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highlight w:val="none"/>
              </w:rPr>
              <w:t>招标人应当在法定时间内和</w:t>
            </w:r>
            <w:r>
              <w:rPr>
                <w:rFonts w:hint="eastAsia" w:ascii="宋体" w:hAnsi="宋体" w:cs="宋体"/>
                <w:szCs w:val="21"/>
                <w:highlight w:val="none"/>
                <w:lang w:val="en-US" w:eastAsia="zh-CN"/>
              </w:rPr>
              <w:t>入围供应商</w:t>
            </w:r>
            <w:r>
              <w:rPr>
                <w:rFonts w:hint="eastAsia" w:ascii="宋体" w:hAnsi="宋体" w:cs="宋体"/>
                <w:highlight w:val="none"/>
              </w:rPr>
              <w:t>签订合同。招标人或者招标投标交易场所运行服务机构应当在招标人与</w:t>
            </w:r>
            <w:r>
              <w:rPr>
                <w:rFonts w:hint="eastAsia" w:ascii="宋体" w:hAnsi="宋体" w:cs="宋体"/>
                <w:szCs w:val="21"/>
                <w:highlight w:val="none"/>
                <w:lang w:val="en-US" w:eastAsia="zh-CN"/>
              </w:rPr>
              <w:t>入围供应商</w:t>
            </w:r>
            <w:r>
              <w:rPr>
                <w:rFonts w:hint="eastAsia" w:ascii="宋体" w:hAnsi="宋体" w:cs="宋体"/>
                <w:highlight w:val="none"/>
              </w:rPr>
              <w:t>签订合同后5日内，向</w:t>
            </w:r>
            <w:r>
              <w:rPr>
                <w:rFonts w:hint="eastAsia" w:ascii="宋体" w:hAnsi="宋体" w:cs="宋体"/>
                <w:szCs w:val="21"/>
                <w:highlight w:val="none"/>
                <w:lang w:val="en-US" w:eastAsia="zh-CN"/>
              </w:rPr>
              <w:t>入围供应商</w:t>
            </w:r>
            <w:r>
              <w:rPr>
                <w:rFonts w:hint="eastAsia" w:ascii="宋体" w:hAnsi="宋体" w:cs="宋体"/>
                <w:highlight w:val="none"/>
              </w:rPr>
              <w:t>退还投标保证金及银行同期活期存款利息</w:t>
            </w:r>
            <w:r>
              <w:rPr>
                <w:rFonts w:hint="eastAsia" w:ascii="宋体" w:hAnsi="宋体" w:cs="宋体"/>
                <w:color w:val="auto"/>
                <w:szCs w:val="21"/>
                <w:highlight w:val="none"/>
              </w:rPr>
              <w:t>。</w:t>
            </w:r>
          </w:p>
          <w:p w14:paraId="626A6714">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投标保证金专用账户由重庆市公共资源交易中心制定，关于保证金相关情况的问题请咨询重庆市公共资源交易中心，联系电话023-63626436。</w:t>
            </w:r>
          </w:p>
          <w:p w14:paraId="187AF362">
            <w:pPr>
              <w:snapToGrid w:val="0"/>
              <w:spacing w:line="400" w:lineRule="exact"/>
              <w:ind w:firstLine="420" w:firstLineChars="200"/>
              <w:rPr>
                <w:rFonts w:hint="eastAsia" w:ascii="宋体" w:hAnsi="宋体" w:cs="宋体"/>
                <w:bCs/>
                <w:color w:val="auto"/>
                <w:kern w:val="0"/>
                <w:szCs w:val="21"/>
                <w:highlight w:val="none"/>
              </w:rPr>
            </w:pPr>
          </w:p>
          <w:p w14:paraId="7F1EEF2B">
            <w:pPr>
              <w:snapToGrid w:val="0"/>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方式三</w:t>
            </w:r>
          </w:p>
          <w:p w14:paraId="1B5E607D">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一、以纸质投标保函形式交纳投标保证金</w:t>
            </w:r>
          </w:p>
          <w:p w14:paraId="785176EC">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1.纸质投标保函交纳形式及要求：</w:t>
            </w:r>
          </w:p>
          <w:p w14:paraId="03FFDD11">
            <w:pPr>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（1）缴纳形式：</w:t>
            </w:r>
            <w:r>
              <w:rPr>
                <w:rFonts w:hint="eastAsia" w:ascii="宋体" w:hAnsi="宋体"/>
                <w:kern w:val="0"/>
                <w:szCs w:val="21"/>
                <w:highlight w:val="none"/>
              </w:rPr>
              <w:t>纸质投标保函包括银行保函、保证保险和担保保函，其示范文本详见第六章投标文件格式。投标人提交的纸质投标保函应严格执行其示范文本，不得对示范文本中的实质性内容进行修改。</w:t>
            </w:r>
          </w:p>
          <w:p w14:paraId="111BA2F9">
            <w:pPr>
              <w:snapToGrid w:val="0"/>
              <w:spacing w:line="400" w:lineRule="exact"/>
              <w:ind w:firstLine="420" w:firstLineChars="200"/>
              <w:rPr>
                <w:rFonts w:hint="eastAsia" w:ascii="宋体" w:hAnsi="宋体"/>
                <w:kern w:val="0"/>
                <w:szCs w:val="21"/>
                <w:highlight w:val="none"/>
              </w:rPr>
            </w:pPr>
            <w:r>
              <w:rPr>
                <w:rFonts w:hint="eastAsia" w:ascii="宋体" w:hAnsi="宋体" w:eastAsia="宋体" w:cs="宋体"/>
                <w:kern w:val="0"/>
                <w:szCs w:val="21"/>
                <w:highlight w:val="none"/>
              </w:rPr>
              <w:t>（2）具体要求：</w:t>
            </w:r>
            <w:r>
              <w:rPr>
                <w:rFonts w:hint="eastAsia" w:ascii="宋体" w:hAnsi="宋体"/>
                <w:kern w:val="0"/>
                <w:szCs w:val="21"/>
                <w:highlight w:val="none"/>
              </w:rPr>
              <w:t>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14:paraId="3DAB4A0A">
            <w:pPr>
              <w:snapToGrid w:val="0"/>
              <w:spacing w:line="400" w:lineRule="exact"/>
              <w:ind w:firstLine="420" w:firstLineChars="200"/>
              <w:rPr>
                <w:rFonts w:hint="eastAsia" w:ascii="宋体" w:hAnsi="宋体" w:eastAsia="宋体" w:cs="宋体"/>
                <w:kern w:val="0"/>
                <w:szCs w:val="21"/>
                <w:highlight w:val="none"/>
              </w:rPr>
            </w:pPr>
            <w:r>
              <w:rPr>
                <w:rFonts w:ascii="宋体" w:hAnsi="宋体"/>
                <w:kern w:val="0"/>
                <w:szCs w:val="21"/>
                <w:highlight w:val="none"/>
              </w:rPr>
              <w:t>投标人</w:t>
            </w:r>
            <w:r>
              <w:rPr>
                <w:rFonts w:hint="eastAsia" w:ascii="宋体" w:hAnsi="宋体"/>
                <w:kern w:val="0"/>
                <w:szCs w:val="21"/>
                <w:highlight w:val="none"/>
              </w:rPr>
              <w:t>须在投标文件资格审查部分“其他资料”中</w:t>
            </w:r>
            <w:r>
              <w:rPr>
                <w:rFonts w:ascii="宋体" w:hAnsi="宋体"/>
                <w:kern w:val="0"/>
                <w:szCs w:val="21"/>
                <w:highlight w:val="none"/>
              </w:rPr>
              <w:t>提供</w:t>
            </w:r>
            <w:r>
              <w:rPr>
                <w:rFonts w:hint="eastAsia" w:ascii="宋体" w:hAnsi="宋体"/>
                <w:kern w:val="0"/>
                <w:szCs w:val="21"/>
                <w:highlight w:val="none"/>
              </w:rPr>
              <w:t>纸质</w:t>
            </w:r>
            <w:r>
              <w:rPr>
                <w:rFonts w:ascii="宋体" w:hAnsi="宋体"/>
                <w:kern w:val="0"/>
                <w:szCs w:val="21"/>
                <w:highlight w:val="none"/>
              </w:rPr>
              <w:t>投标保函</w:t>
            </w:r>
            <w:r>
              <w:rPr>
                <w:rFonts w:hint="eastAsia" w:ascii="宋体" w:hAnsi="宋体"/>
                <w:kern w:val="0"/>
                <w:szCs w:val="21"/>
                <w:highlight w:val="none"/>
              </w:rPr>
              <w:t>扫描件，纸质</w:t>
            </w:r>
            <w:r>
              <w:rPr>
                <w:rFonts w:ascii="宋体" w:hAnsi="宋体"/>
                <w:kern w:val="0"/>
                <w:szCs w:val="21"/>
                <w:highlight w:val="none"/>
              </w:rPr>
              <w:t>投标保函</w:t>
            </w:r>
            <w:r>
              <w:rPr>
                <w:rFonts w:hint="eastAsia" w:ascii="宋体" w:hAnsi="宋体"/>
                <w:kern w:val="0"/>
                <w:szCs w:val="21"/>
                <w:highlight w:val="none"/>
              </w:rPr>
              <w:t>原件应当于投标截止时间前在开标现场递交招标人保管</w:t>
            </w:r>
            <w:r>
              <w:rPr>
                <w:rFonts w:hint="eastAsia" w:ascii="宋体" w:hAnsi="宋体" w:eastAsia="宋体" w:cs="宋体"/>
                <w:kern w:val="0"/>
                <w:szCs w:val="21"/>
                <w:highlight w:val="none"/>
              </w:rPr>
              <w:t>。</w:t>
            </w:r>
          </w:p>
          <w:p w14:paraId="71B3D698">
            <w:pPr>
              <w:snapToGrid w:val="0"/>
              <w:spacing w:line="400" w:lineRule="exact"/>
              <w:ind w:firstLine="420" w:firstLineChars="200"/>
              <w:rPr>
                <w:color w:val="auto"/>
                <w:highlight w:val="none"/>
              </w:rPr>
            </w:pPr>
            <w:r>
              <w:rPr>
                <w:rFonts w:hint="eastAsia" w:ascii="宋体" w:hAnsi="宋体" w:eastAsia="宋体" w:cs="宋体"/>
                <w:szCs w:val="21"/>
                <w:highlight w:val="none"/>
              </w:rPr>
              <w:t>若投标截止时间延期，则纸质投标保函递交的截止时间和投标截止时间保持一致</w:t>
            </w:r>
            <w:r>
              <w:rPr>
                <w:rFonts w:hint="eastAsia"/>
                <w:color w:val="auto"/>
                <w:highlight w:val="none"/>
              </w:rPr>
              <w:t>。</w:t>
            </w:r>
          </w:p>
          <w:p w14:paraId="69944C99">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r>
              <w:rPr>
                <w:rFonts w:hint="eastAsia" w:ascii="宋体" w:hAnsi="宋体" w:cs="宋体"/>
                <w:color w:val="auto"/>
                <w:kern w:val="0"/>
                <w:szCs w:val="21"/>
                <w:highlight w:val="none"/>
              </w:rPr>
              <w:t>。</w:t>
            </w:r>
          </w:p>
          <w:p w14:paraId="1B57EF47">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以纸质投标保函形式担保的投标保证金的金额</w:t>
            </w:r>
            <w:r>
              <w:rPr>
                <w:rFonts w:hint="eastAsia" w:ascii="宋体" w:hAnsi="宋体" w:cs="宋体"/>
                <w:color w:val="auto"/>
                <w:kern w:val="0"/>
                <w:szCs w:val="21"/>
                <w:highlight w:val="none"/>
              </w:rPr>
              <w:t>：</w:t>
            </w:r>
            <w:r>
              <w:rPr>
                <w:rFonts w:hint="eastAsia" w:ascii="宋体" w:hAnsi="宋体" w:cs="宋体"/>
                <w:b/>
                <w:bCs/>
                <w:color w:val="auto"/>
                <w:szCs w:val="21"/>
                <w:highlight w:val="none"/>
                <w:u w:val="single"/>
                <w:lang w:val="en-US" w:eastAsia="zh-CN"/>
              </w:rPr>
              <w:t xml:space="preserve"> 壹 </w:t>
            </w:r>
            <w:r>
              <w:rPr>
                <w:rFonts w:hint="eastAsia" w:ascii="宋体" w:hAnsi="宋体" w:cs="宋体"/>
                <w:color w:val="auto"/>
                <w:kern w:val="0"/>
                <w:szCs w:val="21"/>
                <w:highlight w:val="none"/>
              </w:rPr>
              <w:t>万元整（人民币）</w:t>
            </w:r>
            <w:r>
              <w:rPr>
                <w:rFonts w:hint="eastAsia" w:ascii="宋体" w:hAnsi="宋体" w:cs="宋体"/>
                <w:color w:val="auto"/>
                <w:highlight w:val="none"/>
              </w:rPr>
              <w:t>。</w:t>
            </w:r>
          </w:p>
          <w:p w14:paraId="124B0E9B">
            <w:pPr>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cs="宋体"/>
                <w:color w:val="auto"/>
                <w:kern w:val="0"/>
                <w:szCs w:val="21"/>
                <w:highlight w:val="none"/>
              </w:rPr>
              <w:t>3.</w:t>
            </w:r>
            <w:r>
              <w:rPr>
                <w:rFonts w:hint="eastAsia" w:ascii="宋体" w:hAnsi="宋体" w:eastAsia="宋体" w:cs="宋体"/>
                <w:kern w:val="0"/>
                <w:szCs w:val="21"/>
                <w:highlight w:val="none"/>
              </w:rPr>
              <w:t>投标人须</w:t>
            </w:r>
            <w:r>
              <w:rPr>
                <w:rFonts w:hint="eastAsia"/>
                <w:highlight w:val="none"/>
              </w:rPr>
              <w:t>在</w:t>
            </w:r>
            <w:r>
              <w:rPr>
                <w:rFonts w:hint="eastAsia" w:ascii="宋体" w:hAnsi="宋体"/>
                <w:kern w:val="0"/>
                <w:szCs w:val="21"/>
                <w:highlight w:val="none"/>
              </w:rPr>
              <w:t>纸质投标保函中注明在重庆市辖区范围内的核验地址和核验方式，并</w:t>
            </w:r>
            <w:r>
              <w:rPr>
                <w:rFonts w:hint="eastAsia" w:ascii="宋体" w:hAnsi="宋体" w:eastAsia="宋体" w:cs="宋体"/>
                <w:kern w:val="0"/>
                <w:szCs w:val="21"/>
                <w:highlight w:val="none"/>
              </w:rPr>
              <w:t>确保其递交的纸质投标保函能在</w:t>
            </w:r>
            <w:r>
              <w:rPr>
                <w:rFonts w:hint="eastAsia" w:ascii="宋体" w:hAnsi="宋体"/>
                <w:kern w:val="0"/>
                <w:szCs w:val="21"/>
                <w:highlight w:val="none"/>
              </w:rPr>
              <w:t>开立人在渝的总部或者分支机构进行</w:t>
            </w:r>
            <w:r>
              <w:rPr>
                <w:rFonts w:hint="eastAsia" w:ascii="宋体" w:hAnsi="宋体" w:eastAsia="宋体" w:cs="宋体"/>
                <w:kern w:val="0"/>
                <w:szCs w:val="21"/>
                <w:highlight w:val="none"/>
              </w:rPr>
              <w:t>核验。</w:t>
            </w:r>
          </w:p>
          <w:p w14:paraId="6EBB2E2B">
            <w:pPr>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4.投标人在开标现场递交的纸质投标保函原件应与投标文件中提供的纸质投标保函扫描件一致，否则由评标委员会作否决投标处理。</w:t>
            </w:r>
          </w:p>
          <w:p w14:paraId="1FEF6B9F">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eastAsia="宋体" w:cs="宋体"/>
                <w:kern w:val="0"/>
                <w:szCs w:val="21"/>
                <w:highlight w:val="none"/>
              </w:rPr>
              <w:t>5.在发出</w:t>
            </w:r>
            <w:r>
              <w:rPr>
                <w:rFonts w:hint="eastAsia" w:ascii="宋体" w:hAnsi="宋体" w:cs="宋体"/>
                <w:szCs w:val="21"/>
                <w:highlight w:val="none"/>
                <w:lang w:val="en-US" w:eastAsia="zh-CN"/>
              </w:rPr>
              <w:t>入围</w:t>
            </w:r>
            <w:r>
              <w:rPr>
                <w:rFonts w:hint="eastAsia" w:ascii="宋体" w:hAnsi="宋体" w:eastAsia="宋体" w:cs="宋体"/>
                <w:kern w:val="0"/>
                <w:szCs w:val="21"/>
                <w:highlight w:val="none"/>
              </w:rPr>
              <w:t>通知书前，招标人应当对投标人（至少</w:t>
            </w:r>
            <w:r>
              <w:rPr>
                <w:rFonts w:hint="eastAsia" w:ascii="宋体" w:hAnsi="宋体" w:cs="宋体"/>
                <w:szCs w:val="21"/>
                <w:highlight w:val="none"/>
                <w:lang w:val="en-US" w:eastAsia="zh-CN"/>
              </w:rPr>
              <w:t>入围</w:t>
            </w:r>
            <w:r>
              <w:rPr>
                <w:rFonts w:hint="eastAsia" w:ascii="宋体" w:hAnsi="宋体" w:eastAsia="宋体" w:cs="宋体"/>
                <w:kern w:val="0"/>
                <w:szCs w:val="21"/>
                <w:highlight w:val="none"/>
              </w:rPr>
              <w:t>候选人或</w:t>
            </w:r>
            <w:r>
              <w:rPr>
                <w:rFonts w:hint="eastAsia" w:ascii="宋体" w:hAnsi="宋体" w:cs="宋体"/>
                <w:szCs w:val="21"/>
                <w:highlight w:val="none"/>
                <w:lang w:val="en-US" w:eastAsia="zh-CN"/>
              </w:rPr>
              <w:t>入围供应商</w:t>
            </w:r>
            <w:r>
              <w:rPr>
                <w:rFonts w:hint="eastAsia" w:ascii="宋体" w:hAnsi="宋体" w:eastAsia="宋体" w:cs="宋体"/>
                <w:kern w:val="0"/>
                <w:szCs w:val="21"/>
                <w:highlight w:val="none"/>
              </w:rPr>
              <w:t>）递交的纸质投标保函</w:t>
            </w:r>
            <w:r>
              <w:rPr>
                <w:rFonts w:hint="eastAsia" w:ascii="宋体" w:hAnsi="宋体"/>
                <w:kern w:val="0"/>
                <w:szCs w:val="21"/>
                <w:highlight w:val="none"/>
              </w:rPr>
              <w:t>的真实性、合法性、有效性进行核验，对核验不合格或无法按纸质投标保函注明的核验地点、核验方式进行核验的，视为投标人未提交纸质投标保函</w:t>
            </w:r>
            <w:r>
              <w:rPr>
                <w:rFonts w:hint="eastAsia" w:ascii="宋体" w:hAnsi="宋体" w:eastAsia="宋体" w:cs="宋体"/>
                <w:kern w:val="0"/>
                <w:szCs w:val="21"/>
                <w:highlight w:val="none"/>
              </w:rPr>
              <w:t>，对</w:t>
            </w:r>
            <w:r>
              <w:rPr>
                <w:rFonts w:hint="eastAsia" w:ascii="宋体" w:hAnsi="宋体" w:eastAsia="宋体" w:cs="宋体"/>
                <w:szCs w:val="21"/>
                <w:highlight w:val="none"/>
              </w:rPr>
              <w:t>已取得</w:t>
            </w:r>
            <w:r>
              <w:rPr>
                <w:rFonts w:hint="eastAsia" w:ascii="宋体" w:hAnsi="宋体" w:cs="宋体"/>
                <w:szCs w:val="21"/>
                <w:highlight w:val="none"/>
                <w:lang w:val="en-US" w:eastAsia="zh-CN"/>
              </w:rPr>
              <w:t>入围</w:t>
            </w:r>
            <w:r>
              <w:rPr>
                <w:rFonts w:hint="eastAsia" w:ascii="宋体" w:hAnsi="宋体" w:eastAsia="宋体" w:cs="宋体"/>
                <w:szCs w:val="21"/>
                <w:highlight w:val="none"/>
              </w:rPr>
              <w:t>候选人资格或</w:t>
            </w:r>
            <w:r>
              <w:rPr>
                <w:rFonts w:hint="eastAsia" w:ascii="宋体" w:hAnsi="宋体" w:cs="宋体"/>
                <w:szCs w:val="21"/>
                <w:highlight w:val="none"/>
                <w:lang w:val="en-US" w:eastAsia="zh-CN"/>
              </w:rPr>
              <w:t>入围</w:t>
            </w:r>
            <w:r>
              <w:rPr>
                <w:rFonts w:hint="eastAsia" w:ascii="宋体" w:hAnsi="宋体" w:eastAsia="宋体" w:cs="宋体"/>
                <w:szCs w:val="21"/>
                <w:highlight w:val="none"/>
              </w:rPr>
              <w:t>资格的投标人，按相关规定取消</w:t>
            </w:r>
            <w:r>
              <w:rPr>
                <w:rFonts w:hint="eastAsia" w:ascii="宋体" w:hAnsi="宋体" w:cs="宋体"/>
                <w:szCs w:val="21"/>
                <w:highlight w:val="none"/>
                <w:lang w:val="en-US" w:eastAsia="zh-CN"/>
              </w:rPr>
              <w:t>入围</w:t>
            </w:r>
            <w:r>
              <w:rPr>
                <w:rFonts w:hint="eastAsia" w:ascii="宋体" w:hAnsi="宋体" w:eastAsia="宋体" w:cs="宋体"/>
                <w:szCs w:val="21"/>
                <w:highlight w:val="none"/>
              </w:rPr>
              <w:t>候选人资格或</w:t>
            </w:r>
            <w:r>
              <w:rPr>
                <w:rFonts w:hint="eastAsia" w:ascii="宋体" w:hAnsi="宋体" w:cs="宋体"/>
                <w:szCs w:val="21"/>
                <w:highlight w:val="none"/>
                <w:lang w:val="en-US" w:eastAsia="zh-CN"/>
              </w:rPr>
              <w:t>入围</w:t>
            </w:r>
            <w:r>
              <w:rPr>
                <w:rFonts w:hint="eastAsia" w:ascii="宋体" w:hAnsi="宋体" w:eastAsia="宋体" w:cs="宋体"/>
                <w:szCs w:val="21"/>
                <w:highlight w:val="none"/>
              </w:rPr>
              <w:t>资格</w:t>
            </w:r>
            <w:r>
              <w:rPr>
                <w:rFonts w:hint="eastAsia" w:ascii="宋体" w:hAnsi="宋体" w:eastAsia="宋体" w:cs="宋体"/>
                <w:kern w:val="0"/>
                <w:szCs w:val="21"/>
                <w:highlight w:val="none"/>
              </w:rPr>
              <w:t>，</w:t>
            </w:r>
            <w:r>
              <w:rPr>
                <w:rFonts w:hint="eastAsia" w:ascii="宋体" w:hAnsi="宋体" w:eastAsia="宋体" w:cs="宋体"/>
                <w:szCs w:val="21"/>
                <w:highlight w:val="none"/>
              </w:rPr>
              <w:t>给招标人造成损失的，投标人依法承担赔偿责任。</w:t>
            </w:r>
            <w:r>
              <w:rPr>
                <w:rFonts w:hint="eastAsia" w:ascii="宋体" w:hAnsi="宋体"/>
                <w:kern w:val="0"/>
                <w:szCs w:val="21"/>
                <w:highlight w:val="none"/>
              </w:rPr>
              <w:t>投标人提交的纸质投标</w:t>
            </w:r>
            <w:r>
              <w:rPr>
                <w:rFonts w:hint="eastAsia" w:ascii="宋体" w:hAnsi="宋体"/>
                <w:szCs w:val="21"/>
                <w:highlight w:val="none"/>
              </w:rPr>
              <w:t>保函涉及弄虚作假或其他违法违规情形的，移送相关部门处理</w:t>
            </w:r>
            <w:r>
              <w:rPr>
                <w:rFonts w:hint="eastAsia" w:ascii="宋体" w:hAnsi="宋体" w:cs="宋体"/>
                <w:color w:val="auto"/>
                <w:kern w:val="0"/>
                <w:szCs w:val="21"/>
                <w:highlight w:val="none"/>
              </w:rPr>
              <w:t>。</w:t>
            </w:r>
          </w:p>
          <w:p w14:paraId="650660E9">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二、纸质投标保函的退还、注销</w:t>
            </w:r>
          </w:p>
          <w:p w14:paraId="2145CC3E">
            <w:pPr>
              <w:snapToGrid w:val="0"/>
              <w:spacing w:line="400" w:lineRule="exact"/>
              <w:ind w:firstLine="420" w:firstLineChars="200"/>
              <w:rPr>
                <w:rFonts w:hint="eastAsia" w:ascii="宋体" w:hAnsi="宋体" w:cs="宋体"/>
                <w:kern w:val="0"/>
                <w:szCs w:val="21"/>
                <w:highlight w:val="none"/>
              </w:rPr>
            </w:pPr>
            <w:r>
              <w:rPr>
                <w:rFonts w:hint="eastAsia" w:ascii="宋体" w:hAnsi="宋体" w:cs="宋体"/>
                <w:highlight w:val="none"/>
              </w:rPr>
              <w:t>招标人应当在法定时间内确定</w:t>
            </w:r>
            <w:r>
              <w:rPr>
                <w:rFonts w:hint="eastAsia" w:ascii="宋体" w:hAnsi="宋体" w:cs="宋体"/>
                <w:highlight w:val="none"/>
                <w:lang w:val="en-US" w:eastAsia="zh-CN"/>
              </w:rPr>
              <w:t>入围供应商</w:t>
            </w:r>
            <w:r>
              <w:rPr>
                <w:rFonts w:hint="eastAsia" w:ascii="宋体" w:hAnsi="宋体" w:cs="宋体"/>
                <w:highlight w:val="none"/>
              </w:rPr>
              <w:t>。招标人或者招标投标交易场所运行服务机构应当在</w:t>
            </w:r>
            <w:r>
              <w:rPr>
                <w:rFonts w:hint="eastAsia" w:ascii="宋体" w:hAnsi="宋体" w:cs="宋体"/>
                <w:highlight w:val="none"/>
                <w:lang w:val="en-US" w:eastAsia="zh-CN"/>
              </w:rPr>
              <w:t>入围</w:t>
            </w:r>
            <w:r>
              <w:rPr>
                <w:rFonts w:hint="eastAsia" w:ascii="宋体" w:hAnsi="宋体" w:cs="宋体"/>
                <w:highlight w:val="none"/>
              </w:rPr>
              <w:t>通知书发出后5日内，向除</w:t>
            </w:r>
            <w:r>
              <w:rPr>
                <w:rFonts w:hint="eastAsia" w:ascii="宋体" w:hAnsi="宋体" w:cs="宋体"/>
                <w:highlight w:val="none"/>
                <w:lang w:val="en-US" w:eastAsia="zh-CN"/>
              </w:rPr>
              <w:t>入围供应商</w:t>
            </w:r>
            <w:r>
              <w:rPr>
                <w:rFonts w:hint="eastAsia" w:ascii="宋体" w:hAnsi="宋体" w:cs="宋体"/>
                <w:highlight w:val="none"/>
              </w:rPr>
              <w:t>以外的其他投标人退还纸质投标保函正本，并书面通知相关金融机构本项目准予提前注销纸质投标保函。具体注销事宜由投标人与金融机构协商。</w:t>
            </w:r>
          </w:p>
          <w:p w14:paraId="7D6858E1">
            <w:pPr>
              <w:spacing w:line="400" w:lineRule="exact"/>
              <w:ind w:firstLine="420" w:firstLineChars="200"/>
              <w:rPr>
                <w:rFonts w:ascii="宋体" w:hAnsi="宋体" w:cs="宋体"/>
                <w:color w:val="auto"/>
                <w:spacing w:val="-3"/>
                <w:szCs w:val="21"/>
                <w:highlight w:val="none"/>
              </w:rPr>
            </w:pPr>
            <w:r>
              <w:rPr>
                <w:rFonts w:hint="eastAsia" w:ascii="宋体" w:hAnsi="宋体" w:cs="宋体"/>
                <w:highlight w:val="none"/>
              </w:rPr>
              <w:t>招标人应当在法定时间内和</w:t>
            </w:r>
            <w:r>
              <w:rPr>
                <w:rFonts w:hint="eastAsia" w:ascii="宋体" w:hAnsi="宋体" w:cs="宋体"/>
                <w:highlight w:val="none"/>
                <w:lang w:val="en-US" w:eastAsia="zh-CN"/>
              </w:rPr>
              <w:t>入围供应商</w:t>
            </w:r>
            <w:r>
              <w:rPr>
                <w:rFonts w:hint="eastAsia" w:ascii="宋体" w:hAnsi="宋体" w:cs="宋体"/>
                <w:highlight w:val="none"/>
              </w:rPr>
              <w:t>签订合同。招标人或者招标投标交易场所运行服务机构应当在招标人与</w:t>
            </w:r>
            <w:r>
              <w:rPr>
                <w:rFonts w:hint="eastAsia" w:ascii="宋体" w:hAnsi="宋体" w:cs="宋体"/>
                <w:highlight w:val="none"/>
                <w:lang w:val="en-US" w:eastAsia="zh-CN"/>
              </w:rPr>
              <w:t>入围供应商</w:t>
            </w:r>
            <w:r>
              <w:rPr>
                <w:rFonts w:hint="eastAsia" w:ascii="宋体" w:hAnsi="宋体" w:cs="宋体"/>
                <w:highlight w:val="none"/>
              </w:rPr>
              <w:t>签订合同后5日内，向</w:t>
            </w:r>
            <w:r>
              <w:rPr>
                <w:rFonts w:hint="eastAsia" w:ascii="宋体" w:hAnsi="宋体" w:cs="宋体"/>
                <w:highlight w:val="none"/>
                <w:lang w:val="en-US" w:eastAsia="zh-CN"/>
              </w:rPr>
              <w:t>入围供应商</w:t>
            </w:r>
            <w:r>
              <w:rPr>
                <w:rFonts w:hint="eastAsia" w:ascii="宋体" w:hAnsi="宋体" w:cs="宋体"/>
                <w:highlight w:val="none"/>
              </w:rPr>
              <w:t>人退还纸质投标保函正本，并书面通知相关金融机构本项目准予提前注销纸质投标保函。具体注销事宜由投标人与金融机构协商</w:t>
            </w:r>
            <w:r>
              <w:rPr>
                <w:rFonts w:hint="eastAsia" w:ascii="宋体" w:hAnsi="宋体" w:cs="宋体"/>
                <w:color w:val="auto"/>
                <w:kern w:val="0"/>
                <w:szCs w:val="21"/>
                <w:highlight w:val="none"/>
              </w:rPr>
              <w:t>。</w:t>
            </w:r>
          </w:p>
        </w:tc>
      </w:tr>
      <w:tr w14:paraId="789B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0" w:type="dxa"/>
          </w:tcPr>
          <w:p w14:paraId="2209834B">
            <w:pPr>
              <w:snapToGrid w:val="0"/>
              <w:spacing w:line="400" w:lineRule="exact"/>
              <w:ind w:firstLine="0" w:firstLineChars="0"/>
              <w:jc w:val="center"/>
              <w:rPr>
                <w:rFonts w:ascii="宋体" w:hAnsi="宋体" w:cs="宋体"/>
                <w:color w:val="auto"/>
                <w:szCs w:val="21"/>
                <w:highlight w:val="none"/>
              </w:rPr>
            </w:pPr>
            <w:r>
              <w:rPr>
                <w:rFonts w:ascii="宋体" w:hAnsi="宋体" w:cs="宋体"/>
                <w:color w:val="auto"/>
                <w:szCs w:val="21"/>
                <w:highlight w:val="none"/>
              </w:rPr>
              <w:t>3.5</w:t>
            </w:r>
          </w:p>
        </w:tc>
        <w:tc>
          <w:tcPr>
            <w:tcW w:w="1567" w:type="dxa"/>
          </w:tcPr>
          <w:p w14:paraId="4D8C022F">
            <w:pPr>
              <w:snapToGrid w:val="0"/>
              <w:spacing w:line="400" w:lineRule="exact"/>
              <w:ind w:firstLine="0" w:firstLineChars="0"/>
              <w:jc w:val="center"/>
              <w:rPr>
                <w:rFonts w:ascii="宋体" w:hAnsi="宋体" w:cs="宋体"/>
                <w:color w:val="auto"/>
                <w:szCs w:val="21"/>
                <w:highlight w:val="none"/>
              </w:rPr>
            </w:pPr>
            <w:r>
              <w:rPr>
                <w:rFonts w:ascii="宋体" w:hAnsi="宋体" w:cs="宋体"/>
                <w:color w:val="auto"/>
                <w:szCs w:val="21"/>
                <w:highlight w:val="none"/>
              </w:rPr>
              <w:t>资格审查资料</w:t>
            </w:r>
          </w:p>
        </w:tc>
        <w:tc>
          <w:tcPr>
            <w:tcW w:w="7150" w:type="dxa"/>
          </w:tcPr>
          <w:p w14:paraId="4A540D3E">
            <w:pPr>
              <w:spacing w:line="400" w:lineRule="exact"/>
              <w:ind w:firstLine="372"/>
              <w:rPr>
                <w:rFonts w:ascii="宋体" w:hAnsi="宋体" w:cs="宋体"/>
                <w:color w:val="auto"/>
                <w:szCs w:val="21"/>
                <w:highlight w:val="none"/>
              </w:rPr>
            </w:pPr>
            <w:r>
              <w:rPr>
                <w:rFonts w:ascii="宋体" w:hAnsi="宋体" w:cs="宋体"/>
                <w:color w:val="auto"/>
                <w:spacing w:val="-12"/>
                <w:szCs w:val="21"/>
                <w:highlight w:val="none"/>
              </w:rPr>
              <w:t>按</w:t>
            </w:r>
            <w:r>
              <w:rPr>
                <w:rFonts w:ascii="宋体" w:hAnsi="宋体" w:cs="宋体"/>
                <w:color w:val="auto"/>
                <w:spacing w:val="-9"/>
                <w:szCs w:val="21"/>
                <w:highlight w:val="none"/>
              </w:rPr>
              <w:t>本</w:t>
            </w:r>
            <w:r>
              <w:rPr>
                <w:rFonts w:ascii="宋体" w:hAnsi="宋体" w:cs="宋体"/>
                <w:color w:val="auto"/>
                <w:spacing w:val="-6"/>
                <w:szCs w:val="21"/>
                <w:highlight w:val="none"/>
              </w:rPr>
              <w:t>须知前附表 1.4.1 款执行。</w:t>
            </w:r>
          </w:p>
        </w:tc>
      </w:tr>
      <w:tr w14:paraId="57C2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0" w:type="dxa"/>
            <w:vAlign w:val="center"/>
          </w:tcPr>
          <w:p w14:paraId="46A3EB7D">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3.6</w:t>
            </w:r>
          </w:p>
        </w:tc>
        <w:tc>
          <w:tcPr>
            <w:tcW w:w="1567" w:type="dxa"/>
            <w:vAlign w:val="center"/>
          </w:tcPr>
          <w:p w14:paraId="5B56CCF7">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是否允许递交备选投标人案</w:t>
            </w:r>
          </w:p>
        </w:tc>
        <w:tc>
          <w:tcPr>
            <w:tcW w:w="7150" w:type="dxa"/>
            <w:vAlign w:val="center"/>
          </w:tcPr>
          <w:p w14:paraId="057C7142">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不允许</w:t>
            </w:r>
          </w:p>
        </w:tc>
      </w:tr>
      <w:tr w14:paraId="1728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0" w:type="dxa"/>
            <w:vAlign w:val="center"/>
          </w:tcPr>
          <w:p w14:paraId="5D4B04DD">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3.7.1</w:t>
            </w:r>
          </w:p>
        </w:tc>
        <w:tc>
          <w:tcPr>
            <w:tcW w:w="1567" w:type="dxa"/>
            <w:vAlign w:val="center"/>
          </w:tcPr>
          <w:p w14:paraId="0E7E02CE">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50" w:type="dxa"/>
            <w:vAlign w:val="center"/>
          </w:tcPr>
          <w:p w14:paraId="4119A365">
            <w:pPr>
              <w:autoSpaceDE w:val="0"/>
              <w:autoSpaceDN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投标文件应按第六章“投标文件格式”给出内容要求、格式要求进行编写，在此基础上，投标人可以自行增加附页，作为投标文件的组成部分。</w:t>
            </w:r>
          </w:p>
        </w:tc>
      </w:tr>
      <w:tr w14:paraId="325B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262C8459">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3.7.3</w:t>
            </w:r>
          </w:p>
        </w:tc>
        <w:tc>
          <w:tcPr>
            <w:tcW w:w="1567" w:type="dxa"/>
            <w:vAlign w:val="center"/>
          </w:tcPr>
          <w:p w14:paraId="48C611C4">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签字盖章要求</w:t>
            </w:r>
          </w:p>
        </w:tc>
        <w:tc>
          <w:tcPr>
            <w:tcW w:w="7150" w:type="dxa"/>
            <w:vAlign w:val="center"/>
          </w:tcPr>
          <w:p w14:paraId="4F93F123">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投标文件应由投标人的法定代表人或其授权的代理人签字或盖章，并加盖投标单位法人章。</w:t>
            </w:r>
          </w:p>
        </w:tc>
      </w:tr>
      <w:tr w14:paraId="3699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30" w:type="dxa"/>
            <w:vAlign w:val="center"/>
          </w:tcPr>
          <w:p w14:paraId="7E08751C">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3.7.4</w:t>
            </w:r>
          </w:p>
        </w:tc>
        <w:tc>
          <w:tcPr>
            <w:tcW w:w="1567" w:type="dxa"/>
            <w:vAlign w:val="center"/>
          </w:tcPr>
          <w:p w14:paraId="5BD59489">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投标文件的份数</w:t>
            </w:r>
          </w:p>
        </w:tc>
        <w:tc>
          <w:tcPr>
            <w:tcW w:w="7150" w:type="dxa"/>
            <w:vAlign w:val="center"/>
          </w:tcPr>
          <w:p w14:paraId="4A8E1E0C">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投标文件正本1份、副本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份，电子版形式（U盘）1份，电子版形式需包含world格式和签章、签字齐全的PDF格式。</w:t>
            </w:r>
          </w:p>
          <w:p w14:paraId="4D13294F">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注：当投标文件正本与副本不一致时,以正本为准。</w:t>
            </w:r>
          </w:p>
        </w:tc>
      </w:tr>
      <w:tr w14:paraId="2C40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4524535C">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3.7.5</w:t>
            </w:r>
          </w:p>
        </w:tc>
        <w:tc>
          <w:tcPr>
            <w:tcW w:w="1567" w:type="dxa"/>
            <w:vAlign w:val="center"/>
          </w:tcPr>
          <w:p w14:paraId="587D333F">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投标文件装订要求</w:t>
            </w:r>
          </w:p>
        </w:tc>
        <w:tc>
          <w:tcPr>
            <w:tcW w:w="7150" w:type="dxa"/>
            <w:vAlign w:val="center"/>
          </w:tcPr>
          <w:p w14:paraId="5A0B797D">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1、应将投标函部分、资格审查（含商务部分）、技术部分各自分别装订成册。</w:t>
            </w:r>
          </w:p>
          <w:p w14:paraId="4616D505">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2、具体要求：</w:t>
            </w:r>
          </w:p>
          <w:p w14:paraId="0F94EA93">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（1）投标函部分</w:t>
            </w:r>
          </w:p>
          <w:p w14:paraId="67A6CC0E">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应按照第六章规定格式排版，并应编制目录。</w:t>
            </w:r>
          </w:p>
          <w:p w14:paraId="4D402B14">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（2）资格审查（含商务部分）</w:t>
            </w:r>
          </w:p>
          <w:p w14:paraId="7ECBD67A">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应按照第六章规定格式排版，并应编制目录。</w:t>
            </w:r>
          </w:p>
          <w:p w14:paraId="491C806F">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（3）技术部分</w:t>
            </w:r>
          </w:p>
          <w:p w14:paraId="2BF4F0AD">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应按照第六章规定格式排版，并应编制目录。</w:t>
            </w:r>
          </w:p>
        </w:tc>
      </w:tr>
      <w:tr w14:paraId="6ADC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684A5BD5">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4.1.1</w:t>
            </w:r>
          </w:p>
        </w:tc>
        <w:tc>
          <w:tcPr>
            <w:tcW w:w="1567" w:type="dxa"/>
            <w:vAlign w:val="center"/>
          </w:tcPr>
          <w:p w14:paraId="2BE9A209">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投标文件的密封</w:t>
            </w:r>
          </w:p>
        </w:tc>
        <w:tc>
          <w:tcPr>
            <w:tcW w:w="7150" w:type="dxa"/>
            <w:vAlign w:val="center"/>
          </w:tcPr>
          <w:p w14:paraId="0B339E4E">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 投标文件袋使用 “投标函部分”袋、 “技术部分”袋以及“投标文件”大袋。</w:t>
            </w:r>
          </w:p>
          <w:p w14:paraId="71AB58BD">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 投标函部分、资格审查（含商务部分）和电子版装入“投标函部分”袋中，密封并在袋上加盖投标人单位法人章或由授权委托人签字。</w:t>
            </w:r>
          </w:p>
          <w:p w14:paraId="1E5CB64F">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3.本次招标技术部分采用明标评审，技术部分装入“技术部分”袋中，密封并在袋上加盖投标人单位法人章或由授权委托人签字。</w:t>
            </w:r>
          </w:p>
          <w:p w14:paraId="49C9E339">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 “投标函部分”、 “技术部分”等小袋装入“投标文件”大袋中，密封并在大袋上加盖投标人单位法人章或由授权委托人签字，同时“投标文件”大袋应按本表第4.1.2项的规定写明相应内容。</w:t>
            </w:r>
          </w:p>
          <w:p w14:paraId="7AC3CC13">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投标文件大袋未按要求密封的，招标代理机构应拒收。</w:t>
            </w:r>
          </w:p>
          <w:p w14:paraId="23E9D5C6">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注：（1）当投标文件袋不够时，各投标人可视情况增加相应的投标文件袋。</w:t>
            </w:r>
          </w:p>
          <w:p w14:paraId="3FDE5FA5">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(2)“投标函部分”袋、“技术部分”袋只为方便投标文件分装，不作为判定密封合格与否的条件。但为了方便开标，请各投标人主动配合，按要求分装。</w:t>
            </w:r>
          </w:p>
        </w:tc>
      </w:tr>
      <w:tr w14:paraId="7B60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34D0DEA9">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4.1.2</w:t>
            </w:r>
          </w:p>
        </w:tc>
        <w:tc>
          <w:tcPr>
            <w:tcW w:w="1567" w:type="dxa"/>
            <w:vAlign w:val="center"/>
          </w:tcPr>
          <w:p w14:paraId="6E8853D2">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封套上写明</w:t>
            </w:r>
          </w:p>
        </w:tc>
        <w:tc>
          <w:tcPr>
            <w:tcW w:w="7150" w:type="dxa"/>
            <w:vAlign w:val="center"/>
          </w:tcPr>
          <w:p w14:paraId="439EAC20">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应在 “投标文件”袋封套上写明如下内容：</w:t>
            </w:r>
          </w:p>
          <w:p w14:paraId="29E6D45A">
            <w:pPr>
              <w:snapToGrid w:val="0"/>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招标人名称：</w:t>
            </w:r>
            <w:r>
              <w:rPr>
                <w:rFonts w:hint="eastAsia" w:ascii="宋体" w:hAnsi="宋体" w:cs="宋体"/>
                <w:color w:val="auto"/>
                <w:szCs w:val="21"/>
                <w:highlight w:val="none"/>
                <w:u w:val="single"/>
              </w:rPr>
              <w:t xml:space="preserve">            </w:t>
            </w:r>
          </w:p>
          <w:p w14:paraId="5BAAE632">
            <w:pPr>
              <w:snapToGrid w:val="0"/>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266513D5">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w:t>
            </w:r>
          </w:p>
          <w:p w14:paraId="342D4343">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分前不得开启</w:t>
            </w:r>
          </w:p>
        </w:tc>
      </w:tr>
      <w:tr w14:paraId="6F44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147FAE76">
            <w:pPr>
              <w:spacing w:line="400" w:lineRule="exact"/>
              <w:ind w:left="0" w:leftChars="0" w:firstLine="0" w:firstLineChars="0"/>
              <w:jc w:val="center"/>
              <w:rPr>
                <w:rFonts w:hint="eastAsia" w:ascii="宋体" w:hAnsi="宋体" w:cs="宋体"/>
                <w:color w:val="auto"/>
                <w:szCs w:val="21"/>
                <w:highlight w:val="none"/>
              </w:rPr>
            </w:pPr>
            <w:r>
              <w:rPr>
                <w:rFonts w:hint="eastAsia" w:asciiTheme="minorEastAsia" w:hAnsiTheme="minorEastAsia" w:eastAsiaTheme="minorEastAsia" w:cstheme="minorEastAsia"/>
                <w:szCs w:val="21"/>
              </w:rPr>
              <w:t>4.2.1</w:t>
            </w:r>
          </w:p>
        </w:tc>
        <w:tc>
          <w:tcPr>
            <w:tcW w:w="1567" w:type="dxa"/>
            <w:vAlign w:val="center"/>
          </w:tcPr>
          <w:p w14:paraId="5EEC5751">
            <w:pPr>
              <w:spacing w:line="400" w:lineRule="exact"/>
              <w:ind w:left="0" w:leftChars="0" w:firstLine="0" w:firstLineChars="0"/>
              <w:jc w:val="center"/>
              <w:rPr>
                <w:rFonts w:hint="eastAsia" w:ascii="宋体" w:hAnsi="宋体" w:cs="宋体"/>
                <w:color w:val="auto"/>
                <w:szCs w:val="21"/>
                <w:highlight w:val="none"/>
              </w:rPr>
            </w:pPr>
            <w:r>
              <w:rPr>
                <w:rFonts w:hint="eastAsia" w:asciiTheme="minorEastAsia" w:hAnsiTheme="minorEastAsia" w:eastAsiaTheme="minorEastAsia" w:cstheme="minorEastAsia"/>
                <w:szCs w:val="21"/>
              </w:rPr>
              <w:t>投标截止时间</w:t>
            </w:r>
          </w:p>
        </w:tc>
        <w:tc>
          <w:tcPr>
            <w:tcW w:w="7150" w:type="dxa"/>
            <w:vAlign w:val="center"/>
          </w:tcPr>
          <w:p w14:paraId="39925D2F">
            <w:pPr>
              <w:spacing w:line="400" w:lineRule="exact"/>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szCs w:val="21"/>
              </w:rPr>
              <w:t>详见招标公告规定的投标截止时间。</w:t>
            </w:r>
          </w:p>
        </w:tc>
      </w:tr>
      <w:tr w14:paraId="6961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6D506C7A">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4.2.2</w:t>
            </w:r>
          </w:p>
        </w:tc>
        <w:tc>
          <w:tcPr>
            <w:tcW w:w="1567" w:type="dxa"/>
            <w:vAlign w:val="center"/>
          </w:tcPr>
          <w:p w14:paraId="48D3F941">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7150" w:type="dxa"/>
            <w:vAlign w:val="center"/>
          </w:tcPr>
          <w:p w14:paraId="73284330">
            <w:pPr>
              <w:snapToGrid w:val="0"/>
              <w:spacing w:line="400" w:lineRule="exact"/>
              <w:ind w:firstLine="420"/>
              <w:rPr>
                <w:rFonts w:ascii="宋体" w:hAnsi="宋体" w:cs="宋体"/>
                <w:color w:val="auto"/>
                <w:szCs w:val="21"/>
                <w:highlight w:val="none"/>
                <w:u w:val="single"/>
              </w:rPr>
            </w:pPr>
            <w:r>
              <w:rPr>
                <w:bCs/>
                <w:szCs w:val="21"/>
                <w:highlight w:val="none"/>
              </w:rPr>
              <w:t>重庆市公共资源交易中心开标区（具体请登陆</w:t>
            </w:r>
            <w:r>
              <w:rPr>
                <w:bCs/>
                <w:szCs w:val="21"/>
                <w:highlight w:val="none"/>
                <w:u w:val="single"/>
              </w:rPr>
              <w:t>重庆市公共资源交易网（www.cqggzy.com）</w:t>
            </w:r>
            <w:r>
              <w:rPr>
                <w:bCs/>
                <w:szCs w:val="21"/>
                <w:highlight w:val="none"/>
              </w:rPr>
              <w:t>查询或递交文件当日见交易中心大厅电子显示屏）</w:t>
            </w:r>
            <w:r>
              <w:rPr>
                <w:rFonts w:hint="eastAsia" w:asciiTheme="minorEastAsia" w:hAnsiTheme="minorEastAsia" w:eastAsiaTheme="minorEastAsia" w:cstheme="minorEastAsia"/>
                <w:bCs/>
                <w:szCs w:val="21"/>
              </w:rPr>
              <w:t>。</w:t>
            </w:r>
          </w:p>
        </w:tc>
      </w:tr>
      <w:tr w14:paraId="4A8E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335F3478">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4.2.3</w:t>
            </w:r>
          </w:p>
        </w:tc>
        <w:tc>
          <w:tcPr>
            <w:tcW w:w="1567" w:type="dxa"/>
            <w:vAlign w:val="center"/>
          </w:tcPr>
          <w:p w14:paraId="06B407EE">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7150" w:type="dxa"/>
            <w:vAlign w:val="center"/>
          </w:tcPr>
          <w:p w14:paraId="68DF0701">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否</w:t>
            </w:r>
          </w:p>
        </w:tc>
      </w:tr>
      <w:tr w14:paraId="66F1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315EE22F">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5.1.1</w:t>
            </w:r>
          </w:p>
        </w:tc>
        <w:tc>
          <w:tcPr>
            <w:tcW w:w="1567" w:type="dxa"/>
            <w:vAlign w:val="center"/>
          </w:tcPr>
          <w:p w14:paraId="4E72FB5B">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7150" w:type="dxa"/>
            <w:vAlign w:val="center"/>
          </w:tcPr>
          <w:p w14:paraId="3E09EC72">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开标时间：同投标截止时间</w:t>
            </w:r>
          </w:p>
          <w:p w14:paraId="202F46D2">
            <w:pPr>
              <w:snapToGrid w:val="0"/>
              <w:spacing w:line="400" w:lineRule="exact"/>
              <w:ind w:firstLine="420"/>
              <w:rPr>
                <w:rFonts w:ascii="宋体" w:hAnsi="宋体" w:cs="宋体"/>
                <w:color w:val="auto"/>
                <w:szCs w:val="21"/>
                <w:highlight w:val="none"/>
              </w:rPr>
            </w:pPr>
            <w:r>
              <w:rPr>
                <w:rFonts w:ascii="宋体" w:hAnsi="宋体"/>
                <w:kern w:val="0"/>
                <w:szCs w:val="21"/>
                <w:highlight w:val="none"/>
              </w:rPr>
              <w:t>开标地点：</w:t>
            </w:r>
            <w:r>
              <w:rPr>
                <w:rFonts w:ascii="宋体" w:hAnsi="宋体"/>
                <w:bCs/>
                <w:szCs w:val="21"/>
                <w:highlight w:val="none"/>
                <w:u w:val="single"/>
              </w:rPr>
              <w:t>重庆市</w:t>
            </w:r>
            <w:r>
              <w:rPr>
                <w:rFonts w:hint="eastAsia" w:ascii="宋体" w:hAnsi="宋体"/>
                <w:bCs/>
                <w:szCs w:val="21"/>
                <w:highlight w:val="none"/>
                <w:u w:val="single"/>
              </w:rPr>
              <w:t>公共资源</w:t>
            </w:r>
            <w:r>
              <w:rPr>
                <w:rFonts w:ascii="宋体" w:hAnsi="宋体"/>
                <w:bCs/>
                <w:szCs w:val="21"/>
                <w:highlight w:val="none"/>
                <w:u w:val="single"/>
              </w:rPr>
              <w:t>交易中心开标室</w:t>
            </w:r>
            <w:r>
              <w:rPr>
                <w:rFonts w:ascii="宋体" w:hAnsi="宋体"/>
                <w:bCs/>
                <w:szCs w:val="21"/>
                <w:highlight w:val="none"/>
              </w:rPr>
              <w:t>（具体请登陆</w:t>
            </w:r>
            <w:r>
              <w:rPr>
                <w:rFonts w:hint="eastAsia" w:ascii="宋体" w:hAnsi="宋体"/>
                <w:bCs/>
                <w:szCs w:val="21"/>
                <w:highlight w:val="none"/>
                <w:u w:val="single"/>
              </w:rPr>
              <w:t>重庆市公共资源交易网（www.cqggzy.com）</w:t>
            </w:r>
            <w:r>
              <w:rPr>
                <w:rFonts w:ascii="宋体" w:hAnsi="宋体"/>
                <w:bCs/>
                <w:szCs w:val="21"/>
                <w:highlight w:val="none"/>
              </w:rPr>
              <w:t>查询或递交文件当日见交易中心大厅电子显示屏）。</w:t>
            </w:r>
          </w:p>
        </w:tc>
      </w:tr>
      <w:tr w14:paraId="6FB9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11A350A2">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highlight w:val="none"/>
              </w:rPr>
              <w:t>5.2</w:t>
            </w:r>
          </w:p>
        </w:tc>
        <w:tc>
          <w:tcPr>
            <w:tcW w:w="1567" w:type="dxa"/>
            <w:vAlign w:val="center"/>
          </w:tcPr>
          <w:p w14:paraId="1DF41A14">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7150" w:type="dxa"/>
            <w:vAlign w:val="center"/>
          </w:tcPr>
          <w:p w14:paraId="78F24ED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 宣布开标纪律；</w:t>
            </w:r>
          </w:p>
          <w:p w14:paraId="187657C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 宣布招标人、唱标人、记录人、监标人等有关人员姓名；</w:t>
            </w:r>
          </w:p>
          <w:p w14:paraId="17E28A0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 公布在投标截止时间前递交投标文件的投标人名称，并点名确认投标人是否派人到场；</w:t>
            </w:r>
          </w:p>
          <w:p w14:paraId="22A39D4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 密封情况检查：投标人或者其推选的代表检查投标文件的密封情况并确认。</w:t>
            </w:r>
          </w:p>
          <w:p w14:paraId="13C3A27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5.开启投标文件顺序：随机开启；</w:t>
            </w:r>
          </w:p>
          <w:p w14:paraId="586D893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 设有最高限价的，公布最高限价；</w:t>
            </w:r>
          </w:p>
          <w:p w14:paraId="3E12AD4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.汇总投标保证金交纳情况</w:t>
            </w:r>
          </w:p>
          <w:p w14:paraId="405141E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 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66189794">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 展示以电子转账方式递交投标保证金的情况，应至少包含投标人名称、金额、投标保证金打入指定账户的时间等，异常情况在开标记录表“异常情况”栏中记录并交由评标委员会评审。保证金来款账户非基本账户的，交由评标委员会作否决投标处理。</w:t>
            </w:r>
          </w:p>
          <w:p w14:paraId="18A183A4">
            <w:pPr>
              <w:spacing w:line="400" w:lineRule="exact"/>
              <w:ind w:firstLine="420"/>
              <w:rPr>
                <w:rFonts w:hint="eastAsia" w:ascii="宋体" w:hAnsi="宋体" w:eastAsia="宋体" w:cs="宋体"/>
                <w:kern w:val="0"/>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 展示以纸质投标保</w:t>
            </w:r>
            <w:r>
              <w:rPr>
                <w:rFonts w:hint="eastAsia" w:ascii="宋体" w:hAnsi="宋体" w:eastAsia="宋体" w:cs="宋体"/>
                <w:kern w:val="0"/>
                <w:szCs w:val="21"/>
                <w:highlight w:val="none"/>
              </w:rPr>
              <w:t>函方式递交投标保证金的情况，并记录在“纸质投标保函递交情况一览表”中，异常情况在开标记录表“异常情况”栏中记录。</w:t>
            </w:r>
          </w:p>
          <w:p w14:paraId="61A72D5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8.当众开启投标文件，公布投标人名称、投标报价及其他内容，并记录在案；</w:t>
            </w:r>
          </w:p>
          <w:p w14:paraId="1412235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9. 投标人代表、招标人代表、监标人、记录人等有关人员在开标记录上签字确认；</w:t>
            </w:r>
          </w:p>
          <w:p w14:paraId="02F00E5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10. 开标结束。</w:t>
            </w:r>
          </w:p>
        </w:tc>
      </w:tr>
      <w:tr w14:paraId="2BD7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439FE0A0">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6.1.1</w:t>
            </w:r>
          </w:p>
        </w:tc>
        <w:tc>
          <w:tcPr>
            <w:tcW w:w="1567" w:type="dxa"/>
            <w:vAlign w:val="center"/>
          </w:tcPr>
          <w:p w14:paraId="7BFC9702">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150" w:type="dxa"/>
            <w:vAlign w:val="center"/>
          </w:tcPr>
          <w:p w14:paraId="66086313">
            <w:pPr>
              <w:autoSpaceDE w:val="0"/>
              <w:autoSpaceDN w:val="0"/>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由招标人依据法律法规和相关规范性文件依法组建。</w:t>
            </w:r>
          </w:p>
        </w:tc>
      </w:tr>
      <w:tr w14:paraId="087E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3490DF80">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7.1</w:t>
            </w:r>
          </w:p>
        </w:tc>
        <w:tc>
          <w:tcPr>
            <w:tcW w:w="1567" w:type="dxa"/>
            <w:vAlign w:val="center"/>
          </w:tcPr>
          <w:p w14:paraId="6E113AD4">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是否授权评标委员会确定入围供应商</w:t>
            </w:r>
          </w:p>
        </w:tc>
        <w:tc>
          <w:tcPr>
            <w:tcW w:w="7150" w:type="dxa"/>
            <w:vAlign w:val="center"/>
          </w:tcPr>
          <w:p w14:paraId="7A0472C5">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否，推荐经评审得分由高到低排名前</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名为入围</w:t>
            </w:r>
            <w:r>
              <w:rPr>
                <w:rFonts w:hint="eastAsia" w:ascii="宋体" w:hAnsi="宋体" w:cs="宋体"/>
                <w:color w:val="auto"/>
                <w:szCs w:val="21"/>
                <w:highlight w:val="none"/>
                <w:lang w:val="en-US" w:eastAsia="zh-CN"/>
              </w:rPr>
              <w:t>候选人</w:t>
            </w:r>
            <w:r>
              <w:rPr>
                <w:rFonts w:hint="eastAsia" w:ascii="宋体" w:hAnsi="宋体" w:cs="宋体"/>
                <w:color w:val="auto"/>
                <w:szCs w:val="21"/>
                <w:highlight w:val="none"/>
              </w:rPr>
              <w:t>。</w:t>
            </w:r>
          </w:p>
        </w:tc>
      </w:tr>
      <w:tr w14:paraId="1C59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30" w:type="dxa"/>
            <w:vAlign w:val="center"/>
          </w:tcPr>
          <w:p w14:paraId="0A6DB777">
            <w:pPr>
              <w:adjustRightInd w:val="0"/>
              <w:snapToGrid w:val="0"/>
              <w:spacing w:line="400" w:lineRule="exact"/>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1567" w:type="dxa"/>
            <w:vAlign w:val="center"/>
          </w:tcPr>
          <w:p w14:paraId="713D9F42">
            <w:pPr>
              <w:adjustRightInd w:val="0"/>
              <w:snapToGrid w:val="0"/>
              <w:spacing w:line="400" w:lineRule="exact"/>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中标公示</w:t>
            </w:r>
          </w:p>
        </w:tc>
        <w:tc>
          <w:tcPr>
            <w:tcW w:w="7150" w:type="dxa"/>
            <w:vAlign w:val="center"/>
          </w:tcPr>
          <w:p w14:paraId="45FA34C5">
            <w:pPr>
              <w:keepNext w:val="0"/>
              <w:keepLines w:val="0"/>
              <w:pageBreakBefore w:val="0"/>
              <w:widowControl/>
              <w:kinsoku/>
              <w:wordWrap/>
              <w:overflowPunct/>
              <w:topLinePunct w:val="0"/>
              <w:autoSpaceDE w:val="0"/>
              <w:autoSpaceDN w:val="0"/>
              <w:bidi w:val="0"/>
              <w:adjustRightInd w:val="0"/>
              <w:snapToGrid/>
              <w:spacing w:line="400" w:lineRule="exact"/>
              <w:ind w:right="-23" w:rightChars="0" w:firstLine="420" w:firstLineChars="200"/>
              <w:jc w:val="left"/>
              <w:textAlignment w:val="auto"/>
              <w:rPr>
                <w:rFonts w:ascii="宋体" w:hAnsi="宋体" w:cs="宋体"/>
                <w:color w:val="auto"/>
                <w:szCs w:val="21"/>
                <w:highlight w:val="none"/>
              </w:rPr>
            </w:pPr>
            <w:r>
              <w:rPr>
                <w:rFonts w:hint="eastAsia" w:ascii="宋体" w:hAnsi="宋体" w:cs="宋体"/>
                <w:kern w:val="0"/>
                <w:szCs w:val="21"/>
                <w:highlight w:val="none"/>
              </w:rPr>
              <w:t>招标人在收到评标报告后3日内将评标结果在重庆市公共资源交易网上进行公示，公示期不少于3日。为深化信息公开，接受社会监督，按照《招标公告和公示信息发布管理办法》（国家发改委令第10号）的要求，公示内容包括</w:t>
            </w:r>
            <w:r>
              <w:rPr>
                <w:rFonts w:hint="eastAsia" w:ascii="宋体" w:hAnsi="宋体" w:cs="宋体"/>
                <w:kern w:val="0"/>
                <w:szCs w:val="21"/>
                <w:highlight w:val="none"/>
                <w:lang w:val="en-US" w:eastAsia="zh-CN"/>
              </w:rPr>
              <w:t>入围</w:t>
            </w:r>
            <w:r>
              <w:rPr>
                <w:rFonts w:hint="eastAsia" w:ascii="宋体" w:hAnsi="宋体" w:cs="宋体"/>
                <w:kern w:val="0"/>
                <w:szCs w:val="21"/>
                <w:highlight w:val="none"/>
              </w:rPr>
              <w:t>候选人名称、排序、投标报价、投标业绩名称；否决投标情况及理由；提出异议、投诉的渠道和方式。</w:t>
            </w:r>
          </w:p>
        </w:tc>
      </w:tr>
      <w:tr w14:paraId="21F0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62557F9B">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7.3.1</w:t>
            </w:r>
          </w:p>
        </w:tc>
        <w:tc>
          <w:tcPr>
            <w:tcW w:w="1567" w:type="dxa"/>
            <w:vAlign w:val="center"/>
          </w:tcPr>
          <w:p w14:paraId="0BEFF82F">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履约担保金</w:t>
            </w:r>
          </w:p>
        </w:tc>
        <w:tc>
          <w:tcPr>
            <w:tcW w:w="7150" w:type="dxa"/>
            <w:vAlign w:val="center"/>
          </w:tcPr>
          <w:p w14:paraId="6FBA6C09">
            <w:pPr>
              <w:snapToGrid w:val="0"/>
              <w:spacing w:line="400" w:lineRule="exact"/>
              <w:ind w:firstLine="420"/>
              <w:rPr>
                <w:color w:val="auto"/>
                <w:szCs w:val="21"/>
                <w:highlight w:val="none"/>
              </w:rPr>
            </w:pPr>
            <w:r>
              <w:rPr>
                <w:rFonts w:hint="eastAsia"/>
                <w:color w:val="auto"/>
                <w:szCs w:val="21"/>
                <w:highlight w:val="none"/>
              </w:rPr>
              <w:t>1、入围供应商是否提供履约担保：</w:t>
            </w:r>
            <w:r>
              <w:rPr>
                <w:rFonts w:hint="eastAsia"/>
                <w:color w:val="auto"/>
                <w:szCs w:val="21"/>
                <w:highlight w:val="none"/>
                <w:lang w:val="en-US" w:eastAsia="zh-CN"/>
              </w:rPr>
              <w:t>由前四名入围供应商提供。</w:t>
            </w:r>
          </w:p>
          <w:p w14:paraId="45C35D1E">
            <w:pPr>
              <w:snapToGrid w:val="0"/>
              <w:spacing w:line="400" w:lineRule="exact"/>
              <w:ind w:firstLine="420"/>
              <w:rPr>
                <w:color w:val="auto"/>
                <w:szCs w:val="21"/>
                <w:highlight w:val="none"/>
              </w:rPr>
            </w:pPr>
            <w:r>
              <w:rPr>
                <w:rFonts w:hint="eastAsia"/>
                <w:color w:val="auto"/>
                <w:szCs w:val="21"/>
                <w:highlight w:val="none"/>
              </w:rPr>
              <w:t xml:space="preserve">2、入围供应商提供履约担保的形式、金额及期限： </w:t>
            </w:r>
          </w:p>
          <w:p w14:paraId="4F8416F1">
            <w:pPr>
              <w:spacing w:line="400" w:lineRule="exact"/>
              <w:ind w:firstLine="42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（1）履约担保的形式：现金或履约保函或现金+履约保函的组合，履约保函包括银行保函、保证保险和担保保函；</w:t>
            </w:r>
          </w:p>
          <w:p w14:paraId="53DB89CC">
            <w:pPr>
              <w:spacing w:line="400" w:lineRule="exact"/>
              <w:ind w:firstLine="42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（2）履约担保的金额：200000元整（大写：贰拾万元整）。</w:t>
            </w:r>
          </w:p>
          <w:p w14:paraId="7639CACD">
            <w:pPr>
              <w:spacing w:line="400" w:lineRule="exact"/>
              <w:ind w:firstLine="42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lang w:eastAsia="zh-CN"/>
              </w:rPr>
              <w:t>）保证金</w:t>
            </w:r>
            <w:r>
              <w:rPr>
                <w:rFonts w:hint="eastAsia" w:cs="宋体" w:asciiTheme="minorEastAsia" w:hAnsiTheme="minorEastAsia" w:eastAsiaTheme="minorEastAsia"/>
                <w:color w:val="auto"/>
                <w:szCs w:val="21"/>
                <w:highlight w:val="none"/>
              </w:rPr>
              <w:t>缴纳账户</w:t>
            </w:r>
            <w:r>
              <w:rPr>
                <w:rFonts w:hint="eastAsia" w:cs="宋体" w:asciiTheme="minorEastAsia" w:hAnsiTheme="minorEastAsia" w:eastAsiaTheme="minorEastAsia"/>
                <w:color w:val="auto"/>
                <w:szCs w:val="21"/>
                <w:highlight w:val="none"/>
                <w:lang w:eastAsia="zh-CN"/>
              </w:rPr>
              <w:t>如下：</w:t>
            </w:r>
          </w:p>
          <w:p w14:paraId="575C0CB1">
            <w:pPr>
              <w:spacing w:line="400" w:lineRule="exact"/>
              <w:ind w:firstLine="42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户名：重庆三峡银行股份有限公司</w:t>
            </w:r>
          </w:p>
          <w:p w14:paraId="29FEDDFF">
            <w:pPr>
              <w:spacing w:line="400" w:lineRule="exact"/>
              <w:ind w:firstLine="42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开户行：重庆三峡银行营业部</w:t>
            </w:r>
          </w:p>
          <w:p w14:paraId="76D96917">
            <w:pPr>
              <w:spacing w:line="400" w:lineRule="exact"/>
              <w:ind w:firstLine="42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银行账号：0101014040000043</w:t>
            </w:r>
          </w:p>
          <w:p w14:paraId="62ED72BA">
            <w:pPr>
              <w:numPr>
                <w:ilvl w:val="0"/>
                <w:numId w:val="2"/>
              </w:numPr>
              <w:spacing w:line="400" w:lineRule="exact"/>
              <w:ind w:firstLine="42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履约担保的提交时间：协议签订后10个工作日内缴纳。</w:t>
            </w:r>
          </w:p>
          <w:p w14:paraId="3E22F56A">
            <w:pPr>
              <w:numPr>
                <w:ilvl w:val="0"/>
                <w:numId w:val="0"/>
              </w:numPr>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）履约担保的期限：</w:t>
            </w:r>
            <w:r>
              <w:rPr>
                <w:rFonts w:hint="eastAsia"/>
                <w:highlight w:val="none"/>
              </w:rPr>
              <w:t>自</w:t>
            </w:r>
            <w:r>
              <w:rPr>
                <w:rFonts w:hint="eastAsia"/>
                <w:highlight w:val="none"/>
                <w:lang w:val="en-US" w:eastAsia="zh-CN"/>
              </w:rPr>
              <w:t>协议</w:t>
            </w:r>
            <w:r>
              <w:rPr>
                <w:rFonts w:hint="eastAsia"/>
                <w:lang w:val="en-US" w:eastAsia="zh-CN"/>
              </w:rPr>
              <w:t>合作有效期起始</w:t>
            </w:r>
            <w:r>
              <w:rPr>
                <w:rFonts w:hint="eastAsia"/>
              </w:rPr>
              <w:t>日期起至</w:t>
            </w:r>
            <w:r>
              <w:rPr>
                <w:rFonts w:hint="eastAsia"/>
                <w:lang w:val="en-US" w:eastAsia="zh-CN"/>
              </w:rPr>
              <w:t>协议合作有效期截止</w:t>
            </w:r>
            <w:r>
              <w:rPr>
                <w:rFonts w:hint="eastAsia"/>
              </w:rPr>
              <w:t>日期止。</w:t>
            </w:r>
          </w:p>
          <w:p w14:paraId="12B8FB11">
            <w:pPr>
              <w:spacing w:line="400" w:lineRule="exact"/>
              <w:ind w:firstLine="42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6</w:t>
            </w:r>
            <w:r>
              <w:rPr>
                <w:rFonts w:hint="eastAsia" w:cs="宋体" w:asciiTheme="minorEastAsia" w:hAnsiTheme="minorEastAsia" w:eastAsiaTheme="minorEastAsia"/>
                <w:color w:val="auto"/>
                <w:szCs w:val="21"/>
                <w:highlight w:val="none"/>
              </w:rPr>
              <w:t>）履约担保的退还时间：协议终止或履行完毕，若当月内无任何投诉，</w:t>
            </w:r>
            <w:r>
              <w:rPr>
                <w:rFonts w:hint="eastAsia" w:cs="宋体" w:asciiTheme="minorEastAsia" w:hAnsiTheme="minorEastAsia" w:eastAsiaTheme="minorEastAsia"/>
                <w:color w:val="auto"/>
                <w:szCs w:val="21"/>
                <w:highlight w:val="none"/>
                <w:lang w:val="en-US" w:eastAsia="zh-CN"/>
              </w:rPr>
              <w:t>招标人</w:t>
            </w:r>
            <w:r>
              <w:rPr>
                <w:rFonts w:hint="eastAsia" w:cs="宋体" w:asciiTheme="minorEastAsia" w:hAnsiTheme="minorEastAsia" w:eastAsiaTheme="minorEastAsia"/>
                <w:color w:val="auto"/>
                <w:szCs w:val="21"/>
                <w:highlight w:val="none"/>
              </w:rPr>
              <w:t>将一次性无息退还合作期间扣缴后的实际履约保证金；若出现投诉，</w:t>
            </w:r>
            <w:r>
              <w:rPr>
                <w:rFonts w:hint="eastAsia" w:cs="宋体" w:asciiTheme="minorEastAsia" w:hAnsiTheme="minorEastAsia" w:eastAsiaTheme="minorEastAsia"/>
                <w:color w:val="auto"/>
                <w:szCs w:val="21"/>
                <w:highlight w:val="none"/>
                <w:lang w:val="en-US" w:eastAsia="zh-CN"/>
              </w:rPr>
              <w:t>入围供应商</w:t>
            </w:r>
            <w:r>
              <w:rPr>
                <w:rFonts w:hint="eastAsia" w:cs="宋体" w:asciiTheme="minorEastAsia" w:hAnsiTheme="minorEastAsia" w:eastAsiaTheme="minorEastAsia"/>
                <w:color w:val="auto"/>
                <w:szCs w:val="21"/>
                <w:highlight w:val="none"/>
              </w:rPr>
              <w:t>须按照</w:t>
            </w:r>
            <w:r>
              <w:rPr>
                <w:rFonts w:hint="eastAsia" w:cs="宋体" w:asciiTheme="minorEastAsia" w:hAnsiTheme="minorEastAsia" w:eastAsiaTheme="minorEastAsia"/>
                <w:color w:val="auto"/>
                <w:szCs w:val="21"/>
                <w:highlight w:val="none"/>
                <w:lang w:val="en-US" w:eastAsia="zh-CN"/>
              </w:rPr>
              <w:t>招标人</w:t>
            </w:r>
            <w:r>
              <w:rPr>
                <w:rFonts w:hint="eastAsia" w:cs="宋体" w:asciiTheme="minorEastAsia" w:hAnsiTheme="minorEastAsia" w:eastAsiaTheme="minorEastAsia"/>
                <w:color w:val="auto"/>
                <w:szCs w:val="21"/>
                <w:highlight w:val="none"/>
              </w:rPr>
              <w:t>规定妥善处理后方可退回剩余实际履约保证金。</w:t>
            </w:r>
            <w:r>
              <w:rPr>
                <w:rFonts w:hint="eastAsia" w:cs="宋体" w:asciiTheme="minorEastAsia" w:hAnsiTheme="minorEastAsia" w:eastAsiaTheme="minorEastAsia"/>
                <w:color w:val="auto"/>
                <w:szCs w:val="21"/>
                <w:highlight w:val="none"/>
                <w:lang w:eastAsia="zh-CN"/>
              </w:rPr>
              <w:t>由</w:t>
            </w:r>
            <w:r>
              <w:rPr>
                <w:rFonts w:hint="eastAsia" w:cs="宋体" w:asciiTheme="minorEastAsia" w:hAnsiTheme="minorEastAsia" w:eastAsiaTheme="minorEastAsia"/>
                <w:color w:val="auto"/>
                <w:szCs w:val="21"/>
                <w:highlight w:val="none"/>
                <w:lang w:val="en-US" w:eastAsia="zh-CN"/>
              </w:rPr>
              <w:t>入围供应商</w:t>
            </w:r>
            <w:r>
              <w:rPr>
                <w:rFonts w:hint="eastAsia" w:cs="宋体" w:asciiTheme="minorEastAsia" w:hAnsiTheme="minorEastAsia" w:eastAsiaTheme="minorEastAsia"/>
                <w:color w:val="auto"/>
                <w:szCs w:val="21"/>
                <w:highlight w:val="none"/>
                <w:lang w:eastAsia="zh-CN"/>
              </w:rPr>
              <w:t>承担保证金金的缴存、赔付、退回等过程中可能涉及的转账手续费</w:t>
            </w:r>
            <w:r>
              <w:rPr>
                <w:rFonts w:hint="eastAsia" w:cs="宋体" w:asciiTheme="minorEastAsia" w:hAnsiTheme="minorEastAsia" w:eastAsiaTheme="minorEastAsia"/>
                <w:color w:val="auto"/>
                <w:szCs w:val="21"/>
                <w:highlight w:val="none"/>
              </w:rPr>
              <w:t>。</w:t>
            </w:r>
          </w:p>
          <w:p w14:paraId="6ACB3EAD">
            <w:pPr>
              <w:snapToGrid w:val="0"/>
              <w:spacing w:line="400" w:lineRule="exact"/>
              <w:ind w:firstLine="420"/>
              <w:rPr>
                <w:color w:val="auto"/>
                <w:szCs w:val="21"/>
                <w:highlight w:val="none"/>
              </w:rPr>
            </w:pPr>
            <w:r>
              <w:rPr>
                <w:rFonts w:hint="eastAsia" w:cs="宋体" w:asciiTheme="minorEastAsia" w:hAnsiTheme="minorEastAsia" w:eastAsiaTheme="minorEastAsia"/>
                <w:color w:val="auto"/>
                <w:szCs w:val="21"/>
                <w:highlight w:val="none"/>
              </w:rPr>
              <w:t>（6）合作期间，若</w:t>
            </w:r>
            <w:r>
              <w:rPr>
                <w:rFonts w:hint="eastAsia" w:cs="宋体" w:asciiTheme="minorEastAsia" w:hAnsiTheme="minorEastAsia" w:eastAsiaTheme="minorEastAsia"/>
                <w:color w:val="auto"/>
                <w:szCs w:val="21"/>
                <w:highlight w:val="none"/>
                <w:lang w:val="en-US" w:eastAsia="zh-CN"/>
              </w:rPr>
              <w:t>入围供应商</w:t>
            </w:r>
            <w:r>
              <w:rPr>
                <w:rFonts w:hint="eastAsia" w:cs="宋体" w:asciiTheme="minorEastAsia" w:hAnsiTheme="minorEastAsia" w:eastAsiaTheme="minorEastAsia"/>
                <w:color w:val="auto"/>
                <w:szCs w:val="21"/>
                <w:highlight w:val="none"/>
              </w:rPr>
              <w:t>未按协议约定执行、给</w:t>
            </w:r>
            <w:r>
              <w:rPr>
                <w:rFonts w:hint="eastAsia" w:cs="宋体" w:asciiTheme="minorEastAsia" w:hAnsiTheme="minorEastAsia" w:eastAsiaTheme="minorEastAsia"/>
                <w:color w:val="auto"/>
                <w:szCs w:val="21"/>
                <w:highlight w:val="none"/>
                <w:lang w:val="en-US" w:eastAsia="zh-CN"/>
              </w:rPr>
              <w:t>招标人</w:t>
            </w:r>
            <w:r>
              <w:rPr>
                <w:rFonts w:hint="eastAsia" w:cs="宋体" w:asciiTheme="minorEastAsia" w:hAnsiTheme="minorEastAsia" w:eastAsiaTheme="minorEastAsia"/>
                <w:color w:val="auto"/>
                <w:szCs w:val="21"/>
                <w:highlight w:val="none"/>
              </w:rPr>
              <w:t>造成损失，或</w:t>
            </w:r>
            <w:r>
              <w:rPr>
                <w:rFonts w:hint="eastAsia" w:cs="宋体" w:asciiTheme="minorEastAsia" w:hAnsiTheme="minorEastAsia" w:eastAsiaTheme="minorEastAsia"/>
                <w:color w:val="auto"/>
                <w:szCs w:val="21"/>
                <w:highlight w:val="none"/>
                <w:lang w:val="en-US" w:eastAsia="zh-CN"/>
              </w:rPr>
              <w:t>入围供应商</w:t>
            </w:r>
            <w:r>
              <w:rPr>
                <w:rFonts w:hint="eastAsia" w:cs="宋体" w:asciiTheme="minorEastAsia" w:hAnsiTheme="minorEastAsia" w:eastAsiaTheme="minorEastAsia"/>
                <w:color w:val="auto"/>
                <w:szCs w:val="21"/>
                <w:highlight w:val="none"/>
              </w:rPr>
              <w:t>提供的服务引发客户纠纷，</w:t>
            </w:r>
            <w:r>
              <w:rPr>
                <w:rFonts w:hint="eastAsia" w:cs="宋体" w:asciiTheme="minorEastAsia" w:hAnsiTheme="minorEastAsia" w:eastAsiaTheme="minorEastAsia"/>
                <w:color w:val="auto"/>
                <w:szCs w:val="21"/>
                <w:highlight w:val="none"/>
                <w:lang w:val="en-US" w:eastAsia="zh-CN"/>
              </w:rPr>
              <w:t>入围供应商</w:t>
            </w:r>
            <w:r>
              <w:rPr>
                <w:rFonts w:hint="eastAsia" w:cs="宋体" w:asciiTheme="minorEastAsia" w:hAnsiTheme="minorEastAsia" w:eastAsiaTheme="minorEastAsia"/>
                <w:color w:val="auto"/>
                <w:szCs w:val="21"/>
                <w:highlight w:val="none"/>
              </w:rPr>
              <w:t>有权在确认合理扣款金额后，从履约保证金中扣除；当</w:t>
            </w:r>
            <w:r>
              <w:rPr>
                <w:rFonts w:hint="eastAsia" w:cs="宋体" w:asciiTheme="minorEastAsia" w:hAnsiTheme="minorEastAsia" w:eastAsiaTheme="minorEastAsia"/>
                <w:color w:val="auto"/>
                <w:szCs w:val="21"/>
                <w:highlight w:val="none"/>
                <w:lang w:val="en-US" w:eastAsia="zh-CN"/>
              </w:rPr>
              <w:t>入围供应商</w:t>
            </w:r>
            <w:r>
              <w:rPr>
                <w:rFonts w:hint="eastAsia" w:cs="宋体" w:asciiTheme="minorEastAsia" w:hAnsiTheme="minorEastAsia" w:eastAsiaTheme="minorEastAsia"/>
                <w:color w:val="auto"/>
                <w:szCs w:val="21"/>
                <w:highlight w:val="none"/>
              </w:rPr>
              <w:t>履约保证金金不足赔偿</w:t>
            </w:r>
            <w:r>
              <w:rPr>
                <w:rFonts w:hint="eastAsia" w:cs="宋体" w:asciiTheme="minorEastAsia" w:hAnsiTheme="minorEastAsia" w:eastAsiaTheme="minorEastAsia"/>
                <w:color w:val="auto"/>
                <w:szCs w:val="21"/>
                <w:highlight w:val="none"/>
                <w:lang w:val="en-US" w:eastAsia="zh-CN"/>
              </w:rPr>
              <w:t>招标人</w:t>
            </w:r>
            <w:r>
              <w:rPr>
                <w:rFonts w:hint="eastAsia" w:cs="宋体" w:asciiTheme="minorEastAsia" w:hAnsiTheme="minorEastAsia" w:eastAsiaTheme="minorEastAsia"/>
                <w:color w:val="auto"/>
                <w:szCs w:val="21"/>
                <w:highlight w:val="none"/>
              </w:rPr>
              <w:t>经济损失时，</w:t>
            </w:r>
            <w:r>
              <w:rPr>
                <w:rFonts w:hint="eastAsia" w:cs="宋体" w:asciiTheme="minorEastAsia" w:hAnsiTheme="minorEastAsia" w:eastAsiaTheme="minorEastAsia"/>
                <w:color w:val="auto"/>
                <w:szCs w:val="21"/>
                <w:highlight w:val="none"/>
                <w:lang w:val="en-US" w:eastAsia="zh-CN"/>
              </w:rPr>
              <w:t>入围供应商</w:t>
            </w:r>
            <w:r>
              <w:rPr>
                <w:rFonts w:hint="eastAsia" w:cs="宋体" w:asciiTheme="minorEastAsia" w:hAnsiTheme="minorEastAsia" w:eastAsiaTheme="minorEastAsia"/>
                <w:color w:val="auto"/>
                <w:szCs w:val="21"/>
                <w:highlight w:val="none"/>
              </w:rPr>
              <w:t>须在双方协议结束后一个月内补足差额部分，</w:t>
            </w:r>
            <w:r>
              <w:rPr>
                <w:rFonts w:hint="eastAsia" w:cs="宋体" w:asciiTheme="minorEastAsia" w:hAnsiTheme="minorEastAsia" w:eastAsiaTheme="minorEastAsia"/>
                <w:color w:val="auto"/>
                <w:szCs w:val="21"/>
                <w:highlight w:val="none"/>
                <w:lang w:val="en-US" w:eastAsia="zh-CN"/>
              </w:rPr>
              <w:t>入围供应商</w:t>
            </w:r>
            <w:r>
              <w:rPr>
                <w:rFonts w:hint="eastAsia" w:cs="宋体" w:asciiTheme="minorEastAsia" w:hAnsiTheme="minorEastAsia" w:eastAsiaTheme="minorEastAsia"/>
                <w:color w:val="auto"/>
                <w:szCs w:val="21"/>
                <w:highlight w:val="none"/>
              </w:rPr>
              <w:t>不得因此拒绝履行发货义务。</w:t>
            </w:r>
          </w:p>
          <w:p w14:paraId="145E514F">
            <w:pPr>
              <w:snapToGrid w:val="0"/>
              <w:spacing w:line="400" w:lineRule="exact"/>
              <w:ind w:firstLine="420"/>
              <w:rPr>
                <w:color w:val="auto"/>
                <w:szCs w:val="21"/>
                <w:highlight w:val="none"/>
              </w:rPr>
            </w:pPr>
            <w:r>
              <w:rPr>
                <w:color w:val="auto"/>
                <w:szCs w:val="21"/>
                <w:highlight w:val="none"/>
              </w:rPr>
              <w:t>注：</w:t>
            </w:r>
            <w:r>
              <w:rPr>
                <w:rFonts w:hint="eastAsia"/>
                <w:color w:val="auto"/>
                <w:szCs w:val="21"/>
                <w:highlight w:val="none"/>
              </w:rPr>
              <w:t>入围供应商</w:t>
            </w:r>
            <w:r>
              <w:rPr>
                <w:color w:val="auto"/>
                <w:szCs w:val="21"/>
                <w:highlight w:val="none"/>
              </w:rPr>
              <w:t>不按照招标文件要求</w:t>
            </w:r>
            <w:r>
              <w:rPr>
                <w:rFonts w:hint="eastAsia" w:cs="宋体" w:asciiTheme="minorEastAsia" w:hAnsiTheme="minorEastAsia" w:eastAsiaTheme="minorEastAsia"/>
                <w:color w:val="auto"/>
                <w:szCs w:val="21"/>
                <w:highlight w:val="none"/>
              </w:rPr>
              <w:t>按时缴纳</w:t>
            </w:r>
            <w:r>
              <w:rPr>
                <w:rFonts w:hint="eastAsia" w:cs="宋体" w:asciiTheme="minorEastAsia" w:hAnsiTheme="minorEastAsia" w:eastAsiaTheme="minorEastAsia"/>
                <w:color w:val="auto"/>
                <w:szCs w:val="21"/>
                <w:highlight w:val="none"/>
                <w:lang w:val="en-US" w:eastAsia="zh-CN"/>
              </w:rPr>
              <w:t>履约保证金的</w:t>
            </w:r>
            <w:r>
              <w:rPr>
                <w:rFonts w:hint="eastAsia" w:cs="宋体" w:asciiTheme="minorEastAsia" w:hAnsiTheme="minorEastAsia" w:eastAsiaTheme="minorEastAsia"/>
                <w:color w:val="auto"/>
                <w:szCs w:val="21"/>
                <w:highlight w:val="none"/>
              </w:rPr>
              <w:t>，则视为自动放弃合作资格，并纳入</w:t>
            </w:r>
            <w:r>
              <w:rPr>
                <w:rFonts w:hint="eastAsia" w:cs="宋体" w:asciiTheme="minorEastAsia" w:hAnsiTheme="minorEastAsia" w:eastAsiaTheme="minorEastAsia"/>
                <w:color w:val="auto"/>
                <w:szCs w:val="21"/>
                <w:highlight w:val="none"/>
                <w:lang w:val="en-US" w:eastAsia="zh-CN"/>
              </w:rPr>
              <w:t>招标人</w:t>
            </w:r>
            <w:r>
              <w:rPr>
                <w:rFonts w:hint="eastAsia" w:cs="宋体" w:asciiTheme="minorEastAsia" w:hAnsiTheme="minorEastAsia" w:eastAsiaTheme="minorEastAsia"/>
                <w:color w:val="auto"/>
                <w:szCs w:val="21"/>
                <w:highlight w:val="none"/>
              </w:rPr>
              <w:t>第三方合作黑名单</w:t>
            </w:r>
            <w:r>
              <w:rPr>
                <w:rFonts w:hint="eastAsia" w:cs="宋体" w:asciiTheme="minorEastAsia" w:hAnsiTheme="minorEastAsia" w:eastAsiaTheme="minorEastAsia"/>
                <w:color w:val="auto"/>
                <w:szCs w:val="21"/>
                <w:highlight w:val="none"/>
                <w:lang w:eastAsia="zh-CN"/>
              </w:rPr>
              <w:t>。</w:t>
            </w:r>
          </w:p>
        </w:tc>
      </w:tr>
      <w:tr w14:paraId="6B1F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4E044C89">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7.4.3</w:t>
            </w:r>
          </w:p>
        </w:tc>
        <w:tc>
          <w:tcPr>
            <w:tcW w:w="1567" w:type="dxa"/>
            <w:vAlign w:val="center"/>
          </w:tcPr>
          <w:p w14:paraId="64A9A87A">
            <w:pPr>
              <w:adjustRightInd w:val="0"/>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合同的授予</w:t>
            </w:r>
          </w:p>
        </w:tc>
        <w:tc>
          <w:tcPr>
            <w:tcW w:w="7150" w:type="dxa"/>
            <w:vAlign w:val="center"/>
          </w:tcPr>
          <w:p w14:paraId="231C0822">
            <w:pPr>
              <w:spacing w:line="400" w:lineRule="exact"/>
              <w:ind w:firstLine="42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lang w:eastAsia="zh-CN"/>
              </w:rPr>
              <w:t>本项目为商品权益，入围后与招标人签订框架协议。</w:t>
            </w:r>
          </w:p>
          <w:p w14:paraId="71CAD0AA">
            <w:pPr>
              <w:spacing w:line="400" w:lineRule="exact"/>
              <w:ind w:firstLine="42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lang w:eastAsia="zh-CN"/>
              </w:rPr>
              <w:t>招标人不对采购的具体数量、金额作承诺，入围供应商排名次序的先后不作为采购份额多少的标准。</w:t>
            </w:r>
          </w:p>
          <w:p w14:paraId="4F89CE04">
            <w:pPr>
              <w:spacing w:line="400" w:lineRule="exact"/>
              <w:ind w:firstLine="420"/>
              <w:rPr>
                <w:rFonts w:hint="default"/>
                <w:lang w:val="en-US"/>
              </w:rPr>
            </w:pP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lang w:eastAsia="zh-CN"/>
              </w:rPr>
              <w:t>入围供应商履约过程中出现问题，</w:t>
            </w:r>
            <w:r>
              <w:rPr>
                <w:rFonts w:hint="eastAsia" w:cs="宋体" w:asciiTheme="minorEastAsia" w:hAnsiTheme="minorEastAsia" w:eastAsiaTheme="minorEastAsia"/>
                <w:color w:val="auto"/>
                <w:szCs w:val="21"/>
                <w:highlight w:val="none"/>
                <w:lang w:val="en-US" w:eastAsia="zh-CN"/>
              </w:rPr>
              <w:t>招标人</w:t>
            </w:r>
            <w:r>
              <w:rPr>
                <w:rFonts w:hint="eastAsia" w:cs="宋体" w:asciiTheme="minorEastAsia" w:hAnsiTheme="minorEastAsia" w:eastAsiaTheme="minorEastAsia"/>
                <w:color w:val="auto"/>
                <w:szCs w:val="21"/>
                <w:highlight w:val="none"/>
                <w:lang w:eastAsia="zh-CN"/>
              </w:rPr>
              <w:t>有权依据项目合同进行相关处罚，情节严重者可中止合同，并纳入第三方合作黑名单，入围供应商承担由此造成的经济责任和法律责任。</w:t>
            </w:r>
          </w:p>
        </w:tc>
      </w:tr>
      <w:tr w14:paraId="0C16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0" w:type="dxa"/>
            <w:vAlign w:val="center"/>
          </w:tcPr>
          <w:p w14:paraId="42F7343F">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8.1</w:t>
            </w:r>
          </w:p>
        </w:tc>
        <w:tc>
          <w:tcPr>
            <w:tcW w:w="1567" w:type="dxa"/>
            <w:vAlign w:val="center"/>
          </w:tcPr>
          <w:p w14:paraId="0CD113C8">
            <w:pPr>
              <w:spacing w:line="400" w:lineRule="exact"/>
              <w:ind w:left="0" w:leftChars="0" w:firstLine="0" w:firstLineChars="0"/>
              <w:jc w:val="center"/>
              <w:rPr>
                <w:rFonts w:ascii="宋体" w:hAnsi="宋体" w:cs="宋体"/>
                <w:color w:val="auto"/>
                <w:szCs w:val="21"/>
                <w:highlight w:val="none"/>
              </w:rPr>
            </w:pPr>
            <w:r>
              <w:rPr>
                <w:rFonts w:hint="eastAsia" w:ascii="宋体" w:hAnsi="宋体" w:eastAsia="宋体" w:cs="宋体"/>
                <w:szCs w:val="21"/>
                <w:highlight w:val="none"/>
              </w:rPr>
              <w:t>重新招标的情形</w:t>
            </w:r>
          </w:p>
        </w:tc>
        <w:tc>
          <w:tcPr>
            <w:tcW w:w="7150" w:type="dxa"/>
            <w:vAlign w:val="center"/>
          </w:tcPr>
          <w:p w14:paraId="5CEFE53E">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有下列情形之一的，招标人将重新招标：</w:t>
            </w:r>
          </w:p>
          <w:p w14:paraId="0A1EBD64">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（1）投标截止时间止，投标人少于 </w:t>
            </w:r>
            <w:r>
              <w:rPr>
                <w:rFonts w:hint="eastAsia" w:ascii="宋体" w:hAnsi="宋体" w:cs="宋体"/>
                <w:szCs w:val="21"/>
                <w:highlight w:val="none"/>
                <w:lang w:val="en-US" w:eastAsia="zh-CN"/>
              </w:rPr>
              <w:t xml:space="preserve">4 </w:t>
            </w:r>
            <w:r>
              <w:rPr>
                <w:rFonts w:hint="eastAsia" w:ascii="宋体" w:hAnsi="宋体" w:eastAsia="宋体" w:cs="宋体"/>
                <w:szCs w:val="21"/>
                <w:highlight w:val="none"/>
              </w:rPr>
              <w:t>个的；</w:t>
            </w:r>
          </w:p>
          <w:p w14:paraId="72FD9BEC">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（2）经评标委员会评审后否决所有投标的；</w:t>
            </w:r>
          </w:p>
          <w:p w14:paraId="6F975E63">
            <w:pPr>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（3）经评标委员会评审后部分投标被否决，导致有效投标人不足</w:t>
            </w:r>
            <w:r>
              <w:rPr>
                <w:rFonts w:hint="eastAsia" w:ascii="宋体" w:hAnsi="宋体" w:cs="宋体"/>
                <w:szCs w:val="21"/>
                <w:highlight w:val="none"/>
                <w:lang w:val="en-US" w:eastAsia="zh-CN"/>
              </w:rPr>
              <w:t>四</w:t>
            </w:r>
            <w:r>
              <w:rPr>
                <w:rFonts w:hint="eastAsia" w:ascii="宋体" w:hAnsi="宋体" w:eastAsia="宋体" w:cs="宋体"/>
                <w:szCs w:val="21"/>
                <w:highlight w:val="none"/>
              </w:rPr>
              <w:t>个的</w:t>
            </w:r>
            <w:r>
              <w:rPr>
                <w:rFonts w:hint="eastAsia" w:ascii="宋体" w:hAnsi="宋体" w:cs="宋体"/>
                <w:b/>
                <w:bCs/>
                <w:szCs w:val="21"/>
                <w:highlight w:val="none"/>
                <w:lang w:eastAsia="zh-CN"/>
              </w:rPr>
              <w:t>（</w:t>
            </w:r>
            <w:r>
              <w:rPr>
                <w:rFonts w:hint="eastAsia" w:ascii="宋体" w:hAnsi="宋体" w:eastAsia="宋体" w:cs="宋体"/>
                <w:b/>
                <w:bCs/>
                <w:szCs w:val="21"/>
                <w:highlight w:val="none"/>
              </w:rPr>
              <w:t>有效投标人不足</w:t>
            </w:r>
            <w:r>
              <w:rPr>
                <w:rFonts w:hint="eastAsia" w:ascii="宋体" w:hAnsi="宋体" w:cs="宋体"/>
                <w:b/>
                <w:bCs/>
                <w:szCs w:val="21"/>
                <w:highlight w:val="none"/>
                <w:lang w:val="en-US" w:eastAsia="zh-CN"/>
              </w:rPr>
              <w:t>三</w:t>
            </w:r>
            <w:r>
              <w:rPr>
                <w:rFonts w:hint="eastAsia" w:ascii="宋体" w:hAnsi="宋体" w:eastAsia="宋体" w:cs="宋体"/>
                <w:b/>
                <w:bCs/>
                <w:szCs w:val="21"/>
                <w:highlight w:val="none"/>
              </w:rPr>
              <w:t>个的</w:t>
            </w:r>
            <w:r>
              <w:rPr>
                <w:rFonts w:hint="eastAsia" w:ascii="宋体" w:hAnsi="宋体" w:cs="宋体"/>
                <w:b/>
                <w:bCs/>
                <w:szCs w:val="21"/>
                <w:highlight w:val="none"/>
                <w:lang w:val="en-US" w:eastAsia="zh-CN"/>
              </w:rPr>
              <w:t>除外</w:t>
            </w:r>
            <w:r>
              <w:rPr>
                <w:rFonts w:hint="eastAsia" w:ascii="宋体" w:hAnsi="宋体" w:cs="宋体"/>
                <w:b/>
                <w:bCs/>
                <w:szCs w:val="21"/>
                <w:highlight w:val="none"/>
                <w:lang w:eastAsia="zh-CN"/>
              </w:rPr>
              <w:t>）</w:t>
            </w:r>
            <w:r>
              <w:rPr>
                <w:rFonts w:hint="eastAsia" w:ascii="宋体" w:hAnsi="宋体" w:eastAsia="宋体" w:cs="宋体"/>
                <w:szCs w:val="21"/>
                <w:highlight w:val="none"/>
              </w:rPr>
              <w:t>，评标委员会应当否决所有投标。但是有效投标人的经济、技术等指标仍然具有市场竞争力，能够满足招标文件要求的，评标委员会可以继续评标并确定中标候选人</w:t>
            </w:r>
            <w:r>
              <w:rPr>
                <w:rFonts w:hint="eastAsia" w:ascii="宋体" w:hAnsi="宋体" w:cs="宋体"/>
                <w:szCs w:val="21"/>
                <w:highlight w:val="none"/>
                <w:lang w:val="en-US" w:eastAsia="zh-CN"/>
              </w:rPr>
              <w:t>；</w:t>
            </w:r>
          </w:p>
          <w:p w14:paraId="22A9C052">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（4）法律法规规定的其他情形。</w:t>
            </w:r>
          </w:p>
          <w:p w14:paraId="1F449BD3">
            <w:pPr>
              <w:spacing w:line="400" w:lineRule="exact"/>
              <w:ind w:firstLine="420" w:firstLineChars="200"/>
              <w:rPr>
                <w:rFonts w:ascii="宋体" w:hAnsi="宋体" w:cs="宋体"/>
                <w:color w:val="auto"/>
                <w:szCs w:val="21"/>
                <w:highlight w:val="none"/>
              </w:rPr>
            </w:pPr>
            <w:r>
              <w:rPr>
                <w:rFonts w:hint="eastAsia" w:ascii="宋体" w:hAnsi="宋体" w:eastAsia="宋体" w:cs="宋体"/>
                <w:kern w:val="0"/>
                <w:szCs w:val="21"/>
                <w:highlight w:val="none"/>
              </w:rPr>
              <w:t>注：本款只适用于首次招标。</w:t>
            </w:r>
          </w:p>
        </w:tc>
      </w:tr>
      <w:tr w14:paraId="5F4D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30" w:type="dxa"/>
            <w:vAlign w:val="center"/>
          </w:tcPr>
          <w:p w14:paraId="5D2E5593">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8.2</w:t>
            </w:r>
          </w:p>
        </w:tc>
        <w:tc>
          <w:tcPr>
            <w:tcW w:w="1567" w:type="dxa"/>
            <w:vAlign w:val="center"/>
          </w:tcPr>
          <w:p w14:paraId="403AEC27">
            <w:pPr>
              <w:spacing w:line="400" w:lineRule="exact"/>
              <w:ind w:left="0" w:leftChars="0" w:firstLine="0" w:firstLineChars="0"/>
              <w:jc w:val="center"/>
              <w:rPr>
                <w:rFonts w:ascii="宋体" w:hAnsi="宋体" w:cs="宋体"/>
                <w:color w:val="auto"/>
                <w:szCs w:val="21"/>
                <w:highlight w:val="none"/>
              </w:rPr>
            </w:pPr>
            <w:r>
              <w:rPr>
                <w:rFonts w:hint="eastAsia" w:ascii="宋体" w:hAnsi="宋体" w:eastAsia="宋体" w:cs="宋体"/>
                <w:szCs w:val="21"/>
                <w:highlight w:val="none"/>
              </w:rPr>
              <w:t>重新招标和不再招标</w:t>
            </w:r>
          </w:p>
        </w:tc>
        <w:tc>
          <w:tcPr>
            <w:tcW w:w="7150" w:type="dxa"/>
            <w:vAlign w:val="center"/>
          </w:tcPr>
          <w:p w14:paraId="42AC1C82">
            <w:pPr>
              <w:spacing w:line="400" w:lineRule="exact"/>
              <w:ind w:firstLine="420" w:firstLineChars="200"/>
              <w:rPr>
                <w:rFonts w:ascii="宋体" w:hAnsi="宋体" w:cs="宋体"/>
                <w:color w:val="auto"/>
                <w:szCs w:val="21"/>
                <w:highlight w:val="none"/>
              </w:rPr>
            </w:pPr>
            <w:r>
              <w:rPr>
                <w:rFonts w:hint="eastAsia" w:ascii="宋体" w:hAnsi="宋体" w:eastAsia="宋体" w:cs="宋体"/>
                <w:szCs w:val="21"/>
                <w:highlight w:val="none"/>
              </w:rPr>
              <w:t>重新招标的投标人仍然少于</w:t>
            </w:r>
            <w:r>
              <w:rPr>
                <w:rFonts w:hint="eastAsia" w:ascii="宋体" w:hAnsi="宋体" w:cs="宋体"/>
                <w:szCs w:val="21"/>
                <w:highlight w:val="none"/>
                <w:lang w:val="en-US" w:eastAsia="zh-CN"/>
              </w:rPr>
              <w:t>四</w:t>
            </w:r>
            <w:r>
              <w:rPr>
                <w:rFonts w:hint="eastAsia" w:ascii="宋体" w:hAnsi="宋体" w:eastAsia="宋体" w:cs="宋体"/>
                <w:szCs w:val="21"/>
                <w:highlight w:val="none"/>
              </w:rPr>
              <w:t>个的，按照招标投标法律法规规定的程序开标和评标。重新招标经评审有有效投标人的，应当依法确定中标候选人；无有效投标人的，可以不再进行招标。</w:t>
            </w:r>
          </w:p>
        </w:tc>
      </w:tr>
      <w:tr w14:paraId="6974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0" w:type="dxa"/>
            <w:vAlign w:val="center"/>
          </w:tcPr>
          <w:p w14:paraId="301AC93D">
            <w:pPr>
              <w:adjustRightInd w:val="0"/>
              <w:snapToGrid w:val="0"/>
              <w:spacing w:line="400" w:lineRule="exact"/>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8717" w:type="dxa"/>
            <w:gridSpan w:val="2"/>
            <w:vAlign w:val="center"/>
          </w:tcPr>
          <w:p w14:paraId="41243ED9">
            <w:pPr>
              <w:adjustRightInd w:val="0"/>
              <w:snapToGrid w:val="0"/>
              <w:spacing w:line="400" w:lineRule="exact"/>
              <w:ind w:firstLine="422"/>
              <w:jc w:val="center"/>
              <w:rPr>
                <w:rFonts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7A2E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30" w:type="dxa"/>
            <w:vAlign w:val="center"/>
          </w:tcPr>
          <w:p w14:paraId="1CC9444F">
            <w:pPr>
              <w:snapToGrid w:val="0"/>
              <w:spacing w:line="400" w:lineRule="exact"/>
              <w:ind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10.1</w:t>
            </w:r>
          </w:p>
        </w:tc>
        <w:tc>
          <w:tcPr>
            <w:tcW w:w="1567" w:type="dxa"/>
            <w:vAlign w:val="center"/>
          </w:tcPr>
          <w:p w14:paraId="2018E662">
            <w:pPr>
              <w:snapToGrid w:val="0"/>
              <w:spacing w:line="400" w:lineRule="exact"/>
              <w:ind w:firstLine="0" w:firstLineChars="0"/>
              <w:jc w:val="center"/>
              <w:rPr>
                <w:rFonts w:hint="eastAsia" w:ascii="宋体" w:hAnsi="宋体" w:cs="宋体"/>
                <w:b/>
                <w:bCs/>
                <w:color w:val="auto"/>
                <w:szCs w:val="21"/>
                <w:highlight w:val="none"/>
              </w:rPr>
            </w:pPr>
            <w:r>
              <w:rPr>
                <w:rFonts w:hint="eastAsia" w:ascii="宋体" w:hAnsi="宋体" w:cs="宋体"/>
                <w:b/>
                <w:bCs/>
                <w:color w:val="auto"/>
                <w:szCs w:val="21"/>
                <w:highlight w:val="none"/>
              </w:rPr>
              <w:t>不正当竞争预</w:t>
            </w:r>
          </w:p>
          <w:p w14:paraId="3E5AFE98">
            <w:pPr>
              <w:snapToGrid w:val="0"/>
              <w:spacing w:line="400" w:lineRule="exact"/>
              <w:ind w:firstLine="0" w:firstLineChars="0"/>
              <w:jc w:val="center"/>
              <w:rPr>
                <w:rFonts w:hint="eastAsia" w:ascii="宋体" w:hAnsi="宋体" w:cs="宋体"/>
                <w:b/>
                <w:bCs/>
                <w:color w:val="auto"/>
                <w:szCs w:val="21"/>
                <w:highlight w:val="none"/>
              </w:rPr>
            </w:pPr>
            <w:r>
              <w:rPr>
                <w:rFonts w:hint="eastAsia" w:ascii="宋体" w:hAnsi="宋体" w:cs="宋体"/>
                <w:b/>
                <w:bCs/>
                <w:color w:val="auto"/>
                <w:szCs w:val="21"/>
                <w:highlight w:val="none"/>
              </w:rPr>
              <w:t>防措施</w:t>
            </w:r>
            <w:r>
              <w:rPr>
                <w:rFonts w:hint="eastAsia" w:ascii="宋体" w:hAnsi="宋体" w:cs="宋体"/>
                <w:b/>
                <w:bCs/>
                <w:color w:val="auto"/>
                <w:highlight w:val="none"/>
              </w:rPr>
              <w:t>（</w:t>
            </w:r>
            <w:r>
              <w:rPr>
                <w:rFonts w:hint="eastAsia" w:ascii="宋体" w:hAnsi="宋体" w:cs="宋体"/>
                <w:b/>
                <w:bCs/>
                <w:color w:val="auto"/>
                <w:szCs w:val="21"/>
                <w:highlight w:val="none"/>
              </w:rPr>
              <w:t>实质</w:t>
            </w:r>
          </w:p>
          <w:p w14:paraId="5C4D8D90">
            <w:pPr>
              <w:snapToGrid w:val="0"/>
              <w:spacing w:line="400" w:lineRule="exact"/>
              <w:ind w:firstLine="0" w:firstLineChars="0"/>
              <w:jc w:val="center"/>
              <w:rPr>
                <w:rFonts w:hint="eastAsia" w:ascii="宋体" w:hAnsi="宋体" w:cs="宋体"/>
                <w:b/>
                <w:bCs/>
                <w:color w:val="auto"/>
                <w:szCs w:val="21"/>
                <w:highlight w:val="none"/>
              </w:rPr>
            </w:pPr>
            <w:r>
              <w:rPr>
                <w:rFonts w:hint="eastAsia" w:ascii="宋体" w:hAnsi="宋体" w:cs="宋体"/>
                <w:b/>
                <w:bCs/>
                <w:color w:val="auto"/>
                <w:szCs w:val="21"/>
                <w:highlight w:val="none"/>
              </w:rPr>
              <w:t>性要求</w:t>
            </w:r>
            <w:r>
              <w:rPr>
                <w:rFonts w:hint="eastAsia" w:ascii="宋体" w:hAnsi="宋体" w:cs="宋体"/>
                <w:b/>
                <w:bCs/>
                <w:color w:val="auto"/>
                <w:highlight w:val="none"/>
              </w:rPr>
              <w:t>）</w:t>
            </w:r>
          </w:p>
        </w:tc>
        <w:tc>
          <w:tcPr>
            <w:tcW w:w="7150" w:type="dxa"/>
            <w:vAlign w:val="center"/>
          </w:tcPr>
          <w:p w14:paraId="50E189F4">
            <w:pPr>
              <w:keepNext w:val="0"/>
              <w:keepLines w:val="0"/>
              <w:pageBreakBefore w:val="0"/>
              <w:widowControl/>
              <w:kinsoku/>
              <w:wordWrap/>
              <w:overflowPunct/>
              <w:topLinePunct w:val="0"/>
              <w:autoSpaceDE/>
              <w:autoSpaceDN/>
              <w:bidi w:val="0"/>
              <w:adjustRightInd/>
              <w:snapToGrid/>
              <w:spacing w:line="400" w:lineRule="exact"/>
              <w:ind w:left="0" w:leftChars="0" w:firstLine="422" w:firstLineChars="200"/>
              <w:jc w:val="both"/>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在评审过程中</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投标人报价有可能影响产品质量或者不能诚信履约的</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评标委员会应当要求其在评审现场合理的时间内提供成本构成书面说明</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并提交相关证明材料</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投标人书面说明应当按照国家财务会计制度的规定要求</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逐项就投标人提供的货物</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工程和服务的主营业务成本（应根据投标人企业类型予以区别</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税金及附加</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销售费用</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管理费用</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财务费用等成本构成事项详细陈述</w:t>
            </w:r>
            <w:r>
              <w:rPr>
                <w:rFonts w:hint="eastAsia" w:ascii="宋体" w:hAnsi="宋体" w:cs="宋体"/>
                <w:b/>
                <w:bCs/>
                <w:color w:val="auto"/>
                <w:kern w:val="0"/>
                <w:szCs w:val="21"/>
                <w:highlight w:val="none"/>
                <w:lang w:eastAsia="zh-CN"/>
              </w:rPr>
              <w:t>。</w:t>
            </w:r>
          </w:p>
          <w:p w14:paraId="335B2463">
            <w:pPr>
              <w:keepNext w:val="0"/>
              <w:keepLines w:val="0"/>
              <w:pageBreakBefore w:val="0"/>
              <w:widowControl/>
              <w:kinsoku/>
              <w:wordWrap/>
              <w:overflowPunct/>
              <w:topLinePunct w:val="0"/>
              <w:autoSpaceDE/>
              <w:autoSpaceDN/>
              <w:bidi w:val="0"/>
              <w:adjustRightInd/>
              <w:snapToGrid/>
              <w:spacing w:line="400" w:lineRule="exact"/>
              <w:ind w:left="0" w:leftChars="0" w:firstLine="422" w:firstLineChars="200"/>
              <w:jc w:val="both"/>
              <w:textAlignment w:val="auto"/>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投标人书面说明应当签名确认或者加盖公章</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否则无效</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书面说明的签名确认</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若投标人为法人的</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由其法定代表人或者代理人签名确认</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若投标人为其他组织的</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由其主要负责人或者代理人签名确认</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若投标人为自然人的</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由其本人或者代理人签名</w:t>
            </w:r>
            <w:r>
              <w:rPr>
                <w:rFonts w:hint="eastAsia" w:ascii="宋体" w:hAnsi="宋体" w:cs="宋体"/>
                <w:b/>
                <w:bCs/>
                <w:color w:val="auto"/>
                <w:kern w:val="0"/>
                <w:szCs w:val="21"/>
                <w:highlight w:val="none"/>
                <w:lang w:val="en-US" w:eastAsia="zh-CN"/>
              </w:rPr>
              <w:t>确认。</w:t>
            </w:r>
          </w:p>
        </w:tc>
      </w:tr>
      <w:tr w14:paraId="2FB0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30" w:type="dxa"/>
            <w:vAlign w:val="center"/>
          </w:tcPr>
          <w:p w14:paraId="02651CFC">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10.2</w:t>
            </w:r>
          </w:p>
        </w:tc>
        <w:tc>
          <w:tcPr>
            <w:tcW w:w="1567" w:type="dxa"/>
            <w:vAlign w:val="center"/>
          </w:tcPr>
          <w:p w14:paraId="79053F97">
            <w:pPr>
              <w:snapToGrid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交易服务费</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招标代理服务费</w:t>
            </w:r>
          </w:p>
        </w:tc>
        <w:tc>
          <w:tcPr>
            <w:tcW w:w="7150" w:type="dxa"/>
            <w:vAlign w:val="center"/>
          </w:tcPr>
          <w:p w14:paraId="208840BC">
            <w:pPr>
              <w:numPr>
                <w:ilvl w:val="0"/>
                <w:numId w:val="0"/>
              </w:num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交易服务费：</w:t>
            </w:r>
            <w:r>
              <w:rPr>
                <w:rFonts w:hint="eastAsia" w:ascii="宋体" w:hAnsi="宋体" w:cs="宋体"/>
                <w:color w:val="auto"/>
                <w:highlight w:val="none"/>
              </w:rPr>
              <w:t>按重庆市发展和改革委员会关于重庆联合产权交易所集团股份有限公司（重庆市公共资源交易中心）交易服务收费有关事项的通知（渝发改收费[2023]115号）规定执行，由</w:t>
            </w:r>
            <w:r>
              <w:rPr>
                <w:rFonts w:hint="eastAsia" w:ascii="宋体" w:hAnsi="宋体" w:cs="宋体"/>
                <w:color w:val="auto"/>
                <w:highlight w:val="none"/>
                <w:lang w:val="en-US" w:eastAsia="zh-CN"/>
              </w:rPr>
              <w:t>前4名入围供应商</w:t>
            </w:r>
            <w:r>
              <w:rPr>
                <w:rFonts w:hint="eastAsia" w:ascii="宋体" w:hAnsi="宋体" w:cs="宋体"/>
                <w:color w:val="auto"/>
                <w:highlight w:val="none"/>
              </w:rPr>
              <w:t>全额（包括招标人部分）缴纳交易服务费</w:t>
            </w:r>
            <w:r>
              <w:rPr>
                <w:rFonts w:hint="eastAsia" w:ascii="宋体" w:hAnsi="宋体" w:cs="宋体"/>
                <w:color w:val="auto"/>
                <w:highlight w:val="none"/>
                <w:lang w:eastAsia="zh-CN"/>
              </w:rPr>
              <w:t>，</w:t>
            </w:r>
            <w:r>
              <w:rPr>
                <w:rFonts w:hint="eastAsia" w:ascii="宋体" w:hAnsi="宋体" w:cs="宋体"/>
                <w:color w:val="auto"/>
                <w:highlight w:val="none"/>
              </w:rPr>
              <w:t>交易服务费由</w:t>
            </w:r>
            <w:r>
              <w:rPr>
                <w:rFonts w:hint="eastAsia" w:ascii="宋体" w:hAnsi="宋体" w:cs="宋体"/>
                <w:color w:val="auto"/>
                <w:highlight w:val="none"/>
                <w:lang w:val="en-US" w:eastAsia="zh-CN"/>
              </w:rPr>
              <w:t>前4名入围供应商均分</w:t>
            </w:r>
            <w:r>
              <w:rPr>
                <w:rFonts w:hint="eastAsia" w:ascii="宋体" w:hAnsi="宋体" w:cs="宋体"/>
                <w:color w:val="auto"/>
                <w:highlight w:val="none"/>
              </w:rPr>
              <w:t>。</w:t>
            </w:r>
          </w:p>
          <w:p w14:paraId="2B59CC37">
            <w:pPr>
              <w:numPr>
                <w:ilvl w:val="0"/>
                <w:numId w:val="0"/>
              </w:num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招标代理服务费：本项目招标代理服务费为</w:t>
            </w:r>
            <w:r>
              <w:rPr>
                <w:rFonts w:hint="eastAsia" w:ascii="宋体" w:hAnsi="宋体" w:cs="宋体"/>
                <w:color w:val="auto"/>
                <w:highlight w:val="none"/>
                <w:lang w:val="en-US" w:eastAsia="zh-CN"/>
              </w:rPr>
              <w:t>前4名入围供应商</w:t>
            </w:r>
            <w:r>
              <w:rPr>
                <w:rFonts w:hint="eastAsia" w:ascii="宋体" w:hAnsi="宋体" w:cs="宋体"/>
                <w:color w:val="auto"/>
                <w:szCs w:val="21"/>
                <w:highlight w:val="none"/>
                <w:lang w:val="en-US" w:eastAsia="zh-CN"/>
              </w:rPr>
              <w:t>分别缴纳，1家单位1万元</w:t>
            </w:r>
            <w:r>
              <w:rPr>
                <w:rFonts w:hint="eastAsia" w:ascii="宋体" w:hAnsi="宋体" w:cs="宋体"/>
                <w:color w:val="auto"/>
                <w:szCs w:val="21"/>
                <w:highlight w:val="none"/>
              </w:rPr>
              <w:t>。</w:t>
            </w:r>
            <w:r>
              <w:rPr>
                <w:rFonts w:hint="eastAsia" w:ascii="宋体" w:hAnsi="宋体" w:cs="宋体"/>
                <w:color w:val="auto"/>
                <w:highlight w:val="none"/>
                <w:lang w:val="en-US" w:eastAsia="zh-CN"/>
              </w:rPr>
              <w:t>前4名</w:t>
            </w:r>
            <w:r>
              <w:rPr>
                <w:rFonts w:hint="eastAsia" w:ascii="宋体" w:hAnsi="宋体" w:cs="宋体"/>
                <w:color w:val="auto"/>
                <w:spacing w:val="1"/>
                <w:szCs w:val="21"/>
                <w:highlight w:val="none"/>
              </w:rPr>
              <w:t>入围</w:t>
            </w:r>
            <w:r>
              <w:rPr>
                <w:rFonts w:ascii="宋体" w:hAnsi="宋体" w:cs="宋体"/>
                <w:color w:val="auto"/>
                <w:spacing w:val="1"/>
                <w:szCs w:val="21"/>
                <w:highlight w:val="none"/>
              </w:rPr>
              <w:t>供应商在领取</w:t>
            </w:r>
            <w:r>
              <w:rPr>
                <w:rFonts w:hint="eastAsia" w:ascii="宋体" w:hAnsi="宋体" w:cs="宋体"/>
                <w:color w:val="auto"/>
                <w:spacing w:val="1"/>
                <w:szCs w:val="21"/>
                <w:highlight w:val="none"/>
              </w:rPr>
              <w:t>入围</w:t>
            </w:r>
            <w:r>
              <w:rPr>
                <w:rFonts w:ascii="宋体" w:hAnsi="宋体" w:cs="宋体"/>
                <w:color w:val="auto"/>
                <w:spacing w:val="1"/>
                <w:szCs w:val="21"/>
                <w:highlight w:val="none"/>
              </w:rPr>
              <w:t>通知书时，</w:t>
            </w:r>
            <w:r>
              <w:rPr>
                <w:rFonts w:hint="eastAsia" w:ascii="宋体" w:hAnsi="宋体" w:cs="宋体"/>
                <w:color w:val="auto"/>
                <w:spacing w:val="1"/>
                <w:szCs w:val="21"/>
                <w:highlight w:val="none"/>
                <w:lang w:val="en-US" w:eastAsia="zh-CN"/>
              </w:rPr>
              <w:t>分别</w:t>
            </w:r>
            <w:r>
              <w:rPr>
                <w:rFonts w:ascii="宋体" w:hAnsi="宋体" w:cs="宋体"/>
                <w:color w:val="auto"/>
                <w:spacing w:val="1"/>
                <w:szCs w:val="21"/>
                <w:highlight w:val="none"/>
              </w:rPr>
              <w:t>向招标</w:t>
            </w:r>
            <w:r>
              <w:rPr>
                <w:rFonts w:hint="eastAsia" w:ascii="宋体" w:hAnsi="宋体" w:cs="宋体"/>
                <w:spacing w:val="1"/>
                <w:szCs w:val="21"/>
                <w:lang w:val="en-US" w:eastAsia="zh-CN"/>
              </w:rPr>
              <w:t>代理机</w:t>
            </w:r>
            <w:r>
              <w:rPr>
                <w:rFonts w:ascii="宋体" w:hAnsi="宋体" w:cs="宋体"/>
                <w:color w:val="auto"/>
                <w:spacing w:val="1"/>
                <w:szCs w:val="21"/>
                <w:highlight w:val="none"/>
              </w:rPr>
              <w:t>构一</w:t>
            </w:r>
            <w:r>
              <w:rPr>
                <w:rFonts w:ascii="宋体" w:hAnsi="宋体" w:cs="宋体"/>
                <w:color w:val="auto"/>
                <w:spacing w:val="-3"/>
                <w:szCs w:val="21"/>
                <w:highlight w:val="none"/>
              </w:rPr>
              <w:t>次性支付招标代理服务费。</w:t>
            </w:r>
          </w:p>
          <w:p w14:paraId="1DC1A304">
            <w:pPr>
              <w:spacing w:line="400" w:lineRule="exact"/>
              <w:ind w:firstLine="428"/>
              <w:rPr>
                <w:rFonts w:ascii="宋体" w:hAnsi="宋体" w:cs="宋体"/>
                <w:color w:val="auto"/>
                <w:spacing w:val="2"/>
                <w:szCs w:val="21"/>
                <w:highlight w:val="none"/>
              </w:rPr>
            </w:pPr>
            <w:r>
              <w:rPr>
                <w:rFonts w:hint="eastAsia" w:ascii="宋体" w:hAnsi="宋体" w:cs="宋体"/>
                <w:color w:val="auto"/>
                <w:kern w:val="0"/>
                <w:szCs w:val="21"/>
                <w:highlight w:val="none"/>
              </w:rPr>
              <w:t>注：</w:t>
            </w:r>
            <w:r>
              <w:rPr>
                <w:rFonts w:hint="eastAsia" w:ascii="宋体" w:hAnsi="宋体" w:cs="宋体"/>
                <w:color w:val="auto"/>
                <w:highlight w:val="none"/>
              </w:rPr>
              <w:t>投标人应将上述费用考虑在投标报价中，不单列</w:t>
            </w:r>
            <w:r>
              <w:rPr>
                <w:rFonts w:hint="eastAsia" w:ascii="宋体" w:hAnsi="宋体"/>
                <w:iCs/>
                <w:color w:val="auto"/>
                <w:kern w:val="0"/>
                <w:szCs w:val="21"/>
                <w:highlight w:val="none"/>
              </w:rPr>
              <w:t>。</w:t>
            </w:r>
          </w:p>
        </w:tc>
      </w:tr>
    </w:tbl>
    <w:p w14:paraId="36CC431B">
      <w:pPr>
        <w:tabs>
          <w:tab w:val="left" w:pos="454"/>
        </w:tabs>
        <w:spacing w:line="400" w:lineRule="exact"/>
        <w:ind w:left="0" w:leftChars="0" w:firstLine="0" w:firstLineChars="0"/>
        <w:jc w:val="center"/>
        <w:rPr>
          <w:rFonts w:ascii="宋体" w:hAnsi="宋体" w:cs="宋体"/>
          <w:b/>
          <w:bCs/>
          <w:color w:val="auto"/>
          <w:sz w:val="32"/>
          <w:szCs w:val="32"/>
          <w:highlight w:val="none"/>
        </w:rPr>
      </w:pPr>
      <w:r>
        <w:rPr>
          <w:rFonts w:ascii="宋体" w:hAnsi="宋体"/>
          <w:color w:val="auto"/>
          <w:sz w:val="28"/>
          <w:szCs w:val="28"/>
          <w:highlight w:val="none"/>
        </w:rPr>
        <w:br w:type="page"/>
      </w:r>
      <w:bookmarkEnd w:id="40"/>
      <w:r>
        <w:rPr>
          <w:rFonts w:hint="eastAsia" w:ascii="宋体" w:hAnsi="宋体" w:cs="宋体"/>
          <w:b/>
          <w:bCs/>
          <w:color w:val="auto"/>
          <w:sz w:val="32"/>
          <w:szCs w:val="32"/>
          <w:highlight w:val="none"/>
        </w:rPr>
        <w:t>投标人须知</w:t>
      </w:r>
    </w:p>
    <w:p w14:paraId="6C7F10EB">
      <w:pPr>
        <w:pStyle w:val="4"/>
        <w:spacing w:before="0" w:after="0"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bookmarkStart w:id="41" w:name="_Toc23471"/>
      <w:bookmarkStart w:id="42" w:name="_Toc19283"/>
      <w:bookmarkStart w:id="43" w:name="_Toc103338767"/>
      <w:bookmarkStart w:id="44" w:name="_Toc102837520"/>
      <w:bookmarkStart w:id="45" w:name="_Toc509218710"/>
      <w:bookmarkStart w:id="46" w:name="_Toc101714051"/>
      <w:bookmarkStart w:id="47" w:name="_Toc28311"/>
      <w:r>
        <w:rPr>
          <w:rFonts w:hint="eastAsia" w:ascii="宋体" w:hAnsi="宋体" w:eastAsia="宋体" w:cs="宋体"/>
          <w:color w:val="auto"/>
          <w:sz w:val="21"/>
          <w:szCs w:val="21"/>
          <w:highlight w:val="none"/>
        </w:rPr>
        <w:t>总则</w:t>
      </w:r>
      <w:bookmarkEnd w:id="41"/>
      <w:bookmarkEnd w:id="42"/>
      <w:bookmarkEnd w:id="43"/>
      <w:bookmarkEnd w:id="44"/>
      <w:bookmarkEnd w:id="45"/>
      <w:bookmarkEnd w:id="46"/>
      <w:bookmarkEnd w:id="47"/>
    </w:p>
    <w:p w14:paraId="3665A869">
      <w:pPr>
        <w:autoSpaceDE w:val="0"/>
        <w:autoSpaceDN w:val="0"/>
        <w:snapToGrid w:val="0"/>
        <w:ind w:firstLine="422"/>
        <w:rPr>
          <w:rFonts w:ascii="宋体" w:hAnsi="宋体" w:cs="宋体"/>
          <w:b/>
          <w:color w:val="auto"/>
          <w:szCs w:val="21"/>
          <w:highlight w:val="none"/>
        </w:rPr>
      </w:pPr>
      <w:bookmarkStart w:id="48" w:name="_Toc277082553"/>
      <w:bookmarkStart w:id="49" w:name="_Toc200513127"/>
      <w:bookmarkStart w:id="50" w:name="_Toc287620686"/>
      <w:bookmarkStart w:id="51" w:name="_Toc287607747"/>
      <w:bookmarkStart w:id="52" w:name="_Toc430530436"/>
      <w:bookmarkStart w:id="53" w:name="_Toc60981053"/>
      <w:bookmarkStart w:id="54" w:name="_Toc509218711"/>
      <w:bookmarkStart w:id="55" w:name="_Toc224103318"/>
      <w:r>
        <w:rPr>
          <w:rFonts w:hint="eastAsia" w:ascii="宋体" w:hAnsi="宋体" w:cs="宋体"/>
          <w:b/>
          <w:color w:val="auto"/>
          <w:szCs w:val="21"/>
          <w:highlight w:val="none"/>
        </w:rPr>
        <w:t>1.1  项目概况</w:t>
      </w:r>
      <w:bookmarkEnd w:id="48"/>
      <w:bookmarkEnd w:id="49"/>
      <w:bookmarkEnd w:id="50"/>
      <w:bookmarkEnd w:id="51"/>
      <w:bookmarkEnd w:id="52"/>
      <w:bookmarkEnd w:id="53"/>
      <w:bookmarkEnd w:id="54"/>
      <w:bookmarkEnd w:id="55"/>
    </w:p>
    <w:p w14:paraId="6BD29E53">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1.1.1  根据《中华人民共和国招标投标法》等有关法律、法规和规章的规定，本招标项目已具备招标条件，现对本标段进行招标。</w:t>
      </w:r>
    </w:p>
    <w:p w14:paraId="443AF58C">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0E3BB431">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1.1.3  本标段招标代理机构：见投标人须知前附表。</w:t>
      </w:r>
    </w:p>
    <w:p w14:paraId="4EEE08E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1AE1B00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1.1.5  本标段</w:t>
      </w:r>
      <w:r>
        <w:rPr>
          <w:rFonts w:hint="eastAsia" w:ascii="宋体" w:hAnsi="宋体" w:cs="宋体"/>
          <w:color w:val="auto"/>
          <w:spacing w:val="-2"/>
          <w:szCs w:val="21"/>
          <w:highlight w:val="none"/>
          <w:lang w:val="en-US" w:eastAsia="zh-CN"/>
        </w:rPr>
        <w:t>服务</w:t>
      </w:r>
      <w:r>
        <w:rPr>
          <w:rFonts w:hint="eastAsia" w:ascii="宋体" w:hAnsi="宋体" w:cs="宋体"/>
          <w:color w:val="auto"/>
          <w:spacing w:val="-2"/>
          <w:szCs w:val="21"/>
          <w:highlight w:val="none"/>
        </w:rPr>
        <w:t>地点</w:t>
      </w:r>
      <w:r>
        <w:rPr>
          <w:rFonts w:hint="eastAsia" w:ascii="宋体" w:hAnsi="宋体" w:cs="宋体"/>
          <w:color w:val="auto"/>
          <w:szCs w:val="21"/>
          <w:highlight w:val="none"/>
        </w:rPr>
        <w:t>：见投标人须知前附表。</w:t>
      </w:r>
    </w:p>
    <w:p w14:paraId="1146DFED">
      <w:pPr>
        <w:autoSpaceDE w:val="0"/>
        <w:autoSpaceDN w:val="0"/>
        <w:snapToGrid w:val="0"/>
        <w:ind w:firstLine="422"/>
        <w:rPr>
          <w:rFonts w:ascii="宋体" w:hAnsi="宋体" w:cs="宋体"/>
          <w:b/>
          <w:color w:val="auto"/>
          <w:szCs w:val="21"/>
          <w:highlight w:val="none"/>
        </w:rPr>
      </w:pPr>
      <w:bookmarkStart w:id="56" w:name="_Toc509218712"/>
      <w:bookmarkStart w:id="57" w:name="_Toc430530437"/>
      <w:bookmarkStart w:id="58" w:name="_Toc287620687"/>
      <w:bookmarkStart w:id="59" w:name="_Toc277082554"/>
      <w:bookmarkStart w:id="60" w:name="_Toc287607748"/>
      <w:bookmarkStart w:id="61" w:name="_Toc224103319"/>
      <w:bookmarkStart w:id="62" w:name="_Toc200513128"/>
      <w:bookmarkStart w:id="63" w:name="_Toc60981054"/>
      <w:r>
        <w:rPr>
          <w:rFonts w:hint="eastAsia" w:ascii="宋体" w:hAnsi="宋体" w:cs="宋体"/>
          <w:b/>
          <w:color w:val="auto"/>
          <w:szCs w:val="21"/>
          <w:highlight w:val="none"/>
        </w:rPr>
        <w:t>1.2  资金来源和落实情况</w:t>
      </w:r>
      <w:bookmarkEnd w:id="56"/>
      <w:bookmarkEnd w:id="57"/>
      <w:bookmarkEnd w:id="58"/>
      <w:bookmarkEnd w:id="59"/>
      <w:bookmarkEnd w:id="60"/>
      <w:bookmarkEnd w:id="61"/>
      <w:bookmarkEnd w:id="62"/>
      <w:bookmarkEnd w:id="63"/>
    </w:p>
    <w:p w14:paraId="218443C5">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1.2.1  本招标项目的资金来源：见投标人须知前附表。</w:t>
      </w:r>
    </w:p>
    <w:p w14:paraId="55D4F566">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1.2.2  本招标项目的出资比例：见投标人须知前附表。</w:t>
      </w:r>
    </w:p>
    <w:p w14:paraId="213D34AB">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1.2.3  本招标项目的资金落实情况：见投标人须知前附表。</w:t>
      </w:r>
    </w:p>
    <w:p w14:paraId="0131060C">
      <w:pPr>
        <w:autoSpaceDE w:val="0"/>
        <w:autoSpaceDN w:val="0"/>
        <w:snapToGrid w:val="0"/>
        <w:ind w:firstLine="422"/>
        <w:rPr>
          <w:rFonts w:ascii="宋体" w:hAnsi="宋体" w:cs="宋体"/>
          <w:b/>
          <w:color w:val="auto"/>
          <w:szCs w:val="21"/>
          <w:highlight w:val="none"/>
        </w:rPr>
      </w:pPr>
      <w:bookmarkStart w:id="64" w:name="_Toc200513129"/>
      <w:bookmarkStart w:id="65" w:name="_Toc277082555"/>
      <w:bookmarkStart w:id="66" w:name="_Toc509218713"/>
      <w:bookmarkStart w:id="67" w:name="_Toc224103320"/>
      <w:bookmarkStart w:id="68" w:name="_Toc430530438"/>
      <w:bookmarkStart w:id="69" w:name="_Toc60981055"/>
      <w:bookmarkStart w:id="70" w:name="_Toc287607749"/>
      <w:bookmarkStart w:id="71" w:name="_Toc287620688"/>
      <w:r>
        <w:rPr>
          <w:rFonts w:hint="eastAsia" w:ascii="宋体" w:hAnsi="宋体" w:cs="宋体"/>
          <w:b/>
          <w:color w:val="auto"/>
          <w:szCs w:val="21"/>
          <w:highlight w:val="none"/>
        </w:rPr>
        <w:t>1.3  招标范围</w:t>
      </w:r>
      <w:r>
        <w:rPr>
          <w:rFonts w:hint="eastAsia" w:ascii="宋体" w:hAnsi="宋体" w:cs="宋体"/>
          <w:b/>
          <w:color w:val="auto"/>
          <w:szCs w:val="21"/>
          <w:highlight w:val="none"/>
          <w:lang w:val="en-US" w:eastAsia="zh-CN"/>
        </w:rPr>
        <w:t>和</w:t>
      </w:r>
      <w:r>
        <w:rPr>
          <w:rFonts w:hint="eastAsia" w:ascii="宋体" w:hAnsi="宋体" w:cs="宋体"/>
          <w:b/>
          <w:color w:val="auto"/>
          <w:szCs w:val="21"/>
          <w:highlight w:val="none"/>
        </w:rPr>
        <w:t>服务期</w:t>
      </w:r>
      <w:bookmarkEnd w:id="64"/>
      <w:bookmarkEnd w:id="65"/>
      <w:bookmarkEnd w:id="66"/>
      <w:bookmarkEnd w:id="67"/>
      <w:bookmarkEnd w:id="68"/>
      <w:bookmarkEnd w:id="69"/>
      <w:bookmarkEnd w:id="70"/>
      <w:bookmarkEnd w:id="71"/>
    </w:p>
    <w:p w14:paraId="3269B643">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87A4D7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1.3.2  本标段的</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41FB79F9">
      <w:pPr>
        <w:autoSpaceDE w:val="0"/>
        <w:autoSpaceDN w:val="0"/>
        <w:snapToGrid w:val="0"/>
        <w:ind w:firstLine="422"/>
        <w:rPr>
          <w:rFonts w:ascii="宋体" w:hAnsi="宋体" w:cs="宋体"/>
          <w:b/>
          <w:color w:val="auto"/>
          <w:szCs w:val="21"/>
          <w:highlight w:val="none"/>
        </w:rPr>
      </w:pPr>
      <w:bookmarkStart w:id="72" w:name="_Toc430530440"/>
      <w:bookmarkStart w:id="73" w:name="_Toc60981056"/>
      <w:bookmarkStart w:id="74" w:name="_Toc277082557"/>
      <w:bookmarkStart w:id="75" w:name="_Toc200513131"/>
      <w:bookmarkStart w:id="76" w:name="_Toc287607751"/>
      <w:bookmarkStart w:id="77" w:name="_Toc224103322"/>
      <w:bookmarkStart w:id="78" w:name="_Toc287620690"/>
      <w:bookmarkStart w:id="79" w:name="_Toc509218715"/>
      <w:r>
        <w:rPr>
          <w:rFonts w:hint="eastAsia" w:ascii="宋体" w:hAnsi="宋体" w:cs="宋体"/>
          <w:b/>
          <w:color w:val="auto"/>
          <w:szCs w:val="21"/>
          <w:highlight w:val="none"/>
        </w:rPr>
        <w:t>1.4  投标人资格要求</w:t>
      </w:r>
      <w:bookmarkEnd w:id="72"/>
      <w:bookmarkEnd w:id="73"/>
      <w:bookmarkEnd w:id="74"/>
      <w:bookmarkEnd w:id="75"/>
      <w:bookmarkEnd w:id="76"/>
      <w:bookmarkEnd w:id="77"/>
      <w:bookmarkEnd w:id="78"/>
      <w:bookmarkEnd w:id="79"/>
    </w:p>
    <w:p w14:paraId="226382AF">
      <w:pPr>
        <w:pStyle w:val="2"/>
        <w:ind w:firstLine="420"/>
        <w:rPr>
          <w:rFonts w:ascii="宋体" w:hAnsi="宋体" w:cs="宋体"/>
          <w:color w:val="auto"/>
          <w:sz w:val="21"/>
          <w:szCs w:val="21"/>
          <w:highlight w:val="none"/>
        </w:rPr>
      </w:pPr>
      <w:r>
        <w:rPr>
          <w:rFonts w:hint="eastAsia" w:ascii="宋体" w:hAnsi="宋体" w:cs="宋体"/>
          <w:color w:val="auto"/>
          <w:sz w:val="21"/>
          <w:szCs w:val="21"/>
          <w:highlight w:val="none"/>
        </w:rPr>
        <w:t>1.4.1 投标人应具备承担本招标项目资质条件、能力和信誉。</w:t>
      </w:r>
    </w:p>
    <w:p w14:paraId="018B5DD2">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（1）独立法人资格和资质要求：见投标人须知前附表；</w:t>
      </w:r>
    </w:p>
    <w:p w14:paraId="2A6874EA">
      <w:pPr>
        <w:autoSpaceDE w:val="0"/>
        <w:autoSpaceDN w:val="0"/>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（2）信誉和会计制度：见投标人须知前附表；</w:t>
      </w:r>
    </w:p>
    <w:p w14:paraId="755D918B">
      <w:pPr>
        <w:autoSpaceDE w:val="0"/>
        <w:autoSpaceDN w:val="0"/>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业绩要求</w:t>
      </w:r>
      <w:r>
        <w:rPr>
          <w:rFonts w:hint="eastAsia" w:ascii="宋体" w:hAnsi="宋体" w:cs="宋体"/>
          <w:color w:val="auto"/>
          <w:szCs w:val="21"/>
          <w:highlight w:val="none"/>
        </w:rPr>
        <w:t>：见投标人须知前附表；</w:t>
      </w:r>
    </w:p>
    <w:p w14:paraId="446B11EE">
      <w:pPr>
        <w:autoSpaceDE w:val="0"/>
        <w:autoSpaceDN w:val="0"/>
        <w:snapToGrid w:val="0"/>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（4）信用</w:t>
      </w:r>
      <w:r>
        <w:rPr>
          <w:rFonts w:hint="eastAsia" w:ascii="宋体" w:hAnsi="宋体" w:cs="宋体"/>
          <w:color w:val="auto"/>
          <w:szCs w:val="21"/>
          <w:highlight w:val="none"/>
        </w:rPr>
        <w:t>要求：见投标人须知前附表；</w:t>
      </w:r>
    </w:p>
    <w:p w14:paraId="0116FB53">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其他要求：见投标人须知前附表。</w:t>
      </w:r>
    </w:p>
    <w:p w14:paraId="53377956">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1.4.2 投标人须知前附表规定接受联合体投标的，除应符合本章第1.4.1项和投标人须知前附表的要求外，还应遵守以下规定：</w:t>
      </w:r>
    </w:p>
    <w:p w14:paraId="5061CFEA">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（1）联合体各方应按招标文件提供的格式签订联合体协议书，明确联合体牵头人和各方权利义务；</w:t>
      </w:r>
    </w:p>
    <w:p w14:paraId="18205CF4">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（2）联合体协议约定同一专业分工由两个及以上单位共同承担的，按照资质等级较低的单位确定资质等级；</w:t>
      </w:r>
    </w:p>
    <w:p w14:paraId="3AC15F07">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（3）联合体各方不得再以自己名义单独或参加其他联合体在本招标项目中投标。</w:t>
      </w:r>
    </w:p>
    <w:p w14:paraId="15F75E3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1.4.3  投标人不得存在下列情形之一：</w:t>
      </w:r>
    </w:p>
    <w:p w14:paraId="3EF8D8E4">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（1）与招标人存在利害关系可能影响招标公正性的法人、其他组织或者个人；</w:t>
      </w:r>
    </w:p>
    <w:p w14:paraId="54821AD4">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（2）为本标段前期准备提供设计或咨询服务的，但设计施工总承包的除外；</w:t>
      </w:r>
    </w:p>
    <w:p w14:paraId="50ACE98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（3）为本标段的监理人；</w:t>
      </w:r>
    </w:p>
    <w:p w14:paraId="649FEFA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（4）为本标段的代建人；</w:t>
      </w:r>
    </w:p>
    <w:p w14:paraId="0C5C10D2">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（5）为本标段提供招标代理服务的；</w:t>
      </w:r>
    </w:p>
    <w:p w14:paraId="698CCC7B">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（6）与本标段的监理人或代建人或招标代理机构同为一个法定代表人的；</w:t>
      </w:r>
    </w:p>
    <w:p w14:paraId="421F9FD1">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（7）与本标段的监理人或代建人或招标代理机构存在控股或参股的；</w:t>
      </w:r>
    </w:p>
    <w:p w14:paraId="0B56A4E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（8）与本标段的监理人或代建人或招标代理机构相互任职或工作的；</w:t>
      </w:r>
    </w:p>
    <w:p w14:paraId="713D8A5D">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（9）被责令停产停业、暂扣或者吊销许可证、暂扣或者吊销执照的；</w:t>
      </w:r>
    </w:p>
    <w:p w14:paraId="5CD3F461">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（10）被国家、重庆市（含市或任意区县）有关行政部门处以暂停投标资格行政处罚，且在处罚期限内的；</w:t>
      </w:r>
    </w:p>
    <w:p w14:paraId="0FDCBC9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（11）进入清算程序，或被宣告破产，或其他丧失履约能力的情形；</w:t>
      </w:r>
    </w:p>
    <w:p w14:paraId="75F445E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（12）单位负责人为同一人或者存在直接控股、管理关系的不同单位，不得在同一标段中同时投标。</w:t>
      </w:r>
    </w:p>
    <w:p w14:paraId="1E65C199">
      <w:pPr>
        <w:autoSpaceDE w:val="0"/>
        <w:autoSpaceDN w:val="0"/>
        <w:snapToGrid w:val="0"/>
        <w:ind w:firstLine="422"/>
        <w:rPr>
          <w:rFonts w:ascii="宋体" w:hAnsi="宋体" w:cs="宋体"/>
          <w:b/>
          <w:color w:val="auto"/>
          <w:szCs w:val="21"/>
          <w:highlight w:val="none"/>
        </w:rPr>
      </w:pPr>
      <w:bookmarkStart w:id="80" w:name="_Toc287607752"/>
      <w:bookmarkStart w:id="81" w:name="_Toc224103323"/>
      <w:bookmarkStart w:id="82" w:name="_Toc430530441"/>
      <w:bookmarkStart w:id="83" w:name="_Toc287620691"/>
      <w:bookmarkStart w:id="84" w:name="_Toc200513132"/>
      <w:bookmarkStart w:id="85" w:name="_Toc277082558"/>
      <w:bookmarkStart w:id="86" w:name="_Toc509218716"/>
      <w:bookmarkStart w:id="87" w:name="_Toc60981057"/>
      <w:r>
        <w:rPr>
          <w:rFonts w:hint="eastAsia" w:ascii="宋体" w:hAnsi="宋体" w:cs="宋体"/>
          <w:b/>
          <w:color w:val="auto"/>
          <w:szCs w:val="21"/>
          <w:highlight w:val="none"/>
        </w:rPr>
        <w:t>1.5  费用承担</w:t>
      </w:r>
      <w:bookmarkEnd w:id="80"/>
      <w:bookmarkEnd w:id="81"/>
      <w:bookmarkEnd w:id="82"/>
      <w:bookmarkEnd w:id="83"/>
      <w:bookmarkEnd w:id="84"/>
      <w:bookmarkEnd w:id="85"/>
      <w:bookmarkEnd w:id="86"/>
      <w:bookmarkEnd w:id="87"/>
    </w:p>
    <w:p w14:paraId="43BAE54B">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9ED068C">
      <w:pPr>
        <w:autoSpaceDE w:val="0"/>
        <w:autoSpaceDN w:val="0"/>
        <w:snapToGrid w:val="0"/>
        <w:ind w:firstLine="422"/>
        <w:rPr>
          <w:rFonts w:ascii="宋体" w:hAnsi="宋体" w:cs="宋体"/>
          <w:b/>
          <w:color w:val="auto"/>
          <w:szCs w:val="21"/>
          <w:highlight w:val="none"/>
        </w:rPr>
      </w:pPr>
      <w:bookmarkStart w:id="88" w:name="_Toc277082559"/>
      <w:bookmarkStart w:id="89" w:name="_Toc430530442"/>
      <w:bookmarkStart w:id="90" w:name="_Toc60981058"/>
      <w:bookmarkStart w:id="91" w:name="_Toc200513133"/>
      <w:bookmarkStart w:id="92" w:name="_Toc224103324"/>
      <w:bookmarkStart w:id="93" w:name="_Toc287607753"/>
      <w:bookmarkStart w:id="94" w:name="_Toc287620692"/>
      <w:bookmarkStart w:id="95" w:name="_Toc509218717"/>
      <w:r>
        <w:rPr>
          <w:rFonts w:hint="eastAsia" w:ascii="宋体" w:hAnsi="宋体" w:cs="宋体"/>
          <w:b/>
          <w:color w:val="auto"/>
          <w:szCs w:val="21"/>
          <w:highlight w:val="none"/>
        </w:rPr>
        <w:t>1.6  保密</w:t>
      </w:r>
      <w:bookmarkEnd w:id="88"/>
      <w:bookmarkEnd w:id="89"/>
      <w:bookmarkEnd w:id="90"/>
      <w:bookmarkEnd w:id="91"/>
      <w:bookmarkEnd w:id="92"/>
      <w:bookmarkEnd w:id="93"/>
      <w:bookmarkEnd w:id="94"/>
      <w:bookmarkEnd w:id="95"/>
    </w:p>
    <w:p w14:paraId="5807C847">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p>
    <w:p w14:paraId="64553F0E">
      <w:pPr>
        <w:autoSpaceDE w:val="0"/>
        <w:autoSpaceDN w:val="0"/>
        <w:snapToGrid w:val="0"/>
        <w:ind w:firstLine="422"/>
        <w:rPr>
          <w:rFonts w:ascii="宋体" w:hAnsi="宋体" w:cs="宋体"/>
          <w:color w:val="auto"/>
          <w:szCs w:val="21"/>
          <w:highlight w:val="none"/>
        </w:rPr>
      </w:pPr>
      <w:bookmarkStart w:id="96" w:name="_Toc430530443"/>
      <w:bookmarkStart w:id="97" w:name="_Toc287607754"/>
      <w:bookmarkStart w:id="98" w:name="_Toc509218718"/>
      <w:bookmarkStart w:id="99" w:name="_Toc60981059"/>
      <w:bookmarkStart w:id="100" w:name="_Toc200513134"/>
      <w:bookmarkStart w:id="101" w:name="_Toc224103325"/>
      <w:bookmarkStart w:id="102" w:name="_Toc287620693"/>
      <w:bookmarkStart w:id="103" w:name="_Toc277082560"/>
      <w:r>
        <w:rPr>
          <w:rFonts w:hint="eastAsia" w:ascii="宋体" w:hAnsi="宋体" w:cs="宋体"/>
          <w:b/>
          <w:color w:val="auto"/>
          <w:szCs w:val="21"/>
          <w:highlight w:val="none"/>
        </w:rPr>
        <w:t>1.7  语言文字</w:t>
      </w:r>
      <w:bookmarkEnd w:id="96"/>
      <w:bookmarkEnd w:id="97"/>
      <w:bookmarkEnd w:id="98"/>
      <w:bookmarkEnd w:id="99"/>
      <w:bookmarkEnd w:id="100"/>
      <w:bookmarkEnd w:id="101"/>
      <w:bookmarkEnd w:id="102"/>
      <w:bookmarkEnd w:id="103"/>
    </w:p>
    <w:p w14:paraId="3364053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除专用术语外，与招标投标有关的语言均使用中文。必要时专用术语应附有中文注释。</w:t>
      </w:r>
    </w:p>
    <w:p w14:paraId="53646EEE">
      <w:pPr>
        <w:autoSpaceDE w:val="0"/>
        <w:autoSpaceDN w:val="0"/>
        <w:snapToGrid w:val="0"/>
        <w:ind w:firstLine="422"/>
        <w:rPr>
          <w:rFonts w:ascii="宋体" w:hAnsi="宋体" w:cs="宋体"/>
          <w:b/>
          <w:color w:val="auto"/>
          <w:szCs w:val="21"/>
          <w:highlight w:val="none"/>
        </w:rPr>
      </w:pPr>
      <w:bookmarkStart w:id="104" w:name="_Toc60981060"/>
      <w:bookmarkStart w:id="105" w:name="_Toc224103326"/>
      <w:bookmarkStart w:id="106" w:name="_Toc277082561"/>
      <w:bookmarkStart w:id="107" w:name="_Toc200513135"/>
      <w:bookmarkStart w:id="108" w:name="_Toc287607755"/>
      <w:bookmarkStart w:id="109" w:name="_Toc509218719"/>
      <w:bookmarkStart w:id="110" w:name="_Toc287620694"/>
      <w:bookmarkStart w:id="111" w:name="_Toc430530444"/>
      <w:r>
        <w:rPr>
          <w:rFonts w:hint="eastAsia" w:ascii="宋体" w:hAnsi="宋体" w:cs="宋体"/>
          <w:b/>
          <w:color w:val="auto"/>
          <w:szCs w:val="21"/>
          <w:highlight w:val="none"/>
        </w:rPr>
        <w:t>1.8  计量单位</w:t>
      </w:r>
      <w:bookmarkEnd w:id="104"/>
      <w:bookmarkEnd w:id="105"/>
      <w:bookmarkEnd w:id="106"/>
      <w:bookmarkEnd w:id="107"/>
      <w:bookmarkEnd w:id="108"/>
      <w:bookmarkEnd w:id="109"/>
      <w:bookmarkEnd w:id="110"/>
      <w:bookmarkEnd w:id="111"/>
    </w:p>
    <w:p w14:paraId="74AE580C">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7821E9B3">
      <w:pPr>
        <w:autoSpaceDE w:val="0"/>
        <w:autoSpaceDN w:val="0"/>
        <w:snapToGrid w:val="0"/>
        <w:ind w:firstLine="422"/>
        <w:rPr>
          <w:rFonts w:ascii="宋体" w:hAnsi="宋体" w:cs="宋体"/>
          <w:b/>
          <w:color w:val="auto"/>
          <w:szCs w:val="21"/>
          <w:highlight w:val="none"/>
        </w:rPr>
      </w:pPr>
      <w:bookmarkStart w:id="112" w:name="_Toc60981061"/>
      <w:bookmarkStart w:id="113" w:name="_Toc224103327"/>
      <w:bookmarkStart w:id="114" w:name="_Toc509218720"/>
      <w:bookmarkStart w:id="115" w:name="_Toc287620695"/>
      <w:bookmarkStart w:id="116" w:name="_Toc430530445"/>
      <w:bookmarkStart w:id="117" w:name="_Toc287607756"/>
      <w:bookmarkStart w:id="118" w:name="_Toc200513136"/>
      <w:bookmarkStart w:id="119" w:name="_Toc277082562"/>
      <w:r>
        <w:rPr>
          <w:rFonts w:hint="eastAsia" w:ascii="宋体" w:hAnsi="宋体" w:cs="宋体"/>
          <w:b/>
          <w:color w:val="auto"/>
          <w:szCs w:val="21"/>
          <w:highlight w:val="none"/>
        </w:rPr>
        <w:t>1.9  踏勘现场</w:t>
      </w:r>
      <w:bookmarkEnd w:id="112"/>
      <w:bookmarkEnd w:id="113"/>
      <w:bookmarkEnd w:id="114"/>
      <w:bookmarkEnd w:id="115"/>
      <w:bookmarkEnd w:id="116"/>
      <w:bookmarkEnd w:id="117"/>
      <w:bookmarkEnd w:id="118"/>
      <w:bookmarkEnd w:id="119"/>
    </w:p>
    <w:p w14:paraId="3B644359">
      <w:pPr>
        <w:autoSpaceDE w:val="0"/>
        <w:autoSpaceDN w:val="0"/>
        <w:snapToGrid w:val="0"/>
        <w:ind w:firstLine="420"/>
        <w:rPr>
          <w:rFonts w:ascii="宋体" w:hAnsi="宋体" w:cs="宋体"/>
          <w:color w:val="auto"/>
          <w:szCs w:val="21"/>
          <w:highlight w:val="none"/>
        </w:rPr>
      </w:pPr>
      <w:bookmarkStart w:id="120" w:name="_Toc277082563"/>
      <w:bookmarkStart w:id="121" w:name="_Toc287607757"/>
      <w:bookmarkStart w:id="122" w:name="_Toc509218721"/>
      <w:bookmarkStart w:id="123" w:name="_Toc287620696"/>
      <w:bookmarkStart w:id="124" w:name="_Toc430530446"/>
      <w:bookmarkStart w:id="125" w:name="_Toc200513137"/>
      <w:bookmarkStart w:id="126" w:name="_Toc224103328"/>
      <w:r>
        <w:rPr>
          <w:rFonts w:hint="eastAsia" w:ascii="宋体" w:hAnsi="宋体" w:cs="宋体"/>
          <w:color w:val="auto"/>
          <w:szCs w:val="21"/>
          <w:highlight w:val="none"/>
        </w:rPr>
        <w:t>1.9.1 投标人须知前附表规定组织踏勘现场的，招标人按投标人须知前附表规定的时间、 地点组织投标人踏勘项目现场。</w:t>
      </w:r>
    </w:p>
    <w:p w14:paraId="28AD12CA">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60495B61">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4456632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招标人在踏勘现场中介绍的工程场地和相关的周边环境情况，供投标人在编制投标文件时参考，招标人不对投标人据此做出的判断和决策负责。</w:t>
      </w:r>
    </w:p>
    <w:p w14:paraId="3216FC91">
      <w:pPr>
        <w:autoSpaceDE w:val="0"/>
        <w:autoSpaceDN w:val="0"/>
        <w:snapToGrid w:val="0"/>
        <w:ind w:firstLine="422"/>
        <w:rPr>
          <w:rFonts w:ascii="宋体" w:hAnsi="宋体" w:cs="宋体"/>
          <w:b/>
          <w:color w:val="auto"/>
          <w:szCs w:val="21"/>
          <w:highlight w:val="none"/>
        </w:rPr>
      </w:pPr>
      <w:bookmarkStart w:id="127" w:name="_Toc60981063"/>
      <w:r>
        <w:rPr>
          <w:rFonts w:hint="eastAsia" w:ascii="宋体" w:hAnsi="宋体" w:cs="宋体"/>
          <w:b/>
          <w:color w:val="auto"/>
          <w:szCs w:val="21"/>
          <w:highlight w:val="none"/>
        </w:rPr>
        <w:t>1.10  投标预备会</w:t>
      </w:r>
      <w:bookmarkEnd w:id="120"/>
      <w:bookmarkEnd w:id="121"/>
      <w:bookmarkEnd w:id="122"/>
      <w:bookmarkEnd w:id="123"/>
      <w:bookmarkEnd w:id="124"/>
      <w:bookmarkEnd w:id="125"/>
      <w:bookmarkEnd w:id="126"/>
      <w:bookmarkEnd w:id="127"/>
    </w:p>
    <w:p w14:paraId="21366668">
      <w:pPr>
        <w:autoSpaceDE w:val="0"/>
        <w:autoSpaceDN w:val="0"/>
        <w:snapToGrid w:val="0"/>
        <w:ind w:firstLine="420"/>
        <w:rPr>
          <w:rFonts w:ascii="宋体" w:hAnsi="宋体" w:cs="宋体"/>
          <w:color w:val="auto"/>
          <w:szCs w:val="21"/>
          <w:highlight w:val="none"/>
        </w:rPr>
      </w:pPr>
      <w:bookmarkStart w:id="128" w:name="_Toc509218722"/>
      <w:bookmarkStart w:id="129" w:name="_Toc287607758"/>
      <w:bookmarkStart w:id="130" w:name="_Toc277082564"/>
      <w:bookmarkStart w:id="131" w:name="_Toc224103329"/>
      <w:bookmarkStart w:id="132" w:name="_Toc200513138"/>
      <w:bookmarkStart w:id="133" w:name="_Toc287620697"/>
      <w:bookmarkStart w:id="134" w:name="_Toc430530447"/>
      <w:r>
        <w:rPr>
          <w:rFonts w:hint="eastAsia" w:ascii="宋体" w:hAnsi="宋体" w:cs="宋体"/>
          <w:color w:val="auto"/>
          <w:szCs w:val="21"/>
          <w:highlight w:val="none"/>
        </w:rPr>
        <w:t>1.10.1 投标人须知前附表规定召开投标预备会的，招标人按投标人须知前附表规定的时间和地点召开投标预备会，澄清投标人提出的问题。</w:t>
      </w:r>
    </w:p>
    <w:p w14:paraId="2EB3214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1.10.2 投标人应在投标人须知前附表规定的时间前，以书面形式将提出的问题送达招标人，以便招标人在会议期间澄清。</w:t>
      </w:r>
    </w:p>
    <w:p w14:paraId="4AB05A0C">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1.10.3 投标预备会后，招标人在投标人须知前附表规定的时间内，将对投标人所提问题的澄清，以投标人须知前附表规定的形式通知所有投标人。该澄清内容为招标文件的组成部分。</w:t>
      </w:r>
    </w:p>
    <w:p w14:paraId="47AEF466">
      <w:pPr>
        <w:autoSpaceDE w:val="0"/>
        <w:autoSpaceDN w:val="0"/>
        <w:snapToGrid w:val="0"/>
        <w:ind w:firstLine="422"/>
        <w:rPr>
          <w:rFonts w:ascii="宋体" w:hAnsi="宋体" w:cs="宋体"/>
          <w:b/>
          <w:color w:val="auto"/>
          <w:szCs w:val="21"/>
          <w:highlight w:val="none"/>
        </w:rPr>
      </w:pPr>
      <w:bookmarkStart w:id="135" w:name="_Toc60981065"/>
      <w:r>
        <w:rPr>
          <w:rFonts w:hint="eastAsia" w:ascii="宋体" w:hAnsi="宋体" w:cs="宋体"/>
          <w:b/>
          <w:color w:val="auto"/>
          <w:szCs w:val="21"/>
          <w:highlight w:val="none"/>
        </w:rPr>
        <w:t>1.11  分包</w:t>
      </w:r>
      <w:bookmarkEnd w:id="128"/>
      <w:bookmarkEnd w:id="129"/>
      <w:bookmarkEnd w:id="130"/>
      <w:bookmarkEnd w:id="131"/>
      <w:bookmarkEnd w:id="132"/>
      <w:bookmarkEnd w:id="133"/>
      <w:bookmarkEnd w:id="134"/>
      <w:bookmarkEnd w:id="135"/>
    </w:p>
    <w:p w14:paraId="7F66F7A2">
      <w:pPr>
        <w:autoSpaceDE w:val="0"/>
        <w:autoSpaceDN w:val="0"/>
        <w:snapToGrid w:val="0"/>
        <w:ind w:firstLine="420"/>
        <w:rPr>
          <w:rFonts w:hint="eastAsia" w:ascii="宋体" w:hAnsi="宋体" w:eastAsia="宋体" w:cs="宋体"/>
          <w:color w:val="auto"/>
          <w:szCs w:val="21"/>
          <w:highlight w:val="none"/>
          <w:lang w:eastAsia="zh-CN"/>
        </w:rPr>
      </w:pPr>
      <w:bookmarkStart w:id="136" w:name="_Toc224103330"/>
      <w:bookmarkStart w:id="137" w:name="_Toc200513139"/>
      <w:bookmarkStart w:id="138" w:name="_Toc287620698"/>
      <w:bookmarkStart w:id="139" w:name="_Toc287607759"/>
      <w:bookmarkStart w:id="140" w:name="_Toc430530448"/>
      <w:bookmarkStart w:id="141" w:name="_Toc509218723"/>
      <w:bookmarkStart w:id="142" w:name="_Toc277082565"/>
      <w:r>
        <w:rPr>
          <w:rFonts w:hint="eastAsia" w:ascii="宋体" w:hAnsi="宋体" w:cs="宋体"/>
          <w:color w:val="auto"/>
          <w:szCs w:val="21"/>
          <w:highlight w:val="none"/>
        </w:rPr>
        <w:t>除投标人须知前附表另有要求外，本项目严禁分包</w:t>
      </w:r>
      <w:r>
        <w:rPr>
          <w:rFonts w:hint="eastAsia" w:ascii="宋体" w:hAnsi="宋体" w:cs="宋体"/>
          <w:color w:val="auto"/>
          <w:szCs w:val="21"/>
          <w:highlight w:val="none"/>
          <w:lang w:eastAsia="zh-CN"/>
        </w:rPr>
        <w:t>。</w:t>
      </w:r>
    </w:p>
    <w:p w14:paraId="6190A913">
      <w:pPr>
        <w:autoSpaceDE w:val="0"/>
        <w:autoSpaceDN w:val="0"/>
        <w:snapToGrid w:val="0"/>
        <w:ind w:firstLine="422"/>
        <w:rPr>
          <w:rFonts w:ascii="宋体" w:hAnsi="宋体" w:cs="宋体"/>
          <w:b/>
          <w:color w:val="auto"/>
          <w:szCs w:val="21"/>
          <w:highlight w:val="none"/>
        </w:rPr>
      </w:pPr>
      <w:bookmarkStart w:id="143" w:name="_Toc60981067"/>
      <w:r>
        <w:rPr>
          <w:rFonts w:hint="eastAsia" w:ascii="宋体" w:hAnsi="宋体" w:cs="宋体"/>
          <w:b/>
          <w:color w:val="auto"/>
          <w:szCs w:val="21"/>
          <w:highlight w:val="none"/>
        </w:rPr>
        <w:t xml:space="preserve">1.12  </w:t>
      </w:r>
      <w:r>
        <w:rPr>
          <w:rFonts w:hint="eastAsia" w:ascii="宋体" w:hAnsi="宋体" w:cs="宋体"/>
          <w:b/>
          <w:color w:val="auto"/>
          <w:szCs w:val="21"/>
          <w:highlight w:val="none"/>
          <w:lang w:val="en-US" w:eastAsia="zh-CN"/>
        </w:rPr>
        <w:t>响应与</w:t>
      </w:r>
      <w:r>
        <w:rPr>
          <w:rFonts w:hint="eastAsia" w:ascii="宋体" w:hAnsi="宋体" w:cs="宋体"/>
          <w:b/>
          <w:color w:val="auto"/>
          <w:szCs w:val="21"/>
          <w:highlight w:val="none"/>
        </w:rPr>
        <w:t>偏离</w:t>
      </w:r>
      <w:bookmarkEnd w:id="136"/>
      <w:bookmarkEnd w:id="137"/>
      <w:bookmarkEnd w:id="138"/>
      <w:bookmarkEnd w:id="139"/>
      <w:bookmarkEnd w:id="140"/>
      <w:bookmarkEnd w:id="141"/>
      <w:bookmarkEnd w:id="142"/>
      <w:bookmarkEnd w:id="143"/>
    </w:p>
    <w:p w14:paraId="7BF695D1">
      <w:pPr>
        <w:spacing w:line="360" w:lineRule="auto"/>
        <w:ind w:firstLine="420" w:firstLineChars="200"/>
        <w:rPr>
          <w:rFonts w:hint="eastAsia" w:ascii="宋体" w:hAnsi="宋体" w:eastAsia="宋体"/>
          <w:highlight w:val="none"/>
        </w:rPr>
      </w:pPr>
      <w:bookmarkStart w:id="144" w:name="_Toc287607760"/>
      <w:bookmarkStart w:id="145" w:name="_Toc200513140"/>
      <w:bookmarkStart w:id="146" w:name="_Toc103338768"/>
      <w:bookmarkStart w:id="147" w:name="_Toc2427"/>
      <w:bookmarkStart w:id="148" w:name="_Toc224103331"/>
      <w:bookmarkStart w:id="149" w:name="_Toc24129"/>
      <w:bookmarkStart w:id="150" w:name="_Toc101714052"/>
      <w:bookmarkStart w:id="151" w:name="_Toc102837521"/>
      <w:bookmarkStart w:id="152" w:name="_Toc287620699"/>
      <w:bookmarkStart w:id="153" w:name="_Toc430530449"/>
      <w:bookmarkStart w:id="154" w:name="_Toc277082566"/>
      <w:bookmarkStart w:id="155" w:name="_Toc6671"/>
      <w:bookmarkStart w:id="156" w:name="_Toc509218724"/>
      <w:r>
        <w:rPr>
          <w:rFonts w:ascii="宋体" w:hAnsi="宋体" w:eastAsia="宋体"/>
          <w:highlight w:val="none"/>
        </w:rPr>
        <w:t>1.12.1投标文件应当对招标文件的实质性要求和条件作出满足性或更有利于招标人的响应，否则，投标人的投标将被否决。实质性要求和条件见投标人须知前附表。</w:t>
      </w:r>
    </w:p>
    <w:p w14:paraId="31B824C8">
      <w:pPr>
        <w:spacing w:line="360" w:lineRule="auto"/>
        <w:ind w:firstLine="420" w:firstLineChars="200"/>
        <w:rPr>
          <w:rFonts w:hint="eastAsia" w:ascii="宋体" w:hAnsi="宋体" w:eastAsia="宋体"/>
          <w:highlight w:val="none"/>
        </w:rPr>
      </w:pPr>
      <w:r>
        <w:rPr>
          <w:rFonts w:ascii="宋体" w:hAnsi="宋体" w:eastAsia="宋体"/>
          <w:highlight w:val="none"/>
        </w:rPr>
        <w:t xml:space="preserve">1.12.2 </w:t>
      </w:r>
      <w:r>
        <w:rPr>
          <w:rFonts w:ascii="宋体" w:hAnsi="宋体" w:eastAsia="宋体"/>
          <w:szCs w:val="21"/>
          <w:highlight w:val="none"/>
        </w:rPr>
        <w:t>投标人应根据招标文件的要求提供</w:t>
      </w:r>
      <w:r>
        <w:rPr>
          <w:rFonts w:ascii="宋体" w:hAnsi="宋体" w:eastAsia="宋体"/>
          <w:highlight w:val="none"/>
        </w:rPr>
        <w:t>投标</w:t>
      </w:r>
      <w:r>
        <w:rPr>
          <w:rFonts w:hint="eastAsia" w:ascii="宋体" w:hAnsi="宋体"/>
          <w:highlight w:val="none"/>
          <w:lang w:val="en-US" w:eastAsia="zh-CN"/>
        </w:rPr>
        <w:t>文件</w:t>
      </w:r>
      <w:r>
        <w:rPr>
          <w:rFonts w:ascii="宋体" w:hAnsi="宋体" w:eastAsia="宋体"/>
          <w:highlight w:val="none"/>
        </w:rPr>
        <w:t>等内容以对招标文件作出响应。</w:t>
      </w:r>
    </w:p>
    <w:p w14:paraId="0667A2F9">
      <w:pPr>
        <w:spacing w:line="360" w:lineRule="auto"/>
        <w:ind w:firstLine="435"/>
        <w:rPr>
          <w:rFonts w:hint="eastAsia" w:ascii="宋体" w:hAnsi="宋体" w:eastAsia="宋体"/>
          <w:highlight w:val="none"/>
        </w:rPr>
      </w:pPr>
      <w:r>
        <w:rPr>
          <w:rFonts w:ascii="宋体" w:hAnsi="宋体" w:eastAsia="宋体"/>
          <w:highlight w:val="none"/>
        </w:rPr>
        <w:t>1.12.3投标人须知前附表允许投标文件偏离招标文件某些要求的，偏差应当符合招标文件规定的偏差范围和幅度。</w:t>
      </w:r>
    </w:p>
    <w:p w14:paraId="2E874C18">
      <w:pPr>
        <w:pStyle w:val="4"/>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2D9D4096">
      <w:pPr>
        <w:pStyle w:val="5"/>
        <w:snapToGrid w:val="0"/>
        <w:spacing w:before="0" w:after="0" w:line="360" w:lineRule="auto"/>
        <w:ind w:firstLine="422"/>
        <w:rPr>
          <w:rFonts w:ascii="宋体" w:hAnsi="宋体" w:cs="宋体"/>
          <w:color w:val="auto"/>
          <w:sz w:val="21"/>
          <w:szCs w:val="21"/>
          <w:highlight w:val="none"/>
        </w:rPr>
      </w:pPr>
      <w:bookmarkStart w:id="157" w:name="_Toc8253"/>
      <w:bookmarkStart w:id="158" w:name="_Toc101714053"/>
      <w:bookmarkStart w:id="159" w:name="_Toc287607761"/>
      <w:bookmarkStart w:id="160" w:name="_Toc277082567"/>
      <w:bookmarkStart w:id="161" w:name="_Toc200513141"/>
      <w:bookmarkStart w:id="162" w:name="_Toc430530450"/>
      <w:bookmarkStart w:id="163" w:name="_Toc102837522"/>
      <w:bookmarkStart w:id="164" w:name="_Toc103338769"/>
      <w:bookmarkStart w:id="165" w:name="_Toc224103332"/>
      <w:bookmarkStart w:id="166" w:name="_Toc60981069"/>
      <w:bookmarkStart w:id="167" w:name="_Toc4291"/>
      <w:bookmarkStart w:id="168" w:name="_Toc287620700"/>
      <w:bookmarkStart w:id="169" w:name="_Toc7776"/>
      <w:bookmarkStart w:id="170" w:name="_Toc509218725"/>
      <w:r>
        <w:rPr>
          <w:rFonts w:hint="eastAsia" w:ascii="宋体" w:hAnsi="宋体" w:cs="宋体"/>
          <w:color w:val="auto"/>
          <w:sz w:val="21"/>
          <w:szCs w:val="21"/>
          <w:highlight w:val="none"/>
        </w:rPr>
        <w:t>2.1  招标文件的组成</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A27C6B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本招标文件包括：</w:t>
      </w:r>
    </w:p>
    <w:p w14:paraId="7C77A84F">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（1）招标公告；</w:t>
      </w:r>
    </w:p>
    <w:p w14:paraId="5BA0E6F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（2）投标人须知；</w:t>
      </w:r>
    </w:p>
    <w:p w14:paraId="3CA80F7E">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（3）评标办法；</w:t>
      </w:r>
    </w:p>
    <w:p w14:paraId="261B9FE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（4）合同条款及格式；</w:t>
      </w:r>
    </w:p>
    <w:p w14:paraId="653297F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（5）委托人要求；</w:t>
      </w:r>
    </w:p>
    <w:p w14:paraId="39637756">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（6）投标文件格式；</w:t>
      </w:r>
    </w:p>
    <w:p w14:paraId="094DF8E7">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（7）投标人须知前附表规定的其他材料。</w:t>
      </w:r>
    </w:p>
    <w:p w14:paraId="164ABCC5">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根据本章第1.10款、第2.2款和第2.3款对招标文件所作的澄清、修改，构成招标文件的组成部分。</w:t>
      </w:r>
    </w:p>
    <w:p w14:paraId="02BBD4FE">
      <w:pPr>
        <w:pStyle w:val="5"/>
        <w:snapToGrid w:val="0"/>
        <w:spacing w:before="0" w:after="0" w:line="360" w:lineRule="auto"/>
        <w:ind w:firstLine="422"/>
        <w:rPr>
          <w:rFonts w:ascii="宋体" w:hAnsi="宋体" w:cs="宋体"/>
          <w:color w:val="auto"/>
          <w:sz w:val="21"/>
          <w:szCs w:val="21"/>
          <w:highlight w:val="none"/>
        </w:rPr>
      </w:pPr>
      <w:bookmarkStart w:id="171" w:name="_Toc9102"/>
      <w:bookmarkStart w:id="172" w:name="_Toc509218726"/>
      <w:bookmarkStart w:id="173" w:name="_Toc102837523"/>
      <w:bookmarkStart w:id="174" w:name="_Toc103338770"/>
      <w:bookmarkStart w:id="175" w:name="_Toc29869"/>
      <w:bookmarkStart w:id="176" w:name="_Toc430530451"/>
      <w:bookmarkStart w:id="177" w:name="_Toc101714054"/>
      <w:bookmarkStart w:id="178" w:name="_Toc60981070"/>
      <w:bookmarkStart w:id="179" w:name="_Toc6326"/>
      <w:r>
        <w:rPr>
          <w:rFonts w:hint="eastAsia" w:ascii="宋体" w:hAnsi="宋体" w:cs="宋体"/>
          <w:color w:val="auto"/>
          <w:sz w:val="21"/>
          <w:szCs w:val="21"/>
          <w:highlight w:val="none"/>
        </w:rPr>
        <w:t>2.2  招标文件的澄清</w:t>
      </w:r>
      <w:bookmarkEnd w:id="171"/>
      <w:bookmarkEnd w:id="172"/>
      <w:bookmarkEnd w:id="173"/>
      <w:bookmarkEnd w:id="174"/>
      <w:bookmarkEnd w:id="175"/>
      <w:bookmarkEnd w:id="176"/>
      <w:bookmarkEnd w:id="177"/>
      <w:bookmarkEnd w:id="178"/>
      <w:bookmarkEnd w:id="179"/>
    </w:p>
    <w:p w14:paraId="47DE8232">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2.2.1  投标人应仔细阅读和检查招标文件的全部内容。如发现缺页或附件不全，应及时向招标人提出，以便补齐。如有疑问，应在投标人须知前附表规定的时间前提问，要求招标人对招标文件予以澄清。</w:t>
      </w:r>
    </w:p>
    <w:p w14:paraId="1EDEEEC2">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2.2.2  招标文件的澄清将在投标人须知前附表规定的投标截止时间15天前发布，但不指明澄清问题的来源。如果澄清发出的时间距投标截止时间不足15天，相应延长投标截止时间。</w:t>
      </w:r>
    </w:p>
    <w:p w14:paraId="4B5196CC">
      <w:pPr>
        <w:autoSpaceDE w:val="0"/>
        <w:autoSpaceDN w:val="0"/>
        <w:snapToGrid w:val="0"/>
        <w:ind w:firstLine="420"/>
        <w:rPr>
          <w:rFonts w:ascii="宋体" w:hAnsi="宋体" w:cs="宋体"/>
          <w:color w:val="auto"/>
          <w:szCs w:val="21"/>
          <w:highlight w:val="none"/>
        </w:rPr>
      </w:pPr>
      <w:r>
        <w:rPr>
          <w:rFonts w:hint="eastAsia" w:ascii="宋体" w:hAnsi="宋体" w:cs="宋体"/>
          <w:color w:val="auto"/>
          <w:position w:val="-2"/>
          <w:szCs w:val="21"/>
          <w:highlight w:val="none"/>
        </w:rPr>
        <w:t>2.2.3</w:t>
      </w:r>
      <w:r>
        <w:rPr>
          <w:rFonts w:hint="eastAsia" w:ascii="宋体" w:hAnsi="宋体" w:cs="宋体"/>
          <w:color w:val="auto"/>
          <w:szCs w:val="21"/>
          <w:highlight w:val="none"/>
        </w:rPr>
        <w:t>招标人对招标文件的修改内容可能影响投标文件编制的，须在投标截止时间15日前发布，发布时间至投标截止时间不足15日的，须相应延后投标截止时间。</w:t>
      </w:r>
    </w:p>
    <w:p w14:paraId="0C580059">
      <w:pPr>
        <w:autoSpaceDE w:val="0"/>
        <w:autoSpaceDN w:val="0"/>
        <w:snapToGrid w:val="0"/>
        <w:ind w:firstLine="420"/>
        <w:rPr>
          <w:rFonts w:ascii="宋体" w:hAnsi="宋体" w:cs="宋体"/>
          <w:color w:val="auto"/>
          <w:szCs w:val="21"/>
          <w:highlight w:val="none"/>
        </w:rPr>
      </w:pPr>
      <w:r>
        <w:rPr>
          <w:rFonts w:hint="eastAsia" w:ascii="宋体" w:hAnsi="宋体" w:cs="宋体"/>
          <w:color w:val="auto"/>
          <w:position w:val="-2"/>
          <w:szCs w:val="21"/>
          <w:highlight w:val="none"/>
        </w:rPr>
        <w:t>2.2.4  投标人对招标文件和澄清修改仍有异议的，可于投标截止时间10日前提出</w:t>
      </w:r>
      <w:r>
        <w:rPr>
          <w:rFonts w:hint="eastAsia" w:ascii="宋体" w:hAnsi="宋体" w:cs="宋体"/>
          <w:color w:val="auto"/>
          <w:szCs w:val="21"/>
          <w:highlight w:val="none"/>
        </w:rPr>
        <w:t>。招标人应将答复以修改的形式发布。修改内容可能影响投标文件编制的，须在投标截止时间15日前发布，发布时间至投标截止时间不足15日的，须相应延后投标截止时间。</w:t>
      </w:r>
    </w:p>
    <w:p w14:paraId="459E43F3">
      <w:pPr>
        <w:pStyle w:val="5"/>
        <w:snapToGrid w:val="0"/>
        <w:spacing w:before="0" w:after="0" w:line="360" w:lineRule="auto"/>
        <w:ind w:firstLine="422"/>
        <w:rPr>
          <w:rFonts w:ascii="宋体" w:hAnsi="宋体" w:cs="宋体"/>
          <w:color w:val="auto"/>
          <w:sz w:val="21"/>
          <w:szCs w:val="21"/>
          <w:highlight w:val="none"/>
        </w:rPr>
      </w:pPr>
      <w:bookmarkStart w:id="180" w:name="_Toc200513143"/>
      <w:bookmarkStart w:id="181" w:name="_Toc224103334"/>
      <w:bookmarkStart w:id="182" w:name="_Toc101714055"/>
      <w:bookmarkStart w:id="183" w:name="_Toc430530452"/>
      <w:bookmarkStart w:id="184" w:name="_Toc509218727"/>
      <w:bookmarkStart w:id="185" w:name="_Toc277082569"/>
      <w:bookmarkStart w:id="186" w:name="_Toc102837524"/>
      <w:bookmarkStart w:id="187" w:name="_Toc287620702"/>
      <w:bookmarkStart w:id="188" w:name="_Toc287607763"/>
      <w:bookmarkStart w:id="189" w:name="_Toc5832"/>
      <w:bookmarkStart w:id="190" w:name="_Toc60981071"/>
      <w:bookmarkStart w:id="191" w:name="_Toc29330"/>
      <w:bookmarkStart w:id="192" w:name="_Toc24957"/>
      <w:bookmarkStart w:id="193" w:name="_Toc103338771"/>
      <w:r>
        <w:rPr>
          <w:rFonts w:hint="eastAsia" w:ascii="宋体" w:hAnsi="宋体" w:cs="宋体"/>
          <w:color w:val="auto"/>
          <w:sz w:val="21"/>
          <w:szCs w:val="21"/>
          <w:highlight w:val="none"/>
        </w:rPr>
        <w:t>2.3  招标文件的修改</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EBA942F">
      <w:pPr>
        <w:autoSpaceDE w:val="0"/>
        <w:autoSpaceDN w:val="0"/>
        <w:snapToGrid w:val="0"/>
        <w:ind w:firstLine="420"/>
        <w:rPr>
          <w:rFonts w:ascii="宋体" w:hAnsi="宋体" w:cs="宋体"/>
          <w:color w:val="auto"/>
          <w:szCs w:val="21"/>
          <w:highlight w:val="none"/>
        </w:rPr>
      </w:pPr>
      <w:bookmarkStart w:id="194" w:name="_Toc277082570"/>
      <w:bookmarkStart w:id="195" w:name="_Toc224103335"/>
      <w:bookmarkStart w:id="196" w:name="_Toc200513144"/>
      <w:bookmarkStart w:id="197" w:name="_Toc287607764"/>
      <w:bookmarkStart w:id="198" w:name="_Toc287620703"/>
      <w:r>
        <w:rPr>
          <w:rFonts w:hint="eastAsia" w:ascii="宋体" w:hAnsi="宋体" w:cs="宋体"/>
          <w:color w:val="auto"/>
          <w:szCs w:val="21"/>
          <w:highlight w:val="none"/>
        </w:rPr>
        <w:t>按照本章2.2招标文件的澄清相关内容及方式执行。</w:t>
      </w:r>
    </w:p>
    <w:p w14:paraId="171FDF37">
      <w:pPr>
        <w:pStyle w:val="4"/>
        <w:spacing w:before="0" w:after="0" w:line="360" w:lineRule="auto"/>
        <w:ind w:firstLine="422"/>
        <w:rPr>
          <w:rFonts w:ascii="宋体" w:hAnsi="宋体" w:eastAsia="宋体" w:cs="宋体"/>
          <w:color w:val="auto"/>
          <w:sz w:val="21"/>
          <w:szCs w:val="21"/>
          <w:highlight w:val="none"/>
        </w:rPr>
      </w:pPr>
      <w:bookmarkStart w:id="199" w:name="_Toc103338772"/>
      <w:bookmarkStart w:id="200" w:name="_Toc430530453"/>
      <w:bookmarkStart w:id="201" w:name="_Toc101714056"/>
      <w:bookmarkStart w:id="202" w:name="_Toc27404"/>
      <w:bookmarkStart w:id="203" w:name="_Toc102837525"/>
      <w:bookmarkStart w:id="204" w:name="_Toc30532"/>
      <w:bookmarkStart w:id="205" w:name="_Toc509218728"/>
      <w:bookmarkStart w:id="206" w:name="_Toc18012"/>
      <w:r>
        <w:rPr>
          <w:rFonts w:hint="eastAsia" w:ascii="宋体" w:hAnsi="宋体" w:eastAsia="宋体" w:cs="宋体"/>
          <w:color w:val="auto"/>
          <w:sz w:val="21"/>
          <w:szCs w:val="21"/>
          <w:highlight w:val="none"/>
        </w:rPr>
        <w:t>3.  投标文件</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68DDEB77">
      <w:pPr>
        <w:pStyle w:val="5"/>
        <w:snapToGrid w:val="0"/>
        <w:spacing w:before="0" w:after="0" w:line="360" w:lineRule="auto"/>
        <w:ind w:firstLine="422"/>
        <w:rPr>
          <w:rFonts w:ascii="宋体" w:hAnsi="宋体" w:cs="宋体"/>
          <w:color w:val="auto"/>
          <w:sz w:val="21"/>
          <w:szCs w:val="21"/>
          <w:highlight w:val="none"/>
        </w:rPr>
      </w:pPr>
      <w:bookmarkStart w:id="207" w:name="_Toc287607765"/>
      <w:bookmarkStart w:id="208" w:name="_Toc200513145"/>
      <w:bookmarkStart w:id="209" w:name="_Toc277082571"/>
      <w:bookmarkStart w:id="210" w:name="_Toc60981073"/>
      <w:bookmarkStart w:id="211" w:name="_Toc509218729"/>
      <w:bookmarkStart w:id="212" w:name="_Toc102837526"/>
      <w:bookmarkStart w:id="213" w:name="_Toc224103336"/>
      <w:bookmarkStart w:id="214" w:name="_Toc287620704"/>
      <w:bookmarkStart w:id="215" w:name="_Toc101714057"/>
      <w:bookmarkStart w:id="216" w:name="_Toc4496"/>
      <w:bookmarkStart w:id="217" w:name="_Toc430530454"/>
      <w:bookmarkStart w:id="218" w:name="_Toc103338773"/>
      <w:bookmarkStart w:id="219" w:name="_Toc3457"/>
      <w:bookmarkStart w:id="220" w:name="_Toc14243"/>
      <w:r>
        <w:rPr>
          <w:rFonts w:hint="eastAsia" w:ascii="宋体" w:hAnsi="宋体" w:cs="宋体"/>
          <w:color w:val="auto"/>
          <w:sz w:val="21"/>
          <w:szCs w:val="21"/>
          <w:highlight w:val="none"/>
        </w:rPr>
        <w:t>3.1  投标文件的组成</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ECB3CDA">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3.1.1 投标文件应包括下列内容：</w:t>
      </w:r>
    </w:p>
    <w:p w14:paraId="6CAF4947">
      <w:pPr>
        <w:autoSpaceDE w:val="0"/>
        <w:autoSpaceDN w:val="0"/>
        <w:snapToGrid w:val="0"/>
        <w:ind w:firstLine="420"/>
        <w:rPr>
          <w:rFonts w:hint="eastAsia" w:ascii="宋体" w:hAnsi="宋体" w:eastAsia="宋体" w:cs="宋体"/>
          <w:color w:val="auto"/>
          <w:szCs w:val="21"/>
          <w:highlight w:val="none"/>
          <w:lang w:eastAsia="zh-CN"/>
        </w:rPr>
      </w:pPr>
      <w:bookmarkStart w:id="221" w:name="_Toc3368"/>
      <w:bookmarkStart w:id="222" w:name="_Toc103338774"/>
      <w:bookmarkStart w:id="223" w:name="_Toc24249"/>
      <w:bookmarkStart w:id="224" w:name="_Toc101714058"/>
      <w:bookmarkStart w:id="225" w:name="_Toc102837527"/>
      <w:bookmarkStart w:id="226" w:name="_Toc27639"/>
      <w:bookmarkStart w:id="227" w:name="_Toc60981074"/>
      <w:bookmarkStart w:id="228" w:name="_Toc224103337"/>
      <w:bookmarkStart w:id="229" w:name="_Toc277082572"/>
      <w:bookmarkStart w:id="230" w:name="_Toc430530455"/>
      <w:bookmarkStart w:id="231" w:name="_Toc287620705"/>
      <w:bookmarkStart w:id="232" w:name="_Toc200513146"/>
      <w:bookmarkStart w:id="233" w:name="_Toc287607766"/>
      <w:bookmarkStart w:id="234" w:name="_Toc509218730"/>
      <w:r>
        <w:rPr>
          <w:rFonts w:hint="eastAsia" w:ascii="宋体" w:hAnsi="宋体" w:cs="宋体"/>
          <w:color w:val="auto"/>
          <w:szCs w:val="21"/>
          <w:highlight w:val="none"/>
        </w:rPr>
        <w:t>见投标文件格式</w:t>
      </w:r>
      <w:bookmarkEnd w:id="221"/>
      <w:bookmarkEnd w:id="222"/>
      <w:bookmarkEnd w:id="223"/>
      <w:bookmarkEnd w:id="224"/>
      <w:bookmarkEnd w:id="225"/>
      <w:bookmarkEnd w:id="226"/>
      <w:bookmarkEnd w:id="227"/>
      <w:r>
        <w:rPr>
          <w:rFonts w:hint="eastAsia" w:ascii="宋体" w:hAnsi="宋体" w:cs="宋体"/>
          <w:color w:val="auto"/>
          <w:szCs w:val="21"/>
          <w:highlight w:val="none"/>
          <w:lang w:eastAsia="zh-CN"/>
        </w:rPr>
        <w:t>。</w:t>
      </w:r>
    </w:p>
    <w:p w14:paraId="6D18B4F7">
      <w:pPr>
        <w:pStyle w:val="5"/>
        <w:snapToGrid w:val="0"/>
        <w:spacing w:before="0" w:after="0" w:line="360" w:lineRule="auto"/>
        <w:ind w:firstLine="422"/>
        <w:rPr>
          <w:rFonts w:ascii="宋体" w:hAnsi="宋体" w:cs="宋体"/>
          <w:color w:val="auto"/>
          <w:sz w:val="21"/>
          <w:szCs w:val="21"/>
          <w:highlight w:val="none"/>
        </w:rPr>
      </w:pPr>
      <w:bookmarkStart w:id="235" w:name="_Toc101714059"/>
      <w:bookmarkStart w:id="236" w:name="_Toc103338775"/>
      <w:bookmarkStart w:id="237" w:name="_Toc30988"/>
      <w:bookmarkStart w:id="238" w:name="_Toc27725"/>
      <w:bookmarkStart w:id="239" w:name="_Toc18409"/>
      <w:bookmarkStart w:id="240" w:name="_Toc60981075"/>
      <w:bookmarkStart w:id="241" w:name="_Toc102837528"/>
      <w:r>
        <w:rPr>
          <w:rFonts w:hint="eastAsia" w:ascii="宋体" w:hAnsi="宋体" w:cs="宋体"/>
          <w:color w:val="auto"/>
          <w:sz w:val="21"/>
          <w:szCs w:val="21"/>
          <w:highlight w:val="none"/>
        </w:rPr>
        <w:t>3.2  投标报价</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3961D51">
      <w:pPr>
        <w:autoSpaceDE w:val="0"/>
        <w:autoSpaceDN w:val="0"/>
        <w:snapToGrid w:val="0"/>
        <w:ind w:firstLine="420"/>
        <w:rPr>
          <w:rFonts w:ascii="宋体" w:hAnsi="宋体" w:cs="宋体"/>
          <w:color w:val="auto"/>
          <w:szCs w:val="21"/>
          <w:highlight w:val="none"/>
        </w:rPr>
      </w:pPr>
      <w:bookmarkStart w:id="242" w:name="_Toc102837529"/>
      <w:bookmarkStart w:id="243" w:name="_Toc23128"/>
      <w:bookmarkStart w:id="244" w:name="_Toc101714060"/>
      <w:bookmarkStart w:id="245" w:name="_Toc21762"/>
      <w:bookmarkStart w:id="246" w:name="_Toc103338776"/>
      <w:bookmarkStart w:id="247" w:name="_Toc60981076"/>
      <w:bookmarkStart w:id="248" w:name="_Toc17267"/>
      <w:bookmarkStart w:id="249" w:name="_Toc287607767"/>
      <w:bookmarkStart w:id="250" w:name="_Toc224103338"/>
      <w:bookmarkStart w:id="251" w:name="_Toc200513147"/>
      <w:bookmarkStart w:id="252" w:name="_Toc430530456"/>
      <w:bookmarkStart w:id="253" w:name="_Toc509218731"/>
      <w:bookmarkStart w:id="254" w:name="_Toc277082573"/>
      <w:bookmarkStart w:id="255" w:name="_Toc287620706"/>
      <w:r>
        <w:rPr>
          <w:rFonts w:hint="eastAsia" w:ascii="宋体" w:hAnsi="宋体" w:cs="宋体"/>
          <w:color w:val="auto"/>
          <w:szCs w:val="21"/>
          <w:highlight w:val="none"/>
        </w:rPr>
        <w:t>见投标人须知前附表</w:t>
      </w:r>
      <w:bookmarkEnd w:id="242"/>
      <w:bookmarkEnd w:id="243"/>
      <w:bookmarkEnd w:id="244"/>
      <w:bookmarkEnd w:id="245"/>
      <w:bookmarkEnd w:id="246"/>
      <w:bookmarkEnd w:id="247"/>
      <w:bookmarkEnd w:id="248"/>
      <w:r>
        <w:rPr>
          <w:rFonts w:hint="eastAsia" w:ascii="宋体" w:hAnsi="宋体" w:cs="宋体"/>
          <w:color w:val="auto"/>
          <w:szCs w:val="21"/>
          <w:highlight w:val="none"/>
        </w:rPr>
        <w:t>。</w:t>
      </w:r>
    </w:p>
    <w:p w14:paraId="2734F23A">
      <w:pPr>
        <w:pStyle w:val="5"/>
        <w:snapToGrid w:val="0"/>
        <w:spacing w:before="0" w:after="0" w:line="360" w:lineRule="auto"/>
        <w:ind w:firstLine="422"/>
        <w:rPr>
          <w:rFonts w:ascii="宋体" w:hAnsi="宋体" w:cs="宋体"/>
          <w:color w:val="auto"/>
          <w:sz w:val="21"/>
          <w:szCs w:val="21"/>
          <w:highlight w:val="none"/>
        </w:rPr>
      </w:pPr>
      <w:bookmarkStart w:id="256" w:name="_Toc101714061"/>
      <w:bookmarkStart w:id="257" w:name="_Toc29751"/>
      <w:bookmarkStart w:id="258" w:name="_Toc10752"/>
      <w:bookmarkStart w:id="259" w:name="_Toc103338777"/>
      <w:bookmarkStart w:id="260" w:name="_Toc430"/>
      <w:bookmarkStart w:id="261" w:name="_Toc102837530"/>
      <w:bookmarkStart w:id="262" w:name="_Toc60981077"/>
      <w:r>
        <w:rPr>
          <w:rFonts w:hint="eastAsia" w:ascii="宋体" w:hAnsi="宋体" w:cs="宋体"/>
          <w:color w:val="auto"/>
          <w:sz w:val="21"/>
          <w:szCs w:val="21"/>
          <w:highlight w:val="none"/>
        </w:rPr>
        <w:t>3.3  投标有效期</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D8E643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3.3.1  在投标人须知前附表规定的投标有效期内，投标人不得要求撤销或修改其投标文件。</w:t>
      </w:r>
    </w:p>
    <w:p w14:paraId="0B6EF98D">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适用于投标保证金采用投标保函形式的）</w:t>
      </w:r>
    </w:p>
    <w:p w14:paraId="6A95A2E1">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7C8A9133">
      <w:pPr>
        <w:pStyle w:val="5"/>
        <w:snapToGrid w:val="0"/>
        <w:spacing w:before="0" w:after="0" w:line="360" w:lineRule="auto"/>
        <w:ind w:firstLine="422"/>
        <w:rPr>
          <w:rFonts w:ascii="宋体" w:hAnsi="宋体" w:cs="宋体"/>
          <w:color w:val="auto"/>
          <w:sz w:val="21"/>
          <w:szCs w:val="21"/>
          <w:highlight w:val="none"/>
        </w:rPr>
      </w:pPr>
      <w:bookmarkStart w:id="263" w:name="_Toc224103339"/>
      <w:bookmarkStart w:id="264" w:name="_Toc103338778"/>
      <w:bookmarkStart w:id="265" w:name="_Toc277082574"/>
      <w:bookmarkStart w:id="266" w:name="_Toc287607768"/>
      <w:bookmarkStart w:id="267" w:name="_Toc30940"/>
      <w:bookmarkStart w:id="268" w:name="_Toc102837531"/>
      <w:bookmarkStart w:id="269" w:name="_Toc430530457"/>
      <w:bookmarkStart w:id="270" w:name="_Toc101714062"/>
      <w:bookmarkStart w:id="271" w:name="_Toc7092"/>
      <w:bookmarkStart w:id="272" w:name="_Toc23992"/>
      <w:bookmarkStart w:id="273" w:name="_Toc200513148"/>
      <w:bookmarkStart w:id="274" w:name="_Toc287620707"/>
      <w:bookmarkStart w:id="275" w:name="_Toc60981078"/>
      <w:bookmarkStart w:id="276" w:name="_Toc509218732"/>
      <w:r>
        <w:rPr>
          <w:rFonts w:hint="eastAsia" w:ascii="宋体" w:hAnsi="宋体" w:cs="宋体"/>
          <w:color w:val="auto"/>
          <w:sz w:val="21"/>
          <w:szCs w:val="21"/>
          <w:highlight w:val="none"/>
        </w:rPr>
        <w:t>3.4  投标保证金</w:t>
      </w:r>
    </w:p>
    <w:p w14:paraId="07D469EB">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3.4.1  投标人在递交投标文件的同时，应按投标人须知前附表的规定递交投标保证金，并作为其投标文件的组成部分。</w:t>
      </w:r>
    </w:p>
    <w:p w14:paraId="0D15C08A">
      <w:pPr>
        <w:autoSpaceDE w:val="0"/>
        <w:autoSpaceDN w:val="0"/>
        <w:snapToGrid w:val="0"/>
        <w:ind w:left="57" w:leftChars="27" w:firstLine="420"/>
        <w:rPr>
          <w:rFonts w:ascii="宋体" w:hAnsi="宋体" w:cs="宋体"/>
          <w:color w:val="auto"/>
          <w:szCs w:val="21"/>
          <w:highlight w:val="none"/>
        </w:rPr>
      </w:pPr>
      <w:r>
        <w:rPr>
          <w:rFonts w:hint="eastAsia" w:ascii="宋体" w:hAnsi="宋体" w:cs="宋体"/>
          <w:color w:val="auto"/>
          <w:szCs w:val="21"/>
          <w:highlight w:val="none"/>
        </w:rPr>
        <w:t>3.4.2  投标人不按本章第 3.4.1 项要求提交投标保证金的，其投标文件作否决投标处理。</w:t>
      </w:r>
    </w:p>
    <w:p w14:paraId="566C3D8E">
      <w:pPr>
        <w:autoSpaceDE w:val="0"/>
        <w:autoSpaceDN w:val="0"/>
        <w:snapToGrid w:val="0"/>
        <w:ind w:left="57" w:leftChars="27" w:firstLine="420"/>
        <w:rPr>
          <w:rFonts w:ascii="宋体" w:hAnsi="宋体" w:cs="宋体"/>
          <w:color w:val="auto"/>
          <w:szCs w:val="21"/>
          <w:highlight w:val="none"/>
        </w:rPr>
      </w:pPr>
      <w:r>
        <w:rPr>
          <w:rFonts w:hint="eastAsia" w:ascii="宋体" w:hAnsi="宋体" w:cs="宋体"/>
          <w:color w:val="auto"/>
          <w:szCs w:val="21"/>
          <w:highlight w:val="none"/>
        </w:rPr>
        <w:t>3.4.3  投标保证金（投标保函）退还：见投标人须知前附表。</w:t>
      </w:r>
    </w:p>
    <w:p w14:paraId="5A50BBB5">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3.4.4  有下列情形之一的，投标保证金将不予退还：</w:t>
      </w:r>
    </w:p>
    <w:p w14:paraId="273D3B0E">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（1）投标人在规定的投标有效期内撤销或修改其投标文件；</w:t>
      </w:r>
    </w:p>
    <w:p w14:paraId="048D9FA7">
      <w:pPr>
        <w:autoSpaceDE w:val="0"/>
        <w:autoSpaceDN w:val="0"/>
        <w:snapToGrid w:val="0"/>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入围供应商</w:t>
      </w:r>
      <w:r>
        <w:rPr>
          <w:rFonts w:hint="eastAsia" w:ascii="宋体" w:hAnsi="宋体" w:cs="宋体"/>
          <w:szCs w:val="21"/>
        </w:rPr>
        <w:t>在收到</w:t>
      </w:r>
      <w:r>
        <w:rPr>
          <w:rFonts w:hint="eastAsia" w:ascii="宋体" w:hAnsi="宋体" w:cs="宋体"/>
          <w:szCs w:val="21"/>
          <w:lang w:val="en-US" w:eastAsia="zh-CN"/>
        </w:rPr>
        <w:t>入围</w:t>
      </w:r>
      <w:r>
        <w:rPr>
          <w:rFonts w:hint="eastAsia" w:ascii="宋体" w:hAnsi="宋体" w:cs="宋体"/>
          <w:szCs w:val="21"/>
        </w:rPr>
        <w:t>通知书后，无正当理由不与招标人订立合同，在签订合同时向招标人提出附加条件，或者不按照招标文件要求提交履约保证金；</w:t>
      </w:r>
    </w:p>
    <w:p w14:paraId="6ECD1E73">
      <w:pPr>
        <w:autoSpaceDE w:val="0"/>
        <w:autoSpaceDN w:val="0"/>
        <w:snapToGrid w:val="0"/>
        <w:ind w:firstLine="420"/>
        <w:rPr>
          <w:rFonts w:ascii="宋体" w:hAnsi="宋体" w:cs="宋体"/>
          <w:color w:val="auto"/>
          <w:szCs w:val="21"/>
          <w:highlight w:val="none"/>
        </w:rPr>
      </w:pPr>
      <w:r>
        <w:rPr>
          <w:rFonts w:hint="eastAsia" w:ascii="宋体" w:hAnsi="宋体" w:cs="宋体"/>
          <w:szCs w:val="21"/>
        </w:rPr>
        <w:t>（3）</w:t>
      </w:r>
      <w:r>
        <w:rPr>
          <w:rFonts w:hint="eastAsia" w:ascii="宋体" w:hAnsi="宋体" w:cs="宋体"/>
          <w:szCs w:val="21"/>
          <w:lang w:val="en-US" w:eastAsia="zh-CN"/>
        </w:rPr>
        <w:t>入围供应商</w:t>
      </w:r>
      <w:r>
        <w:rPr>
          <w:rFonts w:hint="eastAsia" w:ascii="宋体" w:hAnsi="宋体" w:cs="宋体"/>
          <w:szCs w:val="21"/>
        </w:rPr>
        <w:t>拒不提供或者不按时提供低价风险担保（适用于经评审的最低投标价法）</w:t>
      </w:r>
      <w:r>
        <w:rPr>
          <w:rFonts w:hint="eastAsia" w:ascii="宋体" w:hAnsi="宋体" w:cs="宋体"/>
          <w:color w:val="auto"/>
          <w:szCs w:val="21"/>
          <w:highlight w:val="none"/>
        </w:rPr>
        <w:t>；</w:t>
      </w:r>
    </w:p>
    <w:p w14:paraId="11CD0B9C">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（4）违反本章</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.2条对投标人的纪律要求的；</w:t>
      </w:r>
    </w:p>
    <w:p w14:paraId="5B09D29E">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（5）法律法规和本招标文件规定的其他情形。</w:t>
      </w:r>
    </w:p>
    <w:p w14:paraId="166D5A1E">
      <w:pPr>
        <w:tabs>
          <w:tab w:val="left" w:pos="611"/>
          <w:tab w:val="left" w:pos="669"/>
        </w:tabs>
        <w:snapToGrid w:val="0"/>
        <w:ind w:firstLine="420"/>
        <w:rPr>
          <w:rFonts w:ascii="宋体" w:hAnsi="宋体" w:cs="宋体"/>
          <w:color w:val="auto"/>
          <w:szCs w:val="21"/>
          <w:highlight w:val="none"/>
        </w:rPr>
      </w:pPr>
      <w:r>
        <w:rPr>
          <w:rFonts w:hint="eastAsia" w:ascii="宋体" w:hAnsi="宋体" w:cs="宋体"/>
          <w:color w:val="auto"/>
          <w:szCs w:val="21"/>
          <w:highlight w:val="none"/>
        </w:rPr>
        <w:t>3.4.5（1）投标保证金为无条件担保；</w:t>
      </w:r>
    </w:p>
    <w:p w14:paraId="0BAB8FA3">
      <w:pPr>
        <w:tabs>
          <w:tab w:val="left" w:pos="611"/>
          <w:tab w:val="left" w:pos="669"/>
        </w:tabs>
        <w:snapToGrid w:val="0"/>
        <w:ind w:firstLine="420"/>
        <w:rPr>
          <w:rFonts w:ascii="宋体" w:hAnsi="宋体" w:cs="宋体"/>
          <w:color w:val="auto"/>
          <w:szCs w:val="21"/>
          <w:highlight w:val="none"/>
        </w:rPr>
      </w:pPr>
      <w:r>
        <w:rPr>
          <w:rFonts w:hint="eastAsia" w:ascii="宋体" w:hAnsi="宋体" w:cs="宋体"/>
          <w:color w:val="auto"/>
          <w:szCs w:val="21"/>
          <w:highlight w:val="none"/>
        </w:rPr>
        <w:t>（2）投标保证金的受益人为招标人。</w:t>
      </w:r>
    </w:p>
    <w:p w14:paraId="4CDCFB2A">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3.5  资格审查资料</w:t>
      </w:r>
    </w:p>
    <w:p w14:paraId="38E836F5">
      <w:pPr>
        <w:autoSpaceDE w:val="0"/>
        <w:autoSpaceDN w:val="0"/>
        <w:snapToGrid w:val="0"/>
        <w:ind w:right="37" w:firstLine="420"/>
        <w:rPr>
          <w:rFonts w:ascii="宋体" w:hAnsi="宋体" w:cs="宋体"/>
          <w:color w:val="auto"/>
          <w:szCs w:val="21"/>
          <w:highlight w:val="none"/>
        </w:rPr>
      </w:pPr>
      <w:r>
        <w:rPr>
          <w:rFonts w:hint="eastAsia" w:ascii="宋体" w:hAnsi="宋体" w:cs="宋体"/>
          <w:color w:val="auto"/>
          <w:szCs w:val="21"/>
          <w:highlight w:val="none"/>
        </w:rPr>
        <w:t>投标人应附投标人须知前附表第1.4.1项中要求的相关证明材料。</w:t>
      </w:r>
    </w:p>
    <w:p w14:paraId="298C10B7">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3.6  备选投标方案</w:t>
      </w:r>
    </w:p>
    <w:p w14:paraId="5962CD89">
      <w:pPr>
        <w:autoSpaceDE w:val="0"/>
        <w:autoSpaceDN w:val="0"/>
        <w:snapToGrid w:val="0"/>
        <w:ind w:firstLine="420"/>
        <w:rPr>
          <w:rFonts w:ascii="宋体" w:hAnsi="宋体" w:cs="宋体"/>
          <w:color w:val="auto"/>
          <w:szCs w:val="21"/>
          <w:highlight w:val="none"/>
        </w:rPr>
      </w:pPr>
      <w:r>
        <w:rPr>
          <w:rFonts w:hint="eastAsia" w:ascii="宋体" w:hAnsi="宋体" w:cs="宋体"/>
          <w:szCs w:val="21"/>
        </w:rPr>
        <w:t>除投标人须知前附表另有规定外，投标人不得递交备选投标方案。允许投标人递交备选投标方案的，只有</w:t>
      </w:r>
      <w:r>
        <w:rPr>
          <w:rFonts w:hint="eastAsia" w:ascii="宋体" w:hAnsi="宋体" w:cs="宋体"/>
          <w:szCs w:val="21"/>
          <w:lang w:val="en-US" w:eastAsia="zh-CN"/>
        </w:rPr>
        <w:t>入围供应商</w:t>
      </w:r>
      <w:r>
        <w:rPr>
          <w:rFonts w:hint="eastAsia" w:ascii="宋体" w:hAnsi="宋体" w:cs="宋体"/>
          <w:szCs w:val="21"/>
        </w:rPr>
        <w:t>所递交的备选投标方案方可予以考虑。评标委员会认为</w:t>
      </w:r>
      <w:r>
        <w:rPr>
          <w:rFonts w:hint="eastAsia" w:ascii="宋体" w:hAnsi="宋体" w:cs="宋体"/>
          <w:szCs w:val="21"/>
          <w:lang w:val="en-US" w:eastAsia="zh-CN"/>
        </w:rPr>
        <w:t>入围供应商</w:t>
      </w:r>
      <w:r>
        <w:rPr>
          <w:rFonts w:hint="eastAsia" w:ascii="宋体" w:hAnsi="宋体" w:cs="宋体"/>
          <w:szCs w:val="21"/>
        </w:rPr>
        <w:t>的备选投标方案优于其按照招标文件要求编制的投标方案的，招标人可以接受该备选投标方案</w:t>
      </w:r>
      <w:r>
        <w:rPr>
          <w:rFonts w:hint="eastAsia" w:ascii="宋体" w:hAnsi="宋体" w:cs="宋体"/>
          <w:color w:val="auto"/>
          <w:szCs w:val="21"/>
          <w:highlight w:val="none"/>
        </w:rPr>
        <w:t>。</w:t>
      </w:r>
    </w:p>
    <w:p w14:paraId="7E1D789D">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3.7  投标文件的编制</w:t>
      </w:r>
    </w:p>
    <w:p w14:paraId="2D1BC5DB">
      <w:pPr>
        <w:ind w:firstLine="420"/>
        <w:rPr>
          <w:rFonts w:ascii="宋体" w:hAnsi="宋体" w:cs="宋体"/>
          <w:color w:val="auto"/>
          <w:szCs w:val="21"/>
          <w:highlight w:val="none"/>
        </w:rPr>
      </w:pPr>
      <w:r>
        <w:rPr>
          <w:rFonts w:hint="eastAsia" w:ascii="宋体" w:hAnsi="宋体" w:cs="宋体"/>
          <w:color w:val="auto"/>
          <w:szCs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23DB54DA">
      <w:pPr>
        <w:ind w:firstLine="420"/>
        <w:rPr>
          <w:rFonts w:ascii="宋体" w:hAnsi="宋体" w:cs="宋体"/>
          <w:color w:val="auto"/>
          <w:szCs w:val="21"/>
          <w:highlight w:val="none"/>
        </w:rPr>
      </w:pPr>
      <w:r>
        <w:rPr>
          <w:rFonts w:hint="eastAsia" w:ascii="宋体" w:hAnsi="宋体" w:cs="宋体"/>
          <w:color w:val="auto"/>
          <w:szCs w:val="21"/>
          <w:highlight w:val="none"/>
        </w:rPr>
        <w:t>3.7.2  投标文件应当对招标文件有关</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期、投标有效期、</w:t>
      </w:r>
      <w:r>
        <w:rPr>
          <w:rFonts w:hint="eastAsia" w:ascii="宋体" w:hAnsi="宋体" w:cs="宋体"/>
          <w:color w:val="auto"/>
          <w:szCs w:val="21"/>
          <w:highlight w:val="none"/>
          <w:lang w:val="en-US" w:eastAsia="zh-CN"/>
        </w:rPr>
        <w:t>委托人</w:t>
      </w:r>
      <w:r>
        <w:rPr>
          <w:rStyle w:val="32"/>
          <w:rFonts w:hint="eastAsia" w:ascii="宋体" w:hAnsi="宋体" w:cs="宋体"/>
          <w:color w:val="auto"/>
          <w:szCs w:val="21"/>
          <w:highlight w:val="none"/>
        </w:rPr>
        <w:t>要求</w:t>
      </w:r>
      <w:r>
        <w:rPr>
          <w:rFonts w:hint="eastAsia" w:ascii="宋体" w:hAnsi="宋体" w:cs="宋体"/>
          <w:color w:val="auto"/>
          <w:szCs w:val="21"/>
          <w:highlight w:val="none"/>
        </w:rPr>
        <w:t>、招标范围等实质性内容做出响应。</w:t>
      </w:r>
    </w:p>
    <w:p w14:paraId="3729CDAE">
      <w:pPr>
        <w:ind w:firstLine="420"/>
        <w:rPr>
          <w:rFonts w:ascii="宋体" w:hAnsi="宋体" w:cs="宋体"/>
          <w:color w:val="auto"/>
          <w:szCs w:val="21"/>
          <w:highlight w:val="none"/>
        </w:rPr>
      </w:pPr>
      <w:r>
        <w:rPr>
          <w:rFonts w:hint="eastAsia" w:ascii="宋体" w:hAnsi="宋体" w:cs="宋体"/>
          <w:color w:val="auto"/>
          <w:szCs w:val="21"/>
          <w:highlight w:val="none"/>
        </w:rPr>
        <w:t>3.7.3  投标文件的签字盖章要求：按本章投标人须知前附表第3.7.3项执行。</w:t>
      </w:r>
    </w:p>
    <w:p w14:paraId="3DC07F94">
      <w:pPr>
        <w:ind w:firstLine="420"/>
        <w:rPr>
          <w:rFonts w:ascii="宋体" w:hAnsi="宋体" w:cs="宋体"/>
          <w:color w:val="auto"/>
          <w:szCs w:val="21"/>
          <w:highlight w:val="none"/>
        </w:rPr>
      </w:pPr>
      <w:r>
        <w:rPr>
          <w:rFonts w:hint="eastAsia" w:ascii="宋体" w:hAnsi="宋体" w:cs="宋体"/>
          <w:color w:val="auto"/>
          <w:szCs w:val="21"/>
          <w:highlight w:val="none"/>
        </w:rPr>
        <w:t>3.7.4  投标文件份数：按本章投标人须知前附表第3.7.4项执行。</w:t>
      </w:r>
    </w:p>
    <w:p w14:paraId="0A6F04AE">
      <w:pPr>
        <w:ind w:firstLine="420"/>
        <w:rPr>
          <w:rFonts w:ascii="宋体" w:hAnsi="宋体" w:cs="宋体"/>
          <w:color w:val="auto"/>
          <w:szCs w:val="21"/>
          <w:highlight w:val="none"/>
        </w:rPr>
      </w:pPr>
      <w:r>
        <w:rPr>
          <w:rFonts w:hint="eastAsia" w:ascii="宋体" w:hAnsi="宋体" w:cs="宋体"/>
          <w:color w:val="auto"/>
          <w:szCs w:val="21"/>
          <w:highlight w:val="none"/>
        </w:rPr>
        <w:t>3.7.5  投标文件应按规定格式排版，并编制目录，具体装订要求见投标人须知前附表规定。</w:t>
      </w:r>
    </w:p>
    <w:p w14:paraId="1CF0D6F0">
      <w:pPr>
        <w:pStyle w:val="4"/>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  投标</w:t>
      </w:r>
    </w:p>
    <w:p w14:paraId="7FA645A5">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4.1  投标文件的密封和标记</w:t>
      </w:r>
    </w:p>
    <w:p w14:paraId="65790D31">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4.1.1  投标文件的密封：见投标人须知前附表。</w:t>
      </w:r>
    </w:p>
    <w:p w14:paraId="4F7EA37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4.1.2  投标文件的封套上应写明的内容：见投标人须知前附表。</w:t>
      </w:r>
    </w:p>
    <w:p w14:paraId="4F5F7CB5">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4.2  投标文件的递交</w:t>
      </w:r>
    </w:p>
    <w:p w14:paraId="6830074A">
      <w:pPr>
        <w:ind w:firstLine="420"/>
        <w:rPr>
          <w:rFonts w:ascii="宋体" w:hAnsi="宋体" w:cs="宋体"/>
          <w:color w:val="auto"/>
          <w:szCs w:val="21"/>
          <w:highlight w:val="none"/>
        </w:rPr>
      </w:pPr>
      <w:r>
        <w:rPr>
          <w:rFonts w:hint="eastAsia" w:ascii="宋体" w:hAnsi="宋体" w:cs="宋体"/>
          <w:color w:val="auto"/>
          <w:szCs w:val="21"/>
          <w:highlight w:val="none"/>
        </w:rPr>
        <w:t>4.2.1  投标人应在投标人须知前附表第</w:t>
      </w:r>
      <w:r>
        <w:rPr>
          <w:rFonts w:hint="eastAsia" w:ascii="宋体" w:hAnsi="宋体" w:cs="宋体"/>
          <w:color w:val="auto"/>
          <w:szCs w:val="21"/>
          <w:highlight w:val="none"/>
          <w:lang w:val="en-US" w:eastAsia="zh-CN"/>
        </w:rPr>
        <w:t>4.2.1</w:t>
      </w:r>
      <w:r>
        <w:rPr>
          <w:rFonts w:hint="eastAsia" w:ascii="宋体" w:hAnsi="宋体" w:cs="宋体"/>
          <w:color w:val="auto"/>
          <w:szCs w:val="21"/>
          <w:highlight w:val="none"/>
        </w:rPr>
        <w:t>项规定的投标截止时间前递交投标文件。</w:t>
      </w:r>
    </w:p>
    <w:p w14:paraId="313551C3">
      <w:pPr>
        <w:ind w:firstLine="420"/>
        <w:rPr>
          <w:rFonts w:ascii="宋体" w:hAnsi="宋体" w:cs="宋体"/>
          <w:color w:val="auto"/>
          <w:szCs w:val="21"/>
          <w:highlight w:val="none"/>
        </w:rPr>
      </w:pPr>
      <w:r>
        <w:rPr>
          <w:rFonts w:hint="eastAsia" w:ascii="宋体" w:hAnsi="宋体" w:cs="宋体"/>
          <w:color w:val="auto"/>
          <w:szCs w:val="21"/>
          <w:highlight w:val="none"/>
        </w:rPr>
        <w:t>4.2.2  投标人递交投标文件的地点：见投标人须知前附表。</w:t>
      </w:r>
    </w:p>
    <w:p w14:paraId="7A591385">
      <w:pPr>
        <w:ind w:firstLine="420"/>
        <w:rPr>
          <w:rFonts w:ascii="宋体" w:hAnsi="宋体" w:cs="宋体"/>
          <w:color w:val="auto"/>
          <w:szCs w:val="21"/>
          <w:highlight w:val="none"/>
        </w:rPr>
      </w:pPr>
      <w:r>
        <w:rPr>
          <w:rFonts w:hint="eastAsia" w:ascii="宋体" w:hAnsi="宋体" w:cs="宋体"/>
          <w:color w:val="auto"/>
          <w:szCs w:val="21"/>
          <w:highlight w:val="none"/>
        </w:rPr>
        <w:t>4.2.3  除投标人须知前附表另有规定外，投标人所递交的投标文件不予退还。</w:t>
      </w:r>
    </w:p>
    <w:p w14:paraId="4ED9594B">
      <w:pPr>
        <w:ind w:firstLine="420"/>
        <w:rPr>
          <w:rFonts w:ascii="宋体" w:hAnsi="宋体" w:cs="宋体"/>
          <w:color w:val="auto"/>
          <w:szCs w:val="21"/>
          <w:highlight w:val="none"/>
        </w:rPr>
      </w:pPr>
      <w:r>
        <w:rPr>
          <w:rFonts w:hint="eastAsia" w:ascii="宋体" w:hAnsi="宋体" w:cs="宋体"/>
          <w:color w:val="auto"/>
          <w:szCs w:val="21"/>
          <w:highlight w:val="none"/>
        </w:rPr>
        <w:t>4.2.4  逾期送达的或者未送达指定地点的投标文件，招标人不予受理。</w:t>
      </w:r>
    </w:p>
    <w:p w14:paraId="40944125">
      <w:pPr>
        <w:pStyle w:val="4"/>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  开标</w:t>
      </w:r>
    </w:p>
    <w:p w14:paraId="15711D57">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5.1  开标时间和地点</w:t>
      </w:r>
    </w:p>
    <w:p w14:paraId="44C7D47E">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招标人在投标人须知前附表第</w:t>
      </w:r>
      <w:r>
        <w:rPr>
          <w:rFonts w:hint="eastAsia" w:ascii="宋体" w:hAnsi="宋体" w:cs="宋体"/>
          <w:color w:val="auto"/>
          <w:szCs w:val="21"/>
          <w:highlight w:val="none"/>
          <w:lang w:val="en-US" w:eastAsia="zh-CN"/>
        </w:rPr>
        <w:t>4.2.1</w:t>
      </w:r>
      <w:r>
        <w:rPr>
          <w:rFonts w:hint="eastAsia" w:ascii="宋体" w:hAnsi="宋体" w:cs="宋体"/>
          <w:color w:val="auto"/>
          <w:szCs w:val="21"/>
          <w:highlight w:val="none"/>
        </w:rPr>
        <w:t>项规定的投标截止时间（开标时间）和投标人须知前附表规定的地点公开开标，并邀请所有投标人的法定代表人或其委托代理人准时参加。</w:t>
      </w:r>
    </w:p>
    <w:p w14:paraId="794FB79D">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5.2  开标程序</w:t>
      </w:r>
    </w:p>
    <w:p w14:paraId="1EBD8A97">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详见投标人须知前附表第5.2款开标程序。</w:t>
      </w:r>
    </w:p>
    <w:p w14:paraId="3143F2E1">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5.3开标异议</w:t>
      </w:r>
    </w:p>
    <w:p w14:paraId="2F978B0B">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p>
    <w:p w14:paraId="4963DD7B">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4.3  投标文件的修改与撤回</w:t>
      </w:r>
    </w:p>
    <w:p w14:paraId="2C966043">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4.3.1  在投标人须知前附表第</w:t>
      </w:r>
      <w:r>
        <w:rPr>
          <w:rFonts w:hint="eastAsia" w:ascii="宋体" w:hAnsi="宋体" w:cs="宋体"/>
          <w:color w:val="auto"/>
          <w:szCs w:val="21"/>
          <w:highlight w:val="none"/>
          <w:lang w:val="en-US" w:eastAsia="zh-CN"/>
        </w:rPr>
        <w:t>4.2.1</w:t>
      </w:r>
      <w:r>
        <w:rPr>
          <w:rFonts w:hint="eastAsia" w:ascii="宋体" w:hAnsi="宋体" w:cs="宋体"/>
          <w:color w:val="auto"/>
          <w:szCs w:val="21"/>
          <w:highlight w:val="none"/>
        </w:rPr>
        <w:t>项规定的投标截止时间前，投标人可以修改或撤回已递交的投标文件，但应以书面形式通知招标人。</w:t>
      </w:r>
    </w:p>
    <w:p w14:paraId="32CE8992">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4.3.2  投标人修改或撤回已递交投标文件的书面通知应按照本章第3.7.3项的要求签名或盖章。招标人收到书面通知后，向投标人出具签收凭证。</w:t>
      </w:r>
    </w:p>
    <w:p w14:paraId="4BED24CC">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4.3.3  修改的内容为投标文件的组成部分。修改的投标文件应按照本章第3条、第4条规定进行编制、密封、标记和递交，并标明“修改”字样。</w:t>
      </w:r>
    </w:p>
    <w:p w14:paraId="48BFAF5A">
      <w:pPr>
        <w:pStyle w:val="4"/>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  评标</w:t>
      </w:r>
    </w:p>
    <w:p w14:paraId="0100B51E">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6.1  评标委员会</w:t>
      </w:r>
    </w:p>
    <w:p w14:paraId="0FEE0C8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6.1.1  评标由招标人依据法律法规和相关规范性文件组建的评标委员会负责。</w:t>
      </w:r>
    </w:p>
    <w:p w14:paraId="1F7DC5EC">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AD637A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（1）投标人或投标人的主要负责人的近亲属；</w:t>
      </w:r>
    </w:p>
    <w:p w14:paraId="12F771DE">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08F68A1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（3）与投标人有利害关系，可能影响对投标公正评审的；</w:t>
      </w:r>
    </w:p>
    <w:p w14:paraId="4AFA092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048AFC45">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（5）法律法规规定的其他情形。</w:t>
      </w:r>
    </w:p>
    <w:p w14:paraId="6C1762FA">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555BEE07">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6.2  评标原则</w:t>
      </w:r>
    </w:p>
    <w:p w14:paraId="383D4C0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09DE8522">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6.3  评标</w:t>
      </w:r>
    </w:p>
    <w:p w14:paraId="2B653525">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评标委员会按照第三章“评标办法”规定的方法、评审因素、标准和程序对投标文件进行评审。第三章“评标办法”没有规定的方法、评审因素和标准，不得作为评标依据。</w:t>
      </w:r>
    </w:p>
    <w:p w14:paraId="096C6ED6">
      <w:pPr>
        <w:pStyle w:val="4"/>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  合同授予</w:t>
      </w:r>
    </w:p>
    <w:p w14:paraId="61A344B2">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7.1  定标方式</w:t>
      </w:r>
    </w:p>
    <w:p w14:paraId="50ADEE53">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sz w:val="21"/>
          <w:szCs w:val="21"/>
          <w:highlight w:val="none"/>
        </w:rPr>
        <w:t>招标人应当确定排名前</w:t>
      </w:r>
      <w:r>
        <w:rPr>
          <w:rFonts w:hint="eastAsia" w:ascii="宋体" w:hAnsi="宋体" w:cs="宋体"/>
          <w:sz w:val="21"/>
          <w:szCs w:val="21"/>
          <w:highlight w:val="none"/>
          <w:lang w:val="en-US" w:eastAsia="zh-CN"/>
        </w:rPr>
        <w:t>4</w:t>
      </w:r>
      <w:r>
        <w:rPr>
          <w:rFonts w:hint="eastAsia" w:ascii="宋体" w:hAnsi="宋体" w:cs="宋体"/>
          <w:sz w:val="21"/>
          <w:szCs w:val="21"/>
          <w:highlight w:val="none"/>
        </w:rPr>
        <w:t>名的投标人为入围供应商。入围供应商放弃</w:t>
      </w:r>
      <w:r>
        <w:rPr>
          <w:rFonts w:hint="eastAsia" w:ascii="宋体" w:hAnsi="宋体" w:cs="宋体"/>
          <w:sz w:val="21"/>
          <w:szCs w:val="21"/>
          <w:highlight w:val="none"/>
          <w:lang w:val="en-US" w:eastAsia="zh-CN"/>
        </w:rPr>
        <w:t>入围</w:t>
      </w:r>
      <w:r>
        <w:rPr>
          <w:rFonts w:hint="eastAsia" w:ascii="宋体" w:hAnsi="宋体" w:cs="宋体"/>
          <w:sz w:val="21"/>
          <w:szCs w:val="21"/>
          <w:highlight w:val="none"/>
        </w:rPr>
        <w:t>、因不可抗力不能履行合同、不按照招标文件要求提交履约保证金，或者被查实存在影响</w:t>
      </w:r>
      <w:r>
        <w:rPr>
          <w:rFonts w:hint="eastAsia" w:ascii="宋体" w:hAnsi="宋体" w:cs="宋体"/>
          <w:sz w:val="21"/>
          <w:szCs w:val="21"/>
          <w:highlight w:val="none"/>
          <w:lang w:val="en-US" w:eastAsia="zh-CN"/>
        </w:rPr>
        <w:t>入围</w:t>
      </w:r>
      <w:r>
        <w:rPr>
          <w:rFonts w:hint="eastAsia" w:ascii="宋体" w:hAnsi="宋体" w:cs="宋体"/>
          <w:sz w:val="21"/>
          <w:szCs w:val="21"/>
          <w:highlight w:val="none"/>
        </w:rPr>
        <w:t>结果的违法行为等情形，不符合入围条件的，招标人可以按照评标委员会评审的投标人排序依次确定其他投标人为入围供应商，也可以重新招标</w:t>
      </w:r>
      <w:r>
        <w:rPr>
          <w:rFonts w:hint="eastAsia" w:ascii="宋体" w:hAnsi="宋体" w:cs="宋体"/>
          <w:color w:val="auto"/>
          <w:sz w:val="21"/>
          <w:szCs w:val="21"/>
          <w:highlight w:val="none"/>
        </w:rPr>
        <w:t>。</w:t>
      </w:r>
    </w:p>
    <w:p w14:paraId="55AC5891">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评标委员会推荐入围供应商的人数：见投标人须知前附表。</w:t>
      </w:r>
    </w:p>
    <w:p w14:paraId="22A9E927">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 xml:space="preserve">7.2  </w:t>
      </w:r>
      <w:r>
        <w:rPr>
          <w:rFonts w:hint="eastAsia" w:ascii="宋体" w:hAnsi="宋体" w:cs="宋体"/>
          <w:sz w:val="21"/>
          <w:szCs w:val="21"/>
          <w:lang w:val="en-US" w:eastAsia="zh-CN"/>
        </w:rPr>
        <w:t>入围</w:t>
      </w:r>
      <w:r>
        <w:rPr>
          <w:rFonts w:hint="eastAsia" w:ascii="宋体" w:hAnsi="宋体" w:cs="宋体"/>
          <w:sz w:val="21"/>
          <w:szCs w:val="21"/>
        </w:rPr>
        <w:t>公示及</w:t>
      </w:r>
      <w:r>
        <w:rPr>
          <w:rFonts w:hint="eastAsia" w:ascii="宋体" w:hAnsi="宋体" w:cs="宋体"/>
          <w:sz w:val="21"/>
          <w:szCs w:val="21"/>
          <w:lang w:val="en-US" w:eastAsia="zh-CN"/>
        </w:rPr>
        <w:t>入围</w:t>
      </w:r>
      <w:r>
        <w:rPr>
          <w:rFonts w:hint="eastAsia" w:ascii="宋体" w:hAnsi="宋体" w:cs="宋体"/>
          <w:sz w:val="21"/>
          <w:szCs w:val="21"/>
        </w:rPr>
        <w:t>通知</w:t>
      </w:r>
    </w:p>
    <w:p w14:paraId="6E65919A">
      <w:pPr>
        <w:autoSpaceDE w:val="0"/>
        <w:autoSpaceDN w:val="0"/>
        <w:snapToGrid w:val="0"/>
        <w:ind w:firstLine="420"/>
        <w:rPr>
          <w:rFonts w:ascii="宋体" w:hAnsi="宋体" w:cs="宋体"/>
          <w:szCs w:val="21"/>
        </w:rPr>
      </w:pPr>
      <w:r>
        <w:rPr>
          <w:rFonts w:hint="eastAsia" w:ascii="宋体" w:hAnsi="宋体" w:cs="宋体"/>
          <w:szCs w:val="21"/>
        </w:rPr>
        <w:t>招标人在收到评标报告之日起3日内公示入围供应商，公示期不得少于3日。</w:t>
      </w:r>
    </w:p>
    <w:p w14:paraId="40703EE6">
      <w:pPr>
        <w:autoSpaceDE w:val="0"/>
        <w:autoSpaceDN w:val="0"/>
        <w:snapToGrid w:val="0"/>
        <w:ind w:firstLine="420"/>
        <w:rPr>
          <w:rFonts w:ascii="宋体" w:hAnsi="宋体" w:cs="宋体"/>
          <w:color w:val="auto"/>
          <w:szCs w:val="21"/>
          <w:highlight w:val="none"/>
        </w:rPr>
      </w:pPr>
      <w:r>
        <w:rPr>
          <w:rFonts w:hint="eastAsia" w:ascii="宋体" w:hAnsi="宋体" w:cs="宋体"/>
          <w:szCs w:val="21"/>
        </w:rPr>
        <w:t>在本章第 3.3 款规定的投标有效期内，且未有投标人的异议与投诉，招标人以书面形式向</w:t>
      </w:r>
      <w:r>
        <w:rPr>
          <w:rFonts w:hint="eastAsia" w:ascii="宋体" w:hAnsi="宋体" w:cs="宋体"/>
          <w:szCs w:val="21"/>
          <w:lang w:val="en-US" w:eastAsia="zh-CN"/>
        </w:rPr>
        <w:t>入围供应商</w:t>
      </w:r>
      <w:r>
        <w:rPr>
          <w:rFonts w:hint="eastAsia" w:ascii="宋体" w:hAnsi="宋体" w:cs="宋体"/>
          <w:szCs w:val="21"/>
        </w:rPr>
        <w:t>发出</w:t>
      </w:r>
      <w:r>
        <w:rPr>
          <w:rFonts w:hint="eastAsia" w:ascii="宋体" w:hAnsi="宋体" w:cs="宋体"/>
          <w:sz w:val="21"/>
          <w:szCs w:val="21"/>
          <w:lang w:val="en-US" w:eastAsia="zh-CN"/>
        </w:rPr>
        <w:t>入围</w:t>
      </w:r>
      <w:r>
        <w:rPr>
          <w:rFonts w:hint="eastAsia" w:ascii="宋体" w:hAnsi="宋体" w:cs="宋体"/>
          <w:szCs w:val="21"/>
        </w:rPr>
        <w:t>通知书</w:t>
      </w:r>
      <w:r>
        <w:rPr>
          <w:rFonts w:hint="eastAsia" w:ascii="宋体" w:hAnsi="宋体" w:cs="宋体"/>
          <w:color w:val="auto"/>
          <w:szCs w:val="21"/>
          <w:highlight w:val="none"/>
        </w:rPr>
        <w:t>。</w:t>
      </w:r>
    </w:p>
    <w:p w14:paraId="585B8907">
      <w:pPr>
        <w:pStyle w:val="5"/>
        <w:snapToGrid w:val="0"/>
        <w:spacing w:before="0" w:after="0" w:line="360" w:lineRule="auto"/>
        <w:ind w:firstLine="422"/>
        <w:rPr>
          <w:rFonts w:ascii="宋体" w:hAnsi="宋体" w:cs="宋体"/>
          <w:b w:val="0"/>
          <w:color w:val="auto"/>
          <w:sz w:val="21"/>
          <w:szCs w:val="21"/>
          <w:highlight w:val="none"/>
        </w:rPr>
      </w:pPr>
      <w:r>
        <w:rPr>
          <w:rFonts w:hint="eastAsia" w:ascii="宋体" w:hAnsi="宋体" w:cs="宋体"/>
          <w:color w:val="auto"/>
          <w:sz w:val="21"/>
          <w:szCs w:val="21"/>
          <w:highlight w:val="none"/>
        </w:rPr>
        <w:t>7.3  履约担保</w:t>
      </w:r>
    </w:p>
    <w:p w14:paraId="68322BE6">
      <w:pPr>
        <w:autoSpaceDE w:val="0"/>
        <w:autoSpaceDN w:val="0"/>
        <w:snapToGrid w:val="0"/>
        <w:ind w:firstLine="420"/>
        <w:rPr>
          <w:rFonts w:ascii="宋体" w:hAnsi="宋体" w:cs="宋体"/>
          <w:szCs w:val="21"/>
        </w:rPr>
      </w:pPr>
      <w:r>
        <w:rPr>
          <w:rFonts w:hint="eastAsia" w:ascii="宋体" w:hAnsi="宋体" w:cs="宋体"/>
          <w:color w:val="auto"/>
          <w:szCs w:val="21"/>
          <w:highlight w:val="none"/>
        </w:rPr>
        <w:t xml:space="preserve">7.3.1  </w:t>
      </w:r>
      <w:r>
        <w:rPr>
          <w:rFonts w:hint="eastAsia" w:ascii="宋体" w:hAnsi="宋体" w:cs="宋体"/>
          <w:szCs w:val="21"/>
        </w:rPr>
        <w:t>在签订合同前，入围供应商应按投标人须知前附表规定的金额、担保形式和招标文件第四章“合同条款及格式”规定的履约担保格式向招标人提交履约担保。</w:t>
      </w:r>
    </w:p>
    <w:p w14:paraId="7DB539AD">
      <w:pPr>
        <w:autoSpaceDE w:val="0"/>
        <w:autoSpaceDN w:val="0"/>
        <w:snapToGrid w:val="0"/>
        <w:ind w:firstLine="420"/>
        <w:rPr>
          <w:rFonts w:ascii="宋体" w:hAnsi="宋体" w:cs="宋体"/>
          <w:color w:val="auto"/>
          <w:szCs w:val="21"/>
          <w:highlight w:val="none"/>
        </w:rPr>
      </w:pPr>
      <w:r>
        <w:rPr>
          <w:rFonts w:hint="eastAsia" w:ascii="宋体" w:hAnsi="宋体" w:cs="宋体"/>
          <w:szCs w:val="21"/>
        </w:rPr>
        <w:t>7.3.2  入围供应商不能按本章第 7.3.1 项要求提交履约担保的，视为放弃</w:t>
      </w:r>
      <w:r>
        <w:rPr>
          <w:rFonts w:hint="eastAsia" w:ascii="宋体" w:hAnsi="宋体" w:cs="宋体"/>
          <w:szCs w:val="21"/>
          <w:lang w:val="en-US" w:eastAsia="zh-CN"/>
        </w:rPr>
        <w:t>入围</w:t>
      </w:r>
      <w:r>
        <w:rPr>
          <w:rFonts w:hint="eastAsia" w:ascii="宋体" w:hAnsi="宋体" w:cs="宋体"/>
          <w:szCs w:val="21"/>
        </w:rPr>
        <w:t>，其投标保证金不予退还，给招标人造成的损失超过投标保证金数额的，</w:t>
      </w:r>
      <w:r>
        <w:rPr>
          <w:rFonts w:hint="eastAsia" w:ascii="宋体" w:hAnsi="宋体" w:cs="宋体"/>
          <w:szCs w:val="21"/>
          <w:lang w:val="en-US" w:eastAsia="zh-CN"/>
        </w:rPr>
        <w:t>入围供应商</w:t>
      </w:r>
      <w:r>
        <w:rPr>
          <w:rFonts w:hint="eastAsia" w:ascii="宋体" w:hAnsi="宋体" w:cs="宋体"/>
          <w:szCs w:val="21"/>
        </w:rPr>
        <w:t>还应当对超过部分予以赔偿</w:t>
      </w:r>
      <w:r>
        <w:rPr>
          <w:rFonts w:hint="eastAsia" w:ascii="宋体" w:hAnsi="宋体" w:cs="宋体"/>
          <w:color w:val="auto"/>
          <w:szCs w:val="21"/>
          <w:highlight w:val="none"/>
        </w:rPr>
        <w:t>。</w:t>
      </w:r>
    </w:p>
    <w:p w14:paraId="5E10EE95">
      <w:pPr>
        <w:pStyle w:val="5"/>
        <w:snapToGrid w:val="0"/>
        <w:spacing w:before="0" w:after="0" w:line="360" w:lineRule="auto"/>
        <w:ind w:firstLine="422"/>
        <w:rPr>
          <w:rFonts w:ascii="宋体" w:hAnsi="宋体" w:cs="宋体"/>
          <w:b w:val="0"/>
          <w:color w:val="auto"/>
          <w:sz w:val="21"/>
          <w:szCs w:val="21"/>
          <w:highlight w:val="none"/>
        </w:rPr>
      </w:pPr>
      <w:r>
        <w:rPr>
          <w:rFonts w:hint="eastAsia" w:ascii="宋体" w:hAnsi="宋体" w:cs="宋体"/>
          <w:color w:val="auto"/>
          <w:sz w:val="21"/>
          <w:szCs w:val="21"/>
          <w:highlight w:val="none"/>
        </w:rPr>
        <w:t>7.4  签订合同</w:t>
      </w:r>
    </w:p>
    <w:p w14:paraId="0EFB6CE1">
      <w:pPr>
        <w:autoSpaceDE w:val="0"/>
        <w:autoSpaceDN w:val="0"/>
        <w:snapToGrid w:val="0"/>
        <w:ind w:firstLine="420"/>
        <w:rPr>
          <w:rFonts w:ascii="宋体" w:hAnsi="宋体" w:cs="宋体"/>
          <w:szCs w:val="21"/>
        </w:rPr>
      </w:pPr>
      <w:r>
        <w:rPr>
          <w:rFonts w:hint="eastAsia" w:ascii="宋体" w:hAnsi="宋体" w:cs="宋体"/>
          <w:color w:val="auto"/>
          <w:szCs w:val="21"/>
          <w:highlight w:val="none"/>
        </w:rPr>
        <w:t>7.4.1</w:t>
      </w:r>
      <w:r>
        <w:rPr>
          <w:rFonts w:hint="eastAsia" w:ascii="宋体" w:hAnsi="宋体" w:cs="宋体"/>
          <w:color w:val="auto"/>
          <w:szCs w:val="21"/>
          <w:highlight w:val="none"/>
          <w:lang w:val="en-US" w:eastAsia="zh-CN"/>
        </w:rPr>
        <w:t xml:space="preserve"> </w:t>
      </w:r>
      <w:r>
        <w:rPr>
          <w:rFonts w:hint="eastAsia" w:ascii="宋体" w:hAnsi="宋体" w:cs="宋体"/>
          <w:szCs w:val="21"/>
        </w:rPr>
        <w:t>招标人和入围供应商应当自</w:t>
      </w:r>
      <w:r>
        <w:rPr>
          <w:rFonts w:hint="eastAsia" w:ascii="宋体" w:hAnsi="宋体" w:cs="宋体"/>
          <w:szCs w:val="21"/>
          <w:lang w:val="en-US" w:eastAsia="zh-CN"/>
        </w:rPr>
        <w:t>入围</w:t>
      </w:r>
      <w:r>
        <w:rPr>
          <w:rFonts w:hint="eastAsia" w:ascii="宋体" w:hAnsi="宋体" w:cs="宋体"/>
          <w:szCs w:val="21"/>
        </w:rPr>
        <w:t>通知书发出之日起 30 天内，根据招标文件和入围供应商的投标文件订立书面合同。入围供应商放弃</w:t>
      </w:r>
      <w:r>
        <w:rPr>
          <w:rFonts w:hint="eastAsia" w:ascii="宋体" w:hAnsi="宋体" w:cs="宋体"/>
          <w:szCs w:val="21"/>
          <w:lang w:val="en-US" w:eastAsia="zh-CN"/>
        </w:rPr>
        <w:t>入围</w:t>
      </w:r>
      <w:r>
        <w:rPr>
          <w:rFonts w:hint="eastAsia" w:ascii="宋体" w:hAnsi="宋体" w:cs="宋体"/>
          <w:szCs w:val="21"/>
        </w:rPr>
        <w:t>项目，无正当理由不与招标人签订合同，在签订合同时向招标人提出附加条件或者更改合同实质性内容，或不按照招标文件要求提交低价风险担保（适用于经评审最低投标价法）或履约保证金的，招标人有权取消其</w:t>
      </w:r>
      <w:r>
        <w:rPr>
          <w:rFonts w:hint="eastAsia" w:ascii="宋体" w:hAnsi="宋体" w:cs="宋体"/>
          <w:szCs w:val="21"/>
          <w:lang w:val="en-US" w:eastAsia="zh-CN"/>
        </w:rPr>
        <w:t>入围</w:t>
      </w:r>
      <w:r>
        <w:rPr>
          <w:rFonts w:hint="eastAsia" w:ascii="宋体" w:hAnsi="宋体" w:cs="宋体"/>
          <w:szCs w:val="21"/>
        </w:rPr>
        <w:t>资格，其投标保证金不予退还；给招标人造成的损失超过投标保证金数额的，入围供应商还应当对超过部分予以赔偿。</w:t>
      </w:r>
    </w:p>
    <w:p w14:paraId="305161ED">
      <w:pPr>
        <w:autoSpaceDE w:val="0"/>
        <w:autoSpaceDN w:val="0"/>
        <w:snapToGrid w:val="0"/>
        <w:ind w:firstLine="420"/>
        <w:rPr>
          <w:rFonts w:ascii="宋体" w:hAnsi="宋体" w:cs="宋体"/>
          <w:color w:val="auto"/>
          <w:szCs w:val="21"/>
          <w:highlight w:val="none"/>
        </w:rPr>
      </w:pPr>
      <w:r>
        <w:rPr>
          <w:rFonts w:hint="eastAsia" w:ascii="宋体" w:hAnsi="宋体" w:cs="宋体"/>
          <w:szCs w:val="21"/>
        </w:rPr>
        <w:t>7.4.2  发出</w:t>
      </w:r>
      <w:r>
        <w:rPr>
          <w:rFonts w:hint="eastAsia" w:ascii="宋体" w:hAnsi="宋体" w:cs="宋体"/>
          <w:szCs w:val="21"/>
          <w:lang w:val="en-US" w:eastAsia="zh-CN"/>
        </w:rPr>
        <w:t>入围</w:t>
      </w:r>
      <w:r>
        <w:rPr>
          <w:rFonts w:hint="eastAsia" w:ascii="宋体" w:hAnsi="宋体" w:cs="宋体"/>
          <w:szCs w:val="21"/>
        </w:rPr>
        <w:t>通知书后，招标人无正当理由拒签合同的，招标人向入围供应商退还投标保证金；给入围供应商造成损失的，还应当赔偿损失</w:t>
      </w:r>
      <w:r>
        <w:rPr>
          <w:rFonts w:hint="eastAsia" w:ascii="宋体" w:hAnsi="宋体" w:cs="宋体"/>
          <w:color w:val="auto"/>
          <w:szCs w:val="21"/>
          <w:highlight w:val="none"/>
        </w:rPr>
        <w:t>。</w:t>
      </w:r>
    </w:p>
    <w:p w14:paraId="32431458">
      <w:pPr>
        <w:pStyle w:val="4"/>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纪律和监督</w:t>
      </w:r>
    </w:p>
    <w:p w14:paraId="29CF14AC">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  对招标人的纪律要求</w:t>
      </w:r>
    </w:p>
    <w:p w14:paraId="17FD69ED">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招标人不得泄漏招标投标活动中应当保密的情况和资料，不得与投标人串通损害国家利益、社会公共利益或者他人合法权益，禁止招标人与投标人串通投标。</w:t>
      </w:r>
    </w:p>
    <w:p w14:paraId="0F5C2C59">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有下列情形之一的，属于招标人与投标人串通投标：</w:t>
      </w:r>
    </w:p>
    <w:p w14:paraId="3592F44D">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（1）招标人在开标前开启投标文件并将有关信息泄露给其他投标人；</w:t>
      </w:r>
    </w:p>
    <w:p w14:paraId="60CA09AF">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（2）招标人直接或者间接向投标人泄露标底、评标委员会成员等信息；</w:t>
      </w:r>
    </w:p>
    <w:p w14:paraId="04CEF05E">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（3）招标人明示或者暗示投标人压低或者抬高投标报价；</w:t>
      </w:r>
    </w:p>
    <w:p w14:paraId="3268D70C">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（4）招标人授意投标人撤换、修改投标文件；</w:t>
      </w:r>
    </w:p>
    <w:p w14:paraId="2E6A3F39">
      <w:pPr>
        <w:autoSpaceDE w:val="0"/>
        <w:autoSpaceDN w:val="0"/>
        <w:snapToGrid w:val="0"/>
        <w:ind w:firstLine="420"/>
        <w:rPr>
          <w:rFonts w:ascii="宋体" w:hAnsi="宋体" w:cs="宋体"/>
          <w:szCs w:val="21"/>
        </w:rPr>
      </w:pPr>
      <w:r>
        <w:rPr>
          <w:rFonts w:hint="eastAsia" w:ascii="宋体" w:hAnsi="宋体" w:cs="宋体"/>
          <w:color w:val="auto"/>
          <w:szCs w:val="21"/>
          <w:highlight w:val="none"/>
        </w:rPr>
        <w:t>（5）</w:t>
      </w:r>
      <w:r>
        <w:rPr>
          <w:rFonts w:hint="eastAsia" w:ascii="宋体" w:hAnsi="宋体" w:cs="宋体"/>
          <w:szCs w:val="21"/>
        </w:rPr>
        <w:t>招标人明示或者暗示投标人为特定投标人</w:t>
      </w:r>
      <w:r>
        <w:rPr>
          <w:rFonts w:hint="eastAsia" w:ascii="宋体" w:hAnsi="宋体" w:cs="宋体"/>
          <w:szCs w:val="21"/>
          <w:lang w:val="en-US" w:eastAsia="zh-CN"/>
        </w:rPr>
        <w:t>入围</w:t>
      </w:r>
      <w:r>
        <w:rPr>
          <w:rFonts w:hint="eastAsia" w:ascii="宋体" w:hAnsi="宋体" w:cs="宋体"/>
          <w:szCs w:val="21"/>
        </w:rPr>
        <w:t>提供方便；</w:t>
      </w:r>
    </w:p>
    <w:p w14:paraId="7D2F39C5">
      <w:pPr>
        <w:autoSpaceDE w:val="0"/>
        <w:autoSpaceDN w:val="0"/>
        <w:snapToGrid w:val="0"/>
        <w:ind w:firstLine="420"/>
        <w:rPr>
          <w:rFonts w:ascii="宋体" w:hAnsi="宋体" w:cs="宋体"/>
          <w:color w:val="auto"/>
          <w:szCs w:val="21"/>
          <w:highlight w:val="none"/>
        </w:rPr>
      </w:pPr>
      <w:r>
        <w:rPr>
          <w:rFonts w:hint="eastAsia" w:ascii="宋体" w:hAnsi="宋体" w:cs="宋体"/>
          <w:szCs w:val="21"/>
        </w:rPr>
        <w:t>（6）招标人与投标人为谋求特定投标人</w:t>
      </w:r>
      <w:r>
        <w:rPr>
          <w:rFonts w:hint="eastAsia" w:ascii="宋体" w:hAnsi="宋体" w:cs="宋体"/>
          <w:szCs w:val="21"/>
          <w:lang w:val="en-US" w:eastAsia="zh-CN"/>
        </w:rPr>
        <w:t>入围</w:t>
      </w:r>
      <w:r>
        <w:rPr>
          <w:rFonts w:hint="eastAsia" w:ascii="宋体" w:hAnsi="宋体" w:cs="宋体"/>
          <w:szCs w:val="21"/>
        </w:rPr>
        <w:t>而采取的其他串通行为</w:t>
      </w:r>
      <w:r>
        <w:rPr>
          <w:rFonts w:hint="eastAsia" w:ascii="宋体" w:hAnsi="宋体" w:cs="宋体"/>
          <w:color w:val="auto"/>
          <w:szCs w:val="21"/>
          <w:highlight w:val="none"/>
        </w:rPr>
        <w:t>。</w:t>
      </w:r>
    </w:p>
    <w:p w14:paraId="45C29DE1">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.2  对投标人的纪律要求</w:t>
      </w:r>
    </w:p>
    <w:p w14:paraId="49C7BC24">
      <w:pPr>
        <w:autoSpaceDE w:val="0"/>
        <w:autoSpaceDN w:val="0"/>
        <w:snapToGrid w:val="0"/>
        <w:spacing w:line="300" w:lineRule="auto"/>
        <w:ind w:firstLine="420"/>
        <w:rPr>
          <w:rFonts w:ascii="宋体" w:hAnsi="宋体" w:cs="宋体"/>
          <w:color w:val="auto"/>
          <w:szCs w:val="21"/>
          <w:highlight w:val="none"/>
        </w:rPr>
      </w:pPr>
      <w:r>
        <w:rPr>
          <w:rFonts w:hint="eastAsia" w:ascii="宋体" w:hAnsi="宋体" w:cs="宋体"/>
          <w:szCs w:val="21"/>
        </w:rPr>
        <w:t>投标人不得相互串通投标或者与招标人串通投标，不得向招标人或者评标委员会成员行贿谋取</w:t>
      </w:r>
      <w:r>
        <w:rPr>
          <w:rFonts w:hint="eastAsia" w:ascii="宋体" w:hAnsi="宋体" w:cs="宋体"/>
          <w:szCs w:val="21"/>
          <w:lang w:val="en-US" w:eastAsia="zh-CN"/>
        </w:rPr>
        <w:t>入围</w:t>
      </w:r>
      <w:r>
        <w:rPr>
          <w:rFonts w:hint="eastAsia" w:ascii="宋体" w:hAnsi="宋体" w:cs="宋体"/>
          <w:szCs w:val="21"/>
        </w:rPr>
        <w:t>，不得以他人名义投标或者以其他方式弄虚作假骗取</w:t>
      </w:r>
      <w:r>
        <w:rPr>
          <w:rFonts w:hint="eastAsia" w:ascii="宋体" w:hAnsi="宋体" w:cs="宋体"/>
          <w:szCs w:val="21"/>
          <w:lang w:val="en-US" w:eastAsia="zh-CN"/>
        </w:rPr>
        <w:t>入围</w:t>
      </w:r>
      <w:r>
        <w:rPr>
          <w:rFonts w:hint="eastAsia" w:ascii="宋体" w:hAnsi="宋体" w:cs="宋体"/>
          <w:szCs w:val="21"/>
        </w:rPr>
        <w:t>；投标人不得以任何方式干扰、影响评标工作</w:t>
      </w:r>
      <w:r>
        <w:rPr>
          <w:rFonts w:hint="eastAsia" w:ascii="宋体" w:hAnsi="宋体" w:cs="宋体"/>
          <w:color w:val="auto"/>
          <w:szCs w:val="21"/>
          <w:highlight w:val="none"/>
        </w:rPr>
        <w:t>。    </w:t>
      </w:r>
    </w:p>
    <w:p w14:paraId="1DA8BA16">
      <w:pPr>
        <w:autoSpaceDE w:val="0"/>
        <w:autoSpaceDN w:val="0"/>
        <w:snapToGrid w:val="0"/>
        <w:spacing w:line="30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.2.1有下列情形之一的，属于投标人相互串通投标:</w:t>
      </w:r>
    </w:p>
    <w:p w14:paraId="447FEB13">
      <w:pPr>
        <w:autoSpaceDE w:val="0"/>
        <w:autoSpaceDN w:val="0"/>
        <w:snapToGrid w:val="0"/>
        <w:spacing w:line="300" w:lineRule="auto"/>
        <w:ind w:firstLine="420"/>
        <w:rPr>
          <w:rFonts w:ascii="宋体" w:hAnsi="宋体" w:cs="宋体"/>
          <w:color w:val="auto"/>
          <w:szCs w:val="21"/>
          <w:highlight w:val="none"/>
        </w:rPr>
      </w:pPr>
      <w:r>
        <w:rPr>
          <w:rFonts w:hint="eastAsia" w:ascii="宋体" w:hAnsi="宋体" w:cs="宋体"/>
          <w:color w:val="auto"/>
          <w:szCs w:val="21"/>
          <w:highlight w:val="none"/>
        </w:rPr>
        <w:t>（1）投标人之间协商投标报价等投标文件的实质性内容；</w:t>
      </w:r>
    </w:p>
    <w:p w14:paraId="5580B663">
      <w:pPr>
        <w:autoSpaceDE w:val="0"/>
        <w:autoSpaceDN w:val="0"/>
        <w:snapToGrid w:val="0"/>
        <w:ind w:firstLine="420"/>
        <w:rPr>
          <w:rFonts w:ascii="宋体" w:hAnsi="宋体" w:cs="宋体"/>
          <w:szCs w:val="21"/>
        </w:rPr>
      </w:pPr>
      <w:r>
        <w:rPr>
          <w:rFonts w:hint="eastAsia" w:ascii="宋体" w:hAnsi="宋体" w:cs="宋体"/>
          <w:color w:val="auto"/>
          <w:szCs w:val="21"/>
          <w:highlight w:val="none"/>
        </w:rPr>
        <w:t>（2）</w:t>
      </w:r>
      <w:r>
        <w:rPr>
          <w:rFonts w:hint="eastAsia" w:ascii="宋体" w:hAnsi="宋体" w:cs="宋体"/>
          <w:szCs w:val="21"/>
        </w:rPr>
        <w:t>投标人之间约定</w:t>
      </w:r>
      <w:r>
        <w:rPr>
          <w:rFonts w:hint="eastAsia" w:ascii="宋体" w:hAnsi="宋体" w:cs="宋体"/>
          <w:szCs w:val="21"/>
          <w:lang w:val="en-US" w:eastAsia="zh-CN"/>
        </w:rPr>
        <w:t>入围</w:t>
      </w:r>
      <w:r>
        <w:rPr>
          <w:rFonts w:hint="eastAsia" w:ascii="宋体" w:hAnsi="宋体" w:cs="宋体"/>
          <w:szCs w:val="21"/>
        </w:rPr>
        <w:t>人；</w:t>
      </w:r>
    </w:p>
    <w:p w14:paraId="7CFA2027">
      <w:pPr>
        <w:autoSpaceDE w:val="0"/>
        <w:autoSpaceDN w:val="0"/>
        <w:snapToGrid w:val="0"/>
        <w:ind w:firstLine="420"/>
        <w:rPr>
          <w:rFonts w:ascii="宋体" w:hAnsi="宋体" w:cs="宋体"/>
          <w:szCs w:val="21"/>
        </w:rPr>
      </w:pPr>
      <w:r>
        <w:rPr>
          <w:rFonts w:hint="eastAsia" w:ascii="宋体" w:hAnsi="宋体" w:cs="宋体"/>
          <w:szCs w:val="21"/>
        </w:rPr>
        <w:t>（3）投标人之间约定部分投标人放弃投标或者</w:t>
      </w:r>
      <w:r>
        <w:rPr>
          <w:rFonts w:hint="eastAsia" w:ascii="宋体" w:hAnsi="宋体" w:cs="宋体"/>
          <w:szCs w:val="21"/>
          <w:lang w:val="en-US" w:eastAsia="zh-CN"/>
        </w:rPr>
        <w:t>入围</w:t>
      </w:r>
      <w:r>
        <w:rPr>
          <w:rFonts w:hint="eastAsia" w:ascii="宋体" w:hAnsi="宋体" w:cs="宋体"/>
          <w:szCs w:val="21"/>
        </w:rPr>
        <w:t>；</w:t>
      </w:r>
    </w:p>
    <w:p w14:paraId="6C15B38F">
      <w:pPr>
        <w:autoSpaceDE w:val="0"/>
        <w:autoSpaceDN w:val="0"/>
        <w:snapToGrid w:val="0"/>
        <w:ind w:firstLine="420"/>
        <w:rPr>
          <w:rFonts w:ascii="宋体" w:hAnsi="宋体" w:cs="宋体"/>
          <w:szCs w:val="21"/>
        </w:rPr>
      </w:pPr>
      <w:r>
        <w:rPr>
          <w:rFonts w:hint="eastAsia" w:ascii="宋体" w:hAnsi="宋体" w:cs="宋体"/>
          <w:szCs w:val="21"/>
        </w:rPr>
        <w:t>（4）属于同一集团、协会、商会等组织成员的投标人按照该组织要求协商投标；</w:t>
      </w:r>
    </w:p>
    <w:p w14:paraId="4911A7C9">
      <w:pPr>
        <w:autoSpaceDE w:val="0"/>
        <w:autoSpaceDN w:val="0"/>
        <w:snapToGrid w:val="0"/>
        <w:ind w:firstLine="420"/>
        <w:rPr>
          <w:rFonts w:ascii="宋体" w:hAnsi="宋体" w:cs="宋体"/>
          <w:color w:val="auto"/>
          <w:szCs w:val="21"/>
          <w:highlight w:val="none"/>
        </w:rPr>
      </w:pPr>
      <w:r>
        <w:rPr>
          <w:rFonts w:hint="eastAsia" w:ascii="宋体" w:hAnsi="宋体" w:cs="宋体"/>
          <w:szCs w:val="21"/>
        </w:rPr>
        <w:t>（5）投标人之间为谋取</w:t>
      </w:r>
      <w:r>
        <w:rPr>
          <w:rFonts w:hint="eastAsia" w:ascii="宋体" w:hAnsi="宋体" w:cs="宋体"/>
          <w:szCs w:val="21"/>
          <w:lang w:val="en-US" w:eastAsia="zh-CN"/>
        </w:rPr>
        <w:t>入围</w:t>
      </w:r>
      <w:r>
        <w:rPr>
          <w:rFonts w:hint="eastAsia" w:ascii="宋体" w:hAnsi="宋体" w:cs="宋体"/>
          <w:szCs w:val="21"/>
        </w:rPr>
        <w:t>或者排斥特定投标人而采取的其他联合行动</w:t>
      </w:r>
      <w:r>
        <w:rPr>
          <w:rFonts w:hint="eastAsia" w:ascii="宋体" w:hAnsi="宋体" w:cs="宋体"/>
          <w:color w:val="auto"/>
          <w:szCs w:val="21"/>
          <w:highlight w:val="none"/>
        </w:rPr>
        <w:t>。</w:t>
      </w:r>
    </w:p>
    <w:p w14:paraId="5DE3B94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.2.2有下列情形之一的，视为投标人相互串通投标：</w:t>
      </w:r>
    </w:p>
    <w:p w14:paraId="754FBB6D">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249305B6">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6B24F985">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（3）不同投标人的投标文件载明的项目管理成员为同一人；</w:t>
      </w:r>
    </w:p>
    <w:p w14:paraId="5B286D56">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1C53C2B8">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14C0C776">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p w14:paraId="328C11F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.2.3使用通过受让或者租借等方式获取的资格、资质证书投标的，属于以他人名义投标。</w:t>
      </w:r>
    </w:p>
    <w:p w14:paraId="72C1DFB1">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.2.4投标人有下列情形之一的，属于以其他方式弄虚作假的行为：</w:t>
      </w:r>
    </w:p>
    <w:p w14:paraId="2D961321">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（1）使用伪造、变造的许可证件；</w:t>
      </w:r>
    </w:p>
    <w:p w14:paraId="1F9091FB">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（2）提供虚假的财务状况或者业绩；</w:t>
      </w:r>
    </w:p>
    <w:p w14:paraId="4831DBCF">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（3）提供虚假的项目负责人或者主要技术人员简历、劳动关系证明；</w:t>
      </w:r>
    </w:p>
    <w:p w14:paraId="157F0D8A">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（4）提供虚假的信用状况；</w:t>
      </w:r>
    </w:p>
    <w:p w14:paraId="7A9A91C3">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（5）其他弄虚作假的行为。</w:t>
      </w:r>
    </w:p>
    <w:p w14:paraId="79FAFA36">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.3  对评标委员会成员的纪律要求</w:t>
      </w:r>
    </w:p>
    <w:p w14:paraId="7F88EDCD">
      <w:pPr>
        <w:autoSpaceDE w:val="0"/>
        <w:autoSpaceDN w:val="0"/>
        <w:snapToGrid w:val="0"/>
        <w:ind w:firstLine="420"/>
        <w:rPr>
          <w:rFonts w:ascii="宋体" w:hAnsi="宋体" w:cs="宋体"/>
          <w:color w:val="auto"/>
          <w:szCs w:val="21"/>
          <w:highlight w:val="none"/>
        </w:rPr>
      </w:pPr>
      <w:r>
        <w:rPr>
          <w:rFonts w:hint="eastAsia" w:ascii="宋体" w:hAnsi="宋体" w:cs="宋体"/>
          <w:szCs w:val="21"/>
        </w:rPr>
        <w:t>评标委员会成员不得收受他人的财物或者其他好处，不得向他人透漏对投标文件的评审和比较、入围供应商的推荐情况以及评标有关的其他情况。在评标活动中，评标委员会成员不得擅离职守，影响评标程序正常进行，不得使用第三章“评标办法”没有规定的评审因素和标准进行评标，不得对招标文件中《否决投标情况一览表》以外的内容予以否决投标，否则对评标委员会成员按《重庆市综合评标专家库和评标专家管理暂行办法》进行处理</w:t>
      </w:r>
      <w:r>
        <w:rPr>
          <w:rFonts w:hint="eastAsia" w:ascii="宋体" w:hAnsi="宋体" w:cs="宋体"/>
          <w:color w:val="auto"/>
          <w:szCs w:val="21"/>
          <w:highlight w:val="none"/>
        </w:rPr>
        <w:t>。</w:t>
      </w:r>
    </w:p>
    <w:p w14:paraId="4AA0994D">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.4  对与评标活动有关的工作人员的纪律要求</w:t>
      </w:r>
    </w:p>
    <w:p w14:paraId="700C7106">
      <w:pPr>
        <w:autoSpaceDE w:val="0"/>
        <w:autoSpaceDN w:val="0"/>
        <w:snapToGrid w:val="0"/>
        <w:ind w:firstLine="420"/>
        <w:rPr>
          <w:rFonts w:ascii="宋体" w:hAnsi="宋体" w:cs="宋体"/>
          <w:color w:val="auto"/>
          <w:szCs w:val="21"/>
          <w:highlight w:val="none"/>
        </w:rPr>
      </w:pPr>
      <w:r>
        <w:rPr>
          <w:rFonts w:hint="eastAsia" w:ascii="宋体" w:hAnsi="宋体" w:cs="宋体"/>
          <w:szCs w:val="21"/>
        </w:rPr>
        <w:t>与评标活动有关的工作人员不得收受他人的财物或者其他好处，不得向他人透漏对投标文件的评审和比较、入围供应商的推荐情况以及与评标有关的其他情况。在评标活动中，与评标活动有关的工作人员不得擅离职守，影响评标程序正常进行</w:t>
      </w:r>
      <w:r>
        <w:rPr>
          <w:rFonts w:hint="eastAsia" w:ascii="宋体" w:hAnsi="宋体" w:cs="宋体"/>
          <w:color w:val="auto"/>
          <w:szCs w:val="21"/>
          <w:highlight w:val="none"/>
        </w:rPr>
        <w:t>。</w:t>
      </w:r>
    </w:p>
    <w:p w14:paraId="55A3534F">
      <w:pPr>
        <w:pStyle w:val="5"/>
        <w:snapToGrid w:val="0"/>
        <w:spacing w:before="0"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.5  投诉</w:t>
      </w:r>
    </w:p>
    <w:p w14:paraId="6712C7B5">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投标人和其他利害关系人认为本次招标活动违反法律、法规和规章规定的，有权向有关行政监督部门投诉。</w:t>
      </w:r>
    </w:p>
    <w:p w14:paraId="7BE098E5">
      <w:pPr>
        <w:pStyle w:val="4"/>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需要补充的其他内容</w:t>
      </w:r>
    </w:p>
    <w:p w14:paraId="7E391140">
      <w:pPr>
        <w:autoSpaceDE w:val="0"/>
        <w:autoSpaceDN w:val="0"/>
        <w:snapToGrid w:val="0"/>
        <w:ind w:firstLine="420"/>
        <w:rPr>
          <w:rFonts w:ascii="宋体" w:hAnsi="宋体" w:cs="宋体"/>
          <w:color w:val="auto"/>
          <w:szCs w:val="21"/>
          <w:highlight w:val="none"/>
        </w:rPr>
      </w:pPr>
      <w:r>
        <w:rPr>
          <w:rFonts w:hint="eastAsia" w:ascii="宋体" w:hAnsi="宋体" w:cs="宋体"/>
          <w:color w:val="auto"/>
          <w:szCs w:val="21"/>
          <w:highlight w:val="none"/>
        </w:rPr>
        <w:t>需要补充的其他内容：见投标人须知前附表。</w:t>
      </w:r>
    </w:p>
    <w:p w14:paraId="6AA5FEA0">
      <w:pPr>
        <w:autoSpaceDE w:val="0"/>
        <w:autoSpaceDN w:val="0"/>
        <w:snapToGrid w:val="0"/>
        <w:ind w:firstLine="420"/>
        <w:rPr>
          <w:rFonts w:ascii="宋体" w:hAnsi="宋体" w:cs="宋体"/>
          <w:color w:val="auto"/>
          <w:highlight w:val="none"/>
        </w:rPr>
        <w:sectPr>
          <w:headerReference r:id="rId15" w:type="default"/>
          <w:pgSz w:w="11906" w:h="16838"/>
          <w:pgMar w:top="1134" w:right="1134" w:bottom="1134" w:left="1134" w:header="851" w:footer="851" w:gutter="0"/>
          <w:pgNumType w:chapStyle="1"/>
          <w:cols w:space="720" w:num="1"/>
          <w:docGrid w:linePitch="360" w:charSpace="6144"/>
        </w:sectPr>
      </w:pP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52A48F8E">
      <w:pPr>
        <w:autoSpaceDE w:val="0"/>
        <w:autoSpaceDN w:val="0"/>
        <w:snapToGrid w:val="0"/>
        <w:ind w:firstLine="420"/>
        <w:rPr>
          <w:rFonts w:ascii="宋体" w:hAnsi="宋体" w:cs="宋体"/>
          <w:color w:val="auto"/>
          <w:szCs w:val="21"/>
          <w:highlight w:val="none"/>
        </w:rPr>
      </w:pPr>
    </w:p>
    <w:p w14:paraId="52B19FCB">
      <w:pPr>
        <w:pStyle w:val="3"/>
        <w:spacing w:before="0" w:after="0" w:line="400" w:lineRule="exact"/>
        <w:ind w:left="0" w:leftChars="0" w:firstLine="0" w:firstLineChars="0"/>
        <w:jc w:val="center"/>
        <w:rPr>
          <w:rStyle w:val="41"/>
          <w:b/>
          <w:color w:val="auto"/>
          <w:highlight w:val="none"/>
        </w:rPr>
      </w:pPr>
      <w:bookmarkStart w:id="277" w:name="_Toc18550"/>
      <w:bookmarkStart w:id="278" w:name="_Toc173415203"/>
      <w:bookmarkStart w:id="279" w:name="_Toc21157"/>
      <w:bookmarkStart w:id="280" w:name="_Toc14183"/>
      <w:bookmarkStart w:id="281" w:name="_Toc23434"/>
      <w:r>
        <w:rPr>
          <w:rStyle w:val="41"/>
          <w:rFonts w:hint="eastAsia"/>
          <w:b/>
          <w:color w:val="auto"/>
          <w:highlight w:val="none"/>
        </w:rPr>
        <w:t>第三章  评标办法（综合评估法）</w:t>
      </w:r>
      <w:bookmarkEnd w:id="277"/>
      <w:bookmarkEnd w:id="278"/>
    </w:p>
    <w:p w14:paraId="2D1C1508">
      <w:pPr>
        <w:pStyle w:val="4"/>
        <w:pageBreakBefore w:val="0"/>
        <w:kinsoku/>
        <w:wordWrap/>
        <w:overflowPunct/>
        <w:topLinePunct w:val="0"/>
        <w:autoSpaceDE/>
        <w:autoSpaceDN/>
        <w:bidi w:val="0"/>
        <w:snapToGrid/>
        <w:spacing w:before="0" w:after="0" w:line="360" w:lineRule="auto"/>
        <w:ind w:left="0" w:leftChars="0" w:firstLine="422" w:firstLineChars="200"/>
        <w:rPr>
          <w:rFonts w:ascii="宋体" w:hAnsi="宋体" w:cs="宋体"/>
          <w:b w:val="0"/>
          <w:color w:val="auto"/>
          <w:szCs w:val="21"/>
          <w:highlight w:val="none"/>
        </w:rPr>
      </w:pPr>
      <w:bookmarkStart w:id="282" w:name="_Toc473987400"/>
      <w:bookmarkStart w:id="283" w:name="_Toc224103383"/>
      <w:bookmarkStart w:id="284" w:name="_Toc287620750"/>
      <w:bookmarkStart w:id="285" w:name="_Toc287607811"/>
      <w:bookmarkStart w:id="286" w:name="_Toc277082617"/>
      <w:r>
        <w:rPr>
          <w:rFonts w:hint="eastAsia" w:ascii="宋体" w:hAnsi="宋体" w:eastAsia="宋体" w:cs="宋体"/>
          <w:color w:val="auto"/>
          <w:sz w:val="21"/>
          <w:szCs w:val="21"/>
          <w:highlight w:val="none"/>
        </w:rPr>
        <w:t>评标办法前附表</w:t>
      </w:r>
      <w:bookmarkEnd w:id="282"/>
      <w:bookmarkStart w:id="287" w:name="_Toc13210726"/>
    </w:p>
    <w:p w14:paraId="1F6E15D6">
      <w:pPr>
        <w:pageBreakBefore w:val="0"/>
        <w:kinsoku/>
        <w:wordWrap/>
        <w:overflowPunct/>
        <w:topLinePunct w:val="0"/>
        <w:autoSpaceDE/>
        <w:autoSpaceDN/>
        <w:bidi w:val="0"/>
        <w:snapToGrid/>
        <w:spacing w:line="400" w:lineRule="exact"/>
        <w:ind w:left="0" w:leftChars="0" w:firstLine="436" w:firstLineChars="200"/>
        <w:rPr>
          <w:rFonts w:ascii="宋体" w:hAnsi="宋体"/>
          <w:color w:val="auto"/>
          <w:spacing w:val="4"/>
          <w:szCs w:val="21"/>
          <w:highlight w:val="none"/>
        </w:rPr>
      </w:pPr>
      <w:r>
        <w:rPr>
          <w:rFonts w:ascii="宋体" w:hAnsi="宋体"/>
          <w:color w:val="auto"/>
          <w:spacing w:val="4"/>
          <w:szCs w:val="21"/>
          <w:highlight w:val="none"/>
        </w:rPr>
        <w:t>评标办法前附表中的评审内容必须和投标人须知前附表中的对应内容一致，若投标人须知前附表中未作要求的内容，不得列入评标办法前附表作为评定依据。</w:t>
      </w:r>
      <w:bookmarkEnd w:id="287"/>
    </w:p>
    <w:bookmarkEnd w:id="283"/>
    <w:bookmarkEnd w:id="284"/>
    <w:bookmarkEnd w:id="285"/>
    <w:bookmarkEnd w:id="286"/>
    <w:tbl>
      <w:tblPr>
        <w:tblStyle w:val="2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314"/>
        <w:gridCol w:w="396"/>
        <w:gridCol w:w="179"/>
        <w:gridCol w:w="1111"/>
        <w:gridCol w:w="645"/>
        <w:gridCol w:w="330"/>
        <w:gridCol w:w="4501"/>
      </w:tblGrid>
      <w:tr w14:paraId="61DD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8" w:type="dxa"/>
            <w:vAlign w:val="center"/>
          </w:tcPr>
          <w:p w14:paraId="226E99DA">
            <w:pPr>
              <w:pStyle w:val="52"/>
              <w:bidi w:val="0"/>
              <w:rPr>
                <w:highlight w:val="none"/>
              </w:rPr>
            </w:pPr>
            <w:r>
              <w:rPr>
                <w:rFonts w:hint="eastAsia"/>
                <w:highlight w:val="none"/>
              </w:rPr>
              <w:t>条款号</w:t>
            </w:r>
          </w:p>
        </w:tc>
        <w:tc>
          <w:tcPr>
            <w:tcW w:w="1314" w:type="dxa"/>
            <w:vAlign w:val="center"/>
          </w:tcPr>
          <w:p w14:paraId="3A6F4201">
            <w:pPr>
              <w:pStyle w:val="52"/>
              <w:bidi w:val="0"/>
              <w:rPr>
                <w:highlight w:val="none"/>
              </w:rPr>
            </w:pPr>
            <w:r>
              <w:rPr>
                <w:rFonts w:hint="eastAsia"/>
                <w:highlight w:val="none"/>
              </w:rPr>
              <w:t>评审因素</w:t>
            </w:r>
          </w:p>
        </w:tc>
        <w:tc>
          <w:tcPr>
            <w:tcW w:w="7162" w:type="dxa"/>
            <w:gridSpan w:val="6"/>
            <w:vAlign w:val="center"/>
          </w:tcPr>
          <w:p w14:paraId="49230110">
            <w:pPr>
              <w:pStyle w:val="52"/>
              <w:bidi w:val="0"/>
              <w:rPr>
                <w:highlight w:val="none"/>
              </w:rPr>
            </w:pPr>
            <w:r>
              <w:rPr>
                <w:rFonts w:hint="eastAsia"/>
                <w:highlight w:val="none"/>
              </w:rPr>
              <w:t>评审标准</w:t>
            </w:r>
          </w:p>
        </w:tc>
      </w:tr>
      <w:tr w14:paraId="54BF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8" w:type="dxa"/>
            <w:vAlign w:val="center"/>
          </w:tcPr>
          <w:p w14:paraId="1BDEA906">
            <w:pPr>
              <w:pStyle w:val="53"/>
              <w:bidi w:val="0"/>
              <w:jc w:val="center"/>
              <w:rPr>
                <w:rFonts w:hint="eastAsia"/>
                <w:highlight w:val="none"/>
                <w:lang w:val="en-US" w:eastAsia="zh-CN"/>
              </w:rPr>
            </w:pPr>
            <w:r>
              <w:rPr>
                <w:rFonts w:hint="eastAsia"/>
                <w:highlight w:val="none"/>
                <w:lang w:val="en-US" w:eastAsia="zh-CN"/>
              </w:rPr>
              <w:t>1</w:t>
            </w:r>
          </w:p>
        </w:tc>
        <w:tc>
          <w:tcPr>
            <w:tcW w:w="1314" w:type="dxa"/>
            <w:vAlign w:val="center"/>
          </w:tcPr>
          <w:p w14:paraId="02AC7462">
            <w:pPr>
              <w:pStyle w:val="53"/>
              <w:bidi w:val="0"/>
              <w:jc w:val="center"/>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6"/>
            <w:vAlign w:val="center"/>
          </w:tcPr>
          <w:p w14:paraId="68313727">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color w:val="auto"/>
                <w:highlight w:val="none"/>
              </w:rPr>
              <w:t>本次评审采用综合评估法</w:t>
            </w:r>
            <w:r>
              <w:rPr>
                <w:rFonts w:hint="eastAsia"/>
                <w:color w:val="auto"/>
                <w:highlight w:val="none"/>
                <w:lang w:eastAsia="zh-CN"/>
              </w:rPr>
              <w:t>，</w:t>
            </w:r>
            <w:r>
              <w:rPr>
                <w:rFonts w:hint="eastAsia"/>
                <w:color w:val="auto"/>
                <w:highlight w:val="none"/>
                <w:lang w:val="en-US" w:eastAsia="zh-CN"/>
              </w:rPr>
              <w:t>若出现投标人综合</w:t>
            </w:r>
            <w:r>
              <w:rPr>
                <w:rFonts w:hint="eastAsia"/>
                <w:color w:val="auto"/>
                <w:highlight w:val="none"/>
              </w:rPr>
              <w:t>评分相等时，</w:t>
            </w:r>
            <w:r>
              <w:rPr>
                <w:rFonts w:hint="eastAsia" w:ascii="宋体" w:hAnsi="宋体" w:eastAsia="宋体" w:cs="宋体"/>
                <w:spacing w:val="4"/>
                <w:kern w:val="0"/>
                <w:szCs w:val="21"/>
                <w:highlight w:val="none"/>
              </w:rPr>
              <w:t>评标委员会依次按照以下优先顺序推荐</w:t>
            </w:r>
            <w:r>
              <w:rPr>
                <w:rFonts w:hint="eastAsia" w:ascii="宋体" w:hAnsi="宋体" w:eastAsia="宋体" w:cs="宋体"/>
                <w:spacing w:val="4"/>
                <w:kern w:val="0"/>
                <w:szCs w:val="21"/>
                <w:highlight w:val="none"/>
                <w:lang w:val="en-US" w:eastAsia="zh-CN"/>
              </w:rPr>
              <w:t>入围</w:t>
            </w:r>
            <w:r>
              <w:rPr>
                <w:rFonts w:hint="eastAsia" w:ascii="宋体" w:hAnsi="宋体" w:eastAsia="宋体" w:cs="宋体"/>
                <w:spacing w:val="4"/>
                <w:kern w:val="0"/>
                <w:szCs w:val="21"/>
                <w:highlight w:val="none"/>
              </w:rPr>
              <w:t>候选人：</w:t>
            </w:r>
            <w:r>
              <w:rPr>
                <w:rFonts w:hint="eastAsia"/>
                <w:color w:val="auto"/>
                <w:highlight w:val="none"/>
                <w:lang w:eastAsia="zh-CN"/>
              </w:rPr>
              <w:t>以</w:t>
            </w:r>
            <w:r>
              <w:rPr>
                <w:rFonts w:hint="eastAsia"/>
                <w:color w:val="auto"/>
                <w:highlight w:val="none"/>
                <w:lang w:val="en-US" w:eastAsia="zh-CN"/>
              </w:rPr>
              <w:t>投标</w:t>
            </w:r>
            <w:r>
              <w:rPr>
                <w:rFonts w:hint="eastAsia"/>
                <w:color w:val="auto"/>
                <w:highlight w:val="none"/>
                <w:lang w:eastAsia="zh-CN"/>
              </w:rPr>
              <w:t>报价评分（</w:t>
            </w:r>
            <w:r>
              <w:rPr>
                <w:rFonts w:hint="eastAsia"/>
                <w:color w:val="auto"/>
                <w:highlight w:val="none"/>
                <w:lang w:val="en-US" w:eastAsia="zh-CN"/>
              </w:rPr>
              <w:t>投标</w:t>
            </w:r>
            <w:r>
              <w:rPr>
                <w:rFonts w:hint="eastAsia"/>
                <w:color w:val="auto"/>
                <w:highlight w:val="none"/>
                <w:lang w:eastAsia="zh-CN"/>
              </w:rPr>
              <w:t>报价评分=实物商品响应报价评分+现金类虚拟商品响应报价评分+非现金类虚拟商品</w:t>
            </w:r>
            <w:r>
              <w:rPr>
                <w:rFonts w:hint="eastAsia"/>
                <w:color w:val="auto"/>
                <w:highlight w:val="none"/>
                <w:lang w:val="en-US" w:eastAsia="zh-CN"/>
              </w:rPr>
              <w:t>投标</w:t>
            </w:r>
            <w:r>
              <w:rPr>
                <w:rFonts w:hint="eastAsia"/>
                <w:color w:val="auto"/>
                <w:highlight w:val="none"/>
                <w:lang w:eastAsia="zh-CN"/>
              </w:rPr>
              <w:t>报价评分）得分高的优先；价格分也相等的，</w:t>
            </w:r>
            <w:r>
              <w:rPr>
                <w:rFonts w:hint="eastAsia"/>
                <w:color w:val="auto"/>
                <w:highlight w:val="none"/>
              </w:rPr>
              <w:t>由评审委员会按照</w:t>
            </w:r>
            <w:r>
              <w:rPr>
                <w:rFonts w:hint="eastAsia"/>
                <w:color w:val="auto"/>
                <w:highlight w:val="none"/>
                <w:u w:val="single"/>
                <w:lang w:val="en-US" w:eastAsia="zh-CN"/>
              </w:rPr>
              <w:t>商务部分</w:t>
            </w:r>
            <w:r>
              <w:rPr>
                <w:rFonts w:hint="eastAsia"/>
                <w:i w:val="0"/>
                <w:iCs w:val="0"/>
                <w:color w:val="auto"/>
                <w:highlight w:val="none"/>
                <w:u w:val="single"/>
                <w:lang w:val="en-US" w:eastAsia="zh-CN"/>
              </w:rPr>
              <w:t xml:space="preserve">资质及案例评分（二）同业商品权益供应案例 </w:t>
            </w:r>
            <w:r>
              <w:rPr>
                <w:rFonts w:hint="eastAsia"/>
                <w:color w:val="auto"/>
                <w:highlight w:val="none"/>
                <w:lang w:eastAsia="zh-CN"/>
              </w:rPr>
              <w:t>得分从高到低原则确定排名；若仍然相当，按单个案例金额最大的原则排序。根据项目所需成交供应商数量，按照排名顺序确定入围供应商。</w:t>
            </w:r>
          </w:p>
        </w:tc>
      </w:tr>
      <w:tr w14:paraId="7B55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restart"/>
            <w:vAlign w:val="center"/>
          </w:tcPr>
          <w:p w14:paraId="44C62D22">
            <w:pPr>
              <w:pStyle w:val="53"/>
              <w:bidi w:val="0"/>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2.1.1</w:t>
            </w:r>
          </w:p>
        </w:tc>
        <w:tc>
          <w:tcPr>
            <w:tcW w:w="1314" w:type="dxa"/>
            <w:vMerge w:val="restart"/>
            <w:vAlign w:val="center"/>
          </w:tcPr>
          <w:p w14:paraId="561E008B">
            <w:pPr>
              <w:pStyle w:val="53"/>
              <w:bidi w:val="0"/>
              <w:jc w:val="center"/>
              <w:rPr>
                <w:rFonts w:hint="default"/>
                <w:highlight w:val="none"/>
                <w:lang w:val="en-US"/>
              </w:rPr>
            </w:pPr>
            <w:r>
              <w:rPr>
                <w:rFonts w:hint="eastAsia"/>
                <w:highlight w:val="none"/>
                <w:lang w:val="en-US" w:eastAsia="zh-CN"/>
              </w:rPr>
              <w:t>资格评审标准</w:t>
            </w:r>
          </w:p>
        </w:tc>
        <w:tc>
          <w:tcPr>
            <w:tcW w:w="1686" w:type="dxa"/>
            <w:gridSpan w:val="3"/>
            <w:vAlign w:val="center"/>
          </w:tcPr>
          <w:p w14:paraId="2154F54C">
            <w:pPr>
              <w:snapToGrid w:val="0"/>
              <w:spacing w:line="400" w:lineRule="exact"/>
              <w:ind w:left="0" w:leftChars="0" w:firstLine="0" w:firstLineChars="0"/>
              <w:jc w:val="center"/>
              <w:rPr>
                <w:highlight w:val="none"/>
              </w:rPr>
            </w:pPr>
            <w:r>
              <w:rPr>
                <w:rFonts w:hint="eastAsia" w:ascii="宋体" w:hAnsi="宋体" w:cs="宋体"/>
                <w:color w:val="auto"/>
                <w:kern w:val="0"/>
                <w:highlight w:val="none"/>
              </w:rPr>
              <w:t>独立法人资格和资质要求</w:t>
            </w:r>
          </w:p>
        </w:tc>
        <w:tc>
          <w:tcPr>
            <w:tcW w:w="5476" w:type="dxa"/>
            <w:gridSpan w:val="3"/>
            <w:vAlign w:val="center"/>
          </w:tcPr>
          <w:p w14:paraId="0E50B7CA">
            <w:pPr>
              <w:spacing w:line="400" w:lineRule="exact"/>
              <w:ind w:firstLine="420" w:firstLineChars="200"/>
              <w:jc w:val="left"/>
              <w:rPr>
                <w:highlight w:val="none"/>
              </w:rPr>
            </w:pPr>
            <w:r>
              <w:rPr>
                <w:rFonts w:hint="eastAsia" w:ascii="宋体" w:hAnsi="宋体" w:eastAsia="宋体" w:cs="宋体"/>
                <w:kern w:val="0"/>
                <w:highlight w:val="none"/>
              </w:rPr>
              <w:t>符合第二章“投标人须知”第1.4.1项规定</w:t>
            </w:r>
          </w:p>
        </w:tc>
      </w:tr>
      <w:tr w14:paraId="3BCB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37DCA71E">
            <w:pPr>
              <w:pStyle w:val="53"/>
              <w:bidi w:val="0"/>
              <w:jc w:val="center"/>
              <w:rPr>
                <w:rFonts w:hint="eastAsia" w:ascii="Times New Roman" w:hAnsi="Times New Roman" w:eastAsia="宋体" w:cs="Times New Roman"/>
                <w:highlight w:val="none"/>
                <w:lang w:val="en-US" w:eastAsia="zh-CN"/>
              </w:rPr>
            </w:pPr>
          </w:p>
        </w:tc>
        <w:tc>
          <w:tcPr>
            <w:tcW w:w="1314" w:type="dxa"/>
            <w:vMerge w:val="continue"/>
            <w:textDirection w:val="tbRlV"/>
            <w:vAlign w:val="center"/>
          </w:tcPr>
          <w:p w14:paraId="38826FBC">
            <w:pPr>
              <w:pStyle w:val="53"/>
              <w:bidi w:val="0"/>
              <w:jc w:val="center"/>
              <w:rPr>
                <w:highlight w:val="none"/>
              </w:rPr>
            </w:pPr>
          </w:p>
        </w:tc>
        <w:tc>
          <w:tcPr>
            <w:tcW w:w="1686" w:type="dxa"/>
            <w:gridSpan w:val="3"/>
            <w:vAlign w:val="center"/>
          </w:tcPr>
          <w:p w14:paraId="5FA66423">
            <w:pPr>
              <w:snapToGrid w:val="0"/>
              <w:spacing w:line="400" w:lineRule="exact"/>
              <w:ind w:left="0" w:leftChars="0" w:firstLine="0" w:firstLineChars="0"/>
              <w:jc w:val="center"/>
              <w:rPr>
                <w:highlight w:val="none"/>
              </w:rPr>
            </w:pPr>
            <w:r>
              <w:rPr>
                <w:rFonts w:hint="eastAsia" w:ascii="宋体" w:hAnsi="宋体" w:cs="宋体"/>
                <w:color w:val="auto"/>
                <w:kern w:val="0"/>
                <w:highlight w:val="none"/>
              </w:rPr>
              <w:t>信誉和会计制度要求</w:t>
            </w:r>
          </w:p>
        </w:tc>
        <w:tc>
          <w:tcPr>
            <w:tcW w:w="5476" w:type="dxa"/>
            <w:gridSpan w:val="3"/>
            <w:vAlign w:val="center"/>
          </w:tcPr>
          <w:p w14:paraId="7EDB410F">
            <w:pPr>
              <w:spacing w:line="400" w:lineRule="exact"/>
              <w:ind w:firstLine="420" w:firstLineChars="200"/>
              <w:jc w:val="left"/>
              <w:rPr>
                <w:highlight w:val="none"/>
              </w:rPr>
            </w:pPr>
            <w:r>
              <w:rPr>
                <w:rFonts w:hint="eastAsia" w:ascii="宋体" w:hAnsi="宋体" w:eastAsia="宋体" w:cs="宋体"/>
                <w:kern w:val="0"/>
                <w:highlight w:val="none"/>
              </w:rPr>
              <w:t>符合第二章“投标人须知”第1.4.1项规定</w:t>
            </w:r>
          </w:p>
        </w:tc>
      </w:tr>
      <w:tr w14:paraId="6786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512F1ACD">
            <w:pPr>
              <w:pStyle w:val="53"/>
              <w:bidi w:val="0"/>
              <w:jc w:val="center"/>
              <w:rPr>
                <w:rFonts w:hint="eastAsia" w:ascii="Times New Roman" w:hAnsi="Times New Roman" w:eastAsia="宋体" w:cs="Times New Roman"/>
                <w:highlight w:val="none"/>
                <w:lang w:val="en-US" w:eastAsia="zh-CN"/>
              </w:rPr>
            </w:pPr>
          </w:p>
        </w:tc>
        <w:tc>
          <w:tcPr>
            <w:tcW w:w="1314" w:type="dxa"/>
            <w:vMerge w:val="continue"/>
            <w:textDirection w:val="tbRlV"/>
            <w:vAlign w:val="center"/>
          </w:tcPr>
          <w:p w14:paraId="3B627258">
            <w:pPr>
              <w:pStyle w:val="53"/>
              <w:bidi w:val="0"/>
              <w:jc w:val="center"/>
              <w:rPr>
                <w:highlight w:val="none"/>
              </w:rPr>
            </w:pPr>
          </w:p>
        </w:tc>
        <w:tc>
          <w:tcPr>
            <w:tcW w:w="1686" w:type="dxa"/>
            <w:gridSpan w:val="3"/>
            <w:vAlign w:val="center"/>
          </w:tcPr>
          <w:p w14:paraId="7CBB7267">
            <w:pPr>
              <w:snapToGrid w:val="0"/>
              <w:spacing w:line="400" w:lineRule="exact"/>
              <w:ind w:left="0" w:leftChars="0" w:firstLine="0" w:firstLineChars="0"/>
              <w:jc w:val="center"/>
              <w:rPr>
                <w:rFonts w:hint="eastAsia"/>
                <w:highlight w:val="none"/>
                <w:lang w:val="en-US" w:eastAsia="zh-CN"/>
              </w:rPr>
            </w:pPr>
            <w:r>
              <w:rPr>
                <w:rFonts w:hint="eastAsia" w:ascii="宋体" w:hAnsi="宋体" w:cs="宋体"/>
                <w:color w:val="auto"/>
                <w:kern w:val="0"/>
                <w:highlight w:val="none"/>
              </w:rPr>
              <w:t>业绩要求</w:t>
            </w:r>
          </w:p>
        </w:tc>
        <w:tc>
          <w:tcPr>
            <w:tcW w:w="5476" w:type="dxa"/>
            <w:gridSpan w:val="3"/>
            <w:vAlign w:val="center"/>
          </w:tcPr>
          <w:p w14:paraId="3A487E2E">
            <w:pPr>
              <w:spacing w:line="400" w:lineRule="exact"/>
              <w:ind w:firstLine="420" w:firstLineChars="200"/>
              <w:jc w:val="left"/>
              <w:rPr>
                <w:rFonts w:hint="eastAsia"/>
                <w:highlight w:val="none"/>
                <w:lang w:val="en-US" w:eastAsia="zh-CN"/>
              </w:rPr>
            </w:pPr>
            <w:r>
              <w:rPr>
                <w:rFonts w:hint="eastAsia" w:ascii="宋体" w:hAnsi="宋体" w:eastAsia="宋体" w:cs="宋体"/>
                <w:kern w:val="0"/>
                <w:highlight w:val="none"/>
              </w:rPr>
              <w:t>符合第二章“投标人须知”第1.4.1项规定</w:t>
            </w:r>
          </w:p>
        </w:tc>
      </w:tr>
      <w:tr w14:paraId="0159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6E069298">
            <w:pPr>
              <w:pStyle w:val="53"/>
              <w:bidi w:val="0"/>
              <w:jc w:val="center"/>
              <w:rPr>
                <w:rFonts w:hint="eastAsia" w:ascii="Times New Roman" w:hAnsi="Times New Roman" w:eastAsia="宋体" w:cs="Times New Roman"/>
                <w:highlight w:val="none"/>
                <w:lang w:val="en-US" w:eastAsia="zh-CN"/>
              </w:rPr>
            </w:pPr>
          </w:p>
        </w:tc>
        <w:tc>
          <w:tcPr>
            <w:tcW w:w="1314" w:type="dxa"/>
            <w:vMerge w:val="continue"/>
            <w:textDirection w:val="tbRlV"/>
            <w:vAlign w:val="center"/>
          </w:tcPr>
          <w:p w14:paraId="79A125B9">
            <w:pPr>
              <w:pStyle w:val="53"/>
              <w:bidi w:val="0"/>
              <w:jc w:val="center"/>
              <w:rPr>
                <w:highlight w:val="none"/>
              </w:rPr>
            </w:pPr>
          </w:p>
        </w:tc>
        <w:tc>
          <w:tcPr>
            <w:tcW w:w="1686" w:type="dxa"/>
            <w:gridSpan w:val="3"/>
            <w:vAlign w:val="center"/>
          </w:tcPr>
          <w:p w14:paraId="76851FCC">
            <w:pPr>
              <w:snapToGrid w:val="0"/>
              <w:spacing w:line="400" w:lineRule="exact"/>
              <w:ind w:left="0" w:leftChars="0" w:firstLine="0" w:firstLineChars="0"/>
              <w:jc w:val="center"/>
              <w:rPr>
                <w:rFonts w:hint="eastAsia"/>
                <w:highlight w:val="none"/>
                <w:lang w:val="en-US" w:eastAsia="zh-CN"/>
              </w:rPr>
            </w:pPr>
            <w:r>
              <w:rPr>
                <w:rFonts w:hint="eastAsia" w:ascii="宋体" w:hAnsi="宋体" w:cs="宋体"/>
                <w:color w:val="auto"/>
                <w:kern w:val="0"/>
                <w:highlight w:val="none"/>
              </w:rPr>
              <w:t>信用要求</w:t>
            </w:r>
          </w:p>
        </w:tc>
        <w:tc>
          <w:tcPr>
            <w:tcW w:w="5476" w:type="dxa"/>
            <w:gridSpan w:val="3"/>
            <w:vAlign w:val="center"/>
          </w:tcPr>
          <w:p w14:paraId="432E999D">
            <w:pPr>
              <w:spacing w:line="400" w:lineRule="exact"/>
              <w:ind w:firstLine="420" w:firstLineChars="200"/>
              <w:jc w:val="left"/>
              <w:rPr>
                <w:rFonts w:hint="eastAsia"/>
                <w:highlight w:val="none"/>
                <w:lang w:val="en-US" w:eastAsia="zh-CN"/>
              </w:rPr>
            </w:pPr>
            <w:r>
              <w:rPr>
                <w:rFonts w:hint="eastAsia" w:ascii="宋体" w:hAnsi="宋体" w:eastAsia="宋体" w:cs="宋体"/>
                <w:kern w:val="0"/>
                <w:highlight w:val="none"/>
              </w:rPr>
              <w:t>符合第二章“投标人须知”第1.4.1项规定</w:t>
            </w:r>
          </w:p>
        </w:tc>
      </w:tr>
      <w:tr w14:paraId="5C08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7F78C027">
            <w:pPr>
              <w:pStyle w:val="53"/>
              <w:bidi w:val="0"/>
              <w:jc w:val="center"/>
              <w:rPr>
                <w:rFonts w:hint="eastAsia" w:ascii="Times New Roman" w:hAnsi="Times New Roman" w:eastAsia="宋体" w:cs="Times New Roman"/>
                <w:highlight w:val="none"/>
                <w:lang w:val="en-US" w:eastAsia="zh-CN"/>
              </w:rPr>
            </w:pPr>
          </w:p>
        </w:tc>
        <w:tc>
          <w:tcPr>
            <w:tcW w:w="1314" w:type="dxa"/>
            <w:vMerge w:val="continue"/>
            <w:textDirection w:val="tbRlV"/>
            <w:vAlign w:val="center"/>
          </w:tcPr>
          <w:p w14:paraId="1825BED6">
            <w:pPr>
              <w:pStyle w:val="53"/>
              <w:bidi w:val="0"/>
              <w:jc w:val="center"/>
              <w:rPr>
                <w:highlight w:val="none"/>
              </w:rPr>
            </w:pPr>
          </w:p>
        </w:tc>
        <w:tc>
          <w:tcPr>
            <w:tcW w:w="1686" w:type="dxa"/>
            <w:gridSpan w:val="3"/>
            <w:vAlign w:val="center"/>
          </w:tcPr>
          <w:p w14:paraId="419066A3">
            <w:pPr>
              <w:snapToGrid w:val="0"/>
              <w:spacing w:line="400" w:lineRule="exact"/>
              <w:ind w:left="0" w:leftChars="0" w:firstLine="0" w:firstLineChars="0"/>
              <w:jc w:val="center"/>
              <w:rPr>
                <w:rFonts w:hint="eastAsia"/>
                <w:highlight w:val="none"/>
                <w:lang w:val="en-US" w:eastAsia="zh-CN"/>
              </w:rPr>
            </w:pPr>
            <w:r>
              <w:rPr>
                <w:rFonts w:hint="eastAsia" w:ascii="宋体" w:hAnsi="宋体" w:cs="宋体"/>
                <w:color w:val="auto"/>
                <w:kern w:val="0"/>
                <w:highlight w:val="none"/>
              </w:rPr>
              <w:t>其他要求</w:t>
            </w:r>
          </w:p>
        </w:tc>
        <w:tc>
          <w:tcPr>
            <w:tcW w:w="5476" w:type="dxa"/>
            <w:gridSpan w:val="3"/>
            <w:vAlign w:val="center"/>
          </w:tcPr>
          <w:p w14:paraId="57012EF6">
            <w:pPr>
              <w:spacing w:line="400" w:lineRule="exact"/>
              <w:ind w:firstLine="420" w:firstLineChars="200"/>
              <w:jc w:val="left"/>
              <w:rPr>
                <w:rFonts w:hint="eastAsia"/>
                <w:highlight w:val="none"/>
                <w:lang w:val="en-US" w:eastAsia="zh-CN"/>
              </w:rPr>
            </w:pPr>
            <w:r>
              <w:rPr>
                <w:rFonts w:hint="eastAsia" w:ascii="宋体" w:hAnsi="宋体" w:eastAsia="宋体" w:cs="宋体"/>
                <w:kern w:val="0"/>
                <w:highlight w:val="none"/>
              </w:rPr>
              <w:t>符合第二章“投标人须知”第1.4.1项规定</w:t>
            </w:r>
          </w:p>
        </w:tc>
      </w:tr>
      <w:tr w14:paraId="0E55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restart"/>
            <w:vAlign w:val="center"/>
          </w:tcPr>
          <w:p w14:paraId="0DAD2A74">
            <w:pPr>
              <w:pStyle w:val="53"/>
              <w:bidi w:val="0"/>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2.1.2</w:t>
            </w:r>
          </w:p>
        </w:tc>
        <w:tc>
          <w:tcPr>
            <w:tcW w:w="1314" w:type="dxa"/>
            <w:vMerge w:val="restart"/>
            <w:vAlign w:val="center"/>
          </w:tcPr>
          <w:p w14:paraId="777933B3">
            <w:pPr>
              <w:spacing w:line="400" w:lineRule="exact"/>
              <w:ind w:left="0" w:leftChars="0" w:firstLine="0" w:firstLineChars="0"/>
              <w:jc w:val="center"/>
              <w:rPr>
                <w:rFonts w:hint="eastAsia"/>
                <w:highlight w:val="none"/>
              </w:rPr>
            </w:pPr>
            <w:r>
              <w:rPr>
                <w:rFonts w:hint="eastAsia" w:ascii="宋体" w:hAnsi="宋体" w:cs="宋体"/>
                <w:color w:val="auto"/>
                <w:kern w:val="0"/>
                <w:highlight w:val="none"/>
              </w:rPr>
              <w:t>形式评审标准</w:t>
            </w:r>
          </w:p>
        </w:tc>
        <w:tc>
          <w:tcPr>
            <w:tcW w:w="1686" w:type="dxa"/>
            <w:gridSpan w:val="3"/>
            <w:vAlign w:val="center"/>
          </w:tcPr>
          <w:p w14:paraId="7FD42EBC">
            <w:pPr>
              <w:spacing w:line="400" w:lineRule="exact"/>
              <w:ind w:left="0" w:leftChars="0" w:firstLine="0" w:firstLineChars="0"/>
              <w:jc w:val="center"/>
              <w:rPr>
                <w:rFonts w:hint="eastAsia"/>
                <w:highlight w:val="none"/>
                <w:lang w:val="en-US" w:eastAsia="zh-CN"/>
              </w:rPr>
            </w:pPr>
            <w:r>
              <w:rPr>
                <w:rFonts w:hint="eastAsia" w:ascii="宋体" w:hAnsi="宋体" w:cs="宋体"/>
                <w:color w:val="auto"/>
                <w:kern w:val="0"/>
                <w:highlight w:val="none"/>
              </w:rPr>
              <w:t>投标人名称</w:t>
            </w:r>
          </w:p>
        </w:tc>
        <w:tc>
          <w:tcPr>
            <w:tcW w:w="5476" w:type="dxa"/>
            <w:gridSpan w:val="3"/>
            <w:vAlign w:val="center"/>
          </w:tcPr>
          <w:p w14:paraId="43FAB1A4">
            <w:pPr>
              <w:spacing w:line="400" w:lineRule="exact"/>
              <w:ind w:firstLine="420" w:firstLineChars="200"/>
              <w:rPr>
                <w:rFonts w:hint="eastAsia"/>
                <w:highlight w:val="none"/>
              </w:rPr>
            </w:pPr>
            <w:r>
              <w:rPr>
                <w:rFonts w:hint="eastAsia" w:ascii="宋体" w:hAnsi="宋体" w:eastAsia="宋体" w:cs="宋体"/>
                <w:kern w:val="0"/>
                <w:highlight w:val="none"/>
              </w:rPr>
              <w:t>与营业执照、资质证书一致。</w:t>
            </w:r>
          </w:p>
        </w:tc>
      </w:tr>
      <w:tr w14:paraId="598A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307029CB">
            <w:pPr>
              <w:pStyle w:val="53"/>
              <w:bidi w:val="0"/>
              <w:ind w:firstLine="0" w:firstLineChars="0"/>
              <w:jc w:val="center"/>
              <w:rPr>
                <w:rFonts w:hint="eastAsia"/>
                <w:highlight w:val="none"/>
              </w:rPr>
            </w:pPr>
          </w:p>
        </w:tc>
        <w:tc>
          <w:tcPr>
            <w:tcW w:w="1314" w:type="dxa"/>
            <w:vMerge w:val="continue"/>
            <w:vAlign w:val="center"/>
          </w:tcPr>
          <w:p w14:paraId="464D273E">
            <w:pPr>
              <w:pStyle w:val="53"/>
              <w:bidi w:val="0"/>
              <w:ind w:firstLine="0" w:firstLineChars="0"/>
              <w:jc w:val="center"/>
              <w:rPr>
                <w:rFonts w:hint="eastAsia"/>
                <w:highlight w:val="none"/>
              </w:rPr>
            </w:pPr>
          </w:p>
        </w:tc>
        <w:tc>
          <w:tcPr>
            <w:tcW w:w="1686" w:type="dxa"/>
            <w:gridSpan w:val="3"/>
            <w:vAlign w:val="center"/>
          </w:tcPr>
          <w:p w14:paraId="5735775D">
            <w:pPr>
              <w:spacing w:line="400" w:lineRule="exact"/>
              <w:ind w:left="0" w:leftChars="0" w:firstLine="0" w:firstLineChars="0"/>
              <w:jc w:val="center"/>
              <w:rPr>
                <w:rFonts w:hint="eastAsia"/>
                <w:highlight w:val="none"/>
                <w:lang w:val="en-US" w:eastAsia="zh-CN"/>
              </w:rPr>
            </w:pPr>
            <w:r>
              <w:rPr>
                <w:rFonts w:hint="eastAsia" w:ascii="宋体" w:hAnsi="宋体" w:cs="宋体"/>
                <w:color w:val="auto"/>
                <w:kern w:val="0"/>
                <w:highlight w:val="none"/>
              </w:rPr>
              <w:t>投标文件格式</w:t>
            </w:r>
          </w:p>
        </w:tc>
        <w:tc>
          <w:tcPr>
            <w:tcW w:w="5476" w:type="dxa"/>
            <w:gridSpan w:val="3"/>
            <w:vAlign w:val="center"/>
          </w:tcPr>
          <w:p w14:paraId="2A312FDD">
            <w:pPr>
              <w:spacing w:line="400" w:lineRule="exact"/>
              <w:ind w:firstLine="420" w:firstLineChars="200"/>
              <w:rPr>
                <w:rFonts w:hint="eastAsia"/>
                <w:highlight w:val="none"/>
              </w:rPr>
            </w:pPr>
            <w:r>
              <w:rPr>
                <w:rFonts w:hint="eastAsia" w:ascii="宋体" w:hAnsi="宋体" w:eastAsia="宋体" w:cs="宋体"/>
                <w:kern w:val="0"/>
                <w:highlight w:val="none"/>
              </w:rPr>
              <w:t>符合第二章“投标人须知”第3.7款的要求（不含投标函部分）。</w:t>
            </w:r>
          </w:p>
        </w:tc>
      </w:tr>
      <w:tr w14:paraId="77EB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0B4E4029">
            <w:pPr>
              <w:pStyle w:val="53"/>
              <w:bidi w:val="0"/>
              <w:ind w:firstLine="0" w:firstLineChars="0"/>
              <w:jc w:val="center"/>
              <w:rPr>
                <w:rFonts w:hint="eastAsia"/>
                <w:highlight w:val="none"/>
              </w:rPr>
            </w:pPr>
          </w:p>
        </w:tc>
        <w:tc>
          <w:tcPr>
            <w:tcW w:w="1314" w:type="dxa"/>
            <w:vMerge w:val="continue"/>
            <w:vAlign w:val="center"/>
          </w:tcPr>
          <w:p w14:paraId="1E1225DD">
            <w:pPr>
              <w:pStyle w:val="53"/>
              <w:bidi w:val="0"/>
              <w:ind w:firstLine="0" w:firstLineChars="0"/>
              <w:jc w:val="center"/>
              <w:rPr>
                <w:rFonts w:hint="eastAsia"/>
                <w:highlight w:val="none"/>
              </w:rPr>
            </w:pPr>
          </w:p>
        </w:tc>
        <w:tc>
          <w:tcPr>
            <w:tcW w:w="1686" w:type="dxa"/>
            <w:gridSpan w:val="3"/>
            <w:vAlign w:val="center"/>
          </w:tcPr>
          <w:p w14:paraId="3B26D9D2">
            <w:pPr>
              <w:spacing w:line="400" w:lineRule="exact"/>
              <w:ind w:left="0" w:leftChars="0" w:firstLine="0" w:firstLineChars="0"/>
              <w:jc w:val="center"/>
              <w:rPr>
                <w:rFonts w:hint="eastAsia"/>
                <w:highlight w:val="none"/>
                <w:lang w:val="en-US" w:eastAsia="zh-CN"/>
              </w:rPr>
            </w:pPr>
            <w:r>
              <w:rPr>
                <w:rFonts w:hint="eastAsia" w:ascii="宋体" w:hAnsi="宋体" w:cs="宋体"/>
                <w:color w:val="auto"/>
                <w:kern w:val="0"/>
                <w:highlight w:val="none"/>
              </w:rPr>
              <w:t>投标文件的签署</w:t>
            </w:r>
          </w:p>
        </w:tc>
        <w:tc>
          <w:tcPr>
            <w:tcW w:w="5476" w:type="dxa"/>
            <w:gridSpan w:val="3"/>
            <w:vAlign w:val="center"/>
          </w:tcPr>
          <w:p w14:paraId="6A3B18F8">
            <w:pPr>
              <w:autoSpaceDE w:val="0"/>
              <w:autoSpaceDN w:val="0"/>
              <w:adjustRightInd w:val="0"/>
              <w:snapToGrid w:val="0"/>
              <w:spacing w:line="400" w:lineRule="exact"/>
              <w:ind w:firstLine="420" w:firstLineChars="200"/>
              <w:rPr>
                <w:rFonts w:hint="eastAsia"/>
                <w:highlight w:val="none"/>
              </w:rPr>
            </w:pPr>
            <w:r>
              <w:rPr>
                <w:rFonts w:hint="eastAsia" w:ascii="宋体" w:hAnsi="宋体" w:cs="宋体"/>
                <w:color w:val="000000" w:themeColor="text1"/>
                <w:kern w:val="0"/>
                <w14:textFill>
                  <w14:solidFill>
                    <w14:schemeClr w14:val="tx1"/>
                  </w14:solidFill>
                </w14:textFill>
              </w:rPr>
              <w:t>第六章 投标文件格式要求法定代表人或其委托代理人签名（或盖章）的须齐全</w:t>
            </w:r>
            <w:r>
              <w:rPr>
                <w:rFonts w:hint="eastAsia" w:asciiTheme="minorEastAsia" w:hAnsiTheme="minorEastAsia" w:eastAsiaTheme="minorEastAsia" w:cstheme="minorEastAsia"/>
              </w:rPr>
              <w:t>。</w:t>
            </w:r>
          </w:p>
        </w:tc>
      </w:tr>
      <w:tr w14:paraId="272E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63B76112">
            <w:pPr>
              <w:pStyle w:val="53"/>
              <w:bidi w:val="0"/>
              <w:ind w:firstLine="0" w:firstLineChars="0"/>
              <w:jc w:val="center"/>
              <w:rPr>
                <w:rFonts w:hint="eastAsia"/>
                <w:highlight w:val="none"/>
              </w:rPr>
            </w:pPr>
          </w:p>
        </w:tc>
        <w:tc>
          <w:tcPr>
            <w:tcW w:w="1314" w:type="dxa"/>
            <w:vMerge w:val="continue"/>
            <w:vAlign w:val="center"/>
          </w:tcPr>
          <w:p w14:paraId="3B64B65F">
            <w:pPr>
              <w:pStyle w:val="53"/>
              <w:bidi w:val="0"/>
              <w:ind w:firstLine="0" w:firstLineChars="0"/>
              <w:jc w:val="center"/>
              <w:rPr>
                <w:rFonts w:hint="eastAsia"/>
                <w:highlight w:val="none"/>
              </w:rPr>
            </w:pPr>
          </w:p>
        </w:tc>
        <w:tc>
          <w:tcPr>
            <w:tcW w:w="1686" w:type="dxa"/>
            <w:gridSpan w:val="3"/>
            <w:vAlign w:val="center"/>
          </w:tcPr>
          <w:p w14:paraId="65E00EEB">
            <w:pPr>
              <w:spacing w:line="400" w:lineRule="exact"/>
              <w:ind w:left="0" w:leftChars="0" w:firstLine="0" w:firstLineChars="0"/>
              <w:jc w:val="center"/>
              <w:rPr>
                <w:rFonts w:hint="eastAsia"/>
                <w:highlight w:val="none"/>
                <w:lang w:val="en-US" w:eastAsia="zh-CN"/>
              </w:rPr>
            </w:pPr>
            <w:r>
              <w:rPr>
                <w:rFonts w:hint="eastAsia" w:ascii="宋体" w:hAnsi="宋体" w:eastAsia="宋体" w:cs="宋体"/>
                <w:kern w:val="0"/>
                <w:highlight w:val="none"/>
              </w:rPr>
              <w:t>委托代理人</w:t>
            </w:r>
          </w:p>
        </w:tc>
        <w:tc>
          <w:tcPr>
            <w:tcW w:w="5476" w:type="dxa"/>
            <w:gridSpan w:val="3"/>
            <w:vAlign w:val="center"/>
          </w:tcPr>
          <w:p w14:paraId="280AB2AB">
            <w:pPr>
              <w:spacing w:line="400" w:lineRule="exact"/>
              <w:ind w:firstLine="420" w:firstLineChars="200"/>
              <w:rPr>
                <w:rFonts w:hint="eastAsia"/>
                <w:highlight w:val="none"/>
              </w:rPr>
            </w:pPr>
            <w:r>
              <w:rPr>
                <w:rFonts w:hint="eastAsia" w:ascii="宋体" w:hAnsi="宋体" w:eastAsia="宋体" w:cs="宋体"/>
                <w:kern w:val="0"/>
                <w:highlight w:val="none"/>
              </w:rPr>
              <w:t>投标人法定代表人的委托代理人有法定代表人签署的授权委托书和投标人为其缴纳的养老保险。</w:t>
            </w:r>
          </w:p>
        </w:tc>
      </w:tr>
      <w:tr w14:paraId="1F1D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88" w:type="dxa"/>
            <w:vMerge w:val="restart"/>
            <w:vAlign w:val="center"/>
          </w:tcPr>
          <w:p w14:paraId="270F259B">
            <w:pPr>
              <w:pStyle w:val="53"/>
              <w:bidi w:val="0"/>
              <w:jc w:val="center"/>
              <w:rPr>
                <w:highlight w:val="none"/>
              </w:rPr>
            </w:pPr>
            <w:r>
              <w:rPr>
                <w:rFonts w:hint="eastAsia"/>
                <w:highlight w:val="none"/>
              </w:rPr>
              <w:t>2.1.3</w:t>
            </w:r>
          </w:p>
        </w:tc>
        <w:tc>
          <w:tcPr>
            <w:tcW w:w="1314" w:type="dxa"/>
            <w:vMerge w:val="restart"/>
            <w:vAlign w:val="center"/>
          </w:tcPr>
          <w:p w14:paraId="7FD1BB94">
            <w:pPr>
              <w:pStyle w:val="53"/>
              <w:bidi w:val="0"/>
              <w:jc w:val="center"/>
              <w:rPr>
                <w:highlight w:val="none"/>
              </w:rPr>
            </w:pPr>
            <w:r>
              <w:rPr>
                <w:rFonts w:hint="eastAsia"/>
                <w:highlight w:val="none"/>
              </w:rPr>
              <w:t>响应性评审标准</w:t>
            </w:r>
          </w:p>
        </w:tc>
        <w:tc>
          <w:tcPr>
            <w:tcW w:w="1686" w:type="dxa"/>
            <w:gridSpan w:val="3"/>
            <w:vAlign w:val="center"/>
          </w:tcPr>
          <w:p w14:paraId="7DCB6B66">
            <w:pPr>
              <w:spacing w:line="400" w:lineRule="exact"/>
              <w:ind w:left="0" w:leftChars="0" w:firstLine="0" w:firstLineChars="0"/>
              <w:jc w:val="center"/>
              <w:rPr>
                <w:rFonts w:hint="eastAsia"/>
                <w:highlight w:val="none"/>
                <w:lang w:val="en-US" w:eastAsia="zh-CN"/>
              </w:rPr>
            </w:pPr>
            <w:r>
              <w:rPr>
                <w:rFonts w:hint="eastAsia" w:ascii="宋体" w:hAnsi="宋体" w:eastAsia="宋体" w:cs="宋体"/>
                <w:kern w:val="0"/>
                <w:highlight w:val="none"/>
              </w:rPr>
              <w:t>投标内容</w:t>
            </w:r>
          </w:p>
        </w:tc>
        <w:tc>
          <w:tcPr>
            <w:tcW w:w="5476" w:type="dxa"/>
            <w:gridSpan w:val="3"/>
            <w:vAlign w:val="center"/>
          </w:tcPr>
          <w:p w14:paraId="496BC5A1">
            <w:pPr>
              <w:spacing w:line="400" w:lineRule="exact"/>
              <w:ind w:firstLine="420" w:firstLineChars="200"/>
              <w:jc w:val="left"/>
              <w:rPr>
                <w:rFonts w:hint="default"/>
                <w:highlight w:val="none"/>
                <w:lang w:val="en-US" w:eastAsia="zh-CN"/>
              </w:rPr>
            </w:pPr>
            <w:r>
              <w:rPr>
                <w:rFonts w:hint="eastAsia" w:ascii="宋体" w:hAnsi="宋体" w:eastAsia="宋体" w:cs="宋体"/>
                <w:kern w:val="0"/>
                <w:highlight w:val="none"/>
              </w:rPr>
              <w:t>符合第二章“投标人须知”第1.3.1项规定</w:t>
            </w:r>
          </w:p>
        </w:tc>
      </w:tr>
      <w:tr w14:paraId="1383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4ADC95A">
            <w:pPr>
              <w:pStyle w:val="53"/>
              <w:bidi w:val="0"/>
              <w:jc w:val="center"/>
              <w:rPr>
                <w:highlight w:val="none"/>
              </w:rPr>
            </w:pPr>
          </w:p>
        </w:tc>
        <w:tc>
          <w:tcPr>
            <w:tcW w:w="1314" w:type="dxa"/>
            <w:vMerge w:val="continue"/>
          </w:tcPr>
          <w:p w14:paraId="4C29CD85">
            <w:pPr>
              <w:pStyle w:val="53"/>
              <w:bidi w:val="0"/>
              <w:jc w:val="center"/>
              <w:rPr>
                <w:highlight w:val="none"/>
              </w:rPr>
            </w:pPr>
          </w:p>
        </w:tc>
        <w:tc>
          <w:tcPr>
            <w:tcW w:w="1686" w:type="dxa"/>
            <w:gridSpan w:val="3"/>
            <w:vAlign w:val="center"/>
          </w:tcPr>
          <w:p w14:paraId="67DA0643">
            <w:pPr>
              <w:spacing w:line="400" w:lineRule="exact"/>
              <w:ind w:left="0" w:leftChars="0" w:firstLine="0" w:firstLineChars="0"/>
              <w:jc w:val="center"/>
              <w:rPr>
                <w:rFonts w:hint="eastAsia"/>
                <w:highlight w:val="none"/>
                <w:lang w:val="en-US" w:eastAsia="zh-CN"/>
              </w:rPr>
            </w:pPr>
            <w:r>
              <w:rPr>
                <w:rFonts w:hint="eastAsia" w:ascii="宋体" w:hAnsi="宋体" w:eastAsia="宋体" w:cs="宋体"/>
                <w:kern w:val="0"/>
                <w:highlight w:val="none"/>
              </w:rPr>
              <w:t>投标保证金</w:t>
            </w:r>
          </w:p>
        </w:tc>
        <w:tc>
          <w:tcPr>
            <w:tcW w:w="5476" w:type="dxa"/>
            <w:gridSpan w:val="3"/>
            <w:vAlign w:val="center"/>
          </w:tcPr>
          <w:p w14:paraId="18A88AB8">
            <w:pPr>
              <w:tabs>
                <w:tab w:val="left" w:pos="601"/>
                <w:tab w:val="left" w:pos="669"/>
              </w:tabs>
              <w:snapToGrid w:val="0"/>
              <w:spacing w:line="400" w:lineRule="exact"/>
              <w:ind w:firstLine="420" w:firstLineChars="200"/>
              <w:rPr>
                <w:rFonts w:hint="eastAsia"/>
                <w:highlight w:val="none"/>
                <w:lang w:val="en-US" w:eastAsia="zh-CN"/>
              </w:rPr>
            </w:pPr>
            <w:r>
              <w:rPr>
                <w:rFonts w:hint="eastAsia" w:ascii="宋体" w:hAnsi="宋体" w:eastAsia="宋体" w:cs="宋体"/>
                <w:kern w:val="0"/>
                <w:szCs w:val="21"/>
                <w:highlight w:val="none"/>
              </w:rPr>
              <w:t>符合第二章“投标人须知”第3.4款</w:t>
            </w:r>
            <w:r>
              <w:rPr>
                <w:rFonts w:hint="eastAsia" w:ascii="宋体" w:hAnsi="宋体" w:eastAsia="宋体" w:cs="宋体"/>
                <w:kern w:val="0"/>
                <w:highlight w:val="none"/>
              </w:rPr>
              <w:t>规定</w:t>
            </w:r>
          </w:p>
        </w:tc>
      </w:tr>
      <w:tr w14:paraId="0219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6C4A755F">
            <w:pPr>
              <w:pStyle w:val="53"/>
              <w:bidi w:val="0"/>
              <w:jc w:val="center"/>
              <w:rPr>
                <w:highlight w:val="none"/>
              </w:rPr>
            </w:pPr>
          </w:p>
        </w:tc>
        <w:tc>
          <w:tcPr>
            <w:tcW w:w="1314" w:type="dxa"/>
            <w:vMerge w:val="continue"/>
          </w:tcPr>
          <w:p w14:paraId="6E6A7520">
            <w:pPr>
              <w:pStyle w:val="53"/>
              <w:bidi w:val="0"/>
              <w:jc w:val="center"/>
              <w:rPr>
                <w:highlight w:val="none"/>
              </w:rPr>
            </w:pPr>
          </w:p>
        </w:tc>
        <w:tc>
          <w:tcPr>
            <w:tcW w:w="1686" w:type="dxa"/>
            <w:gridSpan w:val="3"/>
            <w:vAlign w:val="center"/>
          </w:tcPr>
          <w:p w14:paraId="5F891E6D">
            <w:pPr>
              <w:spacing w:line="400" w:lineRule="exact"/>
              <w:ind w:left="0" w:leftChars="0" w:firstLine="0" w:firstLineChars="0"/>
              <w:jc w:val="center"/>
              <w:rPr>
                <w:rFonts w:hint="eastAsia"/>
                <w:highlight w:val="none"/>
                <w:lang w:val="en-US" w:eastAsia="zh-CN"/>
              </w:rPr>
            </w:pPr>
            <w:r>
              <w:rPr>
                <w:rFonts w:hint="eastAsia" w:ascii="宋体" w:hAnsi="宋体" w:eastAsia="宋体" w:cs="宋体"/>
                <w:kern w:val="0"/>
                <w:highlight w:val="none"/>
              </w:rPr>
              <w:t>权利义务</w:t>
            </w:r>
          </w:p>
        </w:tc>
        <w:tc>
          <w:tcPr>
            <w:tcW w:w="5476" w:type="dxa"/>
            <w:gridSpan w:val="3"/>
            <w:vAlign w:val="center"/>
          </w:tcPr>
          <w:p w14:paraId="3A8092CA">
            <w:pPr>
              <w:spacing w:after="48" w:afterLines="20" w:line="400" w:lineRule="exact"/>
              <w:ind w:firstLine="420" w:firstLineChars="200"/>
              <w:rPr>
                <w:rFonts w:hint="eastAsia"/>
                <w:highlight w:val="none"/>
                <w:lang w:val="en-US" w:eastAsia="zh-CN"/>
              </w:rPr>
            </w:pPr>
            <w:r>
              <w:rPr>
                <w:rFonts w:hint="eastAsia" w:ascii="宋体" w:hAnsi="宋体" w:eastAsia="宋体" w:cs="宋体"/>
                <w:kern w:val="0"/>
                <w:highlight w:val="none"/>
              </w:rPr>
              <w:t>符合第四章“合同条款及格式”规定，投标文件不应附有招标人不能接受的条件。（由投标人承诺，承诺书格式详见第六章投标文件格式。）</w:t>
            </w:r>
          </w:p>
        </w:tc>
      </w:tr>
      <w:tr w14:paraId="3FC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68DF2C23">
            <w:pPr>
              <w:pStyle w:val="53"/>
              <w:bidi w:val="0"/>
              <w:jc w:val="center"/>
              <w:rPr>
                <w:highlight w:val="none"/>
              </w:rPr>
            </w:pPr>
          </w:p>
        </w:tc>
        <w:tc>
          <w:tcPr>
            <w:tcW w:w="1314" w:type="dxa"/>
            <w:vMerge w:val="continue"/>
          </w:tcPr>
          <w:p w14:paraId="22CDF2A6">
            <w:pPr>
              <w:pStyle w:val="53"/>
              <w:bidi w:val="0"/>
              <w:jc w:val="center"/>
              <w:rPr>
                <w:highlight w:val="none"/>
              </w:rPr>
            </w:pPr>
          </w:p>
        </w:tc>
        <w:tc>
          <w:tcPr>
            <w:tcW w:w="1686" w:type="dxa"/>
            <w:gridSpan w:val="3"/>
            <w:vAlign w:val="center"/>
          </w:tcPr>
          <w:p w14:paraId="691ECAE7">
            <w:pPr>
              <w:spacing w:line="400" w:lineRule="exact"/>
              <w:ind w:left="0" w:leftChars="0" w:firstLine="0" w:firstLineChars="0"/>
              <w:jc w:val="center"/>
              <w:rPr>
                <w:rFonts w:hint="eastAsia"/>
                <w:highlight w:val="none"/>
              </w:rPr>
            </w:pPr>
            <w:r>
              <w:rPr>
                <w:rFonts w:hint="eastAsia" w:ascii="宋体" w:hAnsi="宋体" w:eastAsia="宋体" w:cs="宋体"/>
                <w:kern w:val="0"/>
                <w:highlight w:val="none"/>
              </w:rPr>
              <w:t>实质性要求</w:t>
            </w:r>
          </w:p>
        </w:tc>
        <w:tc>
          <w:tcPr>
            <w:tcW w:w="5476" w:type="dxa"/>
            <w:gridSpan w:val="3"/>
            <w:vAlign w:val="center"/>
          </w:tcPr>
          <w:p w14:paraId="2A2E4F72">
            <w:pPr>
              <w:spacing w:after="48" w:afterLines="20"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符合第二章“投标人须知”第1.4.3项规定。</w:t>
            </w:r>
          </w:p>
          <w:p w14:paraId="525D838D">
            <w:pPr>
              <w:spacing w:after="48" w:afterLines="20"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符合第五章“委托人要求”中的实质性要求和条件（由投标人承诺，承诺书格式详见第六章投标文件格式）。</w:t>
            </w:r>
          </w:p>
          <w:p w14:paraId="7BB50AFD">
            <w:pPr>
              <w:spacing w:after="48" w:afterLines="20"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本次投标不得有串通投标、弄虚作假等其他违反招投标相关法律、法规行为。</w:t>
            </w:r>
          </w:p>
          <w:p w14:paraId="33B05010">
            <w:pPr>
              <w:spacing w:after="48" w:afterLines="20" w:line="400" w:lineRule="exact"/>
              <w:ind w:firstLine="420" w:firstLineChars="200"/>
              <w:rPr>
                <w:rFonts w:hint="eastAsia"/>
                <w:highlight w:val="none"/>
              </w:rPr>
            </w:pPr>
            <w:r>
              <w:rPr>
                <w:rFonts w:hint="eastAsia" w:ascii="宋体" w:hAnsi="宋体" w:eastAsia="宋体" w:cs="宋体"/>
                <w:highlight w:val="none"/>
              </w:rPr>
              <w:t>按评标委员会要求澄清、说明或补正。</w:t>
            </w:r>
          </w:p>
        </w:tc>
      </w:tr>
      <w:tr w14:paraId="147F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7FD309A">
            <w:pPr>
              <w:widowControl/>
              <w:spacing w:line="400" w:lineRule="exact"/>
              <w:ind w:left="0" w:leftChars="0" w:firstLine="0" w:firstLineChars="0"/>
              <w:jc w:val="center"/>
              <w:rPr>
                <w:highlight w:val="none"/>
              </w:rPr>
            </w:pPr>
            <w:r>
              <w:rPr>
                <w:rFonts w:hint="eastAsia" w:ascii="宋体" w:hAnsi="宋体" w:cs="宋体"/>
                <w:color w:val="auto"/>
                <w:kern w:val="0"/>
                <w:highlight w:val="none"/>
              </w:rPr>
              <w:t>2.2.1</w:t>
            </w:r>
          </w:p>
        </w:tc>
        <w:tc>
          <w:tcPr>
            <w:tcW w:w="1314" w:type="dxa"/>
            <w:vAlign w:val="center"/>
          </w:tcPr>
          <w:p w14:paraId="0CE71005">
            <w:pPr>
              <w:widowControl/>
              <w:spacing w:line="400" w:lineRule="exact"/>
              <w:ind w:left="0" w:leftChars="0" w:firstLine="0" w:firstLineChars="0"/>
              <w:jc w:val="center"/>
              <w:rPr>
                <w:highlight w:val="none"/>
              </w:rPr>
            </w:pPr>
            <w:r>
              <w:rPr>
                <w:rFonts w:hint="eastAsia" w:ascii="宋体" w:hAnsi="宋体" w:cs="宋体"/>
                <w:color w:val="auto"/>
                <w:kern w:val="0"/>
                <w:szCs w:val="21"/>
                <w:highlight w:val="none"/>
                <w:lang w:bidi="ar"/>
              </w:rPr>
              <w:t>分值构成（总分 100 分）</w:t>
            </w:r>
          </w:p>
        </w:tc>
        <w:tc>
          <w:tcPr>
            <w:tcW w:w="7162" w:type="dxa"/>
            <w:gridSpan w:val="6"/>
            <w:vAlign w:val="center"/>
          </w:tcPr>
          <w:p w14:paraId="789515DA">
            <w:pPr>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1.技术部分</w:t>
            </w:r>
            <w:r>
              <w:rPr>
                <w:rFonts w:hint="eastAsia" w:ascii="宋体" w:hAnsi="宋体" w:cs="宋体"/>
                <w:color w:val="auto"/>
                <w:kern w:val="0"/>
                <w:highlight w:val="none"/>
                <w:u w:val="single"/>
                <w:lang w:val="en-US" w:eastAsia="zh-CN"/>
              </w:rPr>
              <w:t>10</w:t>
            </w:r>
            <w:r>
              <w:rPr>
                <w:rFonts w:hint="eastAsia" w:ascii="宋体" w:hAnsi="宋体" w:cs="宋体"/>
                <w:color w:val="auto"/>
                <w:kern w:val="0"/>
                <w:highlight w:val="none"/>
              </w:rPr>
              <w:t>分；</w:t>
            </w:r>
          </w:p>
          <w:p w14:paraId="69868807">
            <w:pPr>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rPr>
              <w:t>商务部分</w:t>
            </w:r>
            <w:r>
              <w:rPr>
                <w:rFonts w:hint="eastAsia" w:ascii="宋体" w:hAnsi="宋体" w:cs="宋体"/>
                <w:color w:val="auto"/>
                <w:kern w:val="0"/>
                <w:highlight w:val="none"/>
                <w:u w:val="single"/>
                <w:lang w:val="en-US" w:eastAsia="zh-CN"/>
              </w:rPr>
              <w:t>50</w:t>
            </w:r>
            <w:r>
              <w:rPr>
                <w:rFonts w:hint="eastAsia" w:ascii="宋体" w:hAnsi="宋体" w:cs="宋体"/>
                <w:color w:val="auto"/>
                <w:kern w:val="0"/>
                <w:highlight w:val="none"/>
              </w:rPr>
              <w:t>分；</w:t>
            </w:r>
          </w:p>
          <w:p w14:paraId="361A4EEE">
            <w:pPr>
              <w:snapToGrid w:val="0"/>
              <w:spacing w:line="400" w:lineRule="exact"/>
              <w:ind w:firstLine="420" w:firstLineChars="200"/>
              <w:rPr>
                <w:rFonts w:hint="eastAsia"/>
                <w:highlight w:val="none"/>
              </w:rPr>
            </w:pPr>
            <w:r>
              <w:rPr>
                <w:rFonts w:hint="eastAsia" w:ascii="宋体" w:hAnsi="宋体" w:cs="宋体"/>
                <w:color w:val="auto"/>
                <w:kern w:val="0"/>
                <w:highlight w:val="none"/>
              </w:rPr>
              <w:t>3.投标报价</w:t>
            </w:r>
            <w:r>
              <w:rPr>
                <w:rFonts w:hint="eastAsia" w:ascii="宋体" w:hAnsi="宋体" w:cs="宋体"/>
                <w:color w:val="auto"/>
                <w:kern w:val="0"/>
                <w:highlight w:val="none"/>
                <w:u w:val="single"/>
                <w:lang w:val="en-US" w:eastAsia="zh-CN"/>
              </w:rPr>
              <w:t>40</w:t>
            </w:r>
            <w:r>
              <w:rPr>
                <w:rFonts w:hint="eastAsia" w:ascii="宋体" w:hAnsi="宋体" w:cs="宋体"/>
                <w:color w:val="auto"/>
                <w:kern w:val="0"/>
                <w:highlight w:val="none"/>
              </w:rPr>
              <w:t>分；</w:t>
            </w:r>
          </w:p>
        </w:tc>
      </w:tr>
      <w:tr w14:paraId="523D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988" w:type="dxa"/>
            <w:vMerge w:val="restart"/>
            <w:vAlign w:val="center"/>
          </w:tcPr>
          <w:p w14:paraId="61FAFFA8">
            <w:pPr>
              <w:widowControl/>
              <w:spacing w:line="400" w:lineRule="exact"/>
              <w:ind w:left="0" w:leftChars="0" w:firstLine="0" w:firstLineChars="0"/>
              <w:jc w:val="center"/>
              <w:rPr>
                <w:rFonts w:hint="eastAsia"/>
                <w:highlight w:val="none"/>
              </w:rPr>
            </w:pPr>
            <w:r>
              <w:rPr>
                <w:rFonts w:hint="eastAsia" w:ascii="宋体" w:hAnsi="宋体" w:cs="宋体"/>
                <w:color w:val="auto"/>
                <w:kern w:val="0"/>
                <w:highlight w:val="none"/>
              </w:rPr>
              <w:t>2.2.2（1）</w:t>
            </w:r>
          </w:p>
        </w:tc>
        <w:tc>
          <w:tcPr>
            <w:tcW w:w="1314" w:type="dxa"/>
            <w:vMerge w:val="restart"/>
            <w:vAlign w:val="center"/>
          </w:tcPr>
          <w:p w14:paraId="1B1DA766">
            <w:pPr>
              <w:widowControl/>
              <w:spacing w:line="400" w:lineRule="exact"/>
              <w:ind w:left="0" w:leftChars="0" w:firstLine="0" w:firstLineChars="0"/>
              <w:jc w:val="center"/>
              <w:rPr>
                <w:rFonts w:hint="eastAsia"/>
                <w:highlight w:val="none"/>
              </w:rPr>
            </w:pPr>
            <w:r>
              <w:rPr>
                <w:rFonts w:hint="eastAsia" w:ascii="宋体" w:hAnsi="宋体" w:cs="宋体"/>
                <w:color w:val="auto"/>
                <w:kern w:val="0"/>
                <w:highlight w:val="none"/>
              </w:rPr>
              <w:t>技术部分评分标准</w:t>
            </w:r>
          </w:p>
        </w:tc>
        <w:tc>
          <w:tcPr>
            <w:tcW w:w="575" w:type="dxa"/>
            <w:gridSpan w:val="2"/>
            <w:vMerge w:val="restart"/>
            <w:vAlign w:val="center"/>
          </w:tcPr>
          <w:p w14:paraId="52B08BB3">
            <w:pPr>
              <w:pStyle w:val="53"/>
              <w:bidi w:val="0"/>
              <w:jc w:val="center"/>
              <w:rPr>
                <w:rFonts w:hint="default"/>
                <w:highlight w:val="none"/>
                <w:lang w:val="en-US" w:eastAsia="zh-CN"/>
              </w:rPr>
            </w:pPr>
            <w:r>
              <w:rPr>
                <w:rFonts w:hint="eastAsia"/>
                <w:highlight w:val="none"/>
                <w:lang w:val="en-US" w:eastAsia="zh-CN"/>
              </w:rPr>
              <w:t>技术方案评审</w:t>
            </w:r>
          </w:p>
        </w:tc>
        <w:tc>
          <w:tcPr>
            <w:tcW w:w="2086" w:type="dxa"/>
            <w:gridSpan w:val="3"/>
            <w:vAlign w:val="center"/>
          </w:tcPr>
          <w:p w14:paraId="5ACCE480">
            <w:pPr>
              <w:snapToGrid w:val="0"/>
              <w:spacing w:line="400" w:lineRule="exact"/>
              <w:ind w:left="0" w:leftChars="0" w:firstLine="0" w:firstLineChars="0"/>
              <w:jc w:val="center"/>
              <w:rPr>
                <w:rFonts w:hint="eastAsia"/>
                <w:highlight w:val="none"/>
                <w:lang w:val="en-US" w:eastAsia="zh-CN"/>
              </w:rPr>
            </w:pPr>
            <w:r>
              <w:rPr>
                <w:rFonts w:hint="eastAsia"/>
                <w:highlight w:val="none"/>
                <w:lang w:val="en-US" w:eastAsia="zh-CN"/>
              </w:rPr>
              <w:t>商城系统营销功能评分（2分）</w:t>
            </w:r>
          </w:p>
        </w:tc>
        <w:tc>
          <w:tcPr>
            <w:tcW w:w="4501" w:type="dxa"/>
            <w:vAlign w:val="center"/>
          </w:tcPr>
          <w:p w14:paraId="188A379D">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系统支持积分商城基本营销功能，包括：可视化配置活动、积分抽奖、积分秒杀、积分竞猜、签到领积分等功能。全部满足以上功能得2分，部分满足或不满足得0分。</w:t>
            </w:r>
          </w:p>
          <w:p w14:paraId="25239A78">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投标人须提供系统截图、网站域名证书，并加盖投标人公章。须清晰展示其后台系统对应功能模块，并对相应功能进行简单描述。如评审委员会认定，投标人提供的证明材料无法清晰证明功能存在，不得分。</w:t>
            </w:r>
          </w:p>
        </w:tc>
      </w:tr>
      <w:tr w14:paraId="1956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988" w:type="dxa"/>
            <w:vMerge w:val="continue"/>
            <w:vAlign w:val="center"/>
          </w:tcPr>
          <w:p w14:paraId="6DD92D02">
            <w:pPr>
              <w:pStyle w:val="53"/>
              <w:bidi w:val="0"/>
              <w:jc w:val="center"/>
              <w:rPr>
                <w:rFonts w:hint="eastAsia"/>
                <w:highlight w:val="none"/>
              </w:rPr>
            </w:pPr>
          </w:p>
        </w:tc>
        <w:tc>
          <w:tcPr>
            <w:tcW w:w="1314" w:type="dxa"/>
            <w:vMerge w:val="continue"/>
            <w:vAlign w:val="center"/>
          </w:tcPr>
          <w:p w14:paraId="2FA05A59">
            <w:pPr>
              <w:pStyle w:val="53"/>
              <w:bidi w:val="0"/>
              <w:jc w:val="center"/>
              <w:rPr>
                <w:rFonts w:hint="eastAsia"/>
                <w:highlight w:val="none"/>
              </w:rPr>
            </w:pPr>
          </w:p>
        </w:tc>
        <w:tc>
          <w:tcPr>
            <w:tcW w:w="575" w:type="dxa"/>
            <w:gridSpan w:val="2"/>
            <w:vMerge w:val="continue"/>
          </w:tcPr>
          <w:p w14:paraId="1D99996D">
            <w:pPr>
              <w:pStyle w:val="53"/>
              <w:bidi w:val="0"/>
              <w:rPr>
                <w:rFonts w:hint="eastAsia"/>
                <w:highlight w:val="none"/>
                <w:lang w:val="en-US" w:eastAsia="zh-CN"/>
              </w:rPr>
            </w:pPr>
          </w:p>
        </w:tc>
        <w:tc>
          <w:tcPr>
            <w:tcW w:w="2086" w:type="dxa"/>
            <w:gridSpan w:val="3"/>
            <w:vAlign w:val="center"/>
          </w:tcPr>
          <w:p w14:paraId="43B73F0B">
            <w:pPr>
              <w:snapToGrid w:val="0"/>
              <w:spacing w:line="400" w:lineRule="exact"/>
              <w:ind w:left="0" w:leftChars="0" w:firstLine="0" w:firstLineChars="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商城供应商管理系统功能（2分）</w:t>
            </w:r>
          </w:p>
        </w:tc>
        <w:tc>
          <w:tcPr>
            <w:tcW w:w="4501" w:type="dxa"/>
          </w:tcPr>
          <w:p w14:paraId="7F1DAF73">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系统支持向商户提供完整的供应商配套服务，包括但不限于供应商登陆账号管理、供应商新增商品管理、供应商商品订单管理、供应商售后订单管理、供应商物流配送管理、供应商财务订单管理等核心功能。全部满足以上功能得2分，部分满足或不满足得0分。</w:t>
            </w:r>
          </w:p>
          <w:p w14:paraId="18081C2E">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投标人须提供系统截图、网站域名证书，并加盖投标人公章。须清晰展示其后台系统对应功能模块，并对相应功能进行简单描述。如评审委员会认定，投标人提供的证明材料无法清晰证明功能存在，不得分。</w:t>
            </w:r>
          </w:p>
        </w:tc>
      </w:tr>
      <w:tr w14:paraId="7955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Merge w:val="continue"/>
            <w:vAlign w:val="center"/>
          </w:tcPr>
          <w:p w14:paraId="63838B89">
            <w:pPr>
              <w:pStyle w:val="53"/>
              <w:bidi w:val="0"/>
              <w:jc w:val="center"/>
              <w:rPr>
                <w:rFonts w:hint="eastAsia"/>
                <w:highlight w:val="none"/>
              </w:rPr>
            </w:pPr>
          </w:p>
        </w:tc>
        <w:tc>
          <w:tcPr>
            <w:tcW w:w="1314" w:type="dxa"/>
            <w:vMerge w:val="continue"/>
            <w:vAlign w:val="center"/>
          </w:tcPr>
          <w:p w14:paraId="63B0520D">
            <w:pPr>
              <w:pStyle w:val="53"/>
              <w:bidi w:val="0"/>
              <w:jc w:val="center"/>
              <w:rPr>
                <w:rFonts w:hint="eastAsia"/>
                <w:highlight w:val="none"/>
              </w:rPr>
            </w:pPr>
          </w:p>
        </w:tc>
        <w:tc>
          <w:tcPr>
            <w:tcW w:w="575" w:type="dxa"/>
            <w:gridSpan w:val="2"/>
            <w:vMerge w:val="continue"/>
          </w:tcPr>
          <w:p w14:paraId="03BFA9BF">
            <w:pPr>
              <w:pStyle w:val="53"/>
              <w:bidi w:val="0"/>
              <w:rPr>
                <w:rFonts w:hint="eastAsia"/>
                <w:highlight w:val="none"/>
                <w:lang w:val="en-US" w:eastAsia="zh-CN"/>
              </w:rPr>
            </w:pPr>
          </w:p>
        </w:tc>
        <w:tc>
          <w:tcPr>
            <w:tcW w:w="2086" w:type="dxa"/>
            <w:gridSpan w:val="3"/>
            <w:vAlign w:val="center"/>
          </w:tcPr>
          <w:p w14:paraId="4101FD7C">
            <w:pPr>
              <w:snapToGrid w:val="0"/>
              <w:spacing w:line="400" w:lineRule="exact"/>
              <w:ind w:left="0" w:leftChars="0" w:firstLine="0" w:firstLineChars="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系统安全评分（2分）</w:t>
            </w:r>
          </w:p>
          <w:p w14:paraId="398BCC5B">
            <w:pPr>
              <w:snapToGrid w:val="0"/>
              <w:spacing w:line="400" w:lineRule="exact"/>
              <w:ind w:left="0" w:leftChars="0" w:firstLine="0" w:firstLineChars="0"/>
              <w:jc w:val="center"/>
              <w:rPr>
                <w:rFonts w:hint="eastAsia" w:ascii="Times New Roman" w:hAnsi="Times New Roman" w:cs="Times New Roman"/>
                <w:highlight w:val="none"/>
                <w:lang w:val="en-US" w:eastAsia="zh-CN"/>
              </w:rPr>
            </w:pPr>
          </w:p>
        </w:tc>
        <w:tc>
          <w:tcPr>
            <w:tcW w:w="4501" w:type="dxa"/>
          </w:tcPr>
          <w:p w14:paraId="1572B6F4">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投标人提供2025年由国家信息中心电子政务信息安全等级保护评测中心，或其他第三方出具的，针对投标人商城系统的“系统安全渗透测试报告”，得2分</w:t>
            </w:r>
            <w:r>
              <w:rPr>
                <w:rFonts w:hint="eastAsia" w:cs="Times New Roman"/>
                <w:highlight w:val="none"/>
                <w:lang w:val="en-US" w:eastAsia="zh-CN"/>
              </w:rPr>
              <w:t>，不提供不得分</w:t>
            </w:r>
            <w:r>
              <w:rPr>
                <w:rFonts w:hint="eastAsia" w:ascii="Times New Roman" w:hAnsi="Times New Roman" w:eastAsia="宋体" w:cs="Times New Roman"/>
                <w:highlight w:val="none"/>
                <w:lang w:val="en-US" w:eastAsia="zh-CN"/>
              </w:rPr>
              <w:t>。</w:t>
            </w:r>
          </w:p>
          <w:p w14:paraId="548D00BF">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w:t>
            </w:r>
          </w:p>
          <w:p w14:paraId="6CC34E6A">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投标人须提供由国家信息中心电子政务信息安全等级保护评测中心，或其他三方安全测评厂商出具的“系统安全渗透测试报告”材料复印件，并加盖投标人公章。三方安全测评厂商应为行业知名厂商：绿盟、奇安信、奇虎360、安恒、长亭、启明星辰、竞远、梦之想、国舜、中科全安等，否则不得分。</w:t>
            </w:r>
          </w:p>
          <w:p w14:paraId="27AB0858">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2.如证明材料主体与投标人名称不一致，主体应与投标人为同一企业法人或属于同一集团，须提供关联关系说明，加盖主体及投标人公章。</w:t>
            </w:r>
          </w:p>
        </w:tc>
      </w:tr>
      <w:tr w14:paraId="33F2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Merge w:val="continue"/>
            <w:vAlign w:val="center"/>
          </w:tcPr>
          <w:p w14:paraId="5A7DAF79">
            <w:pPr>
              <w:pStyle w:val="53"/>
              <w:bidi w:val="0"/>
              <w:jc w:val="center"/>
              <w:rPr>
                <w:rFonts w:hint="eastAsia"/>
                <w:highlight w:val="none"/>
              </w:rPr>
            </w:pPr>
          </w:p>
        </w:tc>
        <w:tc>
          <w:tcPr>
            <w:tcW w:w="1314" w:type="dxa"/>
            <w:vMerge w:val="continue"/>
            <w:vAlign w:val="center"/>
          </w:tcPr>
          <w:p w14:paraId="2539C60D">
            <w:pPr>
              <w:pStyle w:val="53"/>
              <w:bidi w:val="0"/>
              <w:jc w:val="center"/>
              <w:rPr>
                <w:rFonts w:hint="eastAsia"/>
                <w:highlight w:val="none"/>
              </w:rPr>
            </w:pPr>
          </w:p>
        </w:tc>
        <w:tc>
          <w:tcPr>
            <w:tcW w:w="575" w:type="dxa"/>
            <w:gridSpan w:val="2"/>
            <w:vMerge w:val="continue"/>
          </w:tcPr>
          <w:p w14:paraId="693AB67E">
            <w:pPr>
              <w:pStyle w:val="53"/>
              <w:bidi w:val="0"/>
              <w:rPr>
                <w:rFonts w:hint="eastAsia"/>
                <w:highlight w:val="none"/>
                <w:lang w:val="en-US" w:eastAsia="zh-CN"/>
              </w:rPr>
            </w:pPr>
          </w:p>
        </w:tc>
        <w:tc>
          <w:tcPr>
            <w:tcW w:w="2086" w:type="dxa"/>
            <w:gridSpan w:val="3"/>
            <w:vAlign w:val="center"/>
          </w:tcPr>
          <w:p w14:paraId="6B943206">
            <w:pPr>
              <w:snapToGrid w:val="0"/>
              <w:spacing w:line="400" w:lineRule="exact"/>
              <w:ind w:left="0" w:leftChars="0" w:firstLine="0" w:firstLineChars="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营销活动策划实施评分（4分）</w:t>
            </w:r>
          </w:p>
        </w:tc>
        <w:tc>
          <w:tcPr>
            <w:tcW w:w="4501" w:type="dxa"/>
          </w:tcPr>
          <w:p w14:paraId="7EC667CE">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投标人须提供具体的基于招标人个人客户积分权益营销活动的策划、建设、实施方案。根据方案的新颖性、丰富性、可执行性进行综合评估，横向对比，酌情给分：</w:t>
            </w:r>
          </w:p>
          <w:p w14:paraId="28CF016D">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优：方案独具创新性和吸引力，策划体系化多维度的活动矩阵，实施方案详尽具体，体现出强大的落地保障能力，得3-4分；</w:t>
            </w:r>
          </w:p>
          <w:p w14:paraId="272A2F50">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良：方案以行业通用玩法为主，缺乏突出的创新亮点，策划较为传统，活动之间较为独立，实施方案细节不够完善，得2分；</w:t>
            </w:r>
          </w:p>
          <w:p w14:paraId="2E045678">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差：方案陈旧，毫无新意，活动类型单一，内容贫乏，实施方案模糊不清，难以落地，反映出投标人缺乏相关经验，得1分。</w:t>
            </w:r>
          </w:p>
          <w:p w14:paraId="6B7833C7">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无实施方案，或不具备相关能力，得0分。</w:t>
            </w:r>
          </w:p>
        </w:tc>
      </w:tr>
      <w:tr w14:paraId="5D66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8" w:type="dxa"/>
            <w:vMerge w:val="restart"/>
            <w:vAlign w:val="center"/>
          </w:tcPr>
          <w:p w14:paraId="01459FA8">
            <w:pPr>
              <w:widowControl/>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kern w:val="0"/>
              </w:rPr>
              <w:t>2.2.2（2）</w:t>
            </w:r>
          </w:p>
        </w:tc>
        <w:tc>
          <w:tcPr>
            <w:tcW w:w="1314" w:type="dxa"/>
            <w:vMerge w:val="restart"/>
            <w:vAlign w:val="center"/>
          </w:tcPr>
          <w:p w14:paraId="0446E7C9">
            <w:pPr>
              <w:widowControl/>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kern w:val="0"/>
              </w:rPr>
              <w:t>商务部分评分标准</w:t>
            </w:r>
          </w:p>
        </w:tc>
        <w:tc>
          <w:tcPr>
            <w:tcW w:w="2661" w:type="dxa"/>
            <w:gridSpan w:val="5"/>
            <w:shd w:val="clear" w:color="auto" w:fill="auto"/>
            <w:vAlign w:val="center"/>
          </w:tcPr>
          <w:p w14:paraId="52EC1F8D">
            <w:pPr>
              <w:snapToGrid w:val="0"/>
              <w:spacing w:line="400" w:lineRule="exact"/>
              <w:ind w:left="0" w:leftChars="0" w:firstLine="0" w:firstLineChars="0"/>
              <w:jc w:val="center"/>
              <w:rPr>
                <w:rFonts w:hint="eastAsia" w:ascii="Times New Roman" w:hAnsi="Times New Roman" w:eastAsia="宋体" w:cs="Times New Roman"/>
                <w:sz w:val="21"/>
                <w:highlight w:val="none"/>
                <w:lang w:val="en-US" w:eastAsia="zh-CN" w:bidi="ar-SA"/>
              </w:rPr>
            </w:pPr>
            <w:r>
              <w:rPr>
                <w:rFonts w:hint="eastAsia" w:ascii="Times New Roman" w:hAnsi="Times New Roman" w:cs="Times New Roman"/>
                <w:highlight w:val="none"/>
                <w:lang w:val="en-US" w:eastAsia="zh-CN"/>
              </w:rPr>
              <w:t>商品丰富度评分（10分）</w:t>
            </w:r>
          </w:p>
        </w:tc>
        <w:tc>
          <w:tcPr>
            <w:tcW w:w="4501" w:type="dxa"/>
            <w:shd w:val="clear" w:color="auto" w:fill="auto"/>
            <w:vAlign w:val="top"/>
          </w:tcPr>
          <w:p w14:paraId="556D9EDF">
            <w:pPr>
              <w:pStyle w:val="53"/>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（一）实物商品丰富度（5分）</w:t>
            </w:r>
          </w:p>
          <w:p w14:paraId="458DC732">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以下商品品类：</w:t>
            </w:r>
          </w:p>
          <w:p w14:paraId="25510191">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米面粮油类（包括但不限于金龙鱼、福临门、红蜻蜓、胡姬花、十月稻田等知名知名品牌）；</w:t>
            </w:r>
          </w:p>
          <w:p w14:paraId="21FF45FE">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家清日化类（包括但不限于清风、维达、心相印、蓝月亮、立白、雕牌、冷酸灵、宝洁及联合利华旗下等知名品牌）；</w:t>
            </w:r>
          </w:p>
          <w:p w14:paraId="766E01C0">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厨房用具类（包括但不限于苏泊尔、爱仕达、炊大皇、双立人、九阳、小米、膳魔师等知名品牌）；</w:t>
            </w:r>
          </w:p>
          <w:p w14:paraId="0F7A727A">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家居家纺类（包括但不限于富安娜、罗莱、梦洁、水星家纺、博洋、紫罗兰等知名品牌）；</w:t>
            </w:r>
          </w:p>
          <w:p w14:paraId="20D1436C">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家用电器类（包括但不限于苏泊尔、美的、九阳、康佳、小熊、小米、飞利浦等知名品牌）；</w:t>
            </w:r>
          </w:p>
          <w:p w14:paraId="02BF8629">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饮料冲调类（包括但不限于天友、伊利、蒙牛、德亚、康师傅、娃哈哈、农夫山泉、统一等知名品牌）；</w:t>
            </w:r>
          </w:p>
          <w:p w14:paraId="11F7893B">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坚果零食类（包括但不限于百草味、三只松鼠、良品铺子、盐津铺子、集味轩、甘源等知名品牌）；</w:t>
            </w:r>
          </w:p>
          <w:p w14:paraId="1FE63F05">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运动户外类（包括但不限于探险者、狼爪、骆驼、牧高笛、易路达等知名品牌）；</w:t>
            </w:r>
          </w:p>
          <w:p w14:paraId="4FB8439E">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个护美妆类（包括但不限于摩飞个护、飞利浦、小米、欧莱雅、兰蔻、圣罗兰、润本、宝洁及联合利华旗下知名品牌）；</w:t>
            </w:r>
          </w:p>
          <w:p w14:paraId="61A30E8C">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箱包皮具类（包括但不限于新秀丽、美旅、外交官、泰梦等知名品牌）；</w:t>
            </w:r>
          </w:p>
          <w:p w14:paraId="7677F711">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每个品类，投标人</w:t>
            </w:r>
            <w:r>
              <w:rPr>
                <w:rFonts w:hint="eastAsia" w:cs="Times New Roman"/>
                <w:highlight w:val="none"/>
                <w:lang w:val="en-US" w:eastAsia="zh-CN"/>
              </w:rPr>
              <w:t>应</w:t>
            </w:r>
            <w:r>
              <w:rPr>
                <w:rFonts w:hint="eastAsia" w:ascii="Times New Roman" w:hAnsi="Times New Roman" w:eastAsia="宋体" w:cs="Times New Roman"/>
                <w:highlight w:val="none"/>
                <w:lang w:val="en-US" w:eastAsia="zh-CN"/>
              </w:rPr>
              <w:t>覆盖至少2个（含2个）</w:t>
            </w:r>
            <w:r>
              <w:rPr>
                <w:rFonts w:hint="eastAsia" w:cs="Times New Roman"/>
                <w:highlight w:val="none"/>
                <w:lang w:val="en-US" w:eastAsia="zh-CN"/>
              </w:rPr>
              <w:t>品牌。投标人每覆盖一个品牌</w:t>
            </w:r>
            <w:r>
              <w:rPr>
                <w:rFonts w:hint="eastAsia" w:ascii="Times New Roman" w:hAnsi="Times New Roman" w:eastAsia="宋体" w:cs="Times New Roman"/>
                <w:highlight w:val="none"/>
                <w:lang w:val="en-US" w:eastAsia="zh-CN"/>
              </w:rPr>
              <w:t>可得0.5分，最高得5分。</w:t>
            </w:r>
          </w:p>
          <w:p w14:paraId="0BB69F62">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备注：投标人须提供授权链或合同作为证明材料，加盖投标人公章，否则不得分。</w:t>
            </w:r>
          </w:p>
          <w:p w14:paraId="696D8AFA">
            <w:pPr>
              <w:pStyle w:val="53"/>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（二）虚拟商品丰富度（5分）</w:t>
            </w:r>
          </w:p>
          <w:p w14:paraId="2AAA7C5F">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以下商品品类：</w:t>
            </w:r>
          </w:p>
          <w:p w14:paraId="06C10A35">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支付立减类（微信立减金、京东E卡等）；</w:t>
            </w:r>
          </w:p>
          <w:p w14:paraId="0B6F61A3">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视频会员类（优酷、爱奇艺、腾讯等）；</w:t>
            </w:r>
          </w:p>
          <w:p w14:paraId="484A371C">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商超类（沃尔玛、山姆、盒马生鲜等）；</w:t>
            </w:r>
          </w:p>
          <w:p w14:paraId="4B62AB96">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加油卡类（中石油、中石化等）；</w:t>
            </w:r>
          </w:p>
          <w:p w14:paraId="3DDC428D">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全国连锁商户类（星巴克、Costa、哈根达斯、必胜客等）；</w:t>
            </w:r>
          </w:p>
          <w:p w14:paraId="23D89F22">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电影票券类（猫眼、淘票票等）；</w:t>
            </w:r>
          </w:p>
          <w:p w14:paraId="4FD119BB">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健康体检类（爱康国宾、三甲医院体检中心等）；</w:t>
            </w:r>
          </w:p>
          <w:p w14:paraId="2CA13196">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食品生鲜类（美团、饿了么、顺丰优选、中粮等）；</w:t>
            </w:r>
          </w:p>
          <w:p w14:paraId="1CB8763F">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话费流量类（移动、联通、电信）；</w:t>
            </w:r>
          </w:p>
          <w:p w14:paraId="15B98354">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旅游出行类（机场、高铁贵宾厅、携程等）；</w:t>
            </w:r>
          </w:p>
          <w:p w14:paraId="64CA3ECB">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打车类（滴滴、高德、曹操出行等）；</w:t>
            </w:r>
          </w:p>
          <w:p w14:paraId="03FBBEA1">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家政服务类（天鹅到家、京东家政等）。</w:t>
            </w:r>
          </w:p>
          <w:p w14:paraId="09A485F1">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投标人每覆盖一个品类可得0.5分，最高得5分。</w:t>
            </w:r>
          </w:p>
          <w:p w14:paraId="5B9D5F5D">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imes New Roman" w:hAnsi="Times New Roman" w:eastAsia="宋体" w:cs="Times New Roman"/>
                <w:highlight w:val="none"/>
                <w:lang w:val="en-US" w:eastAsia="zh-CN"/>
              </w:rPr>
              <w:t>备注：投标人须提供授权链或合同作为证明材料，加盖投标人公章，否则不得分。</w:t>
            </w:r>
          </w:p>
        </w:tc>
      </w:tr>
      <w:tr w14:paraId="6ACB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8" w:type="dxa"/>
            <w:vMerge w:val="continue"/>
            <w:vAlign w:val="center"/>
          </w:tcPr>
          <w:p w14:paraId="2C770617">
            <w:pPr>
              <w:pStyle w:val="53"/>
              <w:bidi w:val="0"/>
              <w:jc w:val="center"/>
              <w:rPr>
                <w:rFonts w:hint="eastAsia"/>
                <w:highlight w:val="none"/>
              </w:rPr>
            </w:pPr>
          </w:p>
        </w:tc>
        <w:tc>
          <w:tcPr>
            <w:tcW w:w="1314" w:type="dxa"/>
            <w:vMerge w:val="continue"/>
            <w:vAlign w:val="center"/>
          </w:tcPr>
          <w:p w14:paraId="03065961">
            <w:pPr>
              <w:pStyle w:val="53"/>
              <w:bidi w:val="0"/>
              <w:jc w:val="center"/>
              <w:rPr>
                <w:rFonts w:hint="eastAsia"/>
                <w:highlight w:val="none"/>
              </w:rPr>
            </w:pPr>
          </w:p>
        </w:tc>
        <w:tc>
          <w:tcPr>
            <w:tcW w:w="2661" w:type="dxa"/>
            <w:gridSpan w:val="5"/>
            <w:shd w:val="clear" w:color="auto" w:fill="auto"/>
            <w:vAlign w:val="center"/>
          </w:tcPr>
          <w:p w14:paraId="0EBD2252">
            <w:pPr>
              <w:snapToGrid w:val="0"/>
              <w:spacing w:line="400" w:lineRule="exact"/>
              <w:ind w:left="0" w:leftChars="0" w:firstLine="0" w:firstLineChars="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资质及案例评分（25分）</w:t>
            </w:r>
          </w:p>
          <w:p w14:paraId="00CADD77">
            <w:pPr>
              <w:snapToGrid w:val="0"/>
              <w:spacing w:line="400" w:lineRule="exact"/>
              <w:ind w:left="0" w:leftChars="0" w:firstLine="0" w:firstLineChars="0"/>
              <w:jc w:val="center"/>
              <w:rPr>
                <w:rFonts w:hint="eastAsia" w:ascii="Times New Roman" w:hAnsi="Times New Roman" w:eastAsia="宋体" w:cs="Times New Roman"/>
                <w:sz w:val="21"/>
                <w:highlight w:val="none"/>
                <w:lang w:val="en-US" w:eastAsia="zh-CN" w:bidi="ar-SA"/>
              </w:rPr>
            </w:pPr>
          </w:p>
        </w:tc>
        <w:tc>
          <w:tcPr>
            <w:tcW w:w="4501" w:type="dxa"/>
            <w:shd w:val="clear" w:color="auto" w:fill="auto"/>
            <w:vAlign w:val="top"/>
          </w:tcPr>
          <w:p w14:paraId="44E9FF2A">
            <w:pPr>
              <w:pStyle w:val="53"/>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（一）公司资质评分（5分）</w:t>
            </w:r>
          </w:p>
          <w:p w14:paraId="2E02292E">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投标人具有企业信用等级AAA级证书、ISO9001质量管理体系认证证书、ISO20000信息技术服务管理体系认证证书、ISO27001信息安全管理体系认证证书、CMMI3级及以上证书，每提供1个</w:t>
            </w:r>
            <w:r>
              <w:rPr>
                <w:rFonts w:hint="eastAsia" w:cs="Times New Roman"/>
                <w:highlight w:val="none"/>
                <w:lang w:val="en-US" w:eastAsia="zh-CN"/>
              </w:rPr>
              <w:t>得</w:t>
            </w:r>
            <w:r>
              <w:rPr>
                <w:rFonts w:hint="eastAsia" w:ascii="Times New Roman" w:hAnsi="Times New Roman" w:eastAsia="宋体" w:cs="Times New Roman"/>
                <w:highlight w:val="none"/>
                <w:lang w:val="en-US" w:eastAsia="zh-CN"/>
              </w:rPr>
              <w:t>1分，本项最高</w:t>
            </w:r>
            <w:r>
              <w:rPr>
                <w:rFonts w:hint="eastAsia" w:cs="Times New Roman"/>
                <w:highlight w:val="none"/>
                <w:lang w:val="en-US" w:eastAsia="zh-CN"/>
              </w:rPr>
              <w:t>得</w:t>
            </w:r>
            <w:r>
              <w:rPr>
                <w:rFonts w:hint="eastAsia" w:ascii="Times New Roman" w:hAnsi="Times New Roman" w:eastAsia="宋体" w:cs="Times New Roman"/>
                <w:highlight w:val="none"/>
                <w:lang w:val="en-US" w:eastAsia="zh-CN"/>
              </w:rPr>
              <w:t>5分。</w:t>
            </w:r>
          </w:p>
          <w:p w14:paraId="4D3CB25D">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备注：投标人须提供截至投标截止日，尚在有效期内的证书复印件，且加盖投标人公章，否则不得分。</w:t>
            </w:r>
          </w:p>
          <w:p w14:paraId="1E0224D9">
            <w:pPr>
              <w:pStyle w:val="53"/>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（二）同业商品权益供应案例评分（18分）</w:t>
            </w:r>
          </w:p>
          <w:p w14:paraId="4F84CE39">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yellow"/>
                <w:lang w:val="en-US" w:eastAsia="zh-CN"/>
              </w:rPr>
              <w:t>202</w:t>
            </w:r>
            <w:r>
              <w:rPr>
                <w:rFonts w:hint="eastAsia" w:cs="Times New Roman"/>
                <w:highlight w:val="yellow"/>
                <w:lang w:val="en-US" w:eastAsia="zh-CN"/>
              </w:rPr>
              <w:t>3</w:t>
            </w:r>
            <w:r>
              <w:rPr>
                <w:rFonts w:hint="eastAsia" w:ascii="Times New Roman" w:hAnsi="Times New Roman" w:eastAsia="宋体" w:cs="Times New Roman"/>
                <w:highlight w:val="yellow"/>
                <w:lang w:val="en-US" w:eastAsia="zh-CN"/>
              </w:rPr>
              <w:t>年</w:t>
            </w:r>
            <w:r>
              <w:rPr>
                <w:rFonts w:hint="eastAsia" w:cs="Times New Roman"/>
                <w:highlight w:val="yellow"/>
                <w:lang w:val="en-US" w:eastAsia="zh-CN"/>
              </w:rPr>
              <w:t>1</w:t>
            </w:r>
            <w:r>
              <w:rPr>
                <w:rFonts w:hint="eastAsia" w:ascii="Times New Roman" w:hAnsi="Times New Roman" w:eastAsia="宋体" w:cs="Times New Roman"/>
                <w:highlight w:val="yellow"/>
                <w:lang w:val="en-US" w:eastAsia="zh-CN"/>
              </w:rPr>
              <w:t>月1日</w:t>
            </w:r>
            <w:r>
              <w:rPr>
                <w:rFonts w:hint="eastAsia" w:ascii="Times New Roman" w:hAnsi="Times New Roman" w:eastAsia="宋体" w:cs="Times New Roman"/>
                <w:highlight w:val="none"/>
                <w:lang w:val="en-US" w:eastAsia="zh-CN"/>
              </w:rPr>
              <w:t>至投标截止之日（以合同签订日期为准），为银行（注：含国有大型商业银行总行或省市分行、全国股份制商业银行、城市商业银行、农村商业银行，下同）提供积分商城、电子商城商品权益供应服务：</w:t>
            </w:r>
          </w:p>
          <w:p w14:paraId="32E9E2A9">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单个案例金额＜100万元，视为无效案例；</w:t>
            </w:r>
          </w:p>
          <w:p w14:paraId="6737525C">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100万元≤单个案例金额＜200万元，该金额区间的案例每个得1分；</w:t>
            </w:r>
          </w:p>
          <w:p w14:paraId="491F46FF">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200万元≤单个案例金额＜300万元，该金额区间的案例每个得2分；</w:t>
            </w:r>
          </w:p>
          <w:p w14:paraId="35EA21B2">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300万元≤单个案例金额＜500万元，该金额区间的案例每个得3分；</w:t>
            </w:r>
          </w:p>
          <w:p w14:paraId="441D069D">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单个案例金额≥500万元，该金额区间的案例每个得4分；</w:t>
            </w:r>
          </w:p>
          <w:p w14:paraId="09BA998B">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不重复得分，如：某单个案例金额为220万元，该案例只得2分。</w:t>
            </w:r>
          </w:p>
          <w:p w14:paraId="0EBF71ED">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各个有效案例得分相加，本项最多得分18分。</w:t>
            </w:r>
          </w:p>
          <w:p w14:paraId="64FE5494">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备注：1.资格审查的案例不纳入评分；</w:t>
            </w:r>
          </w:p>
          <w:p w14:paraId="5D8FDB90">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2.案例必须为积分商城、电子商城提供商品权益供应（实物或虚拟商品），单纯系统建设类的项目无效。如经评标委员会认定案例与积分商城、电子商城无关，视为无效案例；</w:t>
            </w:r>
          </w:p>
          <w:p w14:paraId="432E6733">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3.同一主体签署多个合同的计为一个有效案例，国有商业银行总行及</w:t>
            </w:r>
          </w:p>
          <w:p w14:paraId="0736E409">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其省市分行签署多个合同的计为一个有效案例；</w:t>
            </w:r>
          </w:p>
          <w:p w14:paraId="3181148E">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投标人须提供有效案例合同关键页（合同关键页包含：甲乙双方名称、双方印章、项目名称、合同签订时间、服务范围。）；项目简介（格式自拟）；合同对应的发票之一（网上税务系统查询（https://inv-veri.chinatax.gov.cn/）该发票的截图，发票开具日期须晚于合同签订日期、发票购买方须与合同买方一致、发票销售方须与合同卖方（投标人）一致），如协议为无规定金额的入围（框架）协议，须提供能够证明案例金额的足额发票。</w:t>
            </w:r>
          </w:p>
          <w:p w14:paraId="49A3106E">
            <w:pPr>
              <w:pStyle w:val="53"/>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（三）同业API接口对接案例评分（2分）</w:t>
            </w:r>
          </w:p>
          <w:p w14:paraId="244110E0">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yellow"/>
                <w:lang w:val="en-US" w:eastAsia="zh-CN"/>
              </w:rPr>
              <w:t>202</w:t>
            </w:r>
            <w:r>
              <w:rPr>
                <w:rFonts w:hint="eastAsia" w:cs="Times New Roman"/>
                <w:highlight w:val="yellow"/>
                <w:lang w:val="en-US" w:eastAsia="zh-CN"/>
              </w:rPr>
              <w:t>3</w:t>
            </w:r>
            <w:r>
              <w:rPr>
                <w:rFonts w:hint="eastAsia" w:ascii="Times New Roman" w:hAnsi="Times New Roman" w:eastAsia="宋体" w:cs="Times New Roman"/>
                <w:highlight w:val="yellow"/>
                <w:lang w:val="en-US" w:eastAsia="zh-CN"/>
              </w:rPr>
              <w:t>年</w:t>
            </w:r>
            <w:r>
              <w:rPr>
                <w:rFonts w:hint="eastAsia" w:cs="Times New Roman"/>
                <w:highlight w:val="yellow"/>
                <w:lang w:val="en-US" w:eastAsia="zh-CN"/>
              </w:rPr>
              <w:t>1</w:t>
            </w:r>
            <w:r>
              <w:rPr>
                <w:rFonts w:hint="eastAsia" w:ascii="Times New Roman" w:hAnsi="Times New Roman" w:eastAsia="宋体" w:cs="Times New Roman"/>
                <w:highlight w:val="yellow"/>
                <w:lang w:val="en-US" w:eastAsia="zh-CN"/>
              </w:rPr>
              <w:t>月1日</w:t>
            </w:r>
            <w:r>
              <w:rPr>
                <w:rFonts w:hint="eastAsia" w:ascii="Times New Roman" w:hAnsi="Times New Roman" w:eastAsia="宋体" w:cs="Times New Roman"/>
                <w:highlight w:val="none"/>
                <w:lang w:val="en-US" w:eastAsia="zh-CN"/>
              </w:rPr>
              <w:t>至</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highlight w:val="none"/>
                <w:lang w:val="en-US" w:eastAsia="zh-CN"/>
              </w:rPr>
              <w:t>截止之日（以合同签订日期为准），通过投标人API接口为银行提供商品权益供应（实物或虚拟商品）。</w:t>
            </w:r>
          </w:p>
          <w:p w14:paraId="5F56F373">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每提供1个有效案例，得1分，本项最多得分2分。</w:t>
            </w:r>
          </w:p>
          <w:p w14:paraId="465B0BFD">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备注：1.资格审查的案例不纳入评分；</w:t>
            </w:r>
          </w:p>
          <w:p w14:paraId="5D21C685">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2.案例必须通过API接口对接，无法提供接口对接证明材料，视为无效案例；</w:t>
            </w:r>
          </w:p>
          <w:p w14:paraId="05DE544B">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3.同一主体签署多个合同的计为一个有效案例，国有商业银行总行及其省市分行签署多个合同的计为一个有效案例；</w:t>
            </w:r>
          </w:p>
          <w:p w14:paraId="0ABF4E7F">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imes New Roman" w:hAnsi="Times New Roman" w:eastAsia="宋体" w:cs="Times New Roman"/>
                <w:highlight w:val="none"/>
                <w:lang w:val="en-US" w:eastAsia="zh-CN"/>
              </w:rPr>
              <w:t>4.投标人须提供有效案例合同关键页（合同关键页包含：甲乙双方名称、双方印章、项目名称、合同签订时间、服务范围。）；项目简介（格式自拟）；合同对应的发票之一（网上税务系统查询（https://inv-veri.chinatax.gov.cn/）该发票的截图，发票开具日期须晚于合同签订日期、发票购买方须与合同买方一致、发票销售方须与合同卖方（投标人）一致）；API接口对接证明材料。</w:t>
            </w:r>
          </w:p>
        </w:tc>
      </w:tr>
      <w:tr w14:paraId="503B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Merge w:val="continue"/>
            <w:vAlign w:val="center"/>
          </w:tcPr>
          <w:p w14:paraId="65B33E1B">
            <w:pPr>
              <w:pStyle w:val="53"/>
              <w:bidi w:val="0"/>
              <w:jc w:val="center"/>
              <w:rPr>
                <w:rFonts w:hint="eastAsia"/>
                <w:highlight w:val="none"/>
              </w:rPr>
            </w:pPr>
          </w:p>
        </w:tc>
        <w:tc>
          <w:tcPr>
            <w:tcW w:w="1314" w:type="dxa"/>
            <w:vMerge w:val="continue"/>
            <w:vAlign w:val="center"/>
          </w:tcPr>
          <w:p w14:paraId="4A696DE2">
            <w:pPr>
              <w:pStyle w:val="53"/>
              <w:bidi w:val="0"/>
              <w:jc w:val="center"/>
              <w:rPr>
                <w:rFonts w:hint="eastAsia"/>
                <w:highlight w:val="none"/>
              </w:rPr>
            </w:pPr>
          </w:p>
        </w:tc>
        <w:tc>
          <w:tcPr>
            <w:tcW w:w="2661" w:type="dxa"/>
            <w:gridSpan w:val="5"/>
            <w:vAlign w:val="center"/>
          </w:tcPr>
          <w:p w14:paraId="1975A563">
            <w:pPr>
              <w:snapToGrid w:val="0"/>
              <w:spacing w:line="400" w:lineRule="exact"/>
              <w:ind w:left="0" w:leftChars="0" w:firstLine="0" w:firstLineChars="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配送及服务评分（13分）</w:t>
            </w:r>
          </w:p>
        </w:tc>
        <w:tc>
          <w:tcPr>
            <w:tcW w:w="4501" w:type="dxa"/>
            <w:vAlign w:val="top"/>
          </w:tcPr>
          <w:p w14:paraId="5D6150A9">
            <w:pPr>
              <w:pStyle w:val="53"/>
              <w:keepNext w:val="0"/>
              <w:keepLines w:val="0"/>
              <w:pageBreakBefore w:val="0"/>
              <w:widowControl/>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（一）本地仓储评分（2分）</w:t>
            </w:r>
          </w:p>
          <w:p w14:paraId="73009B1A">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投标人可在重庆区域为招标人提供自有库房，且面积≥500㎡，得2分；提供非自有库房，且面积≥500㎡，得1分。其余不得分。</w:t>
            </w:r>
          </w:p>
          <w:p w14:paraId="6648A371">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备注：1.自有库房，投标人须提供仓库自有产权证书复印件，加盖投标人公章；</w:t>
            </w:r>
          </w:p>
          <w:p w14:paraId="1D5099C9">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2.非自有库房，投标人须提供租赁合同及产权证书复印件，同时应附</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highlight w:val="none"/>
                <w:lang w:val="en-US" w:eastAsia="zh-CN"/>
              </w:rPr>
              <w:t>截止日前3个月内支付库房租赁费的发票和网上税务系统查询该发票截图证明，加盖投标人公章，否则不得分。</w:t>
            </w:r>
          </w:p>
          <w:p w14:paraId="7E24A864">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3.如证明材料主体与投标人名称不一致，主体应与投标人为同一企业法人或属于同一集团，须提供关联关系说明，加盖主体及投标人公章。</w:t>
            </w:r>
          </w:p>
          <w:p w14:paraId="3B5A82A0">
            <w:pPr>
              <w:pStyle w:val="53"/>
              <w:keepNext w:val="0"/>
              <w:keepLines w:val="0"/>
              <w:pageBreakBefore w:val="0"/>
              <w:widowControl/>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（二）物流公司评分（4分）</w:t>
            </w:r>
          </w:p>
          <w:p w14:paraId="056D9C92">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1.投标人承诺选用品牌公众满意度得分较高的品牌物流快递公司（顺丰速运、京东快递、EMS），得4分。</w:t>
            </w:r>
          </w:p>
          <w:p w14:paraId="30D500D6">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2.投标人承诺选用满意度一般的品牌物流快递公司（邮政速递、中通快递、圆通速递、韵达速递、申通快递、德邦快递、极兔速递），得2分</w:t>
            </w:r>
            <w:r>
              <w:rPr>
                <w:rFonts w:hint="eastAsia" w:cs="Times New Roman"/>
                <w:highlight w:val="none"/>
                <w:lang w:val="en-US" w:eastAsia="zh-CN"/>
              </w:rPr>
              <w:t>。</w:t>
            </w:r>
          </w:p>
          <w:p w14:paraId="12078450">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3.投标人承诺选用其他物流快递公司或自行配送，得1分。</w:t>
            </w:r>
          </w:p>
          <w:p w14:paraId="398CABEC">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备注：1.如投标人选用多家物流快递公司配送，则以最低档物流快递公司得分为准；</w:t>
            </w:r>
          </w:p>
          <w:p w14:paraId="15E0C467">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2.投标人须提供对应承诺函，并加盖投标人公章，否则不得分。</w:t>
            </w:r>
          </w:p>
          <w:p w14:paraId="43BD6C60">
            <w:pPr>
              <w:pStyle w:val="53"/>
              <w:keepNext w:val="0"/>
              <w:keepLines w:val="0"/>
              <w:pageBreakBefore w:val="0"/>
              <w:widowControl/>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（三）配送时效评分（2分）</w:t>
            </w:r>
          </w:p>
          <w:p w14:paraId="1FFD9FA4">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项目要求投标人须在接收订单信息后T+2个工作日内完成实物商品发货，具体按以下规则计分：</w:t>
            </w:r>
          </w:p>
          <w:p w14:paraId="674130A9">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1.投标人承诺发货时效为T+0内，得2分；</w:t>
            </w:r>
          </w:p>
          <w:p w14:paraId="59AE234B">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2.投标人承诺发货时效为T+1内，得1分；</w:t>
            </w:r>
          </w:p>
          <w:p w14:paraId="62166A36">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其余不得分。</w:t>
            </w:r>
          </w:p>
          <w:p w14:paraId="2CEA7157">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备注：投标人须提供对应承诺函，并加盖投标人公章，否则不得分。</w:t>
            </w:r>
          </w:p>
          <w:p w14:paraId="5BCE05B2">
            <w:pPr>
              <w:pStyle w:val="53"/>
              <w:keepNext w:val="0"/>
              <w:keepLines w:val="0"/>
              <w:pageBreakBefore w:val="0"/>
              <w:widowControl/>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（四）售后热线评分（2分）</w:t>
            </w:r>
          </w:p>
          <w:p w14:paraId="41F46B60">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投标人承诺为采购人配备400企业专属客服热线，得2分。其余不得分。</w:t>
            </w:r>
          </w:p>
          <w:p w14:paraId="71BDBCDC">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备注：投标人须提供对应承诺函，并加盖投标人公章，否则不得分。</w:t>
            </w:r>
          </w:p>
          <w:p w14:paraId="54C31A07">
            <w:pPr>
              <w:pStyle w:val="53"/>
              <w:keepNext w:val="0"/>
              <w:keepLines w:val="0"/>
              <w:pageBreakBefore w:val="0"/>
              <w:widowControl/>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val="0"/>
                <w:highlight w:val="none"/>
                <w:lang w:val="en-US" w:eastAsia="zh-CN"/>
              </w:rPr>
            </w:pPr>
            <w:r>
              <w:rPr>
                <w:rFonts w:hint="eastAsia" w:ascii="Times New Roman" w:hAnsi="Times New Roman" w:eastAsia="宋体" w:cs="Times New Roman"/>
                <w:b/>
                <w:bCs w:val="0"/>
                <w:highlight w:val="none"/>
                <w:lang w:val="en-US" w:eastAsia="zh-CN"/>
              </w:rPr>
              <w:t>（五）团队人员评分（3分）</w:t>
            </w:r>
          </w:p>
          <w:p w14:paraId="05D9F224">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投标人为招标人提供专业执行团队，项目团队成员应包括：至少1名项目经理、1名产品经理、1名业务运营人员、2名售后服务人员。</w:t>
            </w:r>
          </w:p>
          <w:p w14:paraId="670D3018">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1.团队人员角色和数量均满足招标人要求的得1分，否则不得分；</w:t>
            </w:r>
          </w:p>
          <w:p w14:paraId="56A1483A">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2.项目经理至少具备5年从业经验，且</w:t>
            </w:r>
            <w:r>
              <w:rPr>
                <w:rFonts w:hint="eastAsia" w:ascii="Times New Roman" w:hAnsi="Times New Roman" w:eastAsia="宋体" w:cs="Times New Roman"/>
                <w:highlight w:val="yellow"/>
                <w:lang w:val="en-US" w:eastAsia="zh-CN"/>
              </w:rPr>
              <w:t>202</w:t>
            </w:r>
            <w:r>
              <w:rPr>
                <w:rFonts w:hint="eastAsia" w:cs="Times New Roman"/>
                <w:highlight w:val="yellow"/>
                <w:lang w:val="en-US" w:eastAsia="zh-CN"/>
              </w:rPr>
              <w:t>3</w:t>
            </w:r>
            <w:r>
              <w:rPr>
                <w:rFonts w:hint="eastAsia" w:ascii="Times New Roman" w:hAnsi="Times New Roman" w:eastAsia="宋体" w:cs="Times New Roman"/>
                <w:highlight w:val="yellow"/>
                <w:lang w:val="en-US" w:eastAsia="zh-CN"/>
              </w:rPr>
              <w:t>年</w:t>
            </w:r>
            <w:r>
              <w:rPr>
                <w:rFonts w:hint="eastAsia" w:cs="Times New Roman"/>
                <w:highlight w:val="yellow"/>
                <w:lang w:val="en-US" w:eastAsia="zh-CN"/>
              </w:rPr>
              <w:t>1</w:t>
            </w:r>
            <w:r>
              <w:rPr>
                <w:rFonts w:hint="eastAsia" w:ascii="Times New Roman" w:hAnsi="Times New Roman" w:eastAsia="宋体" w:cs="Times New Roman"/>
                <w:highlight w:val="yellow"/>
                <w:lang w:val="en-US" w:eastAsia="zh-CN"/>
              </w:rPr>
              <w:t>月1日</w:t>
            </w:r>
            <w:r>
              <w:rPr>
                <w:rFonts w:hint="eastAsia" w:ascii="Times New Roman" w:hAnsi="Times New Roman" w:eastAsia="宋体" w:cs="Times New Roman"/>
                <w:highlight w:val="none"/>
                <w:lang w:val="en-US" w:eastAsia="zh-CN"/>
              </w:rPr>
              <w:t>至</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highlight w:val="none"/>
                <w:lang w:val="en-US" w:eastAsia="zh-CN"/>
              </w:rPr>
              <w:t>截止之日期间，至少参与或主持3个（含3个）银行积分商城商品供应相关案例，符合条件得1分，不符合不得分；</w:t>
            </w:r>
          </w:p>
          <w:p w14:paraId="5B96D291">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3.产品经理至少具备5年从业经验，且</w:t>
            </w:r>
            <w:r>
              <w:rPr>
                <w:rFonts w:hint="eastAsia" w:ascii="Times New Roman" w:hAnsi="Times New Roman" w:eastAsia="宋体" w:cs="Times New Roman"/>
                <w:highlight w:val="yellow"/>
                <w:lang w:val="en-US" w:eastAsia="zh-CN"/>
              </w:rPr>
              <w:t>202</w:t>
            </w:r>
            <w:r>
              <w:rPr>
                <w:rFonts w:hint="eastAsia" w:cs="Times New Roman"/>
                <w:highlight w:val="yellow"/>
                <w:lang w:val="en-US" w:eastAsia="zh-CN"/>
              </w:rPr>
              <w:t>3</w:t>
            </w:r>
            <w:r>
              <w:rPr>
                <w:rFonts w:hint="eastAsia" w:ascii="Times New Roman" w:hAnsi="Times New Roman" w:eastAsia="宋体" w:cs="Times New Roman"/>
                <w:highlight w:val="yellow"/>
                <w:lang w:val="en-US" w:eastAsia="zh-CN"/>
              </w:rPr>
              <w:t>年</w:t>
            </w:r>
            <w:r>
              <w:rPr>
                <w:rFonts w:hint="eastAsia" w:cs="Times New Roman"/>
                <w:highlight w:val="yellow"/>
                <w:lang w:val="en-US" w:eastAsia="zh-CN"/>
              </w:rPr>
              <w:t>1</w:t>
            </w:r>
            <w:r>
              <w:rPr>
                <w:rFonts w:hint="eastAsia" w:ascii="Times New Roman" w:hAnsi="Times New Roman" w:eastAsia="宋体" w:cs="Times New Roman"/>
                <w:highlight w:val="yellow"/>
                <w:lang w:val="en-US" w:eastAsia="zh-CN"/>
              </w:rPr>
              <w:t>月1日</w:t>
            </w:r>
            <w:r>
              <w:rPr>
                <w:rFonts w:hint="eastAsia" w:ascii="Times New Roman" w:hAnsi="Times New Roman" w:eastAsia="宋体" w:cs="Times New Roman"/>
                <w:highlight w:val="none"/>
                <w:lang w:val="en-US" w:eastAsia="zh-CN"/>
              </w:rPr>
              <w:t>至</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highlight w:val="none"/>
                <w:lang w:val="en-US" w:eastAsia="zh-CN"/>
              </w:rPr>
              <w:t>截止之日期间，至少参与或主持3个（含3个）银行积分商城系统建设相关案例，符合条件得1分，不符合不得分；</w:t>
            </w:r>
          </w:p>
          <w:p w14:paraId="7E76D58B">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投标人须提供执行团队人员简历表，简历表中的相关工作及项目经历需有相应的证明材料，包括但不限于满足要求的案例合同关键页（合同关键页包含：甲乙双方名称、双方印章、项目名称、合同签订时间、服务范围、团队成员名单。）；项目简介（格式自拟）；合同对应的发票之一（网上税务系统查询（https://inv-veri.chinatax.gov.cn/）该发票的截图，发票开具日期须晚于合同签订日期、发票购买方须与合同买方一致、发票销售方须与合同卖方（投标人）一致）。从业经验年限需提供个人社保（包括但不限于养老保险）缴费记录，并加盖相应公章，否则不得分。</w:t>
            </w:r>
          </w:p>
        </w:tc>
      </w:tr>
      <w:tr w14:paraId="6F5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Merge w:val="continue"/>
            <w:vAlign w:val="center"/>
          </w:tcPr>
          <w:p w14:paraId="6312F620">
            <w:pPr>
              <w:pStyle w:val="53"/>
              <w:bidi w:val="0"/>
              <w:jc w:val="center"/>
              <w:rPr>
                <w:rFonts w:hint="eastAsia"/>
                <w:highlight w:val="none"/>
              </w:rPr>
            </w:pPr>
          </w:p>
        </w:tc>
        <w:tc>
          <w:tcPr>
            <w:tcW w:w="1314" w:type="dxa"/>
            <w:vMerge w:val="continue"/>
            <w:vAlign w:val="center"/>
          </w:tcPr>
          <w:p w14:paraId="7A44922C">
            <w:pPr>
              <w:pStyle w:val="53"/>
              <w:bidi w:val="0"/>
              <w:jc w:val="center"/>
              <w:rPr>
                <w:rFonts w:hint="eastAsia"/>
                <w:highlight w:val="none"/>
              </w:rPr>
            </w:pPr>
          </w:p>
        </w:tc>
        <w:tc>
          <w:tcPr>
            <w:tcW w:w="2661" w:type="dxa"/>
            <w:gridSpan w:val="5"/>
            <w:vAlign w:val="center"/>
          </w:tcPr>
          <w:p w14:paraId="38DDF735">
            <w:pPr>
              <w:snapToGrid w:val="0"/>
              <w:spacing w:line="400" w:lineRule="exact"/>
              <w:ind w:left="0" w:leftChars="0" w:firstLine="0" w:firstLineChars="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银企合作评分（2分）</w:t>
            </w:r>
          </w:p>
        </w:tc>
        <w:tc>
          <w:tcPr>
            <w:tcW w:w="4501" w:type="dxa"/>
            <w:vAlign w:val="top"/>
          </w:tcPr>
          <w:p w14:paraId="325DCEB4">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1.投标截止之日前，投标人已在重庆三峡银行开立对公账户，并且承诺中选后使用该账户作为本项目结算账户，得2分；</w:t>
            </w:r>
          </w:p>
          <w:p w14:paraId="091686E3">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2.投标截止之日前，投标人尚未在重庆三峡银行开立对公账户，但承诺中选后在重庆三峡银行开户，并且中选后使用该账户作为本项目结算账户，得1分；</w:t>
            </w:r>
          </w:p>
          <w:p w14:paraId="1907B9E6">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其余不得分。</w:t>
            </w:r>
          </w:p>
          <w:p w14:paraId="37D56D90">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备注：1.已在重庆三峡银行开户的，投标人需提供开户行出具的相关证明材料，以及对应承诺函，并加盖投标人公章；</w:t>
            </w:r>
          </w:p>
          <w:p w14:paraId="754A64B9">
            <w:pPr>
              <w:pStyle w:val="5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2.尚未在重庆三峡银行开户的，投标人需提供对应承诺函，并加盖投标人公章，否则不得分。</w:t>
            </w:r>
          </w:p>
        </w:tc>
      </w:tr>
      <w:tr w14:paraId="0DA3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988" w:type="dxa"/>
            <w:vMerge w:val="restart"/>
            <w:vAlign w:val="center"/>
          </w:tcPr>
          <w:p w14:paraId="35FA7179">
            <w:pPr>
              <w:widowControl/>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kern w:val="0"/>
              </w:rPr>
              <w:t>2.2.2（3）</w:t>
            </w:r>
          </w:p>
        </w:tc>
        <w:tc>
          <w:tcPr>
            <w:tcW w:w="1314" w:type="dxa"/>
            <w:vMerge w:val="restart"/>
            <w:vAlign w:val="center"/>
          </w:tcPr>
          <w:p w14:paraId="0EC4256D">
            <w:pPr>
              <w:widowControl/>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kern w:val="0"/>
              </w:rPr>
              <w:t>投标函部分评审标准</w:t>
            </w:r>
          </w:p>
        </w:tc>
        <w:tc>
          <w:tcPr>
            <w:tcW w:w="2661" w:type="dxa"/>
            <w:gridSpan w:val="5"/>
            <w:vAlign w:val="center"/>
          </w:tcPr>
          <w:p w14:paraId="0A9F666B">
            <w:pPr>
              <w:snapToGrid w:val="0"/>
              <w:spacing w:line="400" w:lineRule="exact"/>
              <w:ind w:left="0" w:leftChars="0" w:firstLine="0" w:firstLineChars="0"/>
              <w:jc w:val="center"/>
              <w:rPr>
                <w:rFonts w:hint="eastAsia"/>
                <w:highlight w:val="none"/>
                <w:lang w:val="en-US" w:eastAsia="zh-CN"/>
              </w:rPr>
            </w:pPr>
            <w:r>
              <w:rPr>
                <w:rFonts w:hint="eastAsia" w:asciiTheme="minorEastAsia" w:hAnsiTheme="minorEastAsia" w:eastAsiaTheme="minorEastAsia" w:cstheme="minorEastAsia"/>
                <w:kern w:val="0"/>
              </w:rPr>
              <w:t>投标函部分的签名盖章</w:t>
            </w:r>
          </w:p>
        </w:tc>
        <w:tc>
          <w:tcPr>
            <w:tcW w:w="4501" w:type="dxa"/>
            <w:vAlign w:val="center"/>
          </w:tcPr>
          <w:p w14:paraId="11B28348">
            <w:pPr>
              <w:snapToGrid w:val="0"/>
              <w:spacing w:after="24" w:afterLines="10" w:line="400" w:lineRule="exact"/>
              <w:ind w:firstLine="420" w:firstLineChars="200"/>
              <w:rPr>
                <w:rFonts w:hint="eastAsia"/>
                <w:highlight w:val="none"/>
                <w:lang w:val="en-US" w:eastAsia="zh-CN"/>
              </w:rPr>
            </w:pPr>
            <w:r>
              <w:rPr>
                <w:rFonts w:hint="eastAsia" w:ascii="宋体" w:hAnsi="宋体" w:cs="宋体"/>
                <w:color w:val="000000" w:themeColor="text1"/>
                <w:kern w:val="0"/>
                <w14:textFill>
                  <w14:solidFill>
                    <w14:schemeClr w14:val="tx1"/>
                  </w14:solidFill>
                </w14:textFill>
              </w:rPr>
              <w:t>投标函格式规定签名、盖章的位置有法定代表人或其委托代理人签名（或盖章）、加盖单位法人章</w:t>
            </w:r>
            <w:r>
              <w:rPr>
                <w:rFonts w:hint="eastAsia" w:asciiTheme="minorEastAsia" w:hAnsiTheme="minorEastAsia" w:eastAsiaTheme="minorEastAsia" w:cstheme="minorEastAsia"/>
                <w:kern w:val="0"/>
              </w:rPr>
              <w:t>。</w:t>
            </w:r>
          </w:p>
        </w:tc>
      </w:tr>
      <w:tr w14:paraId="734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88" w:type="dxa"/>
            <w:vMerge w:val="continue"/>
            <w:vAlign w:val="center"/>
          </w:tcPr>
          <w:p w14:paraId="34DEB3C8">
            <w:pPr>
              <w:pStyle w:val="53"/>
              <w:bidi w:val="0"/>
              <w:jc w:val="center"/>
              <w:rPr>
                <w:rFonts w:hint="eastAsia"/>
                <w:highlight w:val="none"/>
              </w:rPr>
            </w:pPr>
          </w:p>
        </w:tc>
        <w:tc>
          <w:tcPr>
            <w:tcW w:w="1314" w:type="dxa"/>
            <w:vMerge w:val="continue"/>
            <w:vAlign w:val="center"/>
          </w:tcPr>
          <w:p w14:paraId="5B5AD73A">
            <w:pPr>
              <w:pStyle w:val="53"/>
              <w:bidi w:val="0"/>
              <w:jc w:val="center"/>
              <w:rPr>
                <w:rFonts w:hint="eastAsia"/>
                <w:highlight w:val="none"/>
              </w:rPr>
            </w:pPr>
          </w:p>
        </w:tc>
        <w:tc>
          <w:tcPr>
            <w:tcW w:w="2661" w:type="dxa"/>
            <w:gridSpan w:val="5"/>
            <w:vAlign w:val="center"/>
          </w:tcPr>
          <w:p w14:paraId="41D862B2">
            <w:pPr>
              <w:snapToGrid w:val="0"/>
              <w:spacing w:line="400" w:lineRule="exact"/>
              <w:ind w:left="0" w:leftChars="0" w:firstLine="0" w:firstLineChars="0"/>
              <w:jc w:val="center"/>
              <w:rPr>
                <w:rFonts w:hint="eastAsia"/>
                <w:highlight w:val="none"/>
                <w:lang w:val="en-US" w:eastAsia="zh-CN"/>
              </w:rPr>
            </w:pPr>
            <w:r>
              <w:rPr>
                <w:rFonts w:hint="eastAsia" w:asciiTheme="minorEastAsia" w:hAnsiTheme="minorEastAsia" w:eastAsiaTheme="minorEastAsia" w:cstheme="minorEastAsia"/>
                <w:kern w:val="0"/>
              </w:rPr>
              <w:t>服务期限</w:t>
            </w:r>
          </w:p>
        </w:tc>
        <w:tc>
          <w:tcPr>
            <w:tcW w:w="4501" w:type="dxa"/>
            <w:vAlign w:val="center"/>
          </w:tcPr>
          <w:p w14:paraId="75E2EE16">
            <w:pPr>
              <w:snapToGrid w:val="0"/>
              <w:spacing w:after="24" w:afterLines="10" w:line="400" w:lineRule="exact"/>
              <w:ind w:firstLine="420" w:firstLineChars="200"/>
              <w:rPr>
                <w:rFonts w:hint="eastAsia"/>
                <w:highlight w:val="none"/>
                <w:lang w:val="en-US" w:eastAsia="zh-CN"/>
              </w:rPr>
            </w:pPr>
            <w:r>
              <w:rPr>
                <w:rFonts w:hint="eastAsia" w:asciiTheme="minorEastAsia" w:hAnsiTheme="minorEastAsia" w:eastAsiaTheme="minorEastAsia" w:cstheme="minorEastAsia"/>
                <w:kern w:val="0"/>
              </w:rPr>
              <w:t>符合第二章“投标人须知”第1.3.2项规定</w:t>
            </w:r>
          </w:p>
        </w:tc>
      </w:tr>
      <w:tr w14:paraId="42B7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88" w:type="dxa"/>
            <w:vMerge w:val="continue"/>
            <w:vAlign w:val="center"/>
          </w:tcPr>
          <w:p w14:paraId="26E901B1">
            <w:pPr>
              <w:pStyle w:val="53"/>
              <w:bidi w:val="0"/>
              <w:jc w:val="center"/>
              <w:rPr>
                <w:rFonts w:hint="eastAsia"/>
                <w:highlight w:val="none"/>
              </w:rPr>
            </w:pPr>
          </w:p>
        </w:tc>
        <w:tc>
          <w:tcPr>
            <w:tcW w:w="1314" w:type="dxa"/>
            <w:vMerge w:val="continue"/>
            <w:vAlign w:val="center"/>
          </w:tcPr>
          <w:p w14:paraId="5E3F8FF2">
            <w:pPr>
              <w:pStyle w:val="53"/>
              <w:bidi w:val="0"/>
              <w:jc w:val="center"/>
              <w:rPr>
                <w:rFonts w:hint="eastAsia"/>
                <w:highlight w:val="none"/>
              </w:rPr>
            </w:pPr>
          </w:p>
        </w:tc>
        <w:tc>
          <w:tcPr>
            <w:tcW w:w="2661" w:type="dxa"/>
            <w:gridSpan w:val="5"/>
            <w:vAlign w:val="center"/>
          </w:tcPr>
          <w:p w14:paraId="7010FFFA">
            <w:pPr>
              <w:snapToGrid w:val="0"/>
              <w:spacing w:line="400" w:lineRule="exact"/>
              <w:ind w:left="0" w:leftChars="0" w:firstLine="0" w:firstLineChars="0"/>
              <w:jc w:val="center"/>
              <w:rPr>
                <w:rFonts w:hint="eastAsia"/>
                <w:highlight w:val="none"/>
                <w:lang w:val="en-US" w:eastAsia="zh-CN"/>
              </w:rPr>
            </w:pPr>
            <w:r>
              <w:rPr>
                <w:rFonts w:hint="eastAsia" w:asciiTheme="minorEastAsia" w:hAnsiTheme="minorEastAsia" w:eastAsiaTheme="minorEastAsia" w:cstheme="minorEastAsia"/>
                <w:kern w:val="0"/>
              </w:rPr>
              <w:t>投标有效期</w:t>
            </w:r>
          </w:p>
        </w:tc>
        <w:tc>
          <w:tcPr>
            <w:tcW w:w="4501" w:type="dxa"/>
            <w:vAlign w:val="center"/>
          </w:tcPr>
          <w:p w14:paraId="0732990E">
            <w:pPr>
              <w:snapToGrid w:val="0"/>
              <w:spacing w:after="24" w:afterLines="10" w:line="400" w:lineRule="exact"/>
              <w:ind w:firstLine="420" w:firstLineChars="200"/>
              <w:rPr>
                <w:rFonts w:hint="eastAsia"/>
                <w:highlight w:val="none"/>
                <w:lang w:val="en-US" w:eastAsia="zh-CN"/>
              </w:rPr>
            </w:pPr>
            <w:r>
              <w:rPr>
                <w:rFonts w:hint="eastAsia" w:asciiTheme="minorEastAsia" w:hAnsiTheme="minorEastAsia" w:eastAsiaTheme="minorEastAsia" w:cstheme="minorEastAsia"/>
                <w:kern w:val="0"/>
              </w:rPr>
              <w:t>符合第二章“投标人须知”第3.3.1项规定</w:t>
            </w:r>
          </w:p>
        </w:tc>
      </w:tr>
      <w:tr w14:paraId="20C4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88" w:type="dxa"/>
            <w:vMerge w:val="continue"/>
            <w:vAlign w:val="center"/>
          </w:tcPr>
          <w:p w14:paraId="77A78E99">
            <w:pPr>
              <w:pStyle w:val="53"/>
              <w:bidi w:val="0"/>
              <w:jc w:val="center"/>
              <w:rPr>
                <w:rFonts w:hint="eastAsia"/>
                <w:highlight w:val="none"/>
              </w:rPr>
            </w:pPr>
          </w:p>
        </w:tc>
        <w:tc>
          <w:tcPr>
            <w:tcW w:w="1314" w:type="dxa"/>
            <w:vMerge w:val="continue"/>
            <w:vAlign w:val="center"/>
          </w:tcPr>
          <w:p w14:paraId="6097EED2">
            <w:pPr>
              <w:pStyle w:val="53"/>
              <w:bidi w:val="0"/>
              <w:jc w:val="center"/>
              <w:rPr>
                <w:rFonts w:hint="eastAsia"/>
                <w:highlight w:val="none"/>
              </w:rPr>
            </w:pPr>
          </w:p>
        </w:tc>
        <w:tc>
          <w:tcPr>
            <w:tcW w:w="2661" w:type="dxa"/>
            <w:gridSpan w:val="5"/>
            <w:vAlign w:val="center"/>
          </w:tcPr>
          <w:p w14:paraId="37C43F97">
            <w:pPr>
              <w:snapToGrid w:val="0"/>
              <w:spacing w:line="400" w:lineRule="exact"/>
              <w:ind w:left="0" w:leftChars="0" w:firstLine="0" w:firstLineChars="0"/>
              <w:jc w:val="center"/>
              <w:rPr>
                <w:rFonts w:hint="eastAsia"/>
                <w:highlight w:val="none"/>
                <w:lang w:val="en-US" w:eastAsia="zh-CN"/>
              </w:rPr>
            </w:pPr>
            <w:r>
              <w:rPr>
                <w:rFonts w:hint="eastAsia" w:asciiTheme="minorEastAsia" w:hAnsiTheme="minorEastAsia" w:eastAsiaTheme="minorEastAsia" w:cstheme="minorEastAsia"/>
                <w:kern w:val="0"/>
                <w:szCs w:val="21"/>
                <w:lang w:bidi="ar"/>
              </w:rPr>
              <w:t>投标报价</w:t>
            </w:r>
          </w:p>
        </w:tc>
        <w:tc>
          <w:tcPr>
            <w:tcW w:w="4501" w:type="dxa"/>
            <w:vAlign w:val="center"/>
          </w:tcPr>
          <w:p w14:paraId="7394ADD4">
            <w:pPr>
              <w:snapToGrid w:val="0"/>
              <w:spacing w:line="400" w:lineRule="exact"/>
              <w:ind w:firstLine="420" w:firstLineChars="20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1.符合第二章“投标人须知”第3.2款规定。</w:t>
            </w:r>
          </w:p>
          <w:p w14:paraId="6AAF1F3C">
            <w:pPr>
              <w:snapToGrid w:val="0"/>
              <w:spacing w:line="400" w:lineRule="exact"/>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2.投标报价不得高于招标人公布的投标报价最高限价。</w:t>
            </w:r>
          </w:p>
          <w:p w14:paraId="6BB1DC0C">
            <w:pPr>
              <w:snapToGrid w:val="0"/>
              <w:spacing w:line="400" w:lineRule="exact"/>
              <w:jc w:val="left"/>
              <w:rPr>
                <w:rFonts w:hint="eastAsia"/>
                <w:highlight w:val="none"/>
                <w:lang w:val="en-US" w:eastAsia="zh-CN"/>
              </w:rPr>
            </w:pPr>
            <w:r>
              <w:rPr>
                <w:rFonts w:hint="eastAsia" w:ascii="宋体" w:hAnsi="宋体" w:cs="宋体"/>
                <w:kern w:val="0"/>
                <w:lang w:val="en-US" w:eastAsia="zh-CN"/>
              </w:rPr>
              <w:t>3</w:t>
            </w:r>
            <w:r>
              <w:rPr>
                <w:rFonts w:hint="eastAsia" w:ascii="宋体" w:hAnsi="宋体" w:cs="宋体"/>
                <w:kern w:val="0"/>
              </w:rPr>
              <w:t>.投标人的单项报价不得为零报价或者负数报价。</w:t>
            </w:r>
          </w:p>
        </w:tc>
      </w:tr>
      <w:tr w14:paraId="0E96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88" w:type="dxa"/>
            <w:vMerge w:val="continue"/>
            <w:vAlign w:val="center"/>
          </w:tcPr>
          <w:p w14:paraId="73A6161E">
            <w:pPr>
              <w:pStyle w:val="53"/>
              <w:bidi w:val="0"/>
              <w:jc w:val="center"/>
              <w:rPr>
                <w:rFonts w:hint="eastAsia"/>
                <w:highlight w:val="none"/>
              </w:rPr>
            </w:pPr>
          </w:p>
        </w:tc>
        <w:tc>
          <w:tcPr>
            <w:tcW w:w="1314" w:type="dxa"/>
            <w:vMerge w:val="continue"/>
            <w:vAlign w:val="center"/>
          </w:tcPr>
          <w:p w14:paraId="28E71A61">
            <w:pPr>
              <w:pStyle w:val="53"/>
              <w:bidi w:val="0"/>
              <w:jc w:val="center"/>
              <w:rPr>
                <w:rFonts w:hint="eastAsia"/>
                <w:highlight w:val="none"/>
              </w:rPr>
            </w:pPr>
          </w:p>
        </w:tc>
        <w:tc>
          <w:tcPr>
            <w:tcW w:w="2661" w:type="dxa"/>
            <w:gridSpan w:val="5"/>
            <w:vAlign w:val="center"/>
          </w:tcPr>
          <w:p w14:paraId="45B9C19B">
            <w:pPr>
              <w:snapToGrid w:val="0"/>
              <w:spacing w:line="400" w:lineRule="exact"/>
              <w:ind w:left="0" w:leftChars="0" w:firstLine="0" w:firstLineChars="0"/>
              <w:jc w:val="center"/>
              <w:rPr>
                <w:rFonts w:hint="eastAsia"/>
                <w:highlight w:val="none"/>
                <w:lang w:val="en-US" w:eastAsia="zh-CN"/>
              </w:rPr>
            </w:pPr>
            <w:r>
              <w:rPr>
                <w:rFonts w:hint="eastAsia" w:asciiTheme="minorEastAsia" w:hAnsiTheme="minorEastAsia" w:eastAsiaTheme="minorEastAsia" w:cstheme="minorEastAsia"/>
                <w:kern w:val="0"/>
                <w:szCs w:val="21"/>
                <w:lang w:bidi="ar"/>
              </w:rPr>
              <w:t>报价唯一</w:t>
            </w:r>
          </w:p>
        </w:tc>
        <w:tc>
          <w:tcPr>
            <w:tcW w:w="4501" w:type="dxa"/>
            <w:vAlign w:val="center"/>
          </w:tcPr>
          <w:p w14:paraId="0E6E5D2B">
            <w:pPr>
              <w:snapToGrid w:val="0"/>
              <w:spacing w:line="400" w:lineRule="exact"/>
              <w:ind w:firstLine="420" w:firstLineChars="200"/>
              <w:jc w:val="left"/>
              <w:rPr>
                <w:rFonts w:hint="eastAsia"/>
                <w:highlight w:val="none"/>
                <w:lang w:val="en-US" w:eastAsia="zh-CN"/>
              </w:rPr>
            </w:pPr>
            <w:r>
              <w:rPr>
                <w:rFonts w:hint="eastAsia" w:asciiTheme="minorEastAsia" w:hAnsiTheme="minorEastAsia" w:eastAsiaTheme="minorEastAsia" w:cstheme="minorEastAsia"/>
              </w:rPr>
              <w:t>只能有一个有效报价，在招标文件没有规定的情况下，不得提交选择性报价。</w:t>
            </w:r>
          </w:p>
        </w:tc>
      </w:tr>
      <w:tr w14:paraId="7ADE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88" w:type="dxa"/>
            <w:vMerge w:val="continue"/>
            <w:vAlign w:val="center"/>
          </w:tcPr>
          <w:p w14:paraId="7FACB4EB">
            <w:pPr>
              <w:pStyle w:val="53"/>
              <w:bidi w:val="0"/>
              <w:jc w:val="center"/>
              <w:rPr>
                <w:rFonts w:hint="eastAsia"/>
                <w:highlight w:val="none"/>
              </w:rPr>
            </w:pPr>
          </w:p>
        </w:tc>
        <w:tc>
          <w:tcPr>
            <w:tcW w:w="1314" w:type="dxa"/>
            <w:vMerge w:val="continue"/>
            <w:vAlign w:val="center"/>
          </w:tcPr>
          <w:p w14:paraId="414B8CE6">
            <w:pPr>
              <w:pStyle w:val="53"/>
              <w:bidi w:val="0"/>
              <w:jc w:val="center"/>
              <w:rPr>
                <w:rFonts w:hint="eastAsia"/>
                <w:highlight w:val="none"/>
              </w:rPr>
            </w:pPr>
          </w:p>
        </w:tc>
        <w:tc>
          <w:tcPr>
            <w:tcW w:w="2661" w:type="dxa"/>
            <w:gridSpan w:val="5"/>
            <w:vAlign w:val="center"/>
          </w:tcPr>
          <w:p w14:paraId="213FDE04">
            <w:pPr>
              <w:snapToGrid w:val="0"/>
              <w:spacing w:line="400" w:lineRule="exact"/>
              <w:ind w:left="0" w:leftChars="0" w:firstLine="0" w:firstLineChars="0"/>
              <w:jc w:val="center"/>
              <w:rPr>
                <w:rFonts w:hint="eastAsia"/>
                <w:highlight w:val="none"/>
                <w:lang w:val="en-US" w:eastAsia="zh-CN"/>
              </w:rPr>
            </w:pPr>
            <w:r>
              <w:rPr>
                <w:rFonts w:hint="eastAsia" w:asciiTheme="minorEastAsia" w:hAnsiTheme="minorEastAsia" w:eastAsiaTheme="minorEastAsia" w:cstheme="minorEastAsia"/>
                <w:kern w:val="0"/>
                <w:szCs w:val="21"/>
                <w:lang w:bidi="ar"/>
              </w:rPr>
              <w:t>投标报价算术错误修正</w:t>
            </w:r>
          </w:p>
        </w:tc>
        <w:tc>
          <w:tcPr>
            <w:tcW w:w="4501" w:type="dxa"/>
            <w:vAlign w:val="center"/>
          </w:tcPr>
          <w:p w14:paraId="533F3AA3">
            <w:pPr>
              <w:snapToGrid w:val="0"/>
              <w:spacing w:line="400" w:lineRule="exact"/>
              <w:ind w:firstLine="420" w:firstLineChars="200"/>
              <w:jc w:val="left"/>
              <w:rPr>
                <w:rFonts w:hint="eastAsia"/>
                <w:highlight w:val="none"/>
                <w:lang w:val="en-US" w:eastAsia="zh-CN"/>
              </w:rPr>
            </w:pPr>
            <w:r>
              <w:rPr>
                <w:rFonts w:hint="eastAsia" w:asciiTheme="minorEastAsia" w:hAnsiTheme="minorEastAsia" w:eastAsiaTheme="minorEastAsia" w:cstheme="minorEastAsia"/>
              </w:rPr>
              <w:t>符合第三章3.评标程序第3.1.3项规定。</w:t>
            </w:r>
          </w:p>
        </w:tc>
      </w:tr>
      <w:tr w14:paraId="5417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Merge w:val="restart"/>
            <w:vAlign w:val="center"/>
          </w:tcPr>
          <w:p w14:paraId="5365CA74">
            <w:pPr>
              <w:pStyle w:val="53"/>
              <w:bidi w:val="0"/>
              <w:jc w:val="center"/>
              <w:rPr>
                <w:rFonts w:hint="eastAsia"/>
                <w:highlight w:val="none"/>
              </w:rPr>
            </w:pPr>
            <w:r>
              <w:rPr>
                <w:rFonts w:hint="eastAsia" w:asciiTheme="minorEastAsia" w:hAnsiTheme="minorEastAsia" w:eastAsiaTheme="minorEastAsia" w:cstheme="minorEastAsia"/>
                <w:kern w:val="0"/>
              </w:rPr>
              <w:t>2.2.3</w:t>
            </w:r>
          </w:p>
        </w:tc>
        <w:tc>
          <w:tcPr>
            <w:tcW w:w="1314" w:type="dxa"/>
            <w:vMerge w:val="restart"/>
            <w:vAlign w:val="center"/>
          </w:tcPr>
          <w:p w14:paraId="17F6D41D">
            <w:pPr>
              <w:pStyle w:val="53"/>
              <w:bidi w:val="0"/>
              <w:jc w:val="center"/>
              <w:rPr>
                <w:rFonts w:hint="eastAsia"/>
                <w:highlight w:val="none"/>
              </w:rPr>
            </w:pPr>
            <w:r>
              <w:rPr>
                <w:rFonts w:hint="eastAsia" w:asciiTheme="minorEastAsia" w:hAnsiTheme="minorEastAsia" w:eastAsiaTheme="minorEastAsia" w:cstheme="minorEastAsia"/>
                <w:kern w:val="0"/>
              </w:rPr>
              <w:t>投标总报价</w:t>
            </w:r>
          </w:p>
        </w:tc>
        <w:tc>
          <w:tcPr>
            <w:tcW w:w="2661" w:type="dxa"/>
            <w:gridSpan w:val="5"/>
            <w:shd w:val="clear" w:color="auto" w:fill="auto"/>
            <w:vAlign w:val="center"/>
          </w:tcPr>
          <w:p w14:paraId="6DCC242C">
            <w:pPr>
              <w:snapToGrid w:val="0"/>
              <w:spacing w:line="400" w:lineRule="exact"/>
              <w:ind w:left="0" w:leftChars="0" w:firstLine="0" w:firstLineChars="0"/>
              <w:jc w:val="center"/>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实物商品</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sz w:val="21"/>
                <w:highlight w:val="none"/>
                <w:lang w:val="en-US" w:eastAsia="zh-CN" w:bidi="ar-SA"/>
              </w:rPr>
              <w:t>报价评分（24分）</w:t>
            </w:r>
          </w:p>
        </w:tc>
        <w:tc>
          <w:tcPr>
            <w:tcW w:w="4501" w:type="dxa"/>
            <w:shd w:val="clear" w:color="auto" w:fill="auto"/>
            <w:vAlign w:val="top"/>
          </w:tcPr>
          <w:p w14:paraId="664B5C7B">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imes New Roman" w:hAnsi="Times New Roman" w:eastAsia="宋体" w:cs="Times New Roman"/>
                <w:bCs/>
                <w:color w:val="auto"/>
                <w:sz w:val="21"/>
                <w:szCs w:val="18"/>
                <w:highlight w:val="none"/>
                <w:lang w:val="en-US" w:eastAsia="zh-CN" w:bidi="ar-SA"/>
              </w:rPr>
              <w:t>1.满足招标文件要求的有效实物商品报价数量＜7家时，评标基准价=所有有效报价的算术平均值；7≤有效报价数量＜11家时，评标基准价=所有有效报价去掉1名最低的报价及1名最高的报价后的算术平均值；11≤有效报价数量＜15家时，评标基准价=所有有效报价去掉2名最低的报价及2名最高的报价后的算术平均值；有效报价数量≥15家时，评标基准价=所有有效报价去掉3名最低的报价及3名最高的报价后的算术平均值。基准分为24分。</w:t>
            </w:r>
          </w:p>
          <w:p w14:paraId="10738B28">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imes New Roman" w:hAnsi="Times New Roman" w:eastAsia="宋体" w:cs="Times New Roman"/>
                <w:bCs/>
                <w:color w:val="auto"/>
                <w:sz w:val="21"/>
                <w:szCs w:val="18"/>
                <w:highlight w:val="none"/>
                <w:lang w:val="en-US" w:eastAsia="zh-CN" w:bidi="ar-SA"/>
              </w:rPr>
              <w:t>2.计算各有效报价与评审基准价的偏离率，偏离率=（有效报价/评审基准价-1）*100%；</w:t>
            </w:r>
          </w:p>
          <w:p w14:paraId="14DAAC04">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heme="minorEastAsia" w:hAnsiTheme="minorEastAsia" w:eastAsiaTheme="minorEastAsia" w:cstheme="minorEastAsia"/>
                <w:kern w:val="0"/>
              </w:rPr>
              <w:t>偏差率计算的最终结果取小数点后两位</w:t>
            </w:r>
            <w:r>
              <w:rPr>
                <w:rFonts w:hint="eastAsia" w:asciiTheme="minorEastAsia" w:hAnsiTheme="minorEastAsia" w:eastAsiaTheme="minorEastAsia" w:cstheme="minorEastAsia"/>
                <w:kern w:val="0"/>
                <w:szCs w:val="21"/>
              </w:rPr>
              <w:t>，小数点后第三位“四舍五入”。</w:t>
            </w:r>
          </w:p>
          <w:p w14:paraId="2A1F379A">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imes New Roman" w:hAnsi="Times New Roman" w:eastAsia="宋体" w:cs="Times New Roman"/>
                <w:bCs/>
                <w:color w:val="auto"/>
                <w:sz w:val="21"/>
                <w:szCs w:val="18"/>
                <w:highlight w:val="none"/>
                <w:lang w:val="en-US" w:eastAsia="zh-CN" w:bidi="ar-SA"/>
              </w:rPr>
              <w:t>3.报价向上每偏离基准价的1%扣0.5分，扣完为止，不足1%的不予扣减；</w:t>
            </w:r>
          </w:p>
          <w:p w14:paraId="457683A4">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imes New Roman" w:hAnsi="Times New Roman" w:eastAsia="宋体" w:cs="Times New Roman"/>
                <w:bCs/>
                <w:color w:val="auto"/>
                <w:sz w:val="21"/>
                <w:szCs w:val="18"/>
                <w:highlight w:val="none"/>
                <w:lang w:val="en-US" w:eastAsia="zh-CN" w:bidi="ar-SA"/>
              </w:rPr>
              <w:t>4.报价向下每偏离基准价的1%扣0.25分，扣完为止，不足1%的不予扣减。</w:t>
            </w:r>
          </w:p>
        </w:tc>
      </w:tr>
      <w:tr w14:paraId="60FE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Merge w:val="continue"/>
            <w:vAlign w:val="center"/>
          </w:tcPr>
          <w:p w14:paraId="4FD9C6DF">
            <w:pPr>
              <w:pStyle w:val="53"/>
              <w:bidi w:val="0"/>
              <w:jc w:val="center"/>
              <w:rPr>
                <w:rFonts w:hint="eastAsia"/>
                <w:highlight w:val="none"/>
              </w:rPr>
            </w:pPr>
          </w:p>
        </w:tc>
        <w:tc>
          <w:tcPr>
            <w:tcW w:w="1314" w:type="dxa"/>
            <w:vMerge w:val="continue"/>
            <w:vAlign w:val="center"/>
          </w:tcPr>
          <w:p w14:paraId="2781560B">
            <w:pPr>
              <w:pStyle w:val="53"/>
              <w:bidi w:val="0"/>
              <w:jc w:val="center"/>
              <w:rPr>
                <w:rFonts w:hint="eastAsia"/>
                <w:highlight w:val="none"/>
              </w:rPr>
            </w:pPr>
          </w:p>
        </w:tc>
        <w:tc>
          <w:tcPr>
            <w:tcW w:w="2661" w:type="dxa"/>
            <w:gridSpan w:val="5"/>
            <w:shd w:val="clear" w:color="auto" w:fill="auto"/>
            <w:vAlign w:val="center"/>
          </w:tcPr>
          <w:p w14:paraId="0B30879A">
            <w:pPr>
              <w:snapToGrid w:val="0"/>
              <w:spacing w:line="400" w:lineRule="exact"/>
              <w:ind w:left="0" w:leftChars="0" w:firstLine="0" w:firstLineChars="0"/>
              <w:jc w:val="center"/>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现金类虚拟商品</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sz w:val="21"/>
                <w:highlight w:val="none"/>
                <w:lang w:val="en-US" w:eastAsia="zh-CN" w:bidi="ar-SA"/>
              </w:rPr>
              <w:t>报价评分（8分）</w:t>
            </w:r>
          </w:p>
        </w:tc>
        <w:tc>
          <w:tcPr>
            <w:tcW w:w="4501" w:type="dxa"/>
            <w:shd w:val="clear" w:color="auto" w:fill="auto"/>
            <w:vAlign w:val="top"/>
          </w:tcPr>
          <w:p w14:paraId="1291AD4A">
            <w:pPr>
              <w:snapToGrid w:val="0"/>
              <w:spacing w:line="400" w:lineRule="exact"/>
              <w:ind w:left="0" w:leftChars="0" w:firstLine="420" w:firstLineChars="200"/>
              <w:jc w:val="both"/>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1.满足询比文件要求的现金类虚拟商品报价数量＜7家时，评标基准价=所有有效报价的算术平均值；7≤有效报价数量＜11家时，评标基准价=所有有效报价去掉1名最低的报价及1名最高的报价后的算术平均值；11≤有效报价数量＜15家时，评标基准价=所有有效报价去掉2名最低的报价及2名最高的报价后的算术平均值；有效报价数量≥15家时，评标基准价=所有有效报价去掉3名最低的报价及3名最高的报价后的算术平均值。基准分为8分。</w:t>
            </w:r>
          </w:p>
          <w:p w14:paraId="3A4B4719">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imes New Roman" w:hAnsi="Times New Roman" w:eastAsia="宋体" w:cs="Times New Roman"/>
                <w:sz w:val="21"/>
                <w:highlight w:val="none"/>
                <w:lang w:val="en-US" w:eastAsia="zh-CN" w:bidi="ar-SA"/>
              </w:rPr>
              <w:t>2.</w:t>
            </w:r>
            <w:r>
              <w:rPr>
                <w:rFonts w:hint="eastAsia" w:ascii="Times New Roman" w:hAnsi="Times New Roman" w:eastAsia="宋体" w:cs="Times New Roman"/>
                <w:bCs/>
                <w:color w:val="auto"/>
                <w:sz w:val="21"/>
                <w:szCs w:val="18"/>
                <w:highlight w:val="none"/>
                <w:lang w:val="en-US" w:eastAsia="zh-CN" w:bidi="ar-SA"/>
              </w:rPr>
              <w:t>计算各有效报价与评审基准价的偏离率，偏离率=（有效报价/评审基准价-1）*100%；</w:t>
            </w:r>
          </w:p>
          <w:p w14:paraId="7E8FBEA9">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heme="minorEastAsia" w:hAnsiTheme="minorEastAsia" w:eastAsiaTheme="minorEastAsia" w:cstheme="minorEastAsia"/>
                <w:kern w:val="0"/>
              </w:rPr>
              <w:t>偏差率计算的最终结果取小数点后两位</w:t>
            </w:r>
            <w:r>
              <w:rPr>
                <w:rFonts w:hint="eastAsia" w:asciiTheme="minorEastAsia" w:hAnsiTheme="minorEastAsia" w:eastAsiaTheme="minorEastAsia" w:cstheme="minorEastAsia"/>
                <w:kern w:val="0"/>
                <w:szCs w:val="21"/>
              </w:rPr>
              <w:t>，小数点后第三位“四舍五入”。</w:t>
            </w:r>
          </w:p>
          <w:p w14:paraId="19028401">
            <w:pPr>
              <w:snapToGrid w:val="0"/>
              <w:spacing w:line="400" w:lineRule="exact"/>
              <w:ind w:left="0" w:leftChars="0" w:firstLine="420" w:firstLineChars="200"/>
              <w:jc w:val="both"/>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3.报价向上每偏离基准价的1%扣0.4分，扣完为止，不足1%的不予扣减；</w:t>
            </w:r>
          </w:p>
          <w:p w14:paraId="5AC7DAB5">
            <w:pPr>
              <w:snapToGrid w:val="0"/>
              <w:spacing w:line="400" w:lineRule="exact"/>
              <w:ind w:left="0" w:leftChars="0" w:firstLine="420" w:firstLineChars="200"/>
              <w:jc w:val="both"/>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4.报价向下每偏离基准价的1%扣0.2分，扣完为止，不足1%的不予扣减。</w:t>
            </w:r>
          </w:p>
        </w:tc>
      </w:tr>
      <w:tr w14:paraId="6C1B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Merge w:val="continue"/>
            <w:vAlign w:val="center"/>
          </w:tcPr>
          <w:p w14:paraId="3BEB9CCD">
            <w:pPr>
              <w:pStyle w:val="53"/>
              <w:bidi w:val="0"/>
              <w:jc w:val="center"/>
              <w:rPr>
                <w:rFonts w:hint="eastAsia"/>
                <w:highlight w:val="none"/>
              </w:rPr>
            </w:pPr>
          </w:p>
        </w:tc>
        <w:tc>
          <w:tcPr>
            <w:tcW w:w="1314" w:type="dxa"/>
            <w:vMerge w:val="continue"/>
            <w:vAlign w:val="center"/>
          </w:tcPr>
          <w:p w14:paraId="1713720B">
            <w:pPr>
              <w:pStyle w:val="53"/>
              <w:bidi w:val="0"/>
              <w:jc w:val="center"/>
              <w:rPr>
                <w:rFonts w:hint="eastAsia"/>
                <w:highlight w:val="none"/>
              </w:rPr>
            </w:pPr>
          </w:p>
        </w:tc>
        <w:tc>
          <w:tcPr>
            <w:tcW w:w="2661" w:type="dxa"/>
            <w:gridSpan w:val="5"/>
            <w:shd w:val="clear" w:color="auto" w:fill="auto"/>
            <w:vAlign w:val="center"/>
          </w:tcPr>
          <w:p w14:paraId="13E5F6F3">
            <w:pPr>
              <w:snapToGrid w:val="0"/>
              <w:spacing w:line="400" w:lineRule="exact"/>
              <w:ind w:left="0" w:leftChars="0" w:firstLine="0" w:firstLineChars="0"/>
              <w:jc w:val="center"/>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非现金类虚拟商品</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sz w:val="21"/>
                <w:highlight w:val="none"/>
                <w:lang w:val="en-US" w:eastAsia="zh-CN" w:bidi="ar-SA"/>
              </w:rPr>
              <w:t>报价评分（8分）</w:t>
            </w:r>
          </w:p>
        </w:tc>
        <w:tc>
          <w:tcPr>
            <w:tcW w:w="4501" w:type="dxa"/>
            <w:shd w:val="clear" w:color="auto" w:fill="auto"/>
            <w:vAlign w:val="top"/>
          </w:tcPr>
          <w:p w14:paraId="0D07B1A5">
            <w:pPr>
              <w:snapToGrid w:val="0"/>
              <w:spacing w:line="400" w:lineRule="exact"/>
              <w:ind w:left="0" w:leftChars="0" w:firstLine="420" w:firstLineChars="200"/>
              <w:jc w:val="both"/>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1.满足询比文件要求的非现金类虚拟商品报价数量＜7家时，评标基准价=所有有效报价的算术平均值；7≤有效报价数量＜11家时，评标基准价=所有有效报价去掉1名最低的报价及1名最高的报价后的算术平均值；11≤有效报价数量＜15家时，评标基准价=所有有效报价去掉2名最低的报价及2名最高的报价后的算术平均值；有效报价数量≥15家时，评标基准价=所有有效报价去掉3名最低的报价及3名最高的报价后的算术平均值。基准分为8分。</w:t>
            </w:r>
          </w:p>
          <w:p w14:paraId="1AFD0D30">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imes New Roman" w:hAnsi="Times New Roman" w:eastAsia="宋体" w:cs="Times New Roman"/>
                <w:sz w:val="21"/>
                <w:highlight w:val="none"/>
                <w:lang w:val="en-US" w:eastAsia="zh-CN" w:bidi="ar-SA"/>
              </w:rPr>
              <w:t>2.</w:t>
            </w:r>
            <w:r>
              <w:rPr>
                <w:rFonts w:hint="eastAsia" w:ascii="Times New Roman" w:hAnsi="Times New Roman" w:eastAsia="宋体" w:cs="Times New Roman"/>
                <w:bCs/>
                <w:color w:val="auto"/>
                <w:sz w:val="21"/>
                <w:szCs w:val="18"/>
                <w:highlight w:val="none"/>
                <w:lang w:val="en-US" w:eastAsia="zh-CN" w:bidi="ar-SA"/>
              </w:rPr>
              <w:t>计算各有效报价与评审基准价的偏离率，偏离率=（有效报价/评审基准价-1）*100%；</w:t>
            </w:r>
          </w:p>
          <w:p w14:paraId="316C0AC8">
            <w:pPr>
              <w:pStyle w:val="53"/>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18"/>
                <w:highlight w:val="none"/>
                <w:lang w:val="en-US" w:eastAsia="zh-CN" w:bidi="ar-SA"/>
              </w:rPr>
            </w:pPr>
            <w:r>
              <w:rPr>
                <w:rFonts w:hint="eastAsia" w:asciiTheme="minorEastAsia" w:hAnsiTheme="minorEastAsia" w:eastAsiaTheme="minorEastAsia" w:cstheme="minorEastAsia"/>
                <w:kern w:val="0"/>
              </w:rPr>
              <w:t>偏差率计算的最终结果取小数点后两位</w:t>
            </w:r>
            <w:r>
              <w:rPr>
                <w:rFonts w:hint="eastAsia" w:asciiTheme="minorEastAsia" w:hAnsiTheme="minorEastAsia" w:eastAsiaTheme="minorEastAsia" w:cstheme="minorEastAsia"/>
                <w:kern w:val="0"/>
                <w:szCs w:val="21"/>
              </w:rPr>
              <w:t>，小数点后第三位“四舍五入”。</w:t>
            </w:r>
          </w:p>
          <w:p w14:paraId="68C0DD05">
            <w:pPr>
              <w:snapToGrid w:val="0"/>
              <w:spacing w:line="400" w:lineRule="exact"/>
              <w:ind w:left="0" w:leftChars="0" w:firstLine="420" w:firstLineChars="200"/>
              <w:jc w:val="both"/>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3.报价向上每偏离基准价的1%扣0.4分，扣完为止，不足1%的不予扣减；</w:t>
            </w:r>
          </w:p>
          <w:p w14:paraId="3E449F1E">
            <w:pPr>
              <w:snapToGrid w:val="0"/>
              <w:spacing w:line="400" w:lineRule="exact"/>
              <w:ind w:left="0" w:leftChars="0" w:firstLine="420" w:firstLineChars="200"/>
              <w:jc w:val="both"/>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4.报价向下每偏离基准价的1%扣0.2分，扣完为止，不足1%的不予扣减。</w:t>
            </w:r>
          </w:p>
        </w:tc>
      </w:tr>
      <w:tr w14:paraId="1424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Align w:val="center"/>
          </w:tcPr>
          <w:p w14:paraId="030F951A">
            <w:pPr>
              <w:pStyle w:val="53"/>
              <w:bidi w:val="0"/>
              <w:jc w:val="center"/>
              <w:rPr>
                <w:highlight w:val="none"/>
              </w:rPr>
            </w:pPr>
            <w:r>
              <w:rPr>
                <w:rFonts w:hint="eastAsia"/>
                <w:highlight w:val="none"/>
              </w:rPr>
              <w:t>3</w:t>
            </w:r>
          </w:p>
        </w:tc>
        <w:tc>
          <w:tcPr>
            <w:tcW w:w="1314" w:type="dxa"/>
            <w:vAlign w:val="center"/>
          </w:tcPr>
          <w:p w14:paraId="74A35CD8">
            <w:pPr>
              <w:pStyle w:val="53"/>
              <w:bidi w:val="0"/>
              <w:jc w:val="center"/>
              <w:rPr>
                <w:highlight w:val="none"/>
              </w:rPr>
            </w:pPr>
            <w:r>
              <w:rPr>
                <w:rFonts w:hint="eastAsia"/>
                <w:highlight w:val="none"/>
              </w:rPr>
              <w:t>评审程序</w:t>
            </w:r>
          </w:p>
        </w:tc>
        <w:tc>
          <w:tcPr>
            <w:tcW w:w="7162" w:type="dxa"/>
            <w:gridSpan w:val="6"/>
          </w:tcPr>
          <w:p w14:paraId="4189C657">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1.按本章评标办法第3.1款进行初步评审，未通过初步评审或评标委员会认定为无效的投标文件的不再进行后续评审。</w:t>
            </w:r>
          </w:p>
          <w:p w14:paraId="29422F08">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2.按本章评标办法前附表第2.2.2（1）目及第3.2.1（1）目的规定对技术部分进行评审。</w:t>
            </w:r>
          </w:p>
          <w:p w14:paraId="79DB8A1D">
            <w:pPr>
              <w:spacing w:line="4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3.按本章评标办法前附表第2.2.2（2）目及第3.2.1（2）目的规定对商务部分进行评审。</w:t>
            </w:r>
          </w:p>
          <w:p w14:paraId="75225207">
            <w:pPr>
              <w:spacing w:line="40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1"/>
              </w:rPr>
              <w:t>4.按本章评标办法前附表第2.2.2（3）目的规定对投标函部分进行评审，经评审不合格的投标文件</w:t>
            </w:r>
            <w:r>
              <w:rPr>
                <w:rFonts w:hint="eastAsia" w:asciiTheme="minorEastAsia" w:hAnsiTheme="minorEastAsia" w:eastAsiaTheme="minorEastAsia" w:cstheme="minorEastAsia"/>
                <w:szCs w:val="21"/>
                <w:highlight w:val="none"/>
              </w:rPr>
              <w:t>不再参与后续评审。</w:t>
            </w:r>
          </w:p>
          <w:p w14:paraId="57560CDA">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5.因评标委员会作否决投标处理导致有效投标人不足</w:t>
            </w:r>
            <w:r>
              <w:rPr>
                <w:rFonts w:hint="eastAsia" w:asciiTheme="minorEastAsia" w:hAnsiTheme="minorEastAsia" w:eastAsiaTheme="minorEastAsia" w:cstheme="minorEastAsia"/>
                <w:szCs w:val="21"/>
                <w:highlight w:val="none"/>
                <w:lang w:val="en-US" w:eastAsia="zh-CN"/>
              </w:rPr>
              <w:t>四</w:t>
            </w:r>
            <w:r>
              <w:rPr>
                <w:rFonts w:hint="eastAsia" w:asciiTheme="minorEastAsia" w:hAnsiTheme="minorEastAsia" w:eastAsiaTheme="minorEastAsia" w:cstheme="minorEastAsia"/>
                <w:szCs w:val="21"/>
                <w:highlight w:val="none"/>
              </w:rPr>
              <w:t>个的</w:t>
            </w:r>
            <w:r>
              <w:rPr>
                <w:rFonts w:hint="eastAsia" w:ascii="宋体" w:hAnsi="宋体" w:cs="宋体"/>
                <w:b/>
                <w:bCs/>
                <w:szCs w:val="21"/>
                <w:highlight w:val="none"/>
                <w:lang w:eastAsia="zh-CN"/>
              </w:rPr>
              <w:t>（</w:t>
            </w:r>
            <w:r>
              <w:rPr>
                <w:rFonts w:hint="eastAsia" w:ascii="宋体" w:hAnsi="宋体" w:eastAsia="宋体" w:cs="宋体"/>
                <w:b/>
                <w:bCs/>
                <w:szCs w:val="21"/>
                <w:highlight w:val="none"/>
              </w:rPr>
              <w:t>有效投标人不足</w:t>
            </w:r>
            <w:r>
              <w:rPr>
                <w:rFonts w:hint="eastAsia" w:ascii="宋体" w:hAnsi="宋体" w:cs="宋体"/>
                <w:b/>
                <w:bCs/>
                <w:szCs w:val="21"/>
                <w:highlight w:val="none"/>
                <w:lang w:val="en-US" w:eastAsia="zh-CN"/>
              </w:rPr>
              <w:t>三</w:t>
            </w:r>
            <w:r>
              <w:rPr>
                <w:rFonts w:hint="eastAsia" w:ascii="宋体" w:hAnsi="宋体" w:eastAsia="宋体" w:cs="宋体"/>
                <w:b/>
                <w:bCs/>
                <w:szCs w:val="21"/>
                <w:highlight w:val="none"/>
              </w:rPr>
              <w:t>个的</w:t>
            </w:r>
            <w:r>
              <w:rPr>
                <w:rFonts w:hint="eastAsia" w:ascii="宋体" w:hAnsi="宋体" w:cs="宋体"/>
                <w:b/>
                <w:bCs/>
                <w:szCs w:val="21"/>
                <w:highlight w:val="none"/>
                <w:lang w:val="en-US" w:eastAsia="zh-CN"/>
              </w:rPr>
              <w:t>除外</w:t>
            </w:r>
            <w:r>
              <w:rPr>
                <w:rFonts w:hint="eastAsia" w:ascii="宋体" w:hAnsi="宋体" w:cs="宋体"/>
                <w:b/>
                <w:bCs/>
                <w:szCs w:val="21"/>
                <w:highlight w:val="none"/>
                <w:lang w:eastAsia="zh-CN"/>
              </w:rPr>
              <w:t>）</w:t>
            </w:r>
            <w:r>
              <w:rPr>
                <w:rFonts w:hint="eastAsia" w:asciiTheme="minorEastAsia" w:hAnsiTheme="minorEastAsia" w:eastAsiaTheme="minorEastAsia" w:cstheme="minorEastAsia"/>
                <w:szCs w:val="21"/>
                <w:highlight w:val="none"/>
              </w:rPr>
              <w:t>，评标委员会应当对有效投标人是否仍具有竞争性进行论证。评标委员会认为有效投标人的经济、技术等指标仍然具有市场竞争力，能够满足招标文件要求的，评标委员会可以继续评标并确定</w:t>
            </w:r>
            <w:r>
              <w:rPr>
                <w:rFonts w:hint="eastAsia" w:asciiTheme="minorEastAsia" w:hAnsiTheme="minorEastAsia" w:eastAsiaTheme="minorEastAsia" w:cstheme="minorEastAsia"/>
                <w:szCs w:val="21"/>
                <w:highlight w:val="none"/>
                <w:lang w:val="en-US" w:eastAsia="zh-CN"/>
              </w:rPr>
              <w:t>入围</w:t>
            </w:r>
            <w:r>
              <w:rPr>
                <w:rFonts w:hint="eastAsia" w:asciiTheme="minorEastAsia" w:hAnsiTheme="minorEastAsia" w:eastAsiaTheme="minorEastAsia" w:cstheme="minorEastAsia"/>
                <w:szCs w:val="21"/>
                <w:highlight w:val="none"/>
              </w:rPr>
              <w:t>候选人。（注：本款只适用于首次招标。）</w:t>
            </w:r>
          </w:p>
          <w:p w14:paraId="16090EA4">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6.经评审合格的投标人按照本章第2.2.3项</w:t>
            </w:r>
            <w:r>
              <w:rPr>
                <w:rFonts w:hint="eastAsia" w:asciiTheme="minorEastAsia" w:hAnsiTheme="minorEastAsia" w:eastAsiaTheme="minorEastAsia" w:cstheme="minorEastAsia"/>
                <w:szCs w:val="21"/>
                <w:highlight w:val="none"/>
                <w:lang w:val="en-US" w:eastAsia="zh-CN"/>
              </w:rPr>
              <w:t>和</w:t>
            </w:r>
            <w:r>
              <w:rPr>
                <w:rFonts w:hint="eastAsia" w:asciiTheme="minorEastAsia" w:hAnsiTheme="minorEastAsia" w:eastAsiaTheme="minorEastAsia" w:cstheme="minorEastAsia"/>
                <w:szCs w:val="21"/>
                <w:highlight w:val="none"/>
              </w:rPr>
              <w:t>第3.2.1（3）目计算方法</w:t>
            </w:r>
            <w:r>
              <w:rPr>
                <w:rFonts w:hint="eastAsia" w:asciiTheme="minorEastAsia" w:hAnsiTheme="minorEastAsia" w:eastAsiaTheme="minorEastAsia" w:cstheme="minorEastAsia"/>
                <w:szCs w:val="21"/>
                <w:highlight w:val="none"/>
                <w:lang w:val="en-US" w:eastAsia="zh-CN"/>
              </w:rPr>
              <w:t>对投标总报价</w:t>
            </w:r>
            <w:r>
              <w:rPr>
                <w:rFonts w:hint="eastAsia" w:asciiTheme="minorEastAsia" w:hAnsiTheme="minorEastAsia" w:eastAsiaTheme="minorEastAsia" w:cstheme="minorEastAsia"/>
                <w:szCs w:val="21"/>
                <w:highlight w:val="none"/>
              </w:rPr>
              <w:t>进行评分。</w:t>
            </w:r>
          </w:p>
          <w:p w14:paraId="5444B1E9">
            <w:pPr>
              <w:spacing w:line="400" w:lineRule="exact"/>
              <w:ind w:firstLine="420" w:firstLineChars="200"/>
              <w:rPr>
                <w:highlight w:val="none"/>
              </w:rPr>
            </w:pPr>
            <w:r>
              <w:rPr>
                <w:rFonts w:hint="eastAsia" w:asciiTheme="minorEastAsia" w:hAnsiTheme="minorEastAsia" w:eastAsiaTheme="minorEastAsia" w:cstheme="minorEastAsia"/>
                <w:szCs w:val="21"/>
                <w:highlight w:val="none"/>
              </w:rPr>
              <w:t>7.对技术部分、商务部分、投标报价得分进行汇总，确定得分由高至低前</w:t>
            </w:r>
            <w:r>
              <w:rPr>
                <w:rFonts w:hint="eastAsia" w:asciiTheme="minorEastAsia" w:hAnsiTheme="minorEastAsia" w:eastAsiaTheme="minorEastAsia" w:cstheme="minorEastAsia"/>
                <w:szCs w:val="21"/>
                <w:highlight w:val="none"/>
                <w:lang w:val="en-US" w:eastAsia="zh-CN"/>
              </w:rPr>
              <w:t>四</w:t>
            </w:r>
            <w:r>
              <w:rPr>
                <w:rFonts w:hint="eastAsia" w:asciiTheme="minorEastAsia" w:hAnsiTheme="minorEastAsia" w:eastAsiaTheme="minorEastAsia" w:cstheme="minorEastAsia"/>
                <w:szCs w:val="21"/>
                <w:highlight w:val="none"/>
              </w:rPr>
              <w:t>名投标人为</w:t>
            </w:r>
            <w:r>
              <w:rPr>
                <w:rFonts w:hint="eastAsia" w:asciiTheme="minorEastAsia" w:hAnsiTheme="minorEastAsia" w:eastAsiaTheme="minorEastAsia" w:cstheme="minorEastAsia"/>
                <w:szCs w:val="21"/>
                <w:highlight w:val="none"/>
                <w:lang w:val="en-US" w:eastAsia="zh-CN"/>
              </w:rPr>
              <w:t>入围</w:t>
            </w:r>
            <w:r>
              <w:rPr>
                <w:rFonts w:hint="eastAsia" w:asciiTheme="minorEastAsia" w:hAnsiTheme="minorEastAsia" w:eastAsiaTheme="minorEastAsia" w:cstheme="minorEastAsia"/>
                <w:szCs w:val="21"/>
                <w:highlight w:val="none"/>
              </w:rPr>
              <w:t>候选人。</w:t>
            </w:r>
          </w:p>
        </w:tc>
      </w:tr>
      <w:tr w14:paraId="2884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988" w:type="dxa"/>
            <w:vMerge w:val="restart"/>
            <w:vAlign w:val="center"/>
          </w:tcPr>
          <w:p w14:paraId="2422A2FB">
            <w:pPr>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rPr>
              <w:t>3.2.1（1）</w:t>
            </w:r>
          </w:p>
        </w:tc>
        <w:tc>
          <w:tcPr>
            <w:tcW w:w="1314" w:type="dxa"/>
            <w:vMerge w:val="restart"/>
            <w:vAlign w:val="center"/>
          </w:tcPr>
          <w:p w14:paraId="5565AE09">
            <w:pPr>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rPr>
              <w:t>技术部分</w:t>
            </w:r>
            <w:r>
              <w:rPr>
                <w:rFonts w:hint="eastAsia" w:asciiTheme="minorEastAsia" w:hAnsiTheme="minorEastAsia" w:eastAsiaTheme="minorEastAsia" w:cstheme="minorEastAsia"/>
                <w:kern w:val="0"/>
              </w:rPr>
              <w:t>得分</w:t>
            </w:r>
            <w:r>
              <w:rPr>
                <w:rFonts w:hint="eastAsia" w:asciiTheme="minorEastAsia" w:hAnsiTheme="minorEastAsia" w:eastAsiaTheme="minorEastAsia" w:cstheme="minorEastAsia"/>
                <w:spacing w:val="-4"/>
              </w:rPr>
              <w:t>（A）</w:t>
            </w:r>
          </w:p>
        </w:tc>
        <w:tc>
          <w:tcPr>
            <w:tcW w:w="396" w:type="dxa"/>
            <w:vMerge w:val="restart"/>
            <w:vAlign w:val="center"/>
          </w:tcPr>
          <w:p w14:paraId="4929D50C">
            <w:pPr>
              <w:widowControl/>
              <w:spacing w:line="400" w:lineRule="exact"/>
              <w:ind w:left="0" w:leftChars="0" w:firstLine="0" w:firstLineChars="0"/>
              <w:jc w:val="both"/>
              <w:rPr>
                <w:rFonts w:hint="eastAsia"/>
                <w:highlight w:val="none"/>
                <w:lang w:eastAsia="zh-CN"/>
              </w:rPr>
            </w:pPr>
            <w:r>
              <w:rPr>
                <w:rFonts w:hint="eastAsia" w:asciiTheme="minorEastAsia" w:hAnsiTheme="minorEastAsia" w:eastAsiaTheme="minorEastAsia" w:cstheme="minorEastAsia"/>
                <w:kern w:val="0"/>
              </w:rPr>
              <w:t>技术方案评审</w:t>
            </w:r>
          </w:p>
        </w:tc>
        <w:tc>
          <w:tcPr>
            <w:tcW w:w="1935" w:type="dxa"/>
            <w:gridSpan w:val="3"/>
            <w:vAlign w:val="center"/>
          </w:tcPr>
          <w:p w14:paraId="33FA5B71">
            <w:pPr>
              <w:pStyle w:val="53"/>
              <w:bidi w:val="0"/>
              <w:jc w:val="center"/>
              <w:rPr>
                <w:rFonts w:hint="eastAsia"/>
                <w:b w:val="0"/>
                <w:bCs w:val="0"/>
                <w:highlight w:val="none"/>
                <w:lang w:eastAsia="zh-CN"/>
              </w:rPr>
            </w:pPr>
            <w:r>
              <w:rPr>
                <w:rFonts w:hint="eastAsia" w:ascii="Times New Roman" w:eastAsia="宋体" w:cs="Cambria Math"/>
                <w:b w:val="0"/>
                <w:bCs w:val="0"/>
                <w:szCs w:val="24"/>
                <w:highlight w:val="none"/>
                <w:lang w:eastAsia="zh-CN"/>
              </w:rPr>
              <w:t>商城系统营销功能评分</w:t>
            </w:r>
          </w:p>
        </w:tc>
        <w:tc>
          <w:tcPr>
            <w:tcW w:w="4831" w:type="dxa"/>
            <w:gridSpan w:val="2"/>
            <w:vMerge w:val="restart"/>
            <w:vAlign w:val="center"/>
          </w:tcPr>
          <w:p w14:paraId="61C19C57">
            <w:pPr>
              <w:autoSpaceDE w:val="0"/>
              <w:autoSpaceDN w:val="0"/>
              <w:adjustRightInd w:val="0"/>
              <w:snapToGrid w:val="0"/>
              <w:spacing w:line="400" w:lineRule="exact"/>
              <w:ind w:firstLine="420" w:firstLineChars="20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评标委员会按第2.2.2（1）目各评审因素设定的分值评分。</w:t>
            </w:r>
          </w:p>
          <w:p w14:paraId="06966F66">
            <w:pPr>
              <w:spacing w:line="400" w:lineRule="exact"/>
              <w:ind w:firstLine="420" w:firstLineChars="200"/>
              <w:jc w:val="both"/>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评标委员会按照优、良、一般、差四个档次进行评分，若评委对投标人技术方案部分汇总评分低于技术方案部分总分的60%的或对个别投标人技术方案部分汇总评分畸高（即该评委对技术方案部分汇总评分的最高分与次高分差额超过技术方案部分总分的10%）的须注明详实理由，技术方案部分缺项的该项得0分。</w:t>
            </w:r>
          </w:p>
          <w:p w14:paraId="5E281405">
            <w:pPr>
              <w:autoSpaceDE w:val="0"/>
              <w:autoSpaceDN w:val="0"/>
              <w:adjustRightInd w:val="0"/>
              <w:snapToGrid w:val="0"/>
              <w:spacing w:line="400" w:lineRule="exact"/>
              <w:ind w:firstLine="420" w:firstLineChars="200"/>
              <w:jc w:val="both"/>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评标委员会成员评委评分取算术平均值为该投标人技术方案得分。</w:t>
            </w:r>
          </w:p>
          <w:p w14:paraId="1632DEF5">
            <w:pPr>
              <w:autoSpaceDE w:val="0"/>
              <w:autoSpaceDN w:val="0"/>
              <w:adjustRightInd w:val="0"/>
              <w:snapToGrid w:val="0"/>
              <w:spacing w:line="400" w:lineRule="exact"/>
              <w:ind w:firstLine="420" w:firstLineChars="200"/>
              <w:jc w:val="both"/>
              <w:rPr>
                <w:rFonts w:hint="eastAsia"/>
                <w:highlight w:val="none"/>
                <w:lang w:eastAsia="zh-CN"/>
              </w:rPr>
            </w:pPr>
            <w:r>
              <w:rPr>
                <w:rFonts w:hint="eastAsia" w:asciiTheme="minorEastAsia" w:hAnsiTheme="minorEastAsia" w:eastAsiaTheme="minorEastAsia" w:cstheme="minorEastAsia"/>
                <w:szCs w:val="21"/>
                <w:highlight w:val="none"/>
              </w:rPr>
              <w:t>技术方案得分的最终结果取小数点后两位，小数点后第三位四舍</w:t>
            </w:r>
            <w:r>
              <w:rPr>
                <w:rFonts w:hint="eastAsia" w:asciiTheme="minorEastAsia" w:hAnsiTheme="minorEastAsia" w:eastAsiaTheme="minorEastAsia" w:cstheme="minorEastAsia"/>
                <w:szCs w:val="21"/>
              </w:rPr>
              <w:t>五入。</w:t>
            </w:r>
          </w:p>
        </w:tc>
      </w:tr>
      <w:tr w14:paraId="4096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88" w:type="dxa"/>
            <w:vMerge w:val="continue"/>
            <w:vAlign w:val="center"/>
          </w:tcPr>
          <w:p w14:paraId="44041CA0">
            <w:pPr>
              <w:pStyle w:val="53"/>
              <w:bidi w:val="0"/>
              <w:jc w:val="center"/>
              <w:rPr>
                <w:rFonts w:hint="eastAsia"/>
                <w:highlight w:val="none"/>
              </w:rPr>
            </w:pPr>
          </w:p>
        </w:tc>
        <w:tc>
          <w:tcPr>
            <w:tcW w:w="1314" w:type="dxa"/>
            <w:vMerge w:val="continue"/>
            <w:vAlign w:val="center"/>
          </w:tcPr>
          <w:p w14:paraId="5D61E269">
            <w:pPr>
              <w:pStyle w:val="53"/>
              <w:bidi w:val="0"/>
              <w:jc w:val="center"/>
              <w:rPr>
                <w:rFonts w:hint="eastAsia"/>
                <w:highlight w:val="none"/>
              </w:rPr>
            </w:pPr>
          </w:p>
        </w:tc>
        <w:tc>
          <w:tcPr>
            <w:tcW w:w="396" w:type="dxa"/>
            <w:vMerge w:val="continue"/>
            <w:vAlign w:val="center"/>
          </w:tcPr>
          <w:p w14:paraId="02CA77F2">
            <w:pPr>
              <w:pStyle w:val="53"/>
              <w:bidi w:val="0"/>
              <w:rPr>
                <w:rFonts w:hint="eastAsia"/>
                <w:highlight w:val="none"/>
                <w:lang w:eastAsia="zh-CN"/>
              </w:rPr>
            </w:pPr>
          </w:p>
        </w:tc>
        <w:tc>
          <w:tcPr>
            <w:tcW w:w="1935" w:type="dxa"/>
            <w:gridSpan w:val="3"/>
            <w:vAlign w:val="center"/>
          </w:tcPr>
          <w:p w14:paraId="314F52C0">
            <w:pPr>
              <w:pStyle w:val="53"/>
              <w:bidi w:val="0"/>
              <w:jc w:val="center"/>
              <w:rPr>
                <w:rFonts w:hint="eastAsia"/>
                <w:b w:val="0"/>
                <w:bCs w:val="0"/>
                <w:highlight w:val="none"/>
                <w:lang w:eastAsia="zh-CN"/>
              </w:rPr>
            </w:pPr>
            <w:r>
              <w:rPr>
                <w:rFonts w:hint="eastAsia" w:ascii="宋体" w:cs="仿宋"/>
                <w:b w:val="0"/>
                <w:bCs w:val="0"/>
                <w:szCs w:val="21"/>
                <w:highlight w:val="none"/>
                <w:lang w:eastAsia="zh-CN"/>
              </w:rPr>
              <w:t>商城供应商管理系统功能</w:t>
            </w:r>
          </w:p>
        </w:tc>
        <w:tc>
          <w:tcPr>
            <w:tcW w:w="4831" w:type="dxa"/>
            <w:gridSpan w:val="2"/>
            <w:vMerge w:val="continue"/>
            <w:vAlign w:val="center"/>
          </w:tcPr>
          <w:p w14:paraId="54852ECE">
            <w:pPr>
              <w:pStyle w:val="53"/>
              <w:bidi w:val="0"/>
              <w:rPr>
                <w:rFonts w:hint="eastAsia"/>
                <w:highlight w:val="none"/>
                <w:lang w:eastAsia="zh-CN"/>
              </w:rPr>
            </w:pPr>
          </w:p>
        </w:tc>
      </w:tr>
      <w:tr w14:paraId="677A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8" w:type="dxa"/>
            <w:vMerge w:val="continue"/>
            <w:vAlign w:val="center"/>
          </w:tcPr>
          <w:p w14:paraId="553758B4">
            <w:pPr>
              <w:pStyle w:val="53"/>
              <w:bidi w:val="0"/>
              <w:jc w:val="center"/>
              <w:rPr>
                <w:rFonts w:hint="eastAsia"/>
                <w:highlight w:val="none"/>
              </w:rPr>
            </w:pPr>
          </w:p>
        </w:tc>
        <w:tc>
          <w:tcPr>
            <w:tcW w:w="1314" w:type="dxa"/>
            <w:vMerge w:val="continue"/>
            <w:vAlign w:val="center"/>
          </w:tcPr>
          <w:p w14:paraId="2DD4EC6A">
            <w:pPr>
              <w:pStyle w:val="53"/>
              <w:bidi w:val="0"/>
              <w:jc w:val="center"/>
              <w:rPr>
                <w:rFonts w:hint="eastAsia"/>
                <w:highlight w:val="none"/>
              </w:rPr>
            </w:pPr>
          </w:p>
        </w:tc>
        <w:tc>
          <w:tcPr>
            <w:tcW w:w="396" w:type="dxa"/>
            <w:vMerge w:val="continue"/>
            <w:vAlign w:val="center"/>
          </w:tcPr>
          <w:p w14:paraId="53D9B6AE">
            <w:pPr>
              <w:pStyle w:val="53"/>
              <w:bidi w:val="0"/>
              <w:rPr>
                <w:rFonts w:hint="eastAsia"/>
                <w:highlight w:val="none"/>
                <w:lang w:eastAsia="zh-CN"/>
              </w:rPr>
            </w:pPr>
          </w:p>
        </w:tc>
        <w:tc>
          <w:tcPr>
            <w:tcW w:w="1935" w:type="dxa"/>
            <w:gridSpan w:val="3"/>
            <w:vAlign w:val="center"/>
          </w:tcPr>
          <w:p w14:paraId="3A5BBBD8">
            <w:pPr>
              <w:pStyle w:val="53"/>
              <w:bidi w:val="0"/>
              <w:jc w:val="center"/>
              <w:rPr>
                <w:rFonts w:hint="eastAsia"/>
                <w:b w:val="0"/>
                <w:bCs w:val="0"/>
                <w:highlight w:val="none"/>
                <w:lang w:eastAsia="zh-CN"/>
              </w:rPr>
            </w:pPr>
            <w:r>
              <w:rPr>
                <w:rFonts w:hint="eastAsia"/>
                <w:b w:val="0"/>
                <w:bCs w:val="0"/>
              </w:rPr>
              <w:t>系统安</w:t>
            </w:r>
            <w:r>
              <w:rPr>
                <w:rFonts w:hint="eastAsia"/>
                <w:b w:val="0"/>
                <w:bCs w:val="0"/>
                <w:highlight w:val="none"/>
              </w:rPr>
              <w:t>全</w:t>
            </w:r>
            <w:r>
              <w:rPr>
                <w:rFonts w:hint="eastAsia"/>
                <w:b w:val="0"/>
                <w:bCs w:val="0"/>
                <w:highlight w:val="none"/>
                <w:lang w:eastAsia="zh-CN"/>
              </w:rPr>
              <w:t>评分</w:t>
            </w:r>
          </w:p>
        </w:tc>
        <w:tc>
          <w:tcPr>
            <w:tcW w:w="4831" w:type="dxa"/>
            <w:gridSpan w:val="2"/>
            <w:vMerge w:val="continue"/>
            <w:vAlign w:val="center"/>
          </w:tcPr>
          <w:p w14:paraId="7EC0EF2E">
            <w:pPr>
              <w:pStyle w:val="53"/>
              <w:bidi w:val="0"/>
              <w:rPr>
                <w:rFonts w:hint="eastAsia"/>
                <w:highlight w:val="none"/>
                <w:lang w:eastAsia="zh-CN"/>
              </w:rPr>
            </w:pPr>
          </w:p>
        </w:tc>
      </w:tr>
      <w:tr w14:paraId="06D2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8" w:type="dxa"/>
            <w:vMerge w:val="continue"/>
            <w:vAlign w:val="center"/>
          </w:tcPr>
          <w:p w14:paraId="295CE688">
            <w:pPr>
              <w:pStyle w:val="53"/>
              <w:bidi w:val="0"/>
              <w:jc w:val="center"/>
              <w:rPr>
                <w:rFonts w:hint="eastAsia"/>
                <w:highlight w:val="none"/>
              </w:rPr>
            </w:pPr>
          </w:p>
        </w:tc>
        <w:tc>
          <w:tcPr>
            <w:tcW w:w="1314" w:type="dxa"/>
            <w:vMerge w:val="continue"/>
            <w:vAlign w:val="center"/>
          </w:tcPr>
          <w:p w14:paraId="519A2C75">
            <w:pPr>
              <w:pStyle w:val="53"/>
              <w:bidi w:val="0"/>
              <w:jc w:val="center"/>
              <w:rPr>
                <w:rFonts w:hint="eastAsia"/>
                <w:highlight w:val="none"/>
              </w:rPr>
            </w:pPr>
          </w:p>
        </w:tc>
        <w:tc>
          <w:tcPr>
            <w:tcW w:w="396" w:type="dxa"/>
            <w:vMerge w:val="continue"/>
            <w:vAlign w:val="center"/>
          </w:tcPr>
          <w:p w14:paraId="29E22EB9">
            <w:pPr>
              <w:pStyle w:val="53"/>
              <w:bidi w:val="0"/>
              <w:rPr>
                <w:rFonts w:hint="eastAsia"/>
                <w:highlight w:val="none"/>
                <w:lang w:eastAsia="zh-CN"/>
              </w:rPr>
            </w:pPr>
          </w:p>
        </w:tc>
        <w:tc>
          <w:tcPr>
            <w:tcW w:w="1935" w:type="dxa"/>
            <w:gridSpan w:val="3"/>
            <w:vAlign w:val="center"/>
          </w:tcPr>
          <w:p w14:paraId="4D06D765">
            <w:pPr>
              <w:pStyle w:val="53"/>
              <w:bidi w:val="0"/>
              <w:jc w:val="center"/>
              <w:rPr>
                <w:rFonts w:hint="eastAsia"/>
                <w:b w:val="0"/>
                <w:bCs w:val="0"/>
                <w:highlight w:val="none"/>
                <w:lang w:eastAsia="zh-CN"/>
              </w:rPr>
            </w:pPr>
            <w:r>
              <w:rPr>
                <w:rFonts w:hint="eastAsia"/>
                <w:b w:val="0"/>
                <w:bCs w:val="0"/>
                <w:highlight w:val="none"/>
                <w:lang w:eastAsia="zh-CN"/>
              </w:rPr>
              <w:t>营销活动策划实施评分</w:t>
            </w:r>
          </w:p>
        </w:tc>
        <w:tc>
          <w:tcPr>
            <w:tcW w:w="4831" w:type="dxa"/>
            <w:gridSpan w:val="2"/>
            <w:vMerge w:val="continue"/>
            <w:vAlign w:val="center"/>
          </w:tcPr>
          <w:p w14:paraId="29632A72">
            <w:pPr>
              <w:pStyle w:val="53"/>
              <w:bidi w:val="0"/>
              <w:rPr>
                <w:rFonts w:hint="eastAsia"/>
                <w:highlight w:val="none"/>
                <w:lang w:eastAsia="zh-CN"/>
              </w:rPr>
            </w:pPr>
          </w:p>
        </w:tc>
      </w:tr>
      <w:tr w14:paraId="084A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8" w:type="dxa"/>
            <w:vAlign w:val="center"/>
          </w:tcPr>
          <w:p w14:paraId="2E9A76D6">
            <w:pPr>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rPr>
              <w:t>3.2.1（2）</w:t>
            </w:r>
          </w:p>
        </w:tc>
        <w:tc>
          <w:tcPr>
            <w:tcW w:w="1314" w:type="dxa"/>
            <w:vAlign w:val="center"/>
          </w:tcPr>
          <w:p w14:paraId="01A1E57A">
            <w:pPr>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rPr>
              <w:t>商务部分得分（B）</w:t>
            </w:r>
          </w:p>
        </w:tc>
        <w:tc>
          <w:tcPr>
            <w:tcW w:w="2331" w:type="dxa"/>
            <w:gridSpan w:val="4"/>
            <w:vAlign w:val="center"/>
          </w:tcPr>
          <w:p w14:paraId="7CE8E377">
            <w:pPr>
              <w:spacing w:line="400" w:lineRule="exact"/>
              <w:ind w:left="0" w:leftChars="0"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评标标准详见</w:t>
            </w:r>
          </w:p>
          <w:p w14:paraId="79DF260A">
            <w:pPr>
              <w:spacing w:line="400" w:lineRule="exact"/>
              <w:ind w:left="0" w:leftChars="0" w:firstLine="0" w:firstLineChars="0"/>
              <w:jc w:val="center"/>
              <w:rPr>
                <w:rFonts w:hint="eastAsia"/>
                <w:highlight w:val="none"/>
                <w:lang w:eastAsia="zh-CN"/>
              </w:rPr>
            </w:pPr>
            <w:r>
              <w:rPr>
                <w:rFonts w:hint="eastAsia" w:asciiTheme="minorEastAsia" w:hAnsiTheme="minorEastAsia" w:eastAsiaTheme="minorEastAsia" w:cstheme="minorEastAsia"/>
              </w:rPr>
              <w:t>2.2.2（2）</w:t>
            </w:r>
          </w:p>
        </w:tc>
        <w:tc>
          <w:tcPr>
            <w:tcW w:w="4831" w:type="dxa"/>
            <w:gridSpan w:val="2"/>
            <w:vAlign w:val="top"/>
          </w:tcPr>
          <w:p w14:paraId="27CE2DA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highlight w:val="none"/>
                <w:lang w:eastAsia="zh-CN"/>
              </w:rPr>
            </w:pPr>
            <w:r>
              <w:rPr>
                <w:rFonts w:hint="eastAsia" w:asciiTheme="minorEastAsia" w:hAnsiTheme="minorEastAsia" w:eastAsiaTheme="minorEastAsia" w:cstheme="minorEastAsia"/>
                <w:szCs w:val="21"/>
              </w:rPr>
              <w:t>商务部分评分为客观评分，评标委员会按第2.2.2（2）目各评审因素设定的分值进行评分且保证分值统一。</w:t>
            </w:r>
          </w:p>
        </w:tc>
      </w:tr>
      <w:tr w14:paraId="4E18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8" w:type="dxa"/>
            <w:vAlign w:val="center"/>
          </w:tcPr>
          <w:p w14:paraId="0ED540F9">
            <w:pPr>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rPr>
              <w:t>3.2.1（3）</w:t>
            </w:r>
          </w:p>
        </w:tc>
        <w:tc>
          <w:tcPr>
            <w:tcW w:w="1314" w:type="dxa"/>
            <w:vAlign w:val="center"/>
          </w:tcPr>
          <w:p w14:paraId="1F621571">
            <w:pPr>
              <w:spacing w:line="400" w:lineRule="exact"/>
              <w:ind w:left="0" w:leftChars="0" w:firstLine="0" w:firstLineChars="0"/>
              <w:jc w:val="center"/>
              <w:rPr>
                <w:rFonts w:hint="eastAsia"/>
                <w:highlight w:val="none"/>
              </w:rPr>
            </w:pPr>
            <w:r>
              <w:rPr>
                <w:rFonts w:hint="eastAsia" w:asciiTheme="minorEastAsia" w:hAnsiTheme="minorEastAsia" w:eastAsiaTheme="minorEastAsia" w:cstheme="minorEastAsia"/>
              </w:rPr>
              <w:t>投标报价</w:t>
            </w:r>
            <w:r>
              <w:rPr>
                <w:rFonts w:hint="eastAsia" w:asciiTheme="minorEastAsia" w:hAnsiTheme="minorEastAsia" w:eastAsiaTheme="minorEastAsia" w:cstheme="minorEastAsia"/>
                <w:kern w:val="0"/>
              </w:rPr>
              <w:t>得分</w:t>
            </w:r>
            <w:r>
              <w:rPr>
                <w:rFonts w:hint="eastAsia" w:asciiTheme="minorEastAsia" w:hAnsiTheme="minorEastAsia" w:eastAsiaTheme="minorEastAsia" w:cstheme="minorEastAsia"/>
                <w:spacing w:val="-8"/>
              </w:rPr>
              <w:t>（C）</w:t>
            </w:r>
          </w:p>
        </w:tc>
        <w:tc>
          <w:tcPr>
            <w:tcW w:w="2331" w:type="dxa"/>
            <w:gridSpan w:val="4"/>
            <w:vAlign w:val="center"/>
          </w:tcPr>
          <w:p w14:paraId="1989608A">
            <w:pPr>
              <w:bidi w:val="0"/>
              <w:ind w:left="0" w:leftChars="0" w:firstLine="0" w:firstLineChars="0"/>
              <w:jc w:val="center"/>
              <w:rPr>
                <w:rFonts w:hint="eastAsia"/>
                <w:highlight w:val="none"/>
                <w:lang w:eastAsia="zh-CN"/>
              </w:rPr>
            </w:pPr>
            <w:r>
              <w:rPr>
                <w:rFonts w:hint="eastAsia" w:asciiTheme="minorEastAsia" w:hAnsiTheme="minorEastAsia" w:eastAsiaTheme="minorEastAsia" w:cstheme="minorEastAsia"/>
              </w:rPr>
              <w:t>投标总报价</w:t>
            </w:r>
          </w:p>
        </w:tc>
        <w:tc>
          <w:tcPr>
            <w:tcW w:w="4831" w:type="dxa"/>
            <w:gridSpan w:val="2"/>
            <w:vAlign w:val="center"/>
          </w:tcPr>
          <w:p w14:paraId="13DF5C3A">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ascii="Times New Roman" w:hAnsi="Times New Roman" w:eastAsia="宋体" w:cs="Times New Roman"/>
                <w:sz w:val="21"/>
                <w:highlight w:val="none"/>
                <w:lang w:val="en-US" w:eastAsia="zh-CN" w:bidi="ar-SA"/>
              </w:rPr>
              <w:t>投标总报价评分=实物商品</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sz w:val="21"/>
                <w:highlight w:val="none"/>
                <w:lang w:val="en-US" w:eastAsia="zh-CN" w:bidi="ar-SA"/>
              </w:rPr>
              <w:t>报价评分+现金类虚拟商品</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sz w:val="21"/>
                <w:highlight w:val="none"/>
                <w:lang w:val="en-US" w:eastAsia="zh-CN" w:bidi="ar-SA"/>
              </w:rPr>
              <w:t>报价评分+非现金类虚拟商品</w:t>
            </w:r>
            <w:r>
              <w:rPr>
                <w:rFonts w:hint="eastAsia" w:asciiTheme="minorEastAsia" w:hAnsiTheme="minorEastAsia" w:eastAsiaTheme="minorEastAsia" w:cstheme="minorEastAsia"/>
                <w:color w:val="auto"/>
                <w:kern w:val="0"/>
                <w:sz w:val="21"/>
                <w:szCs w:val="21"/>
                <w:highlight w:val="none"/>
                <w:lang w:val="en-US" w:eastAsia="zh-CN" w:bidi="ar"/>
              </w:rPr>
              <w:t>投标</w:t>
            </w:r>
            <w:r>
              <w:rPr>
                <w:rFonts w:hint="eastAsia" w:ascii="Times New Roman" w:hAnsi="Times New Roman" w:eastAsia="宋体" w:cs="Times New Roman"/>
                <w:sz w:val="21"/>
                <w:highlight w:val="none"/>
                <w:lang w:val="en-US" w:eastAsia="zh-CN" w:bidi="ar-SA"/>
              </w:rPr>
              <w:t>报价评分。</w:t>
            </w:r>
          </w:p>
        </w:tc>
      </w:tr>
      <w:tr w14:paraId="341E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037F330B">
            <w:pPr>
              <w:spacing w:line="400" w:lineRule="exact"/>
              <w:ind w:firstLine="18" w:firstLineChars="9"/>
              <w:jc w:val="center"/>
              <w:rPr>
                <w:highlight w:val="none"/>
              </w:rPr>
            </w:pPr>
            <w:r>
              <w:rPr>
                <w:rFonts w:hint="eastAsia" w:asciiTheme="minorEastAsia" w:hAnsiTheme="minorEastAsia" w:eastAsiaTheme="minorEastAsia" w:cstheme="minorEastAsia"/>
                <w:szCs w:val="21"/>
              </w:rPr>
              <w:t>3.2.3</w:t>
            </w:r>
          </w:p>
        </w:tc>
        <w:tc>
          <w:tcPr>
            <w:tcW w:w="2331" w:type="dxa"/>
            <w:gridSpan w:val="4"/>
            <w:vAlign w:val="center"/>
          </w:tcPr>
          <w:p w14:paraId="320A587B">
            <w:pPr>
              <w:spacing w:line="400" w:lineRule="exact"/>
              <w:ind w:left="0" w:leftChars="0" w:firstLine="0" w:firstLineChars="0"/>
              <w:jc w:val="center"/>
              <w:rPr>
                <w:highlight w:val="none"/>
              </w:rPr>
            </w:pPr>
            <w:r>
              <w:rPr>
                <w:rFonts w:hint="eastAsia" w:asciiTheme="minorEastAsia" w:hAnsiTheme="minorEastAsia" w:eastAsiaTheme="minorEastAsia" w:cstheme="minorEastAsia"/>
                <w:szCs w:val="21"/>
              </w:rPr>
              <w:t>投标人得分</w:t>
            </w:r>
          </w:p>
        </w:tc>
        <w:tc>
          <w:tcPr>
            <w:tcW w:w="4831" w:type="dxa"/>
            <w:gridSpan w:val="2"/>
            <w:vAlign w:val="center"/>
          </w:tcPr>
          <w:p w14:paraId="67721084">
            <w:pPr>
              <w:spacing w:line="400" w:lineRule="exact"/>
              <w:ind w:left="0" w:leftChars="0" w:firstLine="0" w:firstLineChars="0"/>
              <w:jc w:val="center"/>
              <w:rPr>
                <w:rFonts w:hint="default"/>
                <w:highlight w:val="none"/>
                <w:lang w:val="en-US" w:eastAsia="zh-CN"/>
              </w:rPr>
            </w:pPr>
            <w:r>
              <w:rPr>
                <w:rFonts w:hint="eastAsia" w:asciiTheme="minorEastAsia" w:hAnsiTheme="minorEastAsia" w:eastAsiaTheme="minorEastAsia" w:cstheme="minorEastAsia"/>
                <w:szCs w:val="21"/>
              </w:rPr>
              <w:t>投标人得分=A+B+C</w:t>
            </w:r>
          </w:p>
        </w:tc>
      </w:tr>
    </w:tbl>
    <w:p w14:paraId="4878EC1F">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72191213">
      <w:pPr>
        <w:ind w:firstLine="422"/>
        <w:rPr>
          <w:rFonts w:ascii="宋体" w:hAnsi="宋体" w:cs="宋体"/>
          <w:b/>
          <w:color w:val="auto"/>
          <w:szCs w:val="21"/>
          <w:highlight w:val="none"/>
        </w:rPr>
      </w:pPr>
      <w:r>
        <w:rPr>
          <w:rFonts w:hint="eastAsia" w:ascii="宋体" w:hAnsi="宋体" w:cs="宋体"/>
          <w:b/>
          <w:color w:val="auto"/>
          <w:szCs w:val="21"/>
          <w:highlight w:val="none"/>
        </w:rPr>
        <w:t>1.  评标方法</w:t>
      </w:r>
    </w:p>
    <w:p w14:paraId="797C94F0">
      <w:pPr>
        <w:ind w:firstLine="420"/>
        <w:rPr>
          <w:rFonts w:ascii="宋体" w:hAnsi="宋体" w:cs="宋体"/>
          <w:color w:val="auto"/>
          <w:szCs w:val="21"/>
          <w:highlight w:val="none"/>
        </w:rPr>
      </w:pPr>
      <w:r>
        <w:rPr>
          <w:rFonts w:hint="eastAsia" w:ascii="宋体" w:hAnsi="宋体" w:cs="宋体"/>
          <w:color w:val="auto"/>
          <w:szCs w:val="21"/>
          <w:highlight w:val="none"/>
        </w:rPr>
        <w:t>本次评标采用综合评估法。评标委员会按照本章第2.2款规定的评分标准进行打分，按得分由高到低顺序推荐</w:t>
      </w:r>
      <w:r>
        <w:rPr>
          <w:rFonts w:hint="eastAsia" w:ascii="宋体" w:hAnsi="宋体" w:cs="宋体"/>
          <w:color w:val="auto"/>
          <w:szCs w:val="21"/>
          <w:highlight w:val="none"/>
          <w:lang w:val="en-US" w:eastAsia="zh-CN"/>
        </w:rPr>
        <w:t>入围供应商</w:t>
      </w:r>
      <w:r>
        <w:rPr>
          <w:rFonts w:hint="eastAsia" w:ascii="宋体" w:hAnsi="宋体" w:cs="宋体"/>
          <w:color w:val="auto"/>
          <w:szCs w:val="21"/>
          <w:highlight w:val="none"/>
        </w:rPr>
        <w:t>。综合评分相等时，按照评标方法前附表的规定确定排名。</w:t>
      </w:r>
    </w:p>
    <w:p w14:paraId="50E5B5C0">
      <w:pPr>
        <w:ind w:firstLine="422"/>
        <w:rPr>
          <w:rFonts w:ascii="宋体" w:hAnsi="宋体" w:cs="宋体"/>
          <w:b/>
          <w:color w:val="auto"/>
          <w:szCs w:val="21"/>
          <w:highlight w:val="none"/>
        </w:rPr>
      </w:pPr>
      <w:r>
        <w:rPr>
          <w:rFonts w:hint="eastAsia" w:ascii="宋体" w:hAnsi="宋体" w:cs="宋体"/>
          <w:b/>
          <w:color w:val="auto"/>
          <w:szCs w:val="21"/>
          <w:highlight w:val="none"/>
        </w:rPr>
        <w:t>2.  评审标准</w:t>
      </w:r>
    </w:p>
    <w:p w14:paraId="4620751E">
      <w:pPr>
        <w:ind w:firstLine="420"/>
        <w:rPr>
          <w:rFonts w:ascii="宋体" w:hAnsi="宋体" w:cs="宋体"/>
          <w:color w:val="auto"/>
          <w:szCs w:val="21"/>
          <w:highlight w:val="none"/>
        </w:rPr>
      </w:pPr>
      <w:r>
        <w:rPr>
          <w:rFonts w:hint="eastAsia" w:ascii="宋体" w:hAnsi="宋体" w:cs="宋体"/>
          <w:color w:val="auto"/>
          <w:szCs w:val="21"/>
          <w:highlight w:val="none"/>
        </w:rPr>
        <w:t>2.1  初步评审标准</w:t>
      </w:r>
    </w:p>
    <w:p w14:paraId="6EC319CC">
      <w:pPr>
        <w:ind w:firstLine="420"/>
        <w:rPr>
          <w:rFonts w:ascii="宋体" w:hAnsi="宋体" w:cs="宋体"/>
          <w:color w:val="auto"/>
          <w:szCs w:val="21"/>
          <w:highlight w:val="none"/>
        </w:rPr>
      </w:pPr>
      <w:r>
        <w:rPr>
          <w:rFonts w:hint="eastAsia" w:ascii="宋体" w:hAnsi="宋体" w:cs="宋体"/>
          <w:color w:val="auto"/>
          <w:szCs w:val="21"/>
          <w:highlight w:val="none"/>
        </w:rPr>
        <w:t>2.1.1资格评审标准：见评标办法前附表。</w:t>
      </w:r>
    </w:p>
    <w:p w14:paraId="52B3A8C3">
      <w:pPr>
        <w:ind w:firstLine="420"/>
        <w:rPr>
          <w:rFonts w:ascii="宋体" w:hAnsi="宋体" w:cs="宋体"/>
          <w:color w:val="auto"/>
          <w:szCs w:val="21"/>
          <w:highlight w:val="none"/>
        </w:rPr>
      </w:pPr>
      <w:r>
        <w:rPr>
          <w:rFonts w:hint="eastAsia" w:ascii="宋体" w:hAnsi="宋体" w:cs="宋体"/>
          <w:color w:val="auto"/>
          <w:szCs w:val="21"/>
          <w:highlight w:val="none"/>
        </w:rPr>
        <w:t>2.1.2形式评审标准：见评标办法前附表。</w:t>
      </w:r>
    </w:p>
    <w:p w14:paraId="4A6DF24B">
      <w:pPr>
        <w:ind w:firstLine="420"/>
        <w:rPr>
          <w:rFonts w:ascii="宋体" w:hAnsi="宋体" w:cs="宋体"/>
          <w:color w:val="auto"/>
          <w:szCs w:val="21"/>
          <w:highlight w:val="none"/>
        </w:rPr>
      </w:pPr>
      <w:r>
        <w:rPr>
          <w:rFonts w:hint="eastAsia" w:ascii="宋体" w:hAnsi="宋体" w:cs="宋体"/>
          <w:color w:val="auto"/>
          <w:szCs w:val="21"/>
          <w:highlight w:val="none"/>
        </w:rPr>
        <w:t>2.1.3响应性评审标准：见评标办法前附表。</w:t>
      </w:r>
    </w:p>
    <w:p w14:paraId="3E0C9062">
      <w:pPr>
        <w:ind w:firstLine="420"/>
        <w:rPr>
          <w:rFonts w:ascii="宋体" w:hAnsi="宋体" w:cs="宋体"/>
          <w:color w:val="auto"/>
          <w:szCs w:val="21"/>
          <w:highlight w:val="none"/>
        </w:rPr>
      </w:pPr>
      <w:r>
        <w:rPr>
          <w:rFonts w:hint="eastAsia" w:ascii="宋体" w:hAnsi="宋体" w:cs="宋体"/>
          <w:color w:val="auto"/>
          <w:szCs w:val="21"/>
          <w:highlight w:val="none"/>
        </w:rPr>
        <w:t>2.2  分值构成与评分标准</w:t>
      </w:r>
    </w:p>
    <w:p w14:paraId="7B84C311">
      <w:pPr>
        <w:ind w:firstLine="420"/>
        <w:rPr>
          <w:rFonts w:ascii="宋体" w:hAnsi="宋体" w:cs="宋体"/>
          <w:color w:val="auto"/>
          <w:szCs w:val="21"/>
          <w:highlight w:val="none"/>
        </w:rPr>
      </w:pPr>
      <w:r>
        <w:rPr>
          <w:rFonts w:hint="eastAsia" w:ascii="宋体" w:hAnsi="宋体" w:cs="宋体"/>
          <w:color w:val="auto"/>
          <w:szCs w:val="21"/>
          <w:highlight w:val="none"/>
        </w:rPr>
        <w:t>2.2.1分值构成</w:t>
      </w:r>
    </w:p>
    <w:p w14:paraId="41C72C7D">
      <w:pPr>
        <w:ind w:firstLine="420"/>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6FE6ED75">
      <w:pPr>
        <w:ind w:firstLine="420"/>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4136C629">
      <w:pPr>
        <w:ind w:firstLine="420"/>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F7C1C6E">
      <w:pPr>
        <w:ind w:firstLine="420"/>
        <w:rPr>
          <w:rFonts w:ascii="宋体" w:hAnsi="宋体" w:cs="宋体"/>
          <w:color w:val="auto"/>
          <w:szCs w:val="21"/>
          <w:highlight w:val="none"/>
        </w:rPr>
      </w:pPr>
      <w:r>
        <w:rPr>
          <w:rFonts w:hint="eastAsia" w:ascii="宋体" w:hAnsi="宋体" w:cs="宋体"/>
          <w:color w:val="auto"/>
          <w:szCs w:val="21"/>
          <w:highlight w:val="none"/>
        </w:rPr>
        <w:t>2.2.2  评标基准价计算</w:t>
      </w:r>
    </w:p>
    <w:p w14:paraId="72A2F3BA">
      <w:pPr>
        <w:ind w:firstLine="420"/>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4674886A">
      <w:pPr>
        <w:autoSpaceDE w:val="0"/>
        <w:autoSpaceDN w:val="0"/>
        <w:adjustRightInd w:val="0"/>
        <w:snapToGrid w:val="0"/>
        <w:ind w:firstLine="535" w:firstLineChars="255"/>
        <w:rPr>
          <w:rFonts w:ascii="宋体" w:hAnsi="宋体" w:cs="宋体"/>
          <w:color w:val="auto"/>
          <w:szCs w:val="21"/>
          <w:highlight w:val="none"/>
        </w:rPr>
      </w:pPr>
      <w:r>
        <w:rPr>
          <w:rFonts w:hint="eastAsia" w:ascii="宋体" w:hAnsi="宋体" w:cs="宋体"/>
          <w:color w:val="auto"/>
          <w:szCs w:val="21"/>
          <w:highlight w:val="none"/>
        </w:rPr>
        <w:t>2.2.3  投标报价的偏差率计算和允许偏差范围</w:t>
      </w:r>
    </w:p>
    <w:p w14:paraId="052B8604">
      <w:pPr>
        <w:autoSpaceDE w:val="0"/>
        <w:autoSpaceDN w:val="0"/>
        <w:adjustRightInd w:val="0"/>
        <w:snapToGrid w:val="0"/>
        <w:ind w:firstLine="535" w:firstLineChars="255"/>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1899325F">
      <w:pPr>
        <w:autoSpaceDE w:val="0"/>
        <w:autoSpaceDN w:val="0"/>
        <w:adjustRightInd w:val="0"/>
        <w:ind w:firstLine="535" w:firstLineChars="255"/>
        <w:rPr>
          <w:rFonts w:ascii="宋体" w:hAnsi="宋体" w:cs="宋体"/>
          <w:color w:val="auto"/>
          <w:szCs w:val="21"/>
          <w:highlight w:val="none"/>
        </w:rPr>
      </w:pPr>
      <w:r>
        <w:rPr>
          <w:rFonts w:hint="eastAsia" w:ascii="宋体" w:hAnsi="宋体" w:cs="宋体"/>
          <w:color w:val="auto"/>
          <w:szCs w:val="21"/>
          <w:highlight w:val="none"/>
        </w:rPr>
        <w:t>投标报价的允许偏差范围：见评标办法前附表。</w:t>
      </w:r>
    </w:p>
    <w:p w14:paraId="2FB4E955">
      <w:pPr>
        <w:ind w:firstLine="420"/>
        <w:rPr>
          <w:rFonts w:ascii="宋体" w:hAnsi="宋体" w:cs="宋体"/>
          <w:color w:val="auto"/>
          <w:szCs w:val="21"/>
          <w:highlight w:val="none"/>
        </w:rPr>
      </w:pPr>
      <w:r>
        <w:rPr>
          <w:rFonts w:hint="eastAsia" w:ascii="宋体" w:hAnsi="宋体" w:cs="宋体"/>
          <w:color w:val="auto"/>
          <w:szCs w:val="21"/>
          <w:highlight w:val="none"/>
        </w:rPr>
        <w:t>2.2.4评分标准</w:t>
      </w:r>
    </w:p>
    <w:p w14:paraId="46A6A5E7">
      <w:pPr>
        <w:ind w:firstLine="420"/>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2C71406">
      <w:pPr>
        <w:ind w:firstLine="420"/>
        <w:rPr>
          <w:rFonts w:ascii="宋体" w:hAnsi="宋体" w:cs="宋体"/>
          <w:color w:val="auto"/>
          <w:szCs w:val="21"/>
          <w:highlight w:val="none"/>
        </w:rPr>
      </w:pPr>
      <w:r>
        <w:rPr>
          <w:rFonts w:hint="eastAsia" w:ascii="宋体" w:hAnsi="宋体" w:cs="宋体"/>
          <w:color w:val="auto"/>
          <w:szCs w:val="21"/>
          <w:highlight w:val="none"/>
        </w:rPr>
        <w:t>（2）商务评分标准：见评标办法前附表；</w:t>
      </w:r>
    </w:p>
    <w:p w14:paraId="09F179BF">
      <w:pPr>
        <w:ind w:firstLine="420"/>
        <w:rPr>
          <w:rFonts w:ascii="宋体" w:hAnsi="宋体" w:cs="宋体"/>
          <w:color w:val="auto"/>
          <w:szCs w:val="21"/>
          <w:highlight w:val="none"/>
        </w:rPr>
      </w:pPr>
      <w:r>
        <w:rPr>
          <w:rFonts w:hint="eastAsia" w:ascii="宋体" w:hAnsi="宋体" w:cs="宋体"/>
          <w:color w:val="auto"/>
          <w:szCs w:val="21"/>
          <w:highlight w:val="none"/>
        </w:rPr>
        <w:t>（3）投标报价评分标准：见评标办法前附表；</w:t>
      </w:r>
    </w:p>
    <w:p w14:paraId="16A87DE4">
      <w:pPr>
        <w:ind w:firstLine="422"/>
        <w:rPr>
          <w:rFonts w:ascii="宋体" w:hAnsi="宋体" w:cs="宋体"/>
          <w:b/>
          <w:color w:val="auto"/>
          <w:szCs w:val="21"/>
          <w:highlight w:val="none"/>
        </w:rPr>
      </w:pPr>
      <w:r>
        <w:rPr>
          <w:rFonts w:hint="eastAsia" w:ascii="宋体" w:hAnsi="宋体" w:cs="宋体"/>
          <w:b/>
          <w:color w:val="auto"/>
          <w:szCs w:val="21"/>
          <w:highlight w:val="none"/>
        </w:rPr>
        <w:t>3.  评标程序</w:t>
      </w:r>
    </w:p>
    <w:p w14:paraId="6A7F8CE0">
      <w:pPr>
        <w:ind w:firstLine="420"/>
        <w:rPr>
          <w:rFonts w:ascii="宋体" w:hAnsi="宋体" w:cs="宋体"/>
          <w:color w:val="auto"/>
          <w:szCs w:val="21"/>
          <w:highlight w:val="none"/>
        </w:rPr>
      </w:pPr>
      <w:r>
        <w:rPr>
          <w:rFonts w:hint="eastAsia" w:ascii="宋体" w:hAnsi="宋体" w:cs="宋体"/>
          <w:color w:val="auto"/>
          <w:szCs w:val="21"/>
          <w:highlight w:val="none"/>
        </w:rPr>
        <w:t>3.1  初步评审</w:t>
      </w:r>
    </w:p>
    <w:p w14:paraId="7B3F9BA4">
      <w:pPr>
        <w:ind w:firstLine="420"/>
        <w:rPr>
          <w:rFonts w:ascii="宋体" w:hAnsi="宋体" w:cs="宋体"/>
          <w:color w:val="auto"/>
          <w:szCs w:val="21"/>
          <w:highlight w:val="none"/>
        </w:rPr>
      </w:pPr>
      <w:r>
        <w:rPr>
          <w:rFonts w:hint="eastAsia" w:ascii="宋体" w:hAnsi="宋体" w:cs="宋体"/>
          <w:color w:val="auto"/>
          <w:szCs w:val="21"/>
          <w:highlight w:val="none"/>
        </w:rPr>
        <w:t>3.1.1评标委员会依据本章第 2.1 款规定的标准对投标文件进行初步评审。有一项不符合评审标准的，作否决投标处理。</w:t>
      </w:r>
    </w:p>
    <w:p w14:paraId="24B5F7FB">
      <w:pPr>
        <w:ind w:firstLine="420"/>
        <w:rPr>
          <w:rFonts w:ascii="宋体" w:hAnsi="宋体" w:cs="宋体"/>
          <w:color w:val="auto"/>
          <w:szCs w:val="21"/>
          <w:highlight w:val="none"/>
        </w:rPr>
      </w:pPr>
      <w:r>
        <w:rPr>
          <w:rFonts w:hint="eastAsia" w:ascii="宋体" w:hAnsi="宋体" w:cs="宋体"/>
          <w:color w:val="auto"/>
          <w:szCs w:val="21"/>
          <w:highlight w:val="none"/>
        </w:rPr>
        <w:t>3.1.2投标人有以下情形之一的，其投标作否决投标处理：</w:t>
      </w:r>
    </w:p>
    <w:p w14:paraId="194C79B4">
      <w:pPr>
        <w:ind w:firstLine="420"/>
        <w:rPr>
          <w:rFonts w:ascii="宋体" w:hAnsi="宋体" w:cs="宋体"/>
          <w:color w:val="auto"/>
          <w:szCs w:val="21"/>
          <w:highlight w:val="none"/>
        </w:rPr>
      </w:pPr>
      <w:r>
        <w:rPr>
          <w:rFonts w:hint="eastAsia" w:ascii="宋体" w:hAnsi="宋体" w:cs="宋体"/>
          <w:color w:val="auto"/>
          <w:szCs w:val="21"/>
          <w:highlight w:val="none"/>
        </w:rPr>
        <w:t>（1）第二章“投标人须知”第1.4.3项规定的任何一种情形的；</w:t>
      </w:r>
    </w:p>
    <w:p w14:paraId="4F42D043">
      <w:pPr>
        <w:ind w:firstLine="420"/>
        <w:rPr>
          <w:rFonts w:ascii="宋体" w:hAnsi="宋体" w:cs="宋体"/>
          <w:color w:val="auto"/>
          <w:szCs w:val="21"/>
          <w:highlight w:val="none"/>
        </w:rPr>
      </w:pPr>
      <w:r>
        <w:rPr>
          <w:rFonts w:hint="eastAsia" w:ascii="宋体" w:hAnsi="宋体" w:cs="宋体"/>
          <w:color w:val="auto"/>
          <w:szCs w:val="21"/>
          <w:highlight w:val="none"/>
        </w:rPr>
        <w:t>（2）串通投标或弄虚作假或有其他违法行为的；</w:t>
      </w:r>
    </w:p>
    <w:p w14:paraId="635B966A">
      <w:pPr>
        <w:ind w:firstLine="420"/>
        <w:rPr>
          <w:rFonts w:ascii="宋体" w:hAnsi="宋体" w:cs="宋体"/>
          <w:color w:val="auto"/>
          <w:szCs w:val="21"/>
          <w:highlight w:val="none"/>
        </w:rPr>
      </w:pPr>
      <w:r>
        <w:rPr>
          <w:rFonts w:hint="eastAsia" w:ascii="宋体" w:hAnsi="宋体" w:cs="宋体"/>
          <w:color w:val="auto"/>
          <w:szCs w:val="21"/>
          <w:highlight w:val="none"/>
        </w:rPr>
        <w:t>（3）不按评标委员会要求澄清、说明或补正的。</w:t>
      </w:r>
    </w:p>
    <w:p w14:paraId="100678DA">
      <w:pPr>
        <w:ind w:firstLine="420"/>
        <w:rPr>
          <w:rFonts w:ascii="宋体" w:hAnsi="宋体" w:cs="宋体"/>
          <w:color w:val="auto"/>
          <w:szCs w:val="21"/>
          <w:highlight w:val="none"/>
        </w:rPr>
      </w:pPr>
      <w:r>
        <w:rPr>
          <w:rFonts w:hint="eastAsia" w:ascii="宋体" w:hAnsi="宋体" w:cs="宋体"/>
          <w:color w:val="auto"/>
          <w:szCs w:val="21"/>
          <w:highlight w:val="none"/>
        </w:rPr>
        <w:t>3.1.3投标报价有算术错误的，评标委员会按以下原则对投标报价进行修正，修正的价格经投标人书面确认后具有约束力。投标人不接受修正价格的，其投标作否决投标处理。</w:t>
      </w:r>
    </w:p>
    <w:p w14:paraId="6ACF7A69">
      <w:pPr>
        <w:ind w:firstLine="42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（1）投标文件中的大写金额与小写金额不一致的，以大写金额为准,投标人不接受修正价格的，其投标作否决投标处理；</w:t>
      </w:r>
    </w:p>
    <w:p w14:paraId="69F469CF">
      <w:pPr>
        <w:ind w:firstLine="420"/>
        <w:rPr>
          <w:rFonts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70461DE2">
      <w:pPr>
        <w:ind w:firstLine="420"/>
        <w:rPr>
          <w:rFonts w:ascii="宋体" w:hAnsi="宋体" w:cs="宋体"/>
          <w:color w:val="auto"/>
          <w:szCs w:val="21"/>
          <w:highlight w:val="none"/>
        </w:rPr>
      </w:pPr>
      <w:r>
        <w:rPr>
          <w:rFonts w:hint="eastAsia" w:ascii="宋体" w:hAnsi="宋体" w:cs="宋体"/>
          <w:color w:val="auto"/>
          <w:szCs w:val="21"/>
          <w:highlight w:val="none"/>
        </w:rPr>
        <w:t>（3）单价与取费比例计算出的结果不一致的，以取费费率为准修正单价，但取费比例小数点有明显错误的除外。</w:t>
      </w:r>
    </w:p>
    <w:p w14:paraId="7E13B0CE">
      <w:pPr>
        <w:ind w:firstLine="420"/>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17A7B880">
      <w:pPr>
        <w:ind w:firstLine="420"/>
        <w:rPr>
          <w:rFonts w:ascii="宋体" w:hAnsi="宋体" w:cs="宋体"/>
          <w:color w:val="auto"/>
          <w:szCs w:val="21"/>
          <w:highlight w:val="none"/>
        </w:rPr>
      </w:pPr>
      <w:r>
        <w:rPr>
          <w:rFonts w:hint="eastAsia" w:ascii="宋体" w:hAnsi="宋体" w:cs="宋体"/>
          <w:color w:val="auto"/>
          <w:szCs w:val="21"/>
          <w:highlight w:val="none"/>
        </w:rPr>
        <w:t>3.2  详细评审</w:t>
      </w:r>
    </w:p>
    <w:p w14:paraId="0F1534AE">
      <w:pPr>
        <w:ind w:firstLine="420"/>
        <w:rPr>
          <w:rFonts w:ascii="宋体" w:hAnsi="宋体" w:cs="宋体"/>
          <w:color w:val="auto"/>
          <w:szCs w:val="21"/>
          <w:highlight w:val="none"/>
        </w:rPr>
      </w:pPr>
      <w:r>
        <w:rPr>
          <w:rFonts w:hint="eastAsia" w:ascii="宋体" w:hAnsi="宋体" w:cs="宋体"/>
          <w:color w:val="auto"/>
          <w:szCs w:val="21"/>
          <w:highlight w:val="none"/>
        </w:rPr>
        <w:t>3.2.1评标委员会按本章第2.2款规定的量化因素和分值进行打分，并计算出综合评估得分。</w:t>
      </w:r>
    </w:p>
    <w:p w14:paraId="28D5FFD1">
      <w:pPr>
        <w:ind w:firstLine="420"/>
        <w:rPr>
          <w:rFonts w:ascii="宋体" w:hAnsi="宋体" w:cs="宋体"/>
          <w:color w:val="auto"/>
          <w:szCs w:val="21"/>
          <w:highlight w:val="none"/>
        </w:rPr>
      </w:pPr>
      <w:r>
        <w:rPr>
          <w:rFonts w:hint="eastAsia" w:ascii="宋体" w:hAnsi="宋体" w:cs="宋体"/>
          <w:color w:val="auto"/>
          <w:szCs w:val="21"/>
          <w:highlight w:val="none"/>
        </w:rPr>
        <w:t>（1）按本章第2.2.4（1）目规定的评审因素和分值对技术部分计算出得分A（</w:t>
      </w:r>
      <w:r>
        <w:rPr>
          <w:rFonts w:hint="eastAsia" w:ascii="宋体" w:hAnsi="宋体" w:cs="宋体"/>
          <w:b/>
          <w:bCs/>
          <w:color w:val="auto"/>
          <w:szCs w:val="21"/>
          <w:highlight w:val="none"/>
        </w:rPr>
        <w:t>算术平均值为技术部分最终得分</w:t>
      </w:r>
      <w:r>
        <w:rPr>
          <w:rFonts w:hint="eastAsia" w:ascii="宋体" w:hAnsi="宋体" w:cs="宋体"/>
          <w:color w:val="auto"/>
          <w:szCs w:val="21"/>
          <w:highlight w:val="none"/>
        </w:rPr>
        <w:t>）。</w:t>
      </w:r>
    </w:p>
    <w:p w14:paraId="438E206B">
      <w:pPr>
        <w:ind w:firstLine="420"/>
        <w:rPr>
          <w:rFonts w:ascii="宋体" w:hAnsi="宋体" w:cs="宋体"/>
          <w:color w:val="auto"/>
          <w:szCs w:val="21"/>
          <w:highlight w:val="none"/>
        </w:rPr>
      </w:pPr>
      <w:r>
        <w:rPr>
          <w:rFonts w:hint="eastAsia" w:ascii="宋体" w:hAnsi="宋体" w:cs="宋体"/>
          <w:color w:val="auto"/>
          <w:szCs w:val="21"/>
          <w:highlight w:val="none"/>
        </w:rPr>
        <w:t>（2）按本章第2.2.4（2）目规定的评审因素和分值对商务部分计算出得分B。</w:t>
      </w:r>
    </w:p>
    <w:p w14:paraId="3400E1C9">
      <w:pPr>
        <w:ind w:firstLine="420"/>
        <w:rPr>
          <w:rFonts w:ascii="宋体" w:hAnsi="宋体" w:cs="宋体"/>
          <w:color w:val="auto"/>
          <w:szCs w:val="21"/>
          <w:highlight w:val="none"/>
        </w:rPr>
      </w:pPr>
      <w:r>
        <w:rPr>
          <w:rFonts w:hint="eastAsia" w:ascii="宋体" w:hAnsi="宋体" w:cs="宋体"/>
          <w:color w:val="auto"/>
          <w:szCs w:val="21"/>
          <w:highlight w:val="none"/>
        </w:rPr>
        <w:t>（3）按本章第 2.2.4（3）目规定的评审因素和分值对投标报价计算出得分C。</w:t>
      </w:r>
    </w:p>
    <w:p w14:paraId="4DB28DE9">
      <w:pPr>
        <w:ind w:firstLine="420"/>
        <w:rPr>
          <w:rFonts w:ascii="宋体" w:hAnsi="宋体" w:cs="宋体"/>
          <w:color w:val="auto"/>
          <w:szCs w:val="21"/>
          <w:highlight w:val="none"/>
        </w:rPr>
      </w:pPr>
      <w:r>
        <w:rPr>
          <w:rFonts w:hint="eastAsia" w:ascii="宋体" w:hAnsi="宋体" w:cs="宋体"/>
          <w:color w:val="auto"/>
          <w:szCs w:val="21"/>
          <w:highlight w:val="none"/>
        </w:rPr>
        <w:t>3.2.2  评分分值计算保留小数点后两位，小数点后第三位“四舍五入”。</w:t>
      </w:r>
    </w:p>
    <w:p w14:paraId="14F878FF">
      <w:pPr>
        <w:ind w:firstLine="420"/>
        <w:rPr>
          <w:rFonts w:ascii="宋体" w:hAnsi="宋体" w:cs="宋体"/>
          <w:color w:val="auto"/>
          <w:szCs w:val="21"/>
          <w:highlight w:val="none"/>
        </w:rPr>
      </w:pPr>
      <w:r>
        <w:rPr>
          <w:rFonts w:hint="eastAsia" w:ascii="宋体" w:hAnsi="宋体" w:cs="宋体"/>
          <w:color w:val="auto"/>
          <w:szCs w:val="21"/>
          <w:highlight w:val="none"/>
        </w:rPr>
        <w:t>3.2.3投标人得分=A+B+C。</w:t>
      </w:r>
    </w:p>
    <w:p w14:paraId="539C60E2">
      <w:pPr>
        <w:ind w:firstLine="420"/>
        <w:rPr>
          <w:rFonts w:ascii="宋体" w:hAnsi="宋体" w:cs="宋体"/>
          <w:color w:val="auto"/>
          <w:szCs w:val="21"/>
          <w:highlight w:val="none"/>
        </w:rPr>
      </w:pPr>
      <w:r>
        <w:rPr>
          <w:rFonts w:hint="eastAsia" w:ascii="宋体" w:hAnsi="宋体" w:cs="宋体"/>
          <w:color w:val="auto"/>
          <w:szCs w:val="21"/>
          <w:highlight w:val="none"/>
        </w:rPr>
        <w:t>3.2.4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投标处理。</w:t>
      </w:r>
    </w:p>
    <w:p w14:paraId="4BFC7C11">
      <w:pPr>
        <w:ind w:firstLine="420"/>
        <w:rPr>
          <w:rFonts w:ascii="宋体" w:hAnsi="宋体" w:cs="宋体"/>
          <w:color w:val="auto"/>
          <w:szCs w:val="21"/>
          <w:highlight w:val="none"/>
        </w:rPr>
      </w:pPr>
      <w:r>
        <w:rPr>
          <w:rFonts w:hint="eastAsia" w:ascii="宋体" w:hAnsi="宋体" w:cs="宋体"/>
          <w:color w:val="auto"/>
          <w:szCs w:val="21"/>
          <w:highlight w:val="none"/>
        </w:rPr>
        <w:t>3.3  投标文件的澄清和补正</w:t>
      </w:r>
    </w:p>
    <w:p w14:paraId="12B06C40">
      <w:pPr>
        <w:ind w:firstLine="420"/>
        <w:rPr>
          <w:rFonts w:ascii="宋体" w:hAnsi="宋体" w:cs="宋体"/>
          <w:color w:val="auto"/>
          <w:szCs w:val="21"/>
          <w:highlight w:val="none"/>
        </w:rPr>
      </w:pPr>
      <w:r>
        <w:rPr>
          <w:rFonts w:hint="eastAsia" w:ascii="宋体" w:hAnsi="宋体" w:cs="宋体"/>
          <w:color w:val="auto"/>
          <w:szCs w:val="21"/>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6C650B4F">
      <w:pPr>
        <w:ind w:firstLine="420"/>
        <w:rPr>
          <w:rFonts w:ascii="宋体" w:hAnsi="宋体" w:cs="宋体"/>
          <w:color w:val="auto"/>
          <w:szCs w:val="21"/>
          <w:highlight w:val="none"/>
        </w:rPr>
      </w:pPr>
      <w:r>
        <w:rPr>
          <w:rFonts w:hint="eastAsia" w:ascii="宋体" w:hAnsi="宋体" w:cs="宋体"/>
          <w:color w:val="auto"/>
          <w:szCs w:val="21"/>
          <w:highlight w:val="none"/>
        </w:rPr>
        <w:t>3.3.2澄清、说明和补正不得改变投标文件的实质性内容（算术性错误修正的除外）。投标人的书面澄清、说明和补正属于投标文件的组成部分。</w:t>
      </w:r>
    </w:p>
    <w:p w14:paraId="3A642ED2">
      <w:pPr>
        <w:ind w:firstLine="420"/>
        <w:rPr>
          <w:rFonts w:ascii="宋体" w:hAnsi="宋体" w:cs="宋体"/>
          <w:color w:val="auto"/>
          <w:szCs w:val="21"/>
          <w:highlight w:val="none"/>
        </w:rPr>
      </w:pPr>
      <w:r>
        <w:rPr>
          <w:rFonts w:hint="eastAsia" w:ascii="宋体" w:hAnsi="宋体" w:cs="宋体"/>
          <w:color w:val="auto"/>
          <w:szCs w:val="21"/>
          <w:highlight w:val="none"/>
        </w:rPr>
        <w:t>3.3.3评标委员会对投标人提交的澄清、说明或补正有疑问的，可以要求投标人进一步澄清、说明或补正，直至满足评标委员会的要求。</w:t>
      </w:r>
    </w:p>
    <w:p w14:paraId="62087C07">
      <w:pPr>
        <w:ind w:firstLine="420"/>
        <w:rPr>
          <w:rFonts w:ascii="宋体" w:hAnsi="宋体" w:cs="宋体"/>
          <w:color w:val="auto"/>
          <w:szCs w:val="21"/>
          <w:highlight w:val="none"/>
        </w:rPr>
      </w:pPr>
      <w:r>
        <w:rPr>
          <w:rFonts w:hint="eastAsia" w:ascii="宋体" w:hAnsi="宋体" w:cs="宋体"/>
          <w:color w:val="auto"/>
          <w:szCs w:val="21"/>
          <w:highlight w:val="none"/>
        </w:rPr>
        <w:t>3.4  评标结果</w:t>
      </w:r>
    </w:p>
    <w:p w14:paraId="4A9AECAC">
      <w:pPr>
        <w:ind w:firstLine="420"/>
        <w:rPr>
          <w:rFonts w:ascii="宋体" w:hAnsi="宋体" w:cs="宋体"/>
          <w:color w:val="auto"/>
          <w:szCs w:val="21"/>
          <w:highlight w:val="none"/>
        </w:rPr>
      </w:pPr>
      <w:r>
        <w:rPr>
          <w:rFonts w:hint="eastAsia" w:ascii="宋体" w:hAnsi="宋体" w:cs="宋体"/>
          <w:color w:val="auto"/>
          <w:szCs w:val="21"/>
          <w:highlight w:val="none"/>
        </w:rPr>
        <w:t xml:space="preserve">3.4.1 </w:t>
      </w:r>
      <w:r>
        <w:rPr>
          <w:rFonts w:hint="eastAsia" w:ascii="宋体" w:hAnsi="宋体" w:cs="宋体"/>
          <w:szCs w:val="21"/>
        </w:rPr>
        <w:t>除第二章“投标人须知”前附表授权直接确定</w:t>
      </w:r>
      <w:r>
        <w:rPr>
          <w:rFonts w:hint="eastAsia" w:ascii="宋体" w:hAnsi="宋体" w:cs="宋体"/>
          <w:szCs w:val="21"/>
          <w:lang w:val="en-US" w:eastAsia="zh-CN"/>
        </w:rPr>
        <w:t>入围供应商</w:t>
      </w:r>
      <w:r>
        <w:rPr>
          <w:rFonts w:hint="eastAsia" w:ascii="宋体" w:hAnsi="宋体" w:cs="宋体"/>
          <w:szCs w:val="21"/>
        </w:rPr>
        <w:t>外，评标委员会按照得分由高到低的顺序推荐</w:t>
      </w:r>
      <w:r>
        <w:rPr>
          <w:rFonts w:hint="eastAsia" w:ascii="宋体" w:hAnsi="宋体" w:cs="宋体"/>
          <w:szCs w:val="21"/>
          <w:lang w:val="en-US" w:eastAsia="zh-CN"/>
        </w:rPr>
        <w:t>入围供应商</w:t>
      </w:r>
      <w:r>
        <w:rPr>
          <w:rFonts w:hint="eastAsia" w:ascii="宋体" w:hAnsi="宋体" w:cs="宋体"/>
          <w:color w:val="auto"/>
          <w:szCs w:val="21"/>
          <w:highlight w:val="none"/>
        </w:rPr>
        <w:t>。</w:t>
      </w:r>
    </w:p>
    <w:p w14:paraId="2CDD2A46">
      <w:pPr>
        <w:pStyle w:val="19"/>
        <w:spacing w:line="360" w:lineRule="auto"/>
        <w:jc w:val="both"/>
        <w:rPr>
          <w:rFonts w:hint="eastAsia" w:ascii="宋体" w:hAnsi="宋体" w:cs="宋体"/>
          <w:b w:val="0"/>
          <w:color w:val="auto"/>
          <w:kern w:val="0"/>
          <w:szCs w:val="21"/>
          <w:highlight w:val="none"/>
          <w:lang w:eastAsia="zh-CN"/>
        </w:rPr>
      </w:pPr>
      <w:r>
        <w:rPr>
          <w:rFonts w:hint="eastAsia" w:ascii="宋体" w:hAnsi="宋体" w:cs="宋体"/>
          <w:b w:val="0"/>
          <w:color w:val="auto"/>
          <w:kern w:val="0"/>
          <w:szCs w:val="21"/>
          <w:highlight w:val="none"/>
          <w:lang w:eastAsia="zh-CN"/>
        </w:rPr>
        <w:t>3.4.2  评标委员会完成评标后，应当向招标人提交书面评标报告。</w:t>
      </w:r>
    </w:p>
    <w:p w14:paraId="1DE3C1FE">
      <w:pPr>
        <w:rPr>
          <w:rFonts w:hint="eastAsia" w:ascii="宋体" w:hAnsi="宋体" w:cs="宋体"/>
          <w:b w:val="0"/>
          <w:color w:val="auto"/>
          <w:kern w:val="0"/>
          <w:szCs w:val="21"/>
          <w:highlight w:val="none"/>
          <w:lang w:eastAsia="zh-CN"/>
        </w:rPr>
      </w:pPr>
      <w:r>
        <w:rPr>
          <w:rFonts w:hint="eastAsia" w:ascii="宋体" w:hAnsi="宋体" w:cs="宋体"/>
          <w:b w:val="0"/>
          <w:color w:val="auto"/>
          <w:kern w:val="0"/>
          <w:szCs w:val="21"/>
          <w:highlight w:val="none"/>
          <w:lang w:eastAsia="zh-CN"/>
        </w:rPr>
        <w:br w:type="page"/>
      </w:r>
    </w:p>
    <w:p w14:paraId="7B9330F2">
      <w:pPr>
        <w:pStyle w:val="19"/>
        <w:spacing w:line="360" w:lineRule="auto"/>
        <w:ind w:left="0" w:leftChars="0" w:firstLine="0" w:firstLineChars="0"/>
        <w:jc w:val="center"/>
        <w:rPr>
          <w:rFonts w:hint="eastAsia" w:ascii="宋体" w:hAnsi="宋体"/>
          <w:b/>
          <w:sz w:val="28"/>
          <w:szCs w:val="28"/>
          <w:u w:val="none"/>
          <w:lang w:eastAsia="zh-CN"/>
        </w:rPr>
      </w:pPr>
      <w:bookmarkStart w:id="288" w:name="_Toc9888"/>
      <w:bookmarkStart w:id="289" w:name="_Toc22072"/>
      <w:r>
        <w:rPr>
          <w:rFonts w:ascii="宋体" w:hAnsi="宋体"/>
          <w:b/>
          <w:sz w:val="28"/>
          <w:szCs w:val="28"/>
          <w:u w:val="none"/>
          <w:lang w:eastAsia="zh-CN"/>
        </w:rPr>
        <w:t>附件A：综合评估法否决投标情况一览表</w:t>
      </w:r>
    </w:p>
    <w:p w14:paraId="733AEF66">
      <w:pPr>
        <w:pStyle w:val="19"/>
        <w:spacing w:line="360" w:lineRule="auto"/>
        <w:ind w:firstLine="422" w:firstLineChars="200"/>
        <w:jc w:val="both"/>
        <w:rPr>
          <w:rFonts w:hint="eastAsia"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2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559"/>
        <w:gridCol w:w="6634"/>
      </w:tblGrid>
      <w:tr w14:paraId="2D42C9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14:paraId="7054E334">
            <w:pPr>
              <w:spacing w:line="400" w:lineRule="exact"/>
              <w:ind w:left="0" w:leftChars="0" w:firstLine="0" w:firstLineChars="0"/>
              <w:jc w:val="center"/>
              <w:rPr>
                <w:rFonts w:hint="eastAsia" w:ascii="宋体" w:hAnsi="宋体"/>
                <w:b/>
                <w:szCs w:val="21"/>
              </w:rPr>
            </w:pPr>
            <w:r>
              <w:rPr>
                <w:rFonts w:ascii="宋体" w:hAnsi="宋体"/>
                <w:b/>
                <w:szCs w:val="21"/>
              </w:rPr>
              <w:t>章节号</w:t>
            </w:r>
          </w:p>
        </w:tc>
        <w:tc>
          <w:tcPr>
            <w:tcW w:w="1559" w:type="dxa"/>
            <w:vAlign w:val="center"/>
          </w:tcPr>
          <w:p w14:paraId="686AB334">
            <w:pPr>
              <w:spacing w:line="400" w:lineRule="exact"/>
              <w:ind w:left="0" w:leftChars="0" w:firstLine="0" w:firstLineChars="0"/>
              <w:jc w:val="center"/>
              <w:rPr>
                <w:rFonts w:hint="eastAsia" w:ascii="宋体" w:hAnsi="宋体"/>
                <w:b/>
                <w:szCs w:val="21"/>
              </w:rPr>
            </w:pPr>
            <w:r>
              <w:rPr>
                <w:rFonts w:ascii="宋体" w:hAnsi="宋体"/>
                <w:b/>
                <w:szCs w:val="21"/>
              </w:rPr>
              <w:t>条款名称</w:t>
            </w:r>
          </w:p>
        </w:tc>
        <w:tc>
          <w:tcPr>
            <w:tcW w:w="6634" w:type="dxa"/>
            <w:vAlign w:val="center"/>
          </w:tcPr>
          <w:p w14:paraId="01231FDE">
            <w:pPr>
              <w:spacing w:line="400" w:lineRule="exact"/>
              <w:ind w:left="0" w:leftChars="0" w:firstLine="0" w:firstLineChars="0"/>
              <w:jc w:val="center"/>
              <w:rPr>
                <w:rFonts w:hint="eastAsia" w:ascii="宋体" w:hAnsi="宋体"/>
                <w:b/>
                <w:szCs w:val="21"/>
              </w:rPr>
            </w:pPr>
            <w:r>
              <w:rPr>
                <w:rFonts w:ascii="宋体" w:hAnsi="宋体"/>
                <w:b/>
                <w:szCs w:val="21"/>
              </w:rPr>
              <w:t>否决投标条件</w:t>
            </w:r>
          </w:p>
        </w:tc>
      </w:tr>
      <w:tr w14:paraId="0D72D9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76" w:type="dxa"/>
            <w:vMerge w:val="restart"/>
            <w:vAlign w:val="center"/>
          </w:tcPr>
          <w:p w14:paraId="7A0E6ADC">
            <w:pPr>
              <w:spacing w:line="400" w:lineRule="exact"/>
              <w:ind w:left="0" w:leftChars="0" w:firstLine="0" w:firstLineChars="0"/>
              <w:jc w:val="center"/>
              <w:rPr>
                <w:rFonts w:hint="eastAsia" w:ascii="宋体" w:hAnsi="宋体"/>
                <w:szCs w:val="21"/>
              </w:rPr>
            </w:pPr>
            <w:r>
              <w:rPr>
                <w:rFonts w:hint="eastAsia" w:ascii="宋体" w:hAnsi="宋体"/>
                <w:szCs w:val="21"/>
              </w:rPr>
              <w:t>第三章</w:t>
            </w:r>
          </w:p>
        </w:tc>
        <w:tc>
          <w:tcPr>
            <w:tcW w:w="1559" w:type="dxa"/>
            <w:vMerge w:val="restart"/>
            <w:vAlign w:val="center"/>
          </w:tcPr>
          <w:p w14:paraId="262FE98F">
            <w:pPr>
              <w:spacing w:line="400" w:lineRule="exact"/>
              <w:ind w:left="0" w:leftChars="0" w:firstLine="0" w:firstLineChars="0"/>
              <w:jc w:val="center"/>
              <w:rPr>
                <w:rFonts w:hint="eastAsia" w:ascii="宋体" w:hAnsi="宋体"/>
                <w:szCs w:val="21"/>
              </w:rPr>
            </w:pPr>
            <w:r>
              <w:rPr>
                <w:rFonts w:hint="eastAsia" w:ascii="宋体" w:hAnsi="宋体"/>
                <w:szCs w:val="21"/>
              </w:rPr>
              <w:t>资格评审</w:t>
            </w:r>
          </w:p>
        </w:tc>
        <w:tc>
          <w:tcPr>
            <w:tcW w:w="6634" w:type="dxa"/>
            <w:vAlign w:val="center"/>
          </w:tcPr>
          <w:p w14:paraId="28591519">
            <w:pPr>
              <w:spacing w:line="400" w:lineRule="exact"/>
              <w:ind w:firstLine="420" w:firstLineChars="200"/>
              <w:rPr>
                <w:rFonts w:hint="eastAsia" w:ascii="宋体" w:hAnsi="宋体"/>
                <w:szCs w:val="21"/>
              </w:rPr>
            </w:pPr>
            <w:r>
              <w:rPr>
                <w:rFonts w:hint="eastAsia" w:ascii="宋体" w:hAnsi="宋体"/>
                <w:szCs w:val="21"/>
              </w:rPr>
              <w:t>A-1投标人的独立法人资格和资质要求须满足投标人须知前附表1.4.1项的要求，否则由评标委员会作否决投标处理。</w:t>
            </w:r>
          </w:p>
        </w:tc>
      </w:tr>
      <w:tr w14:paraId="7C5E1E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76" w:type="dxa"/>
            <w:vMerge w:val="continue"/>
            <w:vAlign w:val="center"/>
          </w:tcPr>
          <w:p w14:paraId="62857BC8">
            <w:pPr>
              <w:spacing w:line="400" w:lineRule="exact"/>
              <w:jc w:val="center"/>
              <w:rPr>
                <w:rFonts w:hint="eastAsia" w:ascii="宋体" w:hAnsi="宋体"/>
                <w:szCs w:val="21"/>
              </w:rPr>
            </w:pPr>
          </w:p>
        </w:tc>
        <w:tc>
          <w:tcPr>
            <w:tcW w:w="1559" w:type="dxa"/>
            <w:vMerge w:val="continue"/>
            <w:vAlign w:val="center"/>
          </w:tcPr>
          <w:p w14:paraId="236D3388">
            <w:pPr>
              <w:spacing w:line="400" w:lineRule="exact"/>
              <w:jc w:val="center"/>
              <w:rPr>
                <w:rFonts w:hint="eastAsia" w:ascii="宋体" w:hAnsi="宋体"/>
                <w:szCs w:val="21"/>
              </w:rPr>
            </w:pPr>
          </w:p>
        </w:tc>
        <w:tc>
          <w:tcPr>
            <w:tcW w:w="6634" w:type="dxa"/>
            <w:vAlign w:val="center"/>
          </w:tcPr>
          <w:p w14:paraId="7AC5DFDF">
            <w:pPr>
              <w:spacing w:line="400" w:lineRule="exact"/>
              <w:ind w:firstLine="420" w:firstLineChars="200"/>
              <w:rPr>
                <w:rFonts w:hint="eastAsia" w:ascii="宋体" w:hAnsi="宋体"/>
                <w:szCs w:val="21"/>
              </w:rPr>
            </w:pPr>
            <w:r>
              <w:rPr>
                <w:rFonts w:hint="eastAsia" w:ascii="宋体" w:hAnsi="宋体"/>
                <w:szCs w:val="21"/>
              </w:rPr>
              <w:t>A-2投标人的信誉和会计制度要求须满足投标人须知前附表1.4.1项的要求，否则由评标委员会作否决投标处理。</w:t>
            </w:r>
          </w:p>
        </w:tc>
      </w:tr>
      <w:tr w14:paraId="4CFA50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76" w:type="dxa"/>
            <w:vMerge w:val="continue"/>
            <w:vAlign w:val="center"/>
          </w:tcPr>
          <w:p w14:paraId="5F66FBC6">
            <w:pPr>
              <w:spacing w:line="400" w:lineRule="exact"/>
              <w:jc w:val="center"/>
              <w:rPr>
                <w:rFonts w:hint="eastAsia" w:ascii="宋体" w:hAnsi="宋体"/>
                <w:szCs w:val="21"/>
              </w:rPr>
            </w:pPr>
          </w:p>
        </w:tc>
        <w:tc>
          <w:tcPr>
            <w:tcW w:w="1559" w:type="dxa"/>
            <w:vMerge w:val="continue"/>
            <w:vAlign w:val="center"/>
          </w:tcPr>
          <w:p w14:paraId="3991EA29">
            <w:pPr>
              <w:spacing w:line="400" w:lineRule="exact"/>
              <w:jc w:val="center"/>
              <w:rPr>
                <w:rFonts w:hint="eastAsia" w:ascii="宋体" w:hAnsi="宋体"/>
                <w:szCs w:val="21"/>
              </w:rPr>
            </w:pPr>
          </w:p>
        </w:tc>
        <w:tc>
          <w:tcPr>
            <w:tcW w:w="6634" w:type="dxa"/>
            <w:vAlign w:val="center"/>
          </w:tcPr>
          <w:p w14:paraId="6CC3CA59">
            <w:pPr>
              <w:spacing w:line="400" w:lineRule="exact"/>
              <w:ind w:firstLine="420" w:firstLineChars="200"/>
              <w:rPr>
                <w:rFonts w:hint="eastAsia" w:ascii="宋体" w:hAnsi="宋体"/>
                <w:szCs w:val="21"/>
              </w:rPr>
            </w:pPr>
            <w:r>
              <w:rPr>
                <w:rFonts w:hint="eastAsia" w:ascii="宋体" w:hAnsi="宋体"/>
                <w:szCs w:val="21"/>
              </w:rPr>
              <w:t>A-3投标人的业绩要求须满足投标人须知前附表1.4.1项的要求，否则由评标委员会作否决投标处理。</w:t>
            </w:r>
          </w:p>
        </w:tc>
      </w:tr>
      <w:tr w14:paraId="4C87FE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76" w:type="dxa"/>
            <w:vMerge w:val="continue"/>
            <w:vAlign w:val="center"/>
          </w:tcPr>
          <w:p w14:paraId="314B5B74">
            <w:pPr>
              <w:spacing w:line="400" w:lineRule="exact"/>
              <w:jc w:val="center"/>
              <w:rPr>
                <w:rFonts w:hint="eastAsia" w:ascii="宋体" w:hAnsi="宋体"/>
                <w:szCs w:val="21"/>
              </w:rPr>
            </w:pPr>
          </w:p>
        </w:tc>
        <w:tc>
          <w:tcPr>
            <w:tcW w:w="1559" w:type="dxa"/>
            <w:vMerge w:val="continue"/>
            <w:vAlign w:val="center"/>
          </w:tcPr>
          <w:p w14:paraId="5CC2277F">
            <w:pPr>
              <w:spacing w:line="400" w:lineRule="exact"/>
              <w:jc w:val="center"/>
              <w:rPr>
                <w:rFonts w:hint="eastAsia" w:ascii="宋体" w:hAnsi="宋体"/>
                <w:szCs w:val="21"/>
              </w:rPr>
            </w:pPr>
          </w:p>
        </w:tc>
        <w:tc>
          <w:tcPr>
            <w:tcW w:w="6634" w:type="dxa"/>
            <w:vAlign w:val="center"/>
          </w:tcPr>
          <w:p w14:paraId="10D0A609">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4</w:t>
            </w:r>
            <w:r>
              <w:rPr>
                <w:rFonts w:hint="eastAsia" w:ascii="宋体" w:hAnsi="宋体"/>
                <w:szCs w:val="21"/>
              </w:rPr>
              <w:t>投标人的</w:t>
            </w:r>
            <w:r>
              <w:rPr>
                <w:rFonts w:hint="eastAsia" w:ascii="宋体" w:hAnsi="宋体"/>
                <w:szCs w:val="21"/>
                <w:lang w:val="en-US" w:eastAsia="zh-CN"/>
              </w:rPr>
              <w:t>信用要求</w:t>
            </w:r>
            <w:r>
              <w:rPr>
                <w:rFonts w:hint="eastAsia" w:ascii="宋体" w:hAnsi="宋体"/>
                <w:szCs w:val="21"/>
              </w:rPr>
              <w:t>须满足投标人须知前附表1.4.1项的要求，否则由评标委员会作否决投标处理。</w:t>
            </w:r>
          </w:p>
        </w:tc>
      </w:tr>
      <w:tr w14:paraId="59132C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76" w:type="dxa"/>
            <w:vMerge w:val="continue"/>
            <w:vAlign w:val="center"/>
          </w:tcPr>
          <w:p w14:paraId="7CA858D5">
            <w:pPr>
              <w:spacing w:line="400" w:lineRule="exact"/>
              <w:jc w:val="center"/>
              <w:rPr>
                <w:rFonts w:hint="eastAsia" w:ascii="宋体" w:hAnsi="宋体"/>
                <w:szCs w:val="21"/>
              </w:rPr>
            </w:pPr>
          </w:p>
        </w:tc>
        <w:tc>
          <w:tcPr>
            <w:tcW w:w="1559" w:type="dxa"/>
            <w:vMerge w:val="continue"/>
            <w:vAlign w:val="center"/>
          </w:tcPr>
          <w:p w14:paraId="26D2DC3E">
            <w:pPr>
              <w:spacing w:line="400" w:lineRule="exact"/>
              <w:jc w:val="center"/>
              <w:rPr>
                <w:rFonts w:hint="eastAsia" w:ascii="宋体" w:hAnsi="宋体"/>
                <w:szCs w:val="21"/>
              </w:rPr>
            </w:pPr>
          </w:p>
        </w:tc>
        <w:tc>
          <w:tcPr>
            <w:tcW w:w="6634" w:type="dxa"/>
            <w:vAlign w:val="center"/>
          </w:tcPr>
          <w:p w14:paraId="5B26662D">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5</w:t>
            </w:r>
            <w:r>
              <w:rPr>
                <w:rFonts w:hint="eastAsia" w:ascii="宋体" w:hAnsi="宋体"/>
                <w:szCs w:val="21"/>
              </w:rPr>
              <w:t>投标人的其他要求须满足投标人须知前附表1.4.1项的要求，否则由评标委员会作否决投标处理。</w:t>
            </w:r>
          </w:p>
        </w:tc>
      </w:tr>
      <w:tr w14:paraId="745F34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7BC60856">
            <w:pPr>
              <w:spacing w:line="400" w:lineRule="exact"/>
              <w:jc w:val="center"/>
              <w:rPr>
                <w:rFonts w:hint="eastAsia" w:ascii="宋体" w:hAnsi="宋体"/>
                <w:szCs w:val="21"/>
              </w:rPr>
            </w:pPr>
          </w:p>
        </w:tc>
        <w:tc>
          <w:tcPr>
            <w:tcW w:w="1559" w:type="dxa"/>
            <w:vMerge w:val="restart"/>
            <w:vAlign w:val="center"/>
          </w:tcPr>
          <w:p w14:paraId="4CE1492E">
            <w:pPr>
              <w:spacing w:line="400" w:lineRule="exact"/>
              <w:ind w:left="0" w:leftChars="0" w:firstLine="0" w:firstLineChars="0"/>
              <w:jc w:val="center"/>
              <w:rPr>
                <w:rFonts w:hint="eastAsia" w:ascii="宋体" w:hAnsi="宋体"/>
                <w:szCs w:val="21"/>
              </w:rPr>
            </w:pPr>
            <w:r>
              <w:rPr>
                <w:rFonts w:hint="eastAsia" w:ascii="宋体" w:hAnsi="宋体"/>
                <w:szCs w:val="21"/>
              </w:rPr>
              <w:t>形式评审</w:t>
            </w:r>
          </w:p>
        </w:tc>
        <w:tc>
          <w:tcPr>
            <w:tcW w:w="6634" w:type="dxa"/>
          </w:tcPr>
          <w:p w14:paraId="3D7C65BC">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6</w:t>
            </w:r>
            <w:r>
              <w:rPr>
                <w:rFonts w:hint="eastAsia" w:ascii="宋体" w:hAnsi="宋体"/>
                <w:szCs w:val="21"/>
              </w:rPr>
              <w:t>投标人名称必须与营业执照、资质证书一致，</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778F70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418AC409">
            <w:pPr>
              <w:spacing w:line="400" w:lineRule="exact"/>
              <w:jc w:val="center"/>
              <w:rPr>
                <w:rFonts w:hint="eastAsia" w:ascii="宋体" w:hAnsi="宋体"/>
                <w:szCs w:val="21"/>
              </w:rPr>
            </w:pPr>
          </w:p>
        </w:tc>
        <w:tc>
          <w:tcPr>
            <w:tcW w:w="1559" w:type="dxa"/>
            <w:vMerge w:val="continue"/>
            <w:vAlign w:val="center"/>
          </w:tcPr>
          <w:p w14:paraId="3D2AC585">
            <w:pPr>
              <w:spacing w:line="400" w:lineRule="exact"/>
              <w:jc w:val="center"/>
              <w:rPr>
                <w:rFonts w:hint="eastAsia" w:ascii="宋体" w:hAnsi="宋体"/>
                <w:szCs w:val="21"/>
              </w:rPr>
            </w:pPr>
          </w:p>
        </w:tc>
        <w:tc>
          <w:tcPr>
            <w:tcW w:w="6634" w:type="dxa"/>
          </w:tcPr>
          <w:p w14:paraId="078B107F">
            <w:pPr>
              <w:spacing w:line="400" w:lineRule="exact"/>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A-</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投标函格式规定签名、盖章的位置有法定代表人或其委托代理人签名（或盖章）、加盖单位法人章，否则由评标委员会作否决投标处理</w:t>
            </w:r>
            <w:r>
              <w:rPr>
                <w:rFonts w:hint="eastAsia" w:ascii="宋体" w:hAnsi="宋体"/>
                <w:szCs w:val="21"/>
              </w:rPr>
              <w:t>。</w:t>
            </w:r>
          </w:p>
        </w:tc>
      </w:tr>
      <w:tr w14:paraId="4D93DB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7CDC6655">
            <w:pPr>
              <w:spacing w:line="400" w:lineRule="exact"/>
              <w:jc w:val="center"/>
              <w:rPr>
                <w:rFonts w:hint="eastAsia" w:ascii="宋体" w:hAnsi="宋体"/>
                <w:szCs w:val="21"/>
              </w:rPr>
            </w:pPr>
          </w:p>
        </w:tc>
        <w:tc>
          <w:tcPr>
            <w:tcW w:w="1559" w:type="dxa"/>
            <w:vMerge w:val="continue"/>
            <w:vAlign w:val="center"/>
          </w:tcPr>
          <w:p w14:paraId="2369841B">
            <w:pPr>
              <w:spacing w:line="400" w:lineRule="exact"/>
              <w:jc w:val="center"/>
              <w:rPr>
                <w:rFonts w:hint="eastAsia" w:ascii="宋体" w:hAnsi="宋体"/>
                <w:szCs w:val="21"/>
              </w:rPr>
            </w:pPr>
          </w:p>
        </w:tc>
        <w:tc>
          <w:tcPr>
            <w:tcW w:w="6634" w:type="dxa"/>
          </w:tcPr>
          <w:p w14:paraId="51E90A5A">
            <w:pPr>
              <w:spacing w:line="400" w:lineRule="exact"/>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A-</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第六章 投标文件格式（不含投标函部分）要求加盖单位法人章、法定代表人（或其委托代理人）签名（或盖章）的须齐全。否则由评标委员会作否决投标处理</w:t>
            </w:r>
            <w:r>
              <w:rPr>
                <w:rFonts w:hint="eastAsia" w:ascii="宋体" w:hAnsi="宋体"/>
                <w:szCs w:val="21"/>
              </w:rPr>
              <w:t>。</w:t>
            </w:r>
          </w:p>
        </w:tc>
      </w:tr>
      <w:tr w14:paraId="3CD30D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6553E41B">
            <w:pPr>
              <w:spacing w:line="400" w:lineRule="exact"/>
              <w:jc w:val="center"/>
              <w:rPr>
                <w:rFonts w:hint="eastAsia" w:ascii="宋体" w:hAnsi="宋体"/>
                <w:szCs w:val="21"/>
              </w:rPr>
            </w:pPr>
          </w:p>
        </w:tc>
        <w:tc>
          <w:tcPr>
            <w:tcW w:w="1559" w:type="dxa"/>
            <w:vMerge w:val="continue"/>
            <w:vAlign w:val="center"/>
          </w:tcPr>
          <w:p w14:paraId="3249F089">
            <w:pPr>
              <w:spacing w:line="400" w:lineRule="exact"/>
              <w:jc w:val="center"/>
              <w:rPr>
                <w:rFonts w:hint="eastAsia" w:ascii="宋体" w:hAnsi="宋体"/>
                <w:szCs w:val="21"/>
              </w:rPr>
            </w:pPr>
          </w:p>
        </w:tc>
        <w:tc>
          <w:tcPr>
            <w:tcW w:w="6634" w:type="dxa"/>
          </w:tcPr>
          <w:p w14:paraId="1DB47896">
            <w:pPr>
              <w:spacing w:line="400" w:lineRule="exact"/>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A</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投标人法定代表人的委托代理人有法定代表人签署的授权委托书和投标人为其缴纳的养老保险证明材料，否则由评标委员会作否决投标处理</w:t>
            </w:r>
            <w:r>
              <w:rPr>
                <w:rFonts w:hint="eastAsia" w:ascii="宋体" w:hAnsi="宋体"/>
              </w:rPr>
              <w:t>。</w:t>
            </w:r>
          </w:p>
        </w:tc>
      </w:tr>
      <w:tr w14:paraId="4ABBF0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20D23F67">
            <w:pPr>
              <w:spacing w:line="400" w:lineRule="exact"/>
              <w:jc w:val="center"/>
              <w:rPr>
                <w:rFonts w:hint="eastAsia" w:ascii="宋体" w:hAnsi="宋体"/>
                <w:szCs w:val="21"/>
              </w:rPr>
            </w:pPr>
          </w:p>
        </w:tc>
        <w:tc>
          <w:tcPr>
            <w:tcW w:w="1559" w:type="dxa"/>
            <w:vMerge w:val="restart"/>
            <w:tcBorders>
              <w:top w:val="single" w:color="auto" w:sz="4" w:space="0"/>
            </w:tcBorders>
            <w:vAlign w:val="center"/>
          </w:tcPr>
          <w:p w14:paraId="4EB91F9A">
            <w:pPr>
              <w:spacing w:line="400" w:lineRule="exact"/>
              <w:ind w:left="0" w:leftChars="0" w:firstLine="0" w:firstLineChars="0"/>
              <w:jc w:val="center"/>
              <w:rPr>
                <w:rFonts w:hint="eastAsia" w:ascii="宋体" w:hAnsi="宋体"/>
                <w:szCs w:val="21"/>
              </w:rPr>
            </w:pPr>
            <w:r>
              <w:rPr>
                <w:rFonts w:hint="eastAsia" w:ascii="宋体" w:hAnsi="宋体"/>
                <w:szCs w:val="21"/>
              </w:rPr>
              <w:t>响应性评审</w:t>
            </w:r>
          </w:p>
        </w:tc>
        <w:tc>
          <w:tcPr>
            <w:tcW w:w="6634" w:type="dxa"/>
            <w:vAlign w:val="center"/>
          </w:tcPr>
          <w:p w14:paraId="45D28115">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0</w:t>
            </w:r>
            <w:r>
              <w:rPr>
                <w:rFonts w:hint="eastAsia" w:ascii="宋体" w:hAnsi="宋体"/>
                <w:szCs w:val="21"/>
              </w:rPr>
              <w:t>投标内容符合第二章“投标人须知”第1.3.1项规定，否则由评标委员会作否决投标处理。</w:t>
            </w:r>
          </w:p>
        </w:tc>
      </w:tr>
      <w:tr w14:paraId="1B77F8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31B9F4EF">
            <w:pPr>
              <w:spacing w:line="400" w:lineRule="exact"/>
              <w:jc w:val="center"/>
              <w:rPr>
                <w:rFonts w:hint="eastAsia" w:ascii="宋体" w:hAnsi="宋体"/>
                <w:szCs w:val="21"/>
              </w:rPr>
            </w:pPr>
          </w:p>
        </w:tc>
        <w:tc>
          <w:tcPr>
            <w:tcW w:w="1559" w:type="dxa"/>
            <w:vMerge w:val="continue"/>
            <w:vAlign w:val="center"/>
          </w:tcPr>
          <w:p w14:paraId="55AAF2C9">
            <w:pPr>
              <w:spacing w:line="400" w:lineRule="exact"/>
              <w:jc w:val="center"/>
              <w:rPr>
                <w:rFonts w:hint="eastAsia" w:ascii="宋体" w:hAnsi="宋体"/>
                <w:szCs w:val="21"/>
              </w:rPr>
            </w:pPr>
          </w:p>
        </w:tc>
        <w:tc>
          <w:tcPr>
            <w:tcW w:w="6634" w:type="dxa"/>
            <w:vAlign w:val="center"/>
          </w:tcPr>
          <w:p w14:paraId="0F5F66F1">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1</w:t>
            </w:r>
            <w:r>
              <w:rPr>
                <w:rFonts w:hint="eastAsia" w:ascii="宋体" w:hAnsi="宋体"/>
                <w:szCs w:val="21"/>
              </w:rPr>
              <w:t>投标人应按第二章“投标人须知”第3.4款规定递交投标保证金，否则由评标委员会作否决投标处理。</w:t>
            </w:r>
          </w:p>
        </w:tc>
      </w:tr>
      <w:tr w14:paraId="64EECB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7FA87900">
            <w:pPr>
              <w:spacing w:line="400" w:lineRule="exact"/>
              <w:jc w:val="center"/>
              <w:rPr>
                <w:rFonts w:hint="eastAsia" w:ascii="宋体" w:hAnsi="宋体"/>
                <w:szCs w:val="21"/>
              </w:rPr>
            </w:pPr>
          </w:p>
        </w:tc>
        <w:tc>
          <w:tcPr>
            <w:tcW w:w="1559" w:type="dxa"/>
            <w:vMerge w:val="continue"/>
            <w:vAlign w:val="center"/>
          </w:tcPr>
          <w:p w14:paraId="1011B3AF">
            <w:pPr>
              <w:spacing w:line="400" w:lineRule="exact"/>
              <w:jc w:val="center"/>
              <w:rPr>
                <w:rFonts w:hint="eastAsia" w:ascii="宋体" w:hAnsi="宋体"/>
                <w:szCs w:val="21"/>
              </w:rPr>
            </w:pPr>
          </w:p>
        </w:tc>
        <w:tc>
          <w:tcPr>
            <w:tcW w:w="6634" w:type="dxa"/>
            <w:vAlign w:val="center"/>
          </w:tcPr>
          <w:p w14:paraId="3D5F120B">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2</w:t>
            </w:r>
            <w:r>
              <w:rPr>
                <w:rFonts w:hint="eastAsia" w:ascii="宋体" w:hAnsi="宋体"/>
                <w:szCs w:val="21"/>
              </w:rPr>
              <w:t>符合第四章“合同条款及格式”规定，投标文件不应附有招标人不能接受的条件。否则由评标委员会作否决投标处理。（由投标人承诺，承诺书格式详见第六章投标文件格式。）</w:t>
            </w:r>
          </w:p>
        </w:tc>
      </w:tr>
      <w:tr w14:paraId="4FBCD0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16DABB6D">
            <w:pPr>
              <w:spacing w:line="400" w:lineRule="exact"/>
              <w:jc w:val="center"/>
              <w:rPr>
                <w:rFonts w:hint="eastAsia" w:ascii="宋体" w:hAnsi="宋体"/>
                <w:szCs w:val="21"/>
              </w:rPr>
            </w:pPr>
          </w:p>
        </w:tc>
        <w:tc>
          <w:tcPr>
            <w:tcW w:w="1559" w:type="dxa"/>
            <w:vMerge w:val="continue"/>
            <w:vAlign w:val="center"/>
          </w:tcPr>
          <w:p w14:paraId="667DDEB9">
            <w:pPr>
              <w:spacing w:line="400" w:lineRule="exact"/>
              <w:jc w:val="center"/>
              <w:rPr>
                <w:rFonts w:hint="eastAsia" w:ascii="宋体" w:hAnsi="宋体"/>
                <w:szCs w:val="21"/>
              </w:rPr>
            </w:pPr>
          </w:p>
        </w:tc>
        <w:tc>
          <w:tcPr>
            <w:tcW w:w="6634" w:type="dxa"/>
            <w:vAlign w:val="center"/>
          </w:tcPr>
          <w:p w14:paraId="347358D0">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3</w:t>
            </w:r>
            <w:r>
              <w:rPr>
                <w:rFonts w:hint="eastAsia" w:ascii="宋体" w:hAnsi="宋体"/>
                <w:szCs w:val="21"/>
              </w:rPr>
              <w:t>投标人有以下情形之一的，其投标文件由评标委员会</w:t>
            </w:r>
            <w:r>
              <w:rPr>
                <w:rFonts w:ascii="宋体" w:hAnsi="宋体"/>
                <w:szCs w:val="21"/>
              </w:rPr>
              <w:t>作否决投标处理</w:t>
            </w:r>
            <w:r>
              <w:rPr>
                <w:rFonts w:hint="eastAsia" w:ascii="宋体" w:hAnsi="宋体"/>
                <w:szCs w:val="21"/>
              </w:rPr>
              <w:t>：</w:t>
            </w:r>
          </w:p>
          <w:p w14:paraId="043026E5">
            <w:pPr>
              <w:spacing w:after="48" w:afterLines="20" w:line="400" w:lineRule="exact"/>
              <w:ind w:firstLine="420" w:firstLineChars="200"/>
              <w:rPr>
                <w:rFonts w:hint="eastAsia" w:ascii="宋体" w:hAnsi="宋体"/>
                <w:szCs w:val="21"/>
              </w:rPr>
            </w:pPr>
            <w:r>
              <w:rPr>
                <w:rFonts w:hint="eastAsia" w:ascii="宋体" w:hAnsi="宋体"/>
                <w:szCs w:val="21"/>
              </w:rPr>
              <w:t>1.第二章“投标人须知”第1.4.3项规定的任何一种情形的；</w:t>
            </w:r>
          </w:p>
          <w:p w14:paraId="09EE957F">
            <w:pPr>
              <w:spacing w:after="48" w:afterLines="20" w:line="400" w:lineRule="exact"/>
              <w:ind w:firstLine="420" w:firstLineChars="200"/>
              <w:rPr>
                <w:rFonts w:hint="eastAsia" w:ascii="宋体" w:hAnsi="宋体"/>
                <w:kern w:val="0"/>
              </w:rPr>
            </w:pPr>
            <w:r>
              <w:rPr>
                <w:rFonts w:hint="eastAsia" w:ascii="宋体" w:hAnsi="宋体"/>
                <w:szCs w:val="21"/>
              </w:rPr>
              <w:t>2.</w:t>
            </w:r>
            <w:r>
              <w:rPr>
                <w:rFonts w:hint="eastAsia" w:ascii="宋体" w:hAnsi="宋体" w:cs="宋体"/>
                <w:kern w:val="0"/>
              </w:rPr>
              <w:t>不符合第五章“委托人要求”中的实质性要求和条件（未按第六章投标文件格式进行承诺）。</w:t>
            </w:r>
          </w:p>
          <w:p w14:paraId="25643766">
            <w:pPr>
              <w:spacing w:line="400" w:lineRule="exact"/>
              <w:ind w:firstLine="420" w:firstLineChars="200"/>
              <w:rPr>
                <w:rFonts w:hint="eastAsia" w:ascii="宋体" w:hAnsi="宋体"/>
                <w:szCs w:val="21"/>
              </w:rPr>
            </w:pPr>
            <w:r>
              <w:rPr>
                <w:rFonts w:hint="eastAsia" w:ascii="宋体" w:hAnsi="宋体"/>
                <w:szCs w:val="21"/>
              </w:rPr>
              <w:t>3.本次投标有串通投标、弄虚作假等违反招投标相关法律、法规的行为的；</w:t>
            </w:r>
          </w:p>
          <w:p w14:paraId="6FBA6CA1">
            <w:pPr>
              <w:spacing w:line="400" w:lineRule="exact"/>
              <w:ind w:firstLine="420" w:firstLineChars="200"/>
              <w:rPr>
                <w:rFonts w:hint="eastAsia" w:ascii="宋体" w:hAnsi="宋体"/>
                <w:szCs w:val="21"/>
              </w:rPr>
            </w:pPr>
            <w:r>
              <w:rPr>
                <w:rFonts w:hint="eastAsia" w:ascii="宋体" w:hAnsi="宋体"/>
                <w:szCs w:val="21"/>
              </w:rPr>
              <w:t>4.拒绝按评标委员会要求澄清、说明或补正的。</w:t>
            </w:r>
          </w:p>
        </w:tc>
      </w:tr>
      <w:tr w14:paraId="6BB9EA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328EED1E">
            <w:pPr>
              <w:spacing w:line="400" w:lineRule="exact"/>
              <w:jc w:val="center"/>
              <w:rPr>
                <w:rFonts w:hint="eastAsia" w:ascii="宋体" w:hAnsi="宋体"/>
                <w:szCs w:val="21"/>
              </w:rPr>
            </w:pPr>
          </w:p>
        </w:tc>
        <w:tc>
          <w:tcPr>
            <w:tcW w:w="1559" w:type="dxa"/>
            <w:vMerge w:val="restart"/>
            <w:vAlign w:val="center"/>
          </w:tcPr>
          <w:p w14:paraId="7B59F418">
            <w:pPr>
              <w:spacing w:line="400" w:lineRule="exact"/>
              <w:ind w:left="0" w:leftChars="0" w:firstLine="0" w:firstLineChars="0"/>
              <w:jc w:val="center"/>
              <w:rPr>
                <w:rFonts w:hint="eastAsia" w:ascii="宋体" w:hAnsi="宋体"/>
                <w:szCs w:val="21"/>
              </w:rPr>
            </w:pPr>
            <w:r>
              <w:rPr>
                <w:rFonts w:hint="eastAsia" w:ascii="宋体" w:hAnsi="宋体"/>
                <w:szCs w:val="21"/>
              </w:rPr>
              <w:t>投标函部分评审</w:t>
            </w:r>
          </w:p>
        </w:tc>
        <w:tc>
          <w:tcPr>
            <w:tcW w:w="6634" w:type="dxa"/>
            <w:vAlign w:val="center"/>
          </w:tcPr>
          <w:p w14:paraId="75657611">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4</w:t>
            </w:r>
            <w:r>
              <w:rPr>
                <w:rFonts w:hint="eastAsia" w:ascii="宋体" w:hAnsi="宋体" w:cs="宋体"/>
                <w:color w:val="000000" w:themeColor="text1"/>
                <w:kern w:val="0"/>
                <w14:textFill>
                  <w14:solidFill>
                    <w14:schemeClr w14:val="tx1"/>
                  </w14:solidFill>
                </w14:textFill>
              </w:rPr>
              <w:t>投标函部分的格式要求单位法人章、法定代表人（或其委托代理人）签名（或盖章）的须齐全。</w:t>
            </w:r>
            <w:r>
              <w:rPr>
                <w:rFonts w:hint="eastAsia" w:ascii="宋体" w:hAnsi="宋体"/>
                <w:color w:val="000000" w:themeColor="text1"/>
                <w:szCs w:val="21"/>
                <w14:textFill>
                  <w14:solidFill>
                    <w14:schemeClr w14:val="tx1"/>
                  </w14:solidFill>
                </w14:textFill>
              </w:rPr>
              <w:t>否则由评标委员会作否决投标处理</w:t>
            </w:r>
            <w:r>
              <w:rPr>
                <w:rFonts w:hint="eastAsia" w:ascii="宋体" w:hAnsi="宋体" w:cs="宋体"/>
                <w:kern w:val="0"/>
              </w:rPr>
              <w:t>。</w:t>
            </w:r>
          </w:p>
        </w:tc>
      </w:tr>
      <w:tr w14:paraId="4CFED2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1312CB24">
            <w:pPr>
              <w:spacing w:line="400" w:lineRule="exact"/>
              <w:jc w:val="center"/>
              <w:rPr>
                <w:rFonts w:hint="eastAsia" w:ascii="宋体" w:hAnsi="宋体"/>
                <w:szCs w:val="21"/>
              </w:rPr>
            </w:pPr>
          </w:p>
        </w:tc>
        <w:tc>
          <w:tcPr>
            <w:tcW w:w="1559" w:type="dxa"/>
            <w:vMerge w:val="continue"/>
            <w:vAlign w:val="center"/>
          </w:tcPr>
          <w:p w14:paraId="0D44F3AC">
            <w:pPr>
              <w:spacing w:line="400" w:lineRule="exact"/>
              <w:jc w:val="center"/>
              <w:rPr>
                <w:rFonts w:hint="eastAsia" w:ascii="宋体" w:hAnsi="宋体"/>
                <w:szCs w:val="21"/>
              </w:rPr>
            </w:pPr>
          </w:p>
        </w:tc>
        <w:tc>
          <w:tcPr>
            <w:tcW w:w="6634" w:type="dxa"/>
            <w:vAlign w:val="center"/>
          </w:tcPr>
          <w:p w14:paraId="4EB05CE3">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5</w:t>
            </w:r>
            <w:r>
              <w:rPr>
                <w:rFonts w:hint="eastAsia" w:ascii="宋体" w:hAnsi="宋体"/>
                <w:szCs w:val="21"/>
              </w:rPr>
              <w:t>服务期限符合第二章“投标人须知”第1.3.2项规定，否则由评标委员会作否决投标处理。</w:t>
            </w:r>
          </w:p>
        </w:tc>
      </w:tr>
      <w:tr w14:paraId="2FFD09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33B76836">
            <w:pPr>
              <w:spacing w:line="400" w:lineRule="exact"/>
              <w:jc w:val="center"/>
              <w:rPr>
                <w:rFonts w:hint="eastAsia" w:ascii="宋体" w:hAnsi="宋体"/>
                <w:szCs w:val="21"/>
              </w:rPr>
            </w:pPr>
          </w:p>
        </w:tc>
        <w:tc>
          <w:tcPr>
            <w:tcW w:w="1559" w:type="dxa"/>
            <w:vMerge w:val="continue"/>
            <w:vAlign w:val="center"/>
          </w:tcPr>
          <w:p w14:paraId="38FA93AF">
            <w:pPr>
              <w:spacing w:line="400" w:lineRule="exact"/>
              <w:jc w:val="center"/>
              <w:rPr>
                <w:rFonts w:hint="eastAsia" w:ascii="宋体" w:hAnsi="宋体"/>
                <w:szCs w:val="21"/>
              </w:rPr>
            </w:pPr>
          </w:p>
        </w:tc>
        <w:tc>
          <w:tcPr>
            <w:tcW w:w="6634" w:type="dxa"/>
            <w:vAlign w:val="center"/>
          </w:tcPr>
          <w:p w14:paraId="5BF10C95">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16</w:t>
            </w:r>
            <w:r>
              <w:rPr>
                <w:rFonts w:hint="eastAsia" w:ascii="宋体" w:hAnsi="宋体"/>
                <w:szCs w:val="21"/>
              </w:rPr>
              <w:t>投标有效期符合第二章“投标人须知”第3.3.1项规定，否则由评标委员会作否决投标处理。</w:t>
            </w:r>
          </w:p>
        </w:tc>
      </w:tr>
      <w:tr w14:paraId="2827B7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5DB99C8D">
            <w:pPr>
              <w:spacing w:line="400" w:lineRule="exact"/>
              <w:jc w:val="center"/>
              <w:rPr>
                <w:rFonts w:hint="eastAsia" w:ascii="宋体" w:hAnsi="宋体"/>
                <w:szCs w:val="21"/>
              </w:rPr>
            </w:pPr>
          </w:p>
        </w:tc>
        <w:tc>
          <w:tcPr>
            <w:tcW w:w="1559" w:type="dxa"/>
            <w:vMerge w:val="continue"/>
            <w:vAlign w:val="center"/>
          </w:tcPr>
          <w:p w14:paraId="68252B70">
            <w:pPr>
              <w:spacing w:line="400" w:lineRule="exact"/>
              <w:jc w:val="center"/>
              <w:rPr>
                <w:rFonts w:hint="eastAsia" w:ascii="宋体" w:hAnsi="宋体"/>
                <w:szCs w:val="21"/>
              </w:rPr>
            </w:pPr>
          </w:p>
        </w:tc>
        <w:tc>
          <w:tcPr>
            <w:tcW w:w="6634" w:type="dxa"/>
            <w:vAlign w:val="center"/>
          </w:tcPr>
          <w:p w14:paraId="1681D9A6">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17</w:t>
            </w:r>
            <w:r>
              <w:rPr>
                <w:rFonts w:hint="eastAsia" w:ascii="宋体" w:hAnsi="宋体"/>
                <w:szCs w:val="21"/>
              </w:rPr>
              <w:t>投标函中的投标报价符合第二章“投标人须知”第3.2款规定，否则由评标委员会作否决投标处理。</w:t>
            </w:r>
          </w:p>
        </w:tc>
      </w:tr>
      <w:tr w14:paraId="68C7BC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6BC58C78">
            <w:pPr>
              <w:spacing w:line="400" w:lineRule="exact"/>
              <w:jc w:val="center"/>
              <w:rPr>
                <w:rFonts w:hint="eastAsia" w:ascii="宋体" w:hAnsi="宋体"/>
                <w:szCs w:val="21"/>
              </w:rPr>
            </w:pPr>
          </w:p>
        </w:tc>
        <w:tc>
          <w:tcPr>
            <w:tcW w:w="1559" w:type="dxa"/>
            <w:vMerge w:val="continue"/>
            <w:vAlign w:val="center"/>
          </w:tcPr>
          <w:p w14:paraId="4EC3F683">
            <w:pPr>
              <w:spacing w:line="400" w:lineRule="exact"/>
              <w:jc w:val="center"/>
              <w:rPr>
                <w:rFonts w:hint="eastAsia" w:ascii="宋体" w:hAnsi="宋体"/>
                <w:szCs w:val="21"/>
              </w:rPr>
            </w:pPr>
          </w:p>
        </w:tc>
        <w:tc>
          <w:tcPr>
            <w:tcW w:w="6634" w:type="dxa"/>
            <w:vAlign w:val="center"/>
          </w:tcPr>
          <w:p w14:paraId="6D2E4A83">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18</w:t>
            </w:r>
            <w:r>
              <w:rPr>
                <w:rFonts w:hint="eastAsia" w:ascii="宋体" w:hAnsi="宋体"/>
                <w:szCs w:val="21"/>
              </w:rPr>
              <w:t>投标人的投标报价不得超过投标报价最高限价，否则由评标委员会作否决投标处理。</w:t>
            </w:r>
          </w:p>
        </w:tc>
      </w:tr>
      <w:tr w14:paraId="074311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7DE9E056">
            <w:pPr>
              <w:spacing w:line="400" w:lineRule="exact"/>
              <w:jc w:val="center"/>
              <w:rPr>
                <w:rFonts w:hint="eastAsia" w:ascii="宋体" w:hAnsi="宋体"/>
                <w:szCs w:val="21"/>
              </w:rPr>
            </w:pPr>
          </w:p>
        </w:tc>
        <w:tc>
          <w:tcPr>
            <w:tcW w:w="1559" w:type="dxa"/>
            <w:vMerge w:val="continue"/>
            <w:vAlign w:val="center"/>
          </w:tcPr>
          <w:p w14:paraId="2B480FC8">
            <w:pPr>
              <w:spacing w:line="400" w:lineRule="exact"/>
              <w:jc w:val="center"/>
              <w:rPr>
                <w:rFonts w:hint="eastAsia" w:ascii="宋体" w:hAnsi="宋体"/>
                <w:szCs w:val="21"/>
              </w:rPr>
            </w:pPr>
          </w:p>
        </w:tc>
        <w:tc>
          <w:tcPr>
            <w:tcW w:w="6634" w:type="dxa"/>
            <w:vAlign w:val="center"/>
          </w:tcPr>
          <w:p w14:paraId="1CE9AEAA">
            <w:pPr>
              <w:spacing w:line="400" w:lineRule="exact"/>
              <w:ind w:firstLine="420" w:firstLineChars="200"/>
              <w:rPr>
                <w:rFonts w:hint="eastAsia" w:ascii="宋体" w:hAnsi="宋体"/>
                <w:szCs w:val="21"/>
              </w:rPr>
            </w:pPr>
            <w:r>
              <w:rPr>
                <w:rFonts w:hint="eastAsia" w:ascii="宋体" w:hAnsi="宋体" w:cs="宋体"/>
                <w:kern w:val="0"/>
              </w:rPr>
              <w:t>A-</w:t>
            </w:r>
            <w:r>
              <w:rPr>
                <w:rFonts w:hint="eastAsia" w:ascii="宋体" w:hAnsi="宋体" w:cs="宋体"/>
                <w:kern w:val="0"/>
                <w:lang w:val="en-US" w:eastAsia="zh-CN"/>
              </w:rPr>
              <w:t>19</w:t>
            </w:r>
            <w:r>
              <w:rPr>
                <w:rFonts w:hint="eastAsia" w:ascii="宋体" w:hAnsi="宋体" w:cs="宋体"/>
                <w:kern w:val="0"/>
              </w:rPr>
              <w:t>投标人的单项报价不得为零报价或者负数报价</w:t>
            </w:r>
            <w:r>
              <w:rPr>
                <w:rFonts w:hint="eastAsia" w:ascii="宋体" w:hAnsi="宋体"/>
                <w:szCs w:val="21"/>
              </w:rPr>
              <w:t>，否则由评标委员会作否决投标处理。</w:t>
            </w:r>
          </w:p>
        </w:tc>
      </w:tr>
      <w:tr w14:paraId="06C82E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4F75FDBB">
            <w:pPr>
              <w:spacing w:line="400" w:lineRule="exact"/>
              <w:jc w:val="center"/>
              <w:rPr>
                <w:rFonts w:hint="eastAsia" w:ascii="宋体" w:hAnsi="宋体"/>
                <w:szCs w:val="21"/>
              </w:rPr>
            </w:pPr>
          </w:p>
        </w:tc>
        <w:tc>
          <w:tcPr>
            <w:tcW w:w="1559" w:type="dxa"/>
            <w:vMerge w:val="continue"/>
            <w:vAlign w:val="center"/>
          </w:tcPr>
          <w:p w14:paraId="15801E96">
            <w:pPr>
              <w:spacing w:line="400" w:lineRule="exact"/>
              <w:jc w:val="center"/>
              <w:rPr>
                <w:rFonts w:hint="eastAsia" w:ascii="宋体" w:hAnsi="宋体"/>
                <w:szCs w:val="21"/>
              </w:rPr>
            </w:pPr>
          </w:p>
        </w:tc>
        <w:tc>
          <w:tcPr>
            <w:tcW w:w="6634" w:type="dxa"/>
            <w:shd w:val="clear" w:color="auto" w:fill="auto"/>
            <w:vAlign w:val="center"/>
          </w:tcPr>
          <w:p w14:paraId="174157C1">
            <w:pPr>
              <w:spacing w:line="400" w:lineRule="exact"/>
              <w:ind w:firstLine="420" w:firstLineChars="200"/>
              <w:rPr>
                <w:rFonts w:hint="eastAsia" w:ascii="宋体" w:hAnsi="宋体" w:eastAsia="宋体" w:cs="Times New Roman"/>
                <w:sz w:val="21"/>
                <w:szCs w:val="21"/>
                <w:lang w:val="en-US" w:eastAsia="zh-CN" w:bidi="ar-SA"/>
              </w:rPr>
            </w:pPr>
            <w:r>
              <w:rPr>
                <w:rFonts w:hint="eastAsia" w:ascii="宋体" w:hAnsi="宋体"/>
                <w:szCs w:val="21"/>
              </w:rPr>
              <w:t>A-</w:t>
            </w:r>
            <w:r>
              <w:rPr>
                <w:rFonts w:hint="eastAsia" w:ascii="宋体" w:hAnsi="宋体"/>
                <w:szCs w:val="21"/>
                <w:lang w:val="en-US" w:eastAsia="zh-CN"/>
              </w:rPr>
              <w:t>20</w:t>
            </w:r>
            <w:r>
              <w:rPr>
                <w:rFonts w:hint="eastAsia" w:ascii="宋体" w:hAnsi="宋体"/>
                <w:szCs w:val="21"/>
              </w:rPr>
              <w:t>只能有一个有效报价。在招标文件没有规定的情况下，不得提交选择性报价，否则由评标委员会作否决投标处理。</w:t>
            </w:r>
          </w:p>
        </w:tc>
      </w:tr>
      <w:tr w14:paraId="212131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vAlign w:val="center"/>
          </w:tcPr>
          <w:p w14:paraId="09EE7DBF">
            <w:pPr>
              <w:spacing w:line="400" w:lineRule="exact"/>
              <w:jc w:val="center"/>
              <w:rPr>
                <w:rFonts w:hint="eastAsia" w:ascii="宋体" w:hAnsi="宋体"/>
                <w:szCs w:val="21"/>
              </w:rPr>
            </w:pPr>
          </w:p>
        </w:tc>
        <w:tc>
          <w:tcPr>
            <w:tcW w:w="1559" w:type="dxa"/>
            <w:vMerge w:val="continue"/>
            <w:vAlign w:val="center"/>
          </w:tcPr>
          <w:p w14:paraId="31E774B0">
            <w:pPr>
              <w:spacing w:line="400" w:lineRule="exact"/>
              <w:jc w:val="center"/>
              <w:rPr>
                <w:rFonts w:hint="eastAsia" w:ascii="宋体" w:hAnsi="宋体"/>
                <w:szCs w:val="21"/>
              </w:rPr>
            </w:pPr>
          </w:p>
        </w:tc>
        <w:tc>
          <w:tcPr>
            <w:tcW w:w="6634" w:type="dxa"/>
            <w:shd w:val="clear" w:color="auto" w:fill="auto"/>
            <w:vAlign w:val="center"/>
          </w:tcPr>
          <w:p w14:paraId="37E503A1">
            <w:pPr>
              <w:spacing w:line="400" w:lineRule="exact"/>
              <w:ind w:firstLine="420" w:firstLineChars="200"/>
              <w:rPr>
                <w:rFonts w:hint="eastAsia" w:ascii="宋体" w:hAnsi="宋体" w:eastAsia="宋体" w:cs="Times New Roman"/>
                <w:sz w:val="21"/>
                <w:szCs w:val="21"/>
                <w:lang w:val="en-US" w:eastAsia="zh-CN" w:bidi="ar-SA"/>
              </w:rPr>
            </w:pPr>
            <w:r>
              <w:rPr>
                <w:rFonts w:hint="eastAsia" w:ascii="宋体" w:hAnsi="宋体"/>
                <w:szCs w:val="21"/>
              </w:rPr>
              <w:t>A-</w:t>
            </w:r>
            <w:r>
              <w:rPr>
                <w:rFonts w:hint="eastAsia" w:ascii="宋体" w:hAnsi="宋体"/>
                <w:szCs w:val="21"/>
                <w:lang w:val="en-US" w:eastAsia="zh-CN"/>
              </w:rPr>
              <w:t>21</w:t>
            </w:r>
            <w:r>
              <w:rPr>
                <w:rFonts w:hint="eastAsia" w:ascii="宋体" w:hAnsi="宋体"/>
                <w:szCs w:val="21"/>
              </w:rPr>
              <w:t>投标报价有算术错误的，按照第三章3.评标程序第3.1.3项规定执行，否则由评标委员会作否决投标处理。</w:t>
            </w:r>
          </w:p>
        </w:tc>
      </w:tr>
      <w:tr w14:paraId="47E87A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14:paraId="71F9936B">
            <w:pPr>
              <w:spacing w:line="400" w:lineRule="exact"/>
              <w:ind w:left="0" w:leftChars="0" w:firstLine="0" w:firstLineChars="0"/>
              <w:jc w:val="center"/>
              <w:rPr>
                <w:rFonts w:hint="eastAsia" w:ascii="宋体" w:hAnsi="宋体"/>
                <w:szCs w:val="21"/>
              </w:rPr>
            </w:pPr>
            <w:r>
              <w:rPr>
                <w:rFonts w:ascii="宋体" w:hAnsi="宋体"/>
                <w:szCs w:val="21"/>
              </w:rPr>
              <w:t>其他</w:t>
            </w:r>
          </w:p>
        </w:tc>
        <w:tc>
          <w:tcPr>
            <w:tcW w:w="1559" w:type="dxa"/>
            <w:vAlign w:val="center"/>
          </w:tcPr>
          <w:p w14:paraId="4C92DC4B">
            <w:pPr>
              <w:spacing w:line="400" w:lineRule="exact"/>
              <w:jc w:val="center"/>
              <w:rPr>
                <w:rFonts w:hint="eastAsia" w:ascii="宋体" w:hAnsi="宋体"/>
                <w:szCs w:val="21"/>
              </w:rPr>
            </w:pPr>
          </w:p>
        </w:tc>
        <w:tc>
          <w:tcPr>
            <w:tcW w:w="6634" w:type="dxa"/>
          </w:tcPr>
          <w:p w14:paraId="5C8DD461">
            <w:pPr>
              <w:spacing w:line="400" w:lineRule="exact"/>
              <w:ind w:firstLine="420" w:firstLineChars="200"/>
              <w:rPr>
                <w:rFonts w:hint="eastAsia" w:ascii="宋体" w:hAnsi="宋体" w:eastAsia="宋体"/>
                <w:i/>
                <w:szCs w:val="21"/>
                <w:lang w:eastAsia="zh-CN"/>
              </w:rPr>
            </w:pPr>
            <w:r>
              <w:rPr>
                <w:rFonts w:hint="eastAsia" w:ascii="宋体" w:hAnsi="宋体"/>
                <w:i w:val="0"/>
                <w:iCs/>
                <w:szCs w:val="21"/>
                <w:lang w:val="en-US" w:eastAsia="zh-CN"/>
              </w:rPr>
              <w:t>/</w:t>
            </w:r>
          </w:p>
        </w:tc>
      </w:tr>
      <w:bookmarkEnd w:id="288"/>
      <w:bookmarkEnd w:id="289"/>
    </w:tbl>
    <w:p w14:paraId="4B0A1EAF">
      <w:pPr>
        <w:pStyle w:val="3"/>
        <w:spacing w:line="400" w:lineRule="exact"/>
        <w:ind w:firstLine="422"/>
        <w:jc w:val="center"/>
        <w:rPr>
          <w:rFonts w:ascii="宋体" w:hAnsi="宋体" w:cs="宋体"/>
          <w:color w:val="auto"/>
          <w:kern w:val="0"/>
          <w:sz w:val="21"/>
          <w:szCs w:val="21"/>
          <w:highlight w:val="none"/>
        </w:rPr>
        <w:sectPr>
          <w:headerReference r:id="rId16" w:type="default"/>
          <w:footerReference r:id="rId17" w:type="default"/>
          <w:pgSz w:w="11905" w:h="16838"/>
          <w:pgMar w:top="1417" w:right="1417" w:bottom="1417" w:left="1417" w:header="851" w:footer="992" w:gutter="0"/>
          <w:cols w:space="720" w:num="1"/>
          <w:docGrid w:linePitch="360" w:charSpace="6144"/>
        </w:sectPr>
      </w:pPr>
      <w:bookmarkStart w:id="290" w:name="_Toc64886531"/>
      <w:bookmarkStart w:id="291" w:name="_Toc23272"/>
    </w:p>
    <w:p w14:paraId="5ED83797">
      <w:pPr>
        <w:pStyle w:val="3"/>
        <w:spacing w:line="520" w:lineRule="exact"/>
        <w:ind w:left="0" w:leftChars="0" w:firstLine="0" w:firstLineChars="0"/>
        <w:jc w:val="center"/>
        <w:rPr>
          <w:rStyle w:val="41"/>
          <w:b/>
          <w:color w:val="auto"/>
          <w:highlight w:val="none"/>
        </w:rPr>
      </w:pPr>
      <w:bookmarkStart w:id="292" w:name="_Toc173415204"/>
      <w:r>
        <w:rPr>
          <w:rStyle w:val="41"/>
          <w:rFonts w:hint="eastAsia"/>
          <w:b/>
          <w:color w:val="auto"/>
          <w:highlight w:val="none"/>
        </w:rPr>
        <w:t>第四章  合同条款及格式</w:t>
      </w:r>
      <w:bookmarkEnd w:id="290"/>
      <w:bookmarkEnd w:id="291"/>
      <w:bookmarkEnd w:id="292"/>
    </w:p>
    <w:p w14:paraId="493DF8BC">
      <w:pPr>
        <w:bidi w:val="0"/>
        <w:ind w:left="0" w:leftChars="0" w:right="0" w:rightChars="0" w:firstLine="0" w:firstLineChars="0"/>
        <w:jc w:val="center"/>
        <w:rPr>
          <w:rFonts w:hint="eastAsia" w:ascii="宋体" w:hAnsi="宋体" w:eastAsia="宋体" w:cs="宋体"/>
          <w:highlight w:val="none"/>
          <w:lang w:val="en-US" w:eastAsia="zh-CN"/>
        </w:rPr>
      </w:pPr>
      <w:bookmarkStart w:id="293" w:name="_Toc280868705"/>
      <w:bookmarkStart w:id="294" w:name="_Hlk524298112"/>
      <w:bookmarkStart w:id="295" w:name="_Toc280868706"/>
      <w:bookmarkStart w:id="296" w:name="_Toc280868707"/>
      <w:r>
        <w:rPr>
          <w:rFonts w:hint="eastAsia" w:ascii="宋体" w:hAnsi="宋体" w:eastAsia="宋体" w:cs="宋体"/>
          <w:highlight w:val="none"/>
          <w:lang w:val="en-US" w:eastAsia="zh-CN"/>
        </w:rPr>
        <w:t>（本章节的合同条款及格式仅供参考，具体以合同签订时为准）</w:t>
      </w:r>
    </w:p>
    <w:p w14:paraId="19E38AA9">
      <w:pPr>
        <w:jc w:val="center"/>
        <w:rPr>
          <w:rFonts w:hint="eastAsia" w:ascii="宋体" w:hAnsi="宋体" w:eastAsia="宋体" w:cs="宋体"/>
          <w:color w:val="auto"/>
          <w:highlight w:val="none"/>
        </w:rPr>
      </w:pPr>
    </w:p>
    <w:p w14:paraId="22C56BC7">
      <w:pPr>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重庆三峡银行</w:t>
      </w:r>
      <w:r>
        <w:rPr>
          <w:rFonts w:hint="eastAsia" w:ascii="宋体" w:hAnsi="宋体" w:eastAsia="宋体" w:cs="宋体"/>
          <w:b/>
          <w:color w:val="auto"/>
          <w:sz w:val="32"/>
          <w:szCs w:val="32"/>
          <w:highlight w:val="none"/>
          <w:lang w:eastAsia="zh-CN"/>
        </w:rPr>
        <w:t>“帆帆商城”</w:t>
      </w:r>
      <w:r>
        <w:rPr>
          <w:rFonts w:hint="eastAsia" w:ascii="宋体" w:hAnsi="宋体" w:eastAsia="宋体" w:cs="宋体"/>
          <w:b/>
          <w:color w:val="auto"/>
          <w:sz w:val="32"/>
          <w:szCs w:val="32"/>
          <w:highlight w:val="none"/>
        </w:rPr>
        <w:t>商品权益供应商框架协议</w:t>
      </w:r>
    </w:p>
    <w:p w14:paraId="2A084564">
      <w:pPr>
        <w:rPr>
          <w:rFonts w:hint="eastAsia" w:ascii="宋体" w:hAnsi="宋体" w:eastAsia="宋体" w:cs="宋体"/>
          <w:color w:val="auto"/>
          <w:highlight w:val="none"/>
        </w:rPr>
      </w:pPr>
    </w:p>
    <w:p w14:paraId="09DF3C8F">
      <w:pPr>
        <w:rPr>
          <w:rFonts w:hint="eastAsia" w:ascii="宋体" w:hAnsi="宋体" w:eastAsia="宋体" w:cs="宋体"/>
          <w:color w:val="auto"/>
          <w:highlight w:val="none"/>
        </w:rPr>
      </w:pPr>
    </w:p>
    <w:p w14:paraId="43124C5E">
      <w:pPr>
        <w:ind w:right="-50"/>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甲方：</w:t>
      </w:r>
      <w:r>
        <w:rPr>
          <w:rFonts w:hint="eastAsia" w:ascii="宋体" w:hAnsi="宋体" w:eastAsia="宋体" w:cs="宋体"/>
          <w:color w:val="auto"/>
          <w:sz w:val="24"/>
          <w:highlight w:val="none"/>
          <w:u w:val="single"/>
          <w:lang w:eastAsia="zh-CN"/>
        </w:rPr>
        <w:t>重庆三峡银行</w:t>
      </w:r>
      <w:r>
        <w:rPr>
          <w:rFonts w:hint="eastAsia" w:ascii="宋体" w:hAnsi="宋体" w:eastAsia="宋体" w:cs="宋体"/>
          <w:color w:val="auto"/>
          <w:sz w:val="24"/>
          <w:highlight w:val="none"/>
          <w:u w:val="single"/>
        </w:rPr>
        <w:t xml:space="preserve">股份有限公司  </w:t>
      </w:r>
    </w:p>
    <w:p w14:paraId="2FDCA820">
      <w:pPr>
        <w:ind w:right="-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5EC65CEC">
      <w:pPr>
        <w:ind w:right="-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p>
    <w:p w14:paraId="45ED4EF9">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联系人： </w:t>
      </w:r>
    </w:p>
    <w:p w14:paraId="7FF5AE56">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电话：                  邮箱：</w:t>
      </w:r>
    </w:p>
    <w:p w14:paraId="7E1D7579">
      <w:pPr>
        <w:pStyle w:val="2"/>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DFD76EB">
      <w:pPr>
        <w:pStyle w:val="2"/>
        <w:ind w:firstLine="240"/>
        <w:rPr>
          <w:rFonts w:hint="eastAsia" w:ascii="宋体" w:hAnsi="宋体" w:eastAsia="宋体" w:cs="宋体"/>
          <w:color w:val="auto"/>
          <w:sz w:val="24"/>
          <w:highlight w:val="none"/>
        </w:rPr>
      </w:pPr>
    </w:p>
    <w:p w14:paraId="14A60441">
      <w:pPr>
        <w:ind w:right="-50"/>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乙方：</w:t>
      </w:r>
      <w:r>
        <w:rPr>
          <w:rFonts w:hint="eastAsia" w:ascii="宋体" w:hAnsi="宋体" w:eastAsia="宋体" w:cs="宋体"/>
          <w:color w:val="auto"/>
          <w:sz w:val="24"/>
          <w:highlight w:val="none"/>
          <w:u w:val="single"/>
        </w:rPr>
        <w:t xml:space="preserve">                        </w:t>
      </w:r>
    </w:p>
    <w:p w14:paraId="4D1D4B9D">
      <w:pPr>
        <w:ind w:right="-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7125C48D">
      <w:pPr>
        <w:ind w:right="-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p>
    <w:p w14:paraId="4CF2F103">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联系人： </w:t>
      </w:r>
    </w:p>
    <w:p w14:paraId="4E710992">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电话：                  邮箱：</w:t>
      </w:r>
    </w:p>
    <w:p w14:paraId="5E75FB8E">
      <w:pPr>
        <w:rPr>
          <w:rFonts w:hint="eastAsia" w:ascii="宋体" w:hAnsi="宋体" w:eastAsia="宋体" w:cs="宋体"/>
          <w:color w:val="auto"/>
          <w:highlight w:val="none"/>
        </w:rPr>
      </w:pPr>
    </w:p>
    <w:p w14:paraId="36F0A4FC">
      <w:pPr>
        <w:keepNext w:val="0"/>
        <w:keepLines w:val="0"/>
        <w:pageBreakBefore w:val="0"/>
        <w:widowControl w:val="0"/>
        <w:numPr>
          <w:ilvl w:val="0"/>
          <w:numId w:val="0"/>
        </w:numPr>
        <w:suppressLineNumbers w:val="0"/>
        <w:kinsoku/>
        <w:wordWrap/>
        <w:overflowPunct/>
        <w:topLinePunct w:val="0"/>
        <w:autoSpaceDE/>
        <w:autoSpaceDN/>
        <w:bidi w:val="0"/>
        <w:snapToGrid/>
        <w:spacing w:beforeAutospacing="0" w:afterAutospacing="0" w:line="360" w:lineRule="auto"/>
        <w:ind w:leftChars="0" w:right="0" w:rightChars="0" w:firstLine="420" w:firstLineChars="200"/>
        <w:jc w:val="left"/>
        <w:textAlignment w:val="auto"/>
        <w:rPr>
          <w:rFonts w:hint="eastAsia" w:ascii="宋体" w:hAnsi="宋体" w:eastAsia="宋体" w:cs="宋体"/>
          <w:b w:val="0"/>
          <w:bCs w:val="0"/>
          <w:kern w:val="2"/>
          <w:sz w:val="21"/>
          <w:szCs w:val="21"/>
          <w:highlight w:val="none"/>
          <w:lang w:eastAsia="zh-CN" w:bidi="ar"/>
        </w:rPr>
      </w:pPr>
      <w:r>
        <w:rPr>
          <w:rFonts w:hint="eastAsia" w:ascii="宋体" w:hAnsi="宋体" w:eastAsia="宋体" w:cs="宋体"/>
          <w:color w:val="auto"/>
          <w:highlight w:val="none"/>
        </w:rPr>
        <w:br w:type="page"/>
      </w:r>
      <w:r>
        <w:rPr>
          <w:rFonts w:hint="eastAsia" w:ascii="宋体" w:hAnsi="宋体" w:eastAsia="宋体" w:cs="宋体"/>
          <w:b w:val="0"/>
          <w:bCs w:val="0"/>
          <w:kern w:val="2"/>
          <w:sz w:val="21"/>
          <w:szCs w:val="21"/>
          <w:highlight w:val="none"/>
          <w:lang w:eastAsia="zh-CN" w:bidi="ar"/>
        </w:rPr>
        <w:t>根据《中华人民共和国民法典》及相关法律法规的规定，甲乙双方按照平等、合法、自愿、协商一致及诚实信用的原则，经商定，签订本协议，并承诺共同信守本协议所列各项条款。</w:t>
      </w:r>
    </w:p>
    <w:p w14:paraId="20A63F6B">
      <w:pPr>
        <w:keepNext w:val="0"/>
        <w:keepLines w:val="0"/>
        <w:pageBreakBefore w:val="0"/>
        <w:widowControl w:val="0"/>
        <w:numPr>
          <w:ilvl w:val="0"/>
          <w:numId w:val="0"/>
        </w:numPr>
        <w:suppressLineNumbers w:val="0"/>
        <w:kinsoku/>
        <w:wordWrap/>
        <w:overflowPunct/>
        <w:topLinePunct w:val="0"/>
        <w:autoSpaceDE/>
        <w:autoSpaceDN/>
        <w:bidi w:val="0"/>
        <w:snapToGrid/>
        <w:spacing w:beforeAutospacing="0" w:afterAutospacing="0" w:line="360" w:lineRule="auto"/>
        <w:ind w:leftChars="0" w:right="0" w:rightChars="0"/>
        <w:jc w:val="left"/>
        <w:textAlignment w:val="auto"/>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eastAsia="zh-CN" w:bidi="ar"/>
        </w:rPr>
        <w:t xml:space="preserve">    甲乙双方本着公平诚信，互惠互利的基本原则，就乙方为甲方提供</w:t>
      </w:r>
      <w:r>
        <w:rPr>
          <w:rFonts w:hint="eastAsia" w:ascii="宋体" w:hAnsi="宋体" w:eastAsia="宋体" w:cs="宋体"/>
          <w:sz w:val="21"/>
          <w:szCs w:val="21"/>
          <w:highlight w:val="none"/>
        </w:rPr>
        <w:t>商品</w:t>
      </w:r>
      <w:r>
        <w:rPr>
          <w:rFonts w:hint="eastAsia" w:ascii="宋体" w:hAnsi="宋体" w:eastAsia="宋体" w:cs="宋体"/>
          <w:sz w:val="21"/>
          <w:szCs w:val="21"/>
          <w:highlight w:val="none"/>
          <w:lang w:eastAsia="zh-CN"/>
        </w:rPr>
        <w:t>权益</w:t>
      </w:r>
      <w:r>
        <w:rPr>
          <w:rFonts w:hint="eastAsia" w:ascii="宋体" w:hAnsi="宋体" w:eastAsia="宋体" w:cs="宋体"/>
          <w:sz w:val="21"/>
          <w:szCs w:val="21"/>
          <w:highlight w:val="none"/>
        </w:rPr>
        <w:t>的供应服务</w:t>
      </w:r>
      <w:r>
        <w:rPr>
          <w:rFonts w:hint="eastAsia" w:ascii="宋体" w:hAnsi="宋体" w:eastAsia="宋体" w:cs="宋体"/>
          <w:b w:val="0"/>
          <w:bCs w:val="0"/>
          <w:kern w:val="2"/>
          <w:sz w:val="21"/>
          <w:szCs w:val="21"/>
          <w:highlight w:val="none"/>
          <w:lang w:eastAsia="zh-CN" w:bidi="ar"/>
        </w:rPr>
        <w:t>签订本协议。</w:t>
      </w:r>
    </w:p>
    <w:p w14:paraId="1DCFCFAA">
      <w:pPr>
        <w:keepNext w:val="0"/>
        <w:keepLines w:val="0"/>
        <w:pageBreakBefore w:val="0"/>
        <w:widowControl w:val="0"/>
        <w:numPr>
          <w:ilvl w:val="0"/>
          <w:numId w:val="0"/>
        </w:numPr>
        <w:suppressLineNumbers w:val="0"/>
        <w:kinsoku/>
        <w:wordWrap/>
        <w:overflowPunct/>
        <w:topLinePunct w:val="0"/>
        <w:autoSpaceDE/>
        <w:autoSpaceDN/>
        <w:bidi w:val="0"/>
        <w:snapToGrid/>
        <w:spacing w:beforeAutospacing="0" w:afterAutospacing="0" w:line="360" w:lineRule="auto"/>
        <w:ind w:leftChars="0" w:right="0" w:rightChars="0" w:firstLine="422" w:firstLineChars="200"/>
        <w:jc w:val="left"/>
        <w:textAlignment w:val="auto"/>
        <w:rPr>
          <w:rFonts w:hint="eastAsia" w:ascii="宋体" w:hAnsi="宋体" w:eastAsia="宋体" w:cs="宋体"/>
          <w:b/>
          <w:bCs/>
          <w:sz w:val="21"/>
          <w:szCs w:val="21"/>
          <w:highlight w:val="none"/>
          <w:lang w:val="en-US"/>
        </w:rPr>
      </w:pPr>
      <w:r>
        <w:rPr>
          <w:rFonts w:hint="eastAsia" w:ascii="宋体" w:hAnsi="宋体" w:eastAsia="宋体" w:cs="宋体"/>
          <w:b/>
          <w:bCs/>
          <w:kern w:val="2"/>
          <w:sz w:val="21"/>
          <w:szCs w:val="21"/>
          <w:highlight w:val="none"/>
          <w:lang w:eastAsia="zh-CN" w:bidi="ar"/>
        </w:rPr>
        <w:t xml:space="preserve">第一条 </w:t>
      </w:r>
      <w:r>
        <w:rPr>
          <w:rFonts w:hint="eastAsia" w:ascii="宋体" w:hAnsi="宋体" w:eastAsia="宋体" w:cs="宋体"/>
          <w:b/>
          <w:bCs/>
          <w:kern w:val="2"/>
          <w:sz w:val="21"/>
          <w:szCs w:val="21"/>
          <w:highlight w:val="none"/>
          <w:lang w:val="en-US" w:eastAsia="zh-CN" w:bidi="ar"/>
        </w:rPr>
        <w:t>合作内容</w:t>
      </w:r>
    </w:p>
    <w:p w14:paraId="39FC2E21">
      <w:pPr>
        <w:pStyle w:val="2"/>
        <w:keepNext w:val="0"/>
        <w:keepLines w:val="0"/>
        <w:pageBreakBefore w:val="0"/>
        <w:widowControl/>
        <w:numPr>
          <w:ilvl w:val="0"/>
          <w:numId w:val="0"/>
        </w:numPr>
        <w:kinsoku/>
        <w:wordWrap/>
        <w:overflowPunct/>
        <w:topLinePunct w:val="0"/>
        <w:autoSpaceDE/>
        <w:autoSpaceDN/>
        <w:bidi w:val="0"/>
        <w:adjustRightInd w:val="0"/>
        <w:snapToGrid/>
        <w:spacing w:before="0" w:after="0" w:line="360" w:lineRule="auto"/>
        <w:ind w:left="0" w:leftChars="0" w:right="0" w:rightChars="0" w:firstLine="420" w:firstLineChars="20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1.1 </w:t>
      </w:r>
      <w:r>
        <w:rPr>
          <w:rFonts w:hint="eastAsia" w:ascii="宋体" w:hAnsi="宋体" w:eastAsia="宋体" w:cs="宋体"/>
          <w:color w:val="000000"/>
          <w:sz w:val="21"/>
          <w:szCs w:val="21"/>
          <w:highlight w:val="none"/>
          <w:lang w:eastAsia="zh-CN"/>
        </w:rPr>
        <w:t>双方就甲方</w:t>
      </w:r>
      <w:r>
        <w:rPr>
          <w:rFonts w:hint="eastAsia" w:ascii="宋体" w:hAnsi="宋体" w:eastAsia="宋体" w:cs="宋体"/>
          <w:color w:val="000000"/>
          <w:kern w:val="2"/>
          <w:sz w:val="21"/>
          <w:szCs w:val="21"/>
          <w:highlight w:val="none"/>
          <w:lang w:val="en-US" w:eastAsia="zh-CN" w:bidi="ar"/>
        </w:rPr>
        <w:t>商品权益供应服务</w:t>
      </w:r>
      <w:r>
        <w:rPr>
          <w:rFonts w:hint="eastAsia" w:ascii="宋体" w:hAnsi="宋体" w:eastAsia="宋体" w:cs="宋体"/>
          <w:color w:val="000000"/>
          <w:sz w:val="21"/>
          <w:szCs w:val="21"/>
          <w:highlight w:val="none"/>
          <w:lang w:eastAsia="zh-CN"/>
        </w:rPr>
        <w:t>建立紧密合作关系，乙方需根据甲方实际业务发展提供相关服务。从丰富商品权益的种类、加强营销推广、提高客户的体验及满意度、保障</w:t>
      </w:r>
      <w:r>
        <w:rPr>
          <w:rFonts w:hint="eastAsia" w:ascii="宋体" w:hAnsi="宋体" w:eastAsia="宋体" w:cs="宋体"/>
          <w:color w:val="000000"/>
          <w:sz w:val="21"/>
          <w:szCs w:val="21"/>
          <w:highlight w:val="none"/>
          <w:lang w:val="en-US" w:eastAsia="zh-CN"/>
        </w:rPr>
        <w:t>对客</w:t>
      </w:r>
      <w:r>
        <w:rPr>
          <w:rFonts w:hint="eastAsia" w:ascii="宋体" w:hAnsi="宋体" w:eastAsia="宋体" w:cs="宋体"/>
          <w:color w:val="000000"/>
          <w:sz w:val="21"/>
          <w:szCs w:val="21"/>
          <w:highlight w:val="none"/>
          <w:lang w:eastAsia="zh-CN"/>
        </w:rPr>
        <w:t>应用的安全稳定等角度出发，双方应利用各自的优势开展</w:t>
      </w:r>
      <w:r>
        <w:rPr>
          <w:rFonts w:hint="eastAsia" w:ascii="宋体" w:hAnsi="宋体" w:eastAsia="宋体" w:cs="宋体"/>
          <w:color w:val="000000"/>
          <w:sz w:val="21"/>
          <w:szCs w:val="21"/>
          <w:highlight w:val="none"/>
          <w:lang w:val="en-US" w:eastAsia="zh-CN"/>
        </w:rPr>
        <w:t>合作</w:t>
      </w:r>
      <w:r>
        <w:rPr>
          <w:rFonts w:hint="eastAsia" w:ascii="宋体" w:hAnsi="宋体" w:eastAsia="宋体" w:cs="宋体"/>
          <w:color w:val="000000"/>
          <w:sz w:val="21"/>
          <w:szCs w:val="21"/>
          <w:highlight w:val="none"/>
          <w:lang w:eastAsia="zh-CN"/>
        </w:rPr>
        <w:t>。</w:t>
      </w:r>
    </w:p>
    <w:p w14:paraId="3B54F749">
      <w:pPr>
        <w:pStyle w:val="2"/>
        <w:keepNext w:val="0"/>
        <w:keepLines w:val="0"/>
        <w:pageBreakBefore w:val="0"/>
        <w:widowControl/>
        <w:numPr>
          <w:ilvl w:val="0"/>
          <w:numId w:val="0"/>
        </w:numPr>
        <w:kinsoku/>
        <w:wordWrap/>
        <w:overflowPunct/>
        <w:topLinePunct w:val="0"/>
        <w:autoSpaceDE/>
        <w:autoSpaceDN/>
        <w:bidi w:val="0"/>
        <w:adjustRightInd w:val="0"/>
        <w:snapToGrid/>
        <w:spacing w:before="0" w:after="0" w:line="360" w:lineRule="auto"/>
        <w:ind w:left="0" w:leftChars="0" w:right="0" w:rightChars="0" w:firstLine="420" w:firstLineChars="200"/>
        <w:jc w:val="both"/>
        <w:textAlignment w:val="auto"/>
        <w:outlineLvl w:val="9"/>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1.2 乙方提供的服务内容如下：</w:t>
      </w:r>
    </w:p>
    <w:p w14:paraId="71D53B5E">
      <w:pPr>
        <w:pStyle w:val="2"/>
        <w:keepNext w:val="0"/>
        <w:keepLines w:val="0"/>
        <w:pageBreakBefore w:val="0"/>
        <w:widowControl/>
        <w:numPr>
          <w:ilvl w:val="0"/>
          <w:numId w:val="0"/>
        </w:numPr>
        <w:kinsoku/>
        <w:wordWrap/>
        <w:overflowPunct/>
        <w:topLinePunct w:val="0"/>
        <w:autoSpaceDE/>
        <w:autoSpaceDN/>
        <w:bidi w:val="0"/>
        <w:adjustRightInd w:val="0"/>
        <w:snapToGrid/>
        <w:spacing w:before="0" w:after="0" w:line="360" w:lineRule="auto"/>
        <w:ind w:right="0" w:righ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乙方提供商品权益（包括：实物商品、虚拟商品）的供应、商品物流配送、商品售后退换货等服务；</w:t>
      </w:r>
    </w:p>
    <w:p w14:paraId="64091E4B">
      <w:pPr>
        <w:ind w:firstLine="420" w:firstLineChars="200"/>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（2）乙方免费提供标准</w:t>
      </w:r>
      <w:r>
        <w:rPr>
          <w:rFonts w:hint="eastAsia" w:ascii="宋体" w:hAnsi="宋体" w:eastAsia="宋体" w:cs="宋体"/>
          <w:highlight w:val="none"/>
          <w:lang w:val="en-US" w:eastAsia="zh-CN"/>
        </w:rPr>
        <w:t>API接口，与甲方商城系统、个人客户权益系统及手机银行等系统对接，按甲方要求通过接口传输商品、订单、物流等相关数据。由此产生的所有接口开发、改造费用，均由乙方承担；</w:t>
      </w:r>
    </w:p>
    <w:p w14:paraId="53170FEB">
      <w:pPr>
        <w:pStyle w:val="2"/>
        <w:keepNext w:val="0"/>
        <w:keepLines w:val="0"/>
        <w:pageBreakBefore w:val="0"/>
        <w:widowControl/>
        <w:numPr>
          <w:ilvl w:val="0"/>
          <w:numId w:val="0"/>
        </w:numPr>
        <w:kinsoku/>
        <w:wordWrap/>
        <w:overflowPunct/>
        <w:topLinePunct w:val="0"/>
        <w:autoSpaceDE/>
        <w:autoSpaceDN/>
        <w:bidi w:val="0"/>
        <w:adjustRightInd w:val="0"/>
        <w:snapToGrid/>
        <w:spacing w:before="0" w:after="0" w:line="360" w:lineRule="auto"/>
        <w:ind w:left="0" w:leftChars="0" w:right="0" w:rightChars="0" w:firstLine="420" w:firstLineChars="20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（3）乙方免费提供从营销活动策划、H5与海报设计到活动系统开发的全流程支持，服务范围涵盖日常营销、节日专题、有奖调查等多种类型；</w:t>
      </w:r>
    </w:p>
    <w:p w14:paraId="2BC4F030">
      <w:pPr>
        <w:pStyle w:val="2"/>
        <w:keepNext w:val="0"/>
        <w:keepLines w:val="0"/>
        <w:pageBreakBefore w:val="0"/>
        <w:widowControl/>
        <w:numPr>
          <w:ilvl w:val="0"/>
          <w:numId w:val="0"/>
        </w:numPr>
        <w:kinsoku/>
        <w:wordWrap/>
        <w:overflowPunct/>
        <w:topLinePunct w:val="0"/>
        <w:autoSpaceDE/>
        <w:autoSpaceDN/>
        <w:bidi w:val="0"/>
        <w:adjustRightInd w:val="0"/>
        <w:snapToGrid/>
        <w:spacing w:before="0" w:after="0" w:line="360" w:lineRule="auto"/>
        <w:ind w:left="0" w:leftChars="0" w:right="0" w:rightChars="0" w:firstLine="420" w:firstLineChars="200"/>
        <w:jc w:val="both"/>
        <w:textAlignment w:val="auto"/>
        <w:outlineLvl w:val="9"/>
        <w:rPr>
          <w:rFonts w:hint="eastAsia" w:ascii="宋体" w:hAnsi="宋体" w:eastAsia="宋体" w:cs="宋体"/>
          <w:b w:val="0"/>
          <w:bCs w:val="0"/>
          <w:snapToGrid/>
          <w:kern w:val="2"/>
          <w:sz w:val="21"/>
          <w:szCs w:val="21"/>
          <w:highlight w:val="none"/>
          <w:lang w:val="en-US" w:eastAsia="zh-CN" w:bidi="ar-SA"/>
        </w:rPr>
      </w:pPr>
      <w:r>
        <w:rPr>
          <w:rFonts w:hint="eastAsia" w:ascii="宋体" w:hAnsi="宋体" w:eastAsia="宋体" w:cs="宋体"/>
          <w:sz w:val="21"/>
          <w:szCs w:val="21"/>
          <w:highlight w:val="none"/>
          <w:lang w:val="en-US" w:eastAsia="zh-CN"/>
        </w:rPr>
        <w:t>（4）乙方免费为甲方推荐的商户提供完整的供应商配套服务，包括但不限于：负责该商户的准入、考核及与乙方的签约、结算，并向商户提供一套成熟的可由其自己操作的商城供应商管理系统（含商户账号管理、新增商品管理、商品订单管理、</w:t>
      </w:r>
      <w:r>
        <w:rPr>
          <w:rFonts w:hint="eastAsia" w:ascii="宋体" w:hAnsi="宋体" w:eastAsia="宋体" w:cs="宋体"/>
          <w:b w:val="0"/>
          <w:bCs w:val="0"/>
          <w:snapToGrid/>
          <w:kern w:val="2"/>
          <w:sz w:val="21"/>
          <w:szCs w:val="21"/>
          <w:highlight w:val="none"/>
          <w:lang w:val="en-US" w:eastAsia="zh-CN" w:bidi="ar-SA"/>
        </w:rPr>
        <w:t>售后订单管理、物流配送、财务订单管理等核心功能）。以上所有服务内容，均不向甲方或商户收取任何形式费用。</w:t>
      </w:r>
    </w:p>
    <w:p w14:paraId="40526A94">
      <w:pPr>
        <w:numPr>
          <w:ilvl w:val="0"/>
          <w:numId w:val="0"/>
        </w:numPr>
        <w:tabs>
          <w:tab w:val="left" w:pos="1276"/>
        </w:tabs>
        <w:spacing w:line="360" w:lineRule="auto"/>
        <w:ind w:left="0" w:firstLine="420" w:firstLineChars="200"/>
        <w:contextualSpacing/>
        <w:rPr>
          <w:rFonts w:hint="eastAsia" w:ascii="宋体" w:hAnsi="宋体" w:eastAsia="宋体" w:cs="宋体"/>
          <w:szCs w:val="21"/>
        </w:rPr>
      </w:pPr>
      <w:r>
        <w:rPr>
          <w:rFonts w:hint="eastAsia" w:ascii="宋体" w:hAnsi="宋体" w:eastAsia="宋体" w:cs="宋体"/>
          <w:b w:val="0"/>
          <w:bCs w:val="0"/>
          <w:snapToGrid/>
          <w:kern w:val="2"/>
          <w:sz w:val="21"/>
          <w:szCs w:val="21"/>
          <w:highlight w:val="none"/>
          <w:lang w:val="en-US" w:eastAsia="zh-CN" w:bidi="ar-SA"/>
        </w:rPr>
        <w:t>（5）</w:t>
      </w:r>
      <w:r>
        <w:rPr>
          <w:rFonts w:hint="eastAsia" w:ascii="宋体" w:hAnsi="宋体" w:eastAsia="宋体" w:cs="宋体"/>
          <w:szCs w:val="21"/>
        </w:rPr>
        <w:t>乙方</w:t>
      </w:r>
      <w:r>
        <w:rPr>
          <w:rFonts w:hint="eastAsia" w:ascii="宋体" w:hAnsi="宋体" w:eastAsia="宋体" w:cs="宋体"/>
          <w:szCs w:val="21"/>
          <w:lang w:eastAsia="zh-CN"/>
        </w:rPr>
        <w:t>免费为甲方提供</w:t>
      </w:r>
      <w:r>
        <w:rPr>
          <w:rFonts w:hint="eastAsia" w:ascii="宋体" w:hAnsi="宋体" w:eastAsia="宋体" w:cs="宋体"/>
          <w:szCs w:val="21"/>
          <w:lang w:val="en-US" w:eastAsia="zh-CN"/>
        </w:rPr>
        <w:t>400</w:t>
      </w:r>
      <w:r>
        <w:rPr>
          <w:rFonts w:hint="eastAsia" w:ascii="宋体" w:hAnsi="宋体" w:eastAsia="宋体" w:cs="宋体"/>
          <w:szCs w:val="21"/>
        </w:rPr>
        <w:t>客服专线</w:t>
      </w:r>
      <w:r>
        <w:rPr>
          <w:rFonts w:hint="eastAsia" w:ascii="宋体" w:hAnsi="宋体" w:eastAsia="宋体" w:cs="宋体"/>
          <w:szCs w:val="21"/>
          <w:lang w:eastAsia="zh-CN"/>
        </w:rPr>
        <w:t>，并</w:t>
      </w:r>
      <w:r>
        <w:rPr>
          <w:rFonts w:hint="eastAsia" w:ascii="宋体" w:hAnsi="宋体" w:eastAsia="宋体" w:cs="宋体"/>
          <w:szCs w:val="21"/>
        </w:rPr>
        <w:t>免费负责</w:t>
      </w:r>
      <w:r>
        <w:rPr>
          <w:rFonts w:hint="eastAsia" w:ascii="宋体" w:hAnsi="宋体" w:eastAsia="宋体" w:cs="宋体"/>
          <w:szCs w:val="21"/>
          <w:lang w:eastAsia="zh-CN"/>
        </w:rPr>
        <w:t>客服专线</w:t>
      </w:r>
      <w:r>
        <w:rPr>
          <w:rFonts w:hint="eastAsia" w:ascii="宋体" w:hAnsi="宋体" w:eastAsia="宋体" w:cs="宋体"/>
          <w:szCs w:val="21"/>
        </w:rPr>
        <w:t>的维护工作，提供相关的</w:t>
      </w:r>
      <w:r>
        <w:rPr>
          <w:rFonts w:hint="eastAsia" w:ascii="宋体" w:hAnsi="宋体" w:eastAsia="宋体" w:cs="宋体"/>
          <w:szCs w:val="21"/>
          <w:lang w:eastAsia="zh-CN"/>
        </w:rPr>
        <w:t>订单</w:t>
      </w:r>
      <w:r>
        <w:rPr>
          <w:rFonts w:hint="eastAsia" w:ascii="宋体" w:hAnsi="宋体" w:eastAsia="宋体" w:cs="宋体"/>
          <w:szCs w:val="21"/>
        </w:rPr>
        <w:t>信息咨询、查询、兑换及其他</w:t>
      </w:r>
      <w:r>
        <w:rPr>
          <w:rFonts w:hint="eastAsia" w:ascii="宋体" w:hAnsi="宋体" w:eastAsia="宋体" w:cs="宋体"/>
          <w:szCs w:val="21"/>
          <w:lang w:eastAsia="zh-CN"/>
        </w:rPr>
        <w:t>售后</w:t>
      </w:r>
      <w:r>
        <w:rPr>
          <w:rFonts w:hint="eastAsia" w:ascii="宋体" w:hAnsi="宋体" w:eastAsia="宋体" w:cs="宋体"/>
          <w:szCs w:val="21"/>
        </w:rPr>
        <w:t>服务。</w:t>
      </w:r>
    </w:p>
    <w:p w14:paraId="17897BD2">
      <w:pPr>
        <w:numPr>
          <w:ilvl w:val="0"/>
          <w:numId w:val="0"/>
        </w:numPr>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kern w:val="2"/>
          <w:sz w:val="21"/>
          <w:szCs w:val="21"/>
          <w:highlight w:val="none"/>
          <w:lang w:eastAsia="zh-CN" w:bidi="ar"/>
        </w:rPr>
        <w:t>第二条</w:t>
      </w:r>
      <w:r>
        <w:rPr>
          <w:rFonts w:hint="eastAsia" w:ascii="宋体" w:hAnsi="宋体" w:eastAsia="宋体" w:cs="宋体"/>
          <w:b/>
          <w:bCs/>
          <w:kern w:val="2"/>
          <w:sz w:val="21"/>
          <w:szCs w:val="21"/>
          <w:highlight w:val="none"/>
          <w:lang w:val="en-US" w:eastAsia="zh-CN" w:bidi="ar"/>
        </w:rPr>
        <w:t xml:space="preserve"> </w:t>
      </w:r>
      <w:r>
        <w:rPr>
          <w:rFonts w:hint="eastAsia" w:ascii="宋体" w:hAnsi="宋体" w:eastAsia="宋体" w:cs="宋体"/>
          <w:b/>
          <w:bCs/>
          <w:color w:val="auto"/>
          <w:szCs w:val="21"/>
          <w:highlight w:val="none"/>
        </w:rPr>
        <w:t>合作期限</w:t>
      </w:r>
    </w:p>
    <w:p w14:paraId="5C1D6E7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 月   日至202</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月  日</w:t>
      </w:r>
      <w:r>
        <w:rPr>
          <w:rFonts w:hint="eastAsia" w:ascii="宋体" w:hAnsi="宋体" w:eastAsia="宋体" w:cs="宋体"/>
          <w:color w:val="auto"/>
          <w:szCs w:val="21"/>
          <w:highlight w:val="none"/>
        </w:rPr>
        <w:t>。</w:t>
      </w:r>
    </w:p>
    <w:p w14:paraId="7DD86BC7">
      <w:pPr>
        <w:ind w:left="0" w:leftChars="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第三条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w:t>
      </w:r>
      <w:r>
        <w:rPr>
          <w:rFonts w:hint="eastAsia" w:ascii="宋体" w:hAnsi="宋体" w:eastAsia="宋体" w:cs="宋体"/>
          <w:b/>
          <w:bCs/>
          <w:color w:val="auto"/>
          <w:szCs w:val="21"/>
          <w:highlight w:val="none"/>
        </w:rPr>
        <w:t>金</w:t>
      </w:r>
    </w:p>
    <w:p w14:paraId="1D7C41A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为避免服务纠纷，保证本协议的全面履行，乙方需按文件要求向甲方缴纳履约</w:t>
      </w:r>
      <w:r>
        <w:rPr>
          <w:rFonts w:hint="eastAsia" w:ascii="宋体" w:hAnsi="宋体" w:eastAsia="宋体" w:cs="宋体"/>
          <w:color w:val="auto"/>
          <w:szCs w:val="21"/>
          <w:highlight w:val="none"/>
          <w:lang w:eastAsia="zh-CN"/>
        </w:rPr>
        <w:t>保证</w:t>
      </w:r>
      <w:r>
        <w:rPr>
          <w:rFonts w:hint="eastAsia" w:ascii="宋体" w:hAnsi="宋体" w:eastAsia="宋体" w:cs="宋体"/>
          <w:color w:val="auto"/>
          <w:szCs w:val="21"/>
          <w:highlight w:val="none"/>
        </w:rPr>
        <w:t>金</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u w:val="single"/>
        </w:rPr>
        <w:t>0000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（大写：贰拾万元整）</w:t>
      </w:r>
      <w:r>
        <w:rPr>
          <w:rFonts w:hint="eastAsia" w:ascii="宋体" w:hAnsi="宋体" w:eastAsia="宋体" w:cs="宋体"/>
          <w:color w:val="auto"/>
          <w:szCs w:val="21"/>
          <w:highlight w:val="none"/>
        </w:rPr>
        <w:t>，说明如下：</w:t>
      </w:r>
    </w:p>
    <w:p w14:paraId="0D3B0D6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3.1 </w:t>
      </w:r>
      <w:r>
        <w:rPr>
          <w:rFonts w:hint="eastAsia" w:ascii="宋体" w:hAnsi="宋体" w:eastAsia="宋体" w:cs="宋体"/>
          <w:color w:val="auto"/>
          <w:szCs w:val="21"/>
          <w:highlight w:val="none"/>
        </w:rPr>
        <w:t>乙方须在合作协议签订后</w:t>
      </w:r>
      <w:r>
        <w:rPr>
          <w:rFonts w:hint="eastAsia" w:ascii="宋体" w:hAnsi="宋体" w:eastAsia="宋体" w:cs="宋体"/>
          <w:color w:val="auto"/>
          <w:szCs w:val="21"/>
          <w:highlight w:val="none"/>
          <w:u w:val="single"/>
        </w:rPr>
        <w:t>10个</w:t>
      </w:r>
      <w:r>
        <w:rPr>
          <w:rFonts w:hint="eastAsia" w:ascii="宋体" w:hAnsi="宋体" w:eastAsia="宋体" w:cs="宋体"/>
          <w:color w:val="auto"/>
          <w:szCs w:val="21"/>
          <w:highlight w:val="none"/>
        </w:rPr>
        <w:t>工作日内缴纳履约</w:t>
      </w:r>
      <w:r>
        <w:rPr>
          <w:rFonts w:hint="eastAsia" w:ascii="宋体" w:hAnsi="宋体" w:eastAsia="宋体" w:cs="宋体"/>
          <w:color w:val="auto"/>
          <w:szCs w:val="21"/>
          <w:highlight w:val="none"/>
          <w:lang w:eastAsia="zh-CN"/>
        </w:rPr>
        <w:t>保证</w:t>
      </w:r>
      <w:r>
        <w:rPr>
          <w:rFonts w:hint="eastAsia" w:ascii="宋体" w:hAnsi="宋体" w:eastAsia="宋体" w:cs="宋体"/>
          <w:color w:val="auto"/>
          <w:szCs w:val="21"/>
          <w:highlight w:val="none"/>
        </w:rPr>
        <w:t>金，若未按时缴纳，则视为放弃合作资格，并纳入甲方第三方合作黑名单。</w:t>
      </w:r>
    </w:p>
    <w:p w14:paraId="27D4AA3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 </w:t>
      </w:r>
      <w:r>
        <w:rPr>
          <w:rFonts w:hint="eastAsia" w:ascii="宋体" w:hAnsi="宋体" w:eastAsia="宋体" w:cs="宋体"/>
          <w:color w:val="auto"/>
          <w:szCs w:val="21"/>
          <w:highlight w:val="none"/>
        </w:rPr>
        <w:t>履约</w:t>
      </w:r>
      <w:r>
        <w:rPr>
          <w:rFonts w:hint="eastAsia" w:ascii="宋体" w:hAnsi="宋体" w:eastAsia="宋体" w:cs="宋体"/>
          <w:color w:val="auto"/>
          <w:szCs w:val="21"/>
          <w:highlight w:val="none"/>
          <w:lang w:eastAsia="zh-CN"/>
        </w:rPr>
        <w:t>保证</w:t>
      </w:r>
      <w:r>
        <w:rPr>
          <w:rFonts w:hint="eastAsia" w:ascii="宋体" w:hAnsi="宋体" w:eastAsia="宋体" w:cs="宋体"/>
          <w:color w:val="auto"/>
          <w:szCs w:val="21"/>
          <w:highlight w:val="none"/>
        </w:rPr>
        <w:t>金缴纳账户</w:t>
      </w:r>
    </w:p>
    <w:p w14:paraId="3FBEDA99">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fill="auto"/>
          <w:lang w:val="en-US" w:eastAsia="zh-CN" w:bidi="ar"/>
        </w:rPr>
        <w:t>户名：重庆三峡银行股份有限公司</w:t>
      </w:r>
    </w:p>
    <w:p w14:paraId="0623FFD2">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fill="auto"/>
          <w:lang w:val="en-US" w:eastAsia="zh-CN" w:bidi="ar"/>
        </w:rPr>
        <w:t>开户行：重庆三峡银行营业部</w:t>
      </w:r>
    </w:p>
    <w:p w14:paraId="0A8A8AE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账号：0101014040000043</w:t>
      </w:r>
    </w:p>
    <w:p w14:paraId="45ADD17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3.3 </w:t>
      </w:r>
      <w:r>
        <w:rPr>
          <w:rFonts w:hint="eastAsia" w:ascii="宋体" w:hAnsi="宋体" w:eastAsia="宋体" w:cs="宋体"/>
          <w:color w:val="auto"/>
          <w:szCs w:val="21"/>
          <w:highlight w:val="none"/>
        </w:rPr>
        <w:t>履约</w:t>
      </w:r>
      <w:r>
        <w:rPr>
          <w:rFonts w:hint="eastAsia" w:ascii="宋体" w:hAnsi="宋体" w:eastAsia="宋体" w:cs="宋体"/>
          <w:color w:val="auto"/>
          <w:szCs w:val="21"/>
          <w:highlight w:val="none"/>
          <w:lang w:eastAsia="zh-CN"/>
        </w:rPr>
        <w:t>保证</w:t>
      </w:r>
      <w:r>
        <w:rPr>
          <w:rFonts w:hint="eastAsia" w:ascii="宋体" w:hAnsi="宋体" w:eastAsia="宋体" w:cs="宋体"/>
          <w:color w:val="auto"/>
          <w:szCs w:val="21"/>
          <w:highlight w:val="none"/>
        </w:rPr>
        <w:t>金不计息。由乙方承担</w:t>
      </w:r>
      <w:r>
        <w:rPr>
          <w:rFonts w:hint="eastAsia" w:ascii="宋体" w:hAnsi="宋体" w:eastAsia="宋体" w:cs="宋体"/>
          <w:color w:val="auto"/>
          <w:szCs w:val="21"/>
          <w:highlight w:val="none"/>
          <w:lang w:eastAsia="zh-CN"/>
        </w:rPr>
        <w:t>保证</w:t>
      </w:r>
      <w:r>
        <w:rPr>
          <w:rFonts w:hint="eastAsia" w:ascii="宋体" w:hAnsi="宋体" w:eastAsia="宋体" w:cs="宋体"/>
          <w:color w:val="auto"/>
          <w:szCs w:val="21"/>
          <w:highlight w:val="none"/>
        </w:rPr>
        <w:t>金的缴存、赔付、退回等过程中可能涉及的转账手续费。</w:t>
      </w:r>
    </w:p>
    <w:p w14:paraId="5FEDE31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3.4 </w:t>
      </w:r>
      <w:r>
        <w:rPr>
          <w:rFonts w:hint="eastAsia" w:ascii="宋体" w:hAnsi="宋体" w:eastAsia="宋体" w:cs="宋体"/>
          <w:color w:val="auto"/>
          <w:szCs w:val="21"/>
          <w:highlight w:val="none"/>
        </w:rPr>
        <w:t>合同期间，</w:t>
      </w:r>
      <w:r>
        <w:rPr>
          <w:rFonts w:hint="eastAsia" w:ascii="宋体" w:hAnsi="宋体" w:eastAsia="宋体" w:cs="宋体"/>
          <w:color w:val="auto"/>
          <w:szCs w:val="21"/>
          <w:highlight w:val="none"/>
          <w:lang w:eastAsia="zh-CN"/>
        </w:rPr>
        <w:t>如出现</w:t>
      </w:r>
      <w:r>
        <w:rPr>
          <w:rFonts w:hint="eastAsia" w:ascii="宋体" w:hAnsi="宋体" w:eastAsia="宋体" w:cs="宋体"/>
          <w:color w:val="auto"/>
          <w:szCs w:val="21"/>
          <w:highlight w:val="none"/>
        </w:rPr>
        <w:t>乙方未按协议约定</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给甲方</w:t>
      </w:r>
      <w:r>
        <w:rPr>
          <w:rFonts w:hint="eastAsia" w:ascii="宋体" w:hAnsi="宋体" w:eastAsia="宋体" w:cs="宋体"/>
          <w:color w:val="auto"/>
          <w:szCs w:val="21"/>
          <w:highlight w:val="none"/>
          <w:lang w:eastAsia="zh-CN"/>
        </w:rPr>
        <w:t>或甲方客户</w:t>
      </w:r>
      <w:r>
        <w:rPr>
          <w:rFonts w:hint="eastAsia" w:ascii="宋体" w:hAnsi="宋体" w:eastAsia="宋体" w:cs="宋体"/>
          <w:color w:val="auto"/>
          <w:szCs w:val="21"/>
          <w:highlight w:val="none"/>
        </w:rPr>
        <w:t>造成损失</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提供的服务引发纠纷</w:t>
      </w:r>
      <w:r>
        <w:rPr>
          <w:rFonts w:hint="eastAsia" w:ascii="宋体" w:hAnsi="宋体" w:eastAsia="宋体" w:cs="宋体"/>
          <w:color w:val="auto"/>
          <w:szCs w:val="21"/>
          <w:highlight w:val="none"/>
          <w:lang w:eastAsia="zh-CN"/>
        </w:rPr>
        <w:t>等协议约定的情况</w:t>
      </w:r>
      <w:r>
        <w:rPr>
          <w:rFonts w:hint="eastAsia" w:ascii="宋体" w:hAnsi="宋体" w:eastAsia="宋体" w:cs="宋体"/>
          <w:color w:val="auto"/>
          <w:szCs w:val="21"/>
          <w:highlight w:val="none"/>
        </w:rPr>
        <w:t>，甲方有权在确认</w:t>
      </w:r>
      <w:r>
        <w:rPr>
          <w:rFonts w:hint="eastAsia" w:ascii="宋体" w:hAnsi="宋体" w:eastAsia="宋体" w:cs="宋体"/>
          <w:color w:val="auto"/>
          <w:szCs w:val="21"/>
          <w:highlight w:val="none"/>
          <w:lang w:eastAsia="zh-CN"/>
        </w:rPr>
        <w:t>罚金</w:t>
      </w:r>
      <w:r>
        <w:rPr>
          <w:rFonts w:hint="eastAsia" w:ascii="宋体" w:hAnsi="宋体" w:eastAsia="宋体" w:cs="宋体"/>
          <w:color w:val="auto"/>
          <w:szCs w:val="21"/>
          <w:highlight w:val="none"/>
        </w:rPr>
        <w:t>金额后，</w:t>
      </w:r>
      <w:r>
        <w:rPr>
          <w:rFonts w:hint="eastAsia" w:ascii="宋体" w:hAnsi="宋体" w:eastAsia="宋体" w:cs="宋体"/>
          <w:color w:val="auto"/>
          <w:szCs w:val="21"/>
          <w:highlight w:val="none"/>
          <w:lang w:eastAsia="zh-CN"/>
        </w:rPr>
        <w:t>从乙方</w:t>
      </w:r>
      <w:r>
        <w:rPr>
          <w:rFonts w:hint="eastAsia" w:ascii="宋体" w:hAnsi="宋体" w:eastAsia="宋体" w:cs="宋体"/>
          <w:color w:val="auto"/>
          <w:szCs w:val="21"/>
          <w:highlight w:val="none"/>
        </w:rPr>
        <w:t>履约</w:t>
      </w:r>
      <w:r>
        <w:rPr>
          <w:rFonts w:hint="eastAsia" w:ascii="宋体" w:hAnsi="宋体" w:eastAsia="宋体" w:cs="宋体"/>
          <w:color w:val="auto"/>
          <w:szCs w:val="21"/>
          <w:highlight w:val="none"/>
          <w:lang w:eastAsia="zh-CN"/>
        </w:rPr>
        <w:t>保证</w:t>
      </w:r>
      <w:r>
        <w:rPr>
          <w:rFonts w:hint="eastAsia" w:ascii="宋体" w:hAnsi="宋体" w:eastAsia="宋体" w:cs="宋体"/>
          <w:color w:val="auto"/>
          <w:szCs w:val="21"/>
          <w:highlight w:val="none"/>
        </w:rPr>
        <w:t>金中扣除</w:t>
      </w:r>
      <w:r>
        <w:rPr>
          <w:rFonts w:hint="eastAsia" w:ascii="宋体" w:hAnsi="宋体" w:eastAsia="宋体" w:cs="宋体"/>
          <w:color w:val="auto"/>
          <w:szCs w:val="21"/>
          <w:highlight w:val="none"/>
          <w:lang w:eastAsia="zh-CN"/>
        </w:rPr>
        <w:t>相应金额</w:t>
      </w:r>
      <w:r>
        <w:rPr>
          <w:rFonts w:hint="eastAsia" w:ascii="宋体" w:hAnsi="宋体" w:eastAsia="宋体" w:cs="宋体"/>
          <w:color w:val="auto"/>
          <w:szCs w:val="21"/>
          <w:highlight w:val="none"/>
        </w:rPr>
        <w:t>；当乙方履约</w:t>
      </w:r>
      <w:r>
        <w:rPr>
          <w:rFonts w:hint="eastAsia" w:ascii="宋体" w:hAnsi="宋体" w:eastAsia="宋体" w:cs="宋体"/>
          <w:color w:val="auto"/>
          <w:szCs w:val="21"/>
          <w:highlight w:val="none"/>
          <w:lang w:eastAsia="zh-CN"/>
        </w:rPr>
        <w:t>保证</w:t>
      </w:r>
      <w:r>
        <w:rPr>
          <w:rFonts w:hint="eastAsia" w:ascii="宋体" w:hAnsi="宋体" w:eastAsia="宋体" w:cs="宋体"/>
          <w:color w:val="auto"/>
          <w:szCs w:val="21"/>
          <w:highlight w:val="none"/>
        </w:rPr>
        <w:t>金不足赔偿时，乙方须在双方协议</w:t>
      </w:r>
      <w:r>
        <w:rPr>
          <w:rFonts w:hint="eastAsia" w:ascii="宋体" w:hAnsi="宋体" w:eastAsia="宋体" w:cs="宋体"/>
          <w:color w:val="auto"/>
          <w:szCs w:val="21"/>
          <w:highlight w:val="none"/>
          <w:lang w:eastAsia="zh-CN"/>
        </w:rPr>
        <w:t>终止或</w:t>
      </w:r>
      <w:r>
        <w:rPr>
          <w:rFonts w:hint="eastAsia" w:ascii="宋体" w:hAnsi="宋体" w:eastAsia="宋体" w:cs="宋体"/>
          <w:color w:val="auto"/>
          <w:szCs w:val="21"/>
          <w:highlight w:val="none"/>
        </w:rPr>
        <w:t>结束后一个月内补足差额部分，</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不得因此拒绝履行</w:t>
      </w:r>
      <w:r>
        <w:rPr>
          <w:rFonts w:hint="eastAsia" w:ascii="宋体" w:hAnsi="宋体" w:eastAsia="宋体" w:cs="宋体"/>
          <w:color w:val="auto"/>
          <w:szCs w:val="21"/>
          <w:highlight w:val="none"/>
          <w:lang w:eastAsia="zh-CN"/>
        </w:rPr>
        <w:t>应尽</w:t>
      </w:r>
      <w:r>
        <w:rPr>
          <w:rFonts w:hint="eastAsia" w:ascii="宋体" w:hAnsi="宋体" w:eastAsia="宋体" w:cs="宋体"/>
          <w:color w:val="auto"/>
          <w:szCs w:val="21"/>
          <w:highlight w:val="none"/>
        </w:rPr>
        <w:t>义务。</w:t>
      </w:r>
    </w:p>
    <w:p w14:paraId="3DBD8AF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3.5 </w:t>
      </w:r>
      <w:r>
        <w:rPr>
          <w:rFonts w:hint="eastAsia" w:ascii="宋体" w:hAnsi="宋体" w:eastAsia="宋体" w:cs="宋体"/>
          <w:color w:val="auto"/>
          <w:szCs w:val="21"/>
          <w:highlight w:val="none"/>
        </w:rPr>
        <w:t>协议终止或履行完毕，若当月内无任何投诉，甲方将无息退还乙方合作期间扣缴后的实际履约押金；若出现投诉，乙方须按照甲方规定妥善处理后方可退回剩余实际履约押金。</w:t>
      </w:r>
    </w:p>
    <w:p w14:paraId="33C65893">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第四条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商品清单与价格</w:t>
      </w:r>
    </w:p>
    <w:p w14:paraId="051729E1">
      <w:pPr>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 xml:space="preserve">4.1 </w:t>
      </w:r>
      <w:r>
        <w:rPr>
          <w:rFonts w:hint="eastAsia" w:ascii="宋体" w:hAnsi="宋体" w:eastAsia="宋体" w:cs="宋体"/>
          <w:b w:val="0"/>
          <w:bCs w:val="0"/>
          <w:color w:val="auto"/>
          <w:szCs w:val="21"/>
          <w:highlight w:val="none"/>
        </w:rPr>
        <w:t>商品清单说明</w:t>
      </w:r>
    </w:p>
    <w:p w14:paraId="1777CBA6">
      <w:pPr>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）乙方需按甲方需求选品，每次选品均需将加盖公章的</w:t>
      </w:r>
      <w:r>
        <w:rPr>
          <w:rFonts w:hint="eastAsia" w:ascii="宋体" w:hAnsi="宋体" w:eastAsia="宋体" w:cs="宋体"/>
          <w:color w:val="auto"/>
          <w:szCs w:val="21"/>
          <w:highlight w:val="none"/>
        </w:rPr>
        <w:t>《拟上架商品与价格清单》（详见附件1）</w:t>
      </w:r>
      <w:r>
        <w:rPr>
          <w:rFonts w:hint="eastAsia" w:ascii="宋体" w:hAnsi="宋体" w:eastAsia="宋体" w:cs="宋体"/>
          <w:color w:val="auto"/>
          <w:szCs w:val="21"/>
          <w:highlight w:val="none"/>
          <w:lang w:eastAsia="zh-CN"/>
        </w:rPr>
        <w:t>邮寄给甲方，并将清单电子档发送至甲方联系人指定电子邮箱。</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对清单上的商品进行比价后</w:t>
      </w:r>
      <w:r>
        <w:rPr>
          <w:rFonts w:hint="eastAsia" w:ascii="宋体" w:hAnsi="宋体" w:eastAsia="宋体" w:cs="宋体"/>
          <w:color w:val="auto"/>
          <w:szCs w:val="21"/>
          <w:highlight w:val="none"/>
        </w:rPr>
        <w:t>决定</w:t>
      </w:r>
      <w:r>
        <w:rPr>
          <w:rFonts w:hint="eastAsia" w:ascii="宋体" w:hAnsi="宋体" w:eastAsia="宋体" w:cs="宋体"/>
          <w:color w:val="auto"/>
          <w:szCs w:val="21"/>
          <w:highlight w:val="none"/>
          <w:lang w:eastAsia="zh-CN"/>
        </w:rPr>
        <w:t>是否上架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并将需要上架的商品清单发送至乙方联系人指定电子邮箱，</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需在</w:t>
      </w:r>
      <w:r>
        <w:rPr>
          <w:rFonts w:hint="eastAsia" w:ascii="宋体" w:hAnsi="宋体" w:eastAsia="宋体" w:cs="宋体"/>
          <w:color w:val="auto"/>
          <w:szCs w:val="21"/>
          <w:highlight w:val="none"/>
        </w:rPr>
        <w:t>收到甲方</w:t>
      </w:r>
      <w:r>
        <w:rPr>
          <w:rFonts w:hint="eastAsia" w:ascii="宋体" w:hAnsi="宋体" w:eastAsia="宋体" w:cs="宋体"/>
          <w:color w:val="auto"/>
          <w:szCs w:val="21"/>
          <w:highlight w:val="none"/>
          <w:lang w:eastAsia="zh-CN"/>
        </w:rPr>
        <w:t>电子邮件</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将商品推送至甲方指定系统</w:t>
      </w:r>
      <w:r>
        <w:rPr>
          <w:rFonts w:hint="eastAsia" w:ascii="宋体" w:hAnsi="宋体" w:eastAsia="宋体" w:cs="宋体"/>
          <w:color w:val="auto"/>
          <w:szCs w:val="21"/>
          <w:highlight w:val="none"/>
        </w:rPr>
        <w:t>。</w:t>
      </w:r>
    </w:p>
    <w:p w14:paraId="6D5ED5FC">
      <w:pPr>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协议期内甲方不承诺商品</w:t>
      </w:r>
      <w:r>
        <w:rPr>
          <w:rFonts w:hint="eastAsia" w:ascii="宋体" w:hAnsi="宋体" w:eastAsia="宋体" w:cs="宋体"/>
          <w:color w:val="auto"/>
          <w:szCs w:val="21"/>
          <w:highlight w:val="none"/>
          <w:lang w:eastAsia="zh-CN"/>
        </w:rPr>
        <w:t>权益</w:t>
      </w:r>
      <w:r>
        <w:rPr>
          <w:rFonts w:hint="eastAsia" w:ascii="宋体" w:hAnsi="宋体" w:eastAsia="宋体" w:cs="宋体"/>
          <w:color w:val="auto"/>
          <w:szCs w:val="21"/>
          <w:highlight w:val="none"/>
        </w:rPr>
        <w:t>的采购数量和金额，以实际发生为准。甲方有权根据客户兑换量、各项业务或活动目标需要决定及调整乙方所供商品是否上架。</w:t>
      </w:r>
    </w:p>
    <w:p w14:paraId="348C229D">
      <w:pPr>
        <w:ind w:firstLine="420"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lang w:val="en-US" w:eastAsia="zh-CN"/>
        </w:rPr>
        <w:t xml:space="preserve">4.2 </w:t>
      </w:r>
      <w:r>
        <w:rPr>
          <w:rFonts w:hint="eastAsia" w:ascii="宋体" w:hAnsi="宋体" w:eastAsia="宋体" w:cs="宋体"/>
          <w:b w:val="0"/>
          <w:bCs w:val="0"/>
          <w:color w:val="auto"/>
          <w:szCs w:val="21"/>
          <w:highlight w:val="none"/>
        </w:rPr>
        <w:t>商品</w:t>
      </w:r>
      <w:r>
        <w:rPr>
          <w:rFonts w:hint="eastAsia" w:ascii="宋体" w:hAnsi="宋体" w:eastAsia="宋体" w:cs="宋体"/>
          <w:b w:val="0"/>
          <w:bCs w:val="0"/>
          <w:color w:val="auto"/>
          <w:szCs w:val="21"/>
          <w:highlight w:val="none"/>
          <w:lang w:eastAsia="zh-CN"/>
        </w:rPr>
        <w:t>上架发布</w:t>
      </w:r>
    </w:p>
    <w:p w14:paraId="022E432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）乙方必须确保</w:t>
      </w:r>
      <w:r>
        <w:rPr>
          <w:rFonts w:hint="eastAsia" w:ascii="宋体" w:hAnsi="宋体" w:eastAsia="宋体" w:cs="宋体"/>
          <w:highlight w:val="none"/>
          <w:lang w:eastAsia="zh-CN"/>
        </w:rPr>
        <w:t>所有</w:t>
      </w:r>
      <w:r>
        <w:rPr>
          <w:rFonts w:hint="eastAsia" w:ascii="宋体" w:hAnsi="宋体" w:eastAsia="宋体" w:cs="宋体"/>
          <w:highlight w:val="none"/>
          <w:lang w:val="en-US" w:eastAsia="zh-CN"/>
        </w:rPr>
        <w:t>提供的商品渠道来源合法合规，有正规授权（授权内容包括但不限于销售、宣传、商标使用等）的代理资格，确保商品授权真实有效、完整。</w:t>
      </w:r>
    </w:p>
    <w:p w14:paraId="2A910A5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乙方必须确保所有</w:t>
      </w:r>
      <w:r>
        <w:rPr>
          <w:rFonts w:hint="eastAsia" w:ascii="宋体" w:hAnsi="宋体" w:eastAsia="宋体" w:cs="宋体"/>
          <w:color w:val="auto"/>
          <w:szCs w:val="21"/>
          <w:highlight w:val="none"/>
          <w:lang w:eastAsia="zh-CN"/>
        </w:rPr>
        <w:t>提供的商品</w:t>
      </w:r>
      <w:r>
        <w:rPr>
          <w:rFonts w:hint="eastAsia" w:ascii="宋体" w:hAnsi="宋体" w:eastAsia="宋体" w:cs="宋体"/>
          <w:color w:val="auto"/>
          <w:szCs w:val="21"/>
          <w:highlight w:val="none"/>
        </w:rPr>
        <w:t>文字、图片信息准确，包括但不限于商品的材质、规格参数、原产地等信息，必须与实物一致，禁止夸张、虚假描述及宣传。</w:t>
      </w:r>
    </w:p>
    <w:p w14:paraId="2CB5507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所有商品信息均需甲方审核通过后方可上架兑换，乙方所提供和印制的任何与甲方有关的宣传资料应事先经甲方确认、核准后方可对外发行（布）。</w:t>
      </w:r>
    </w:p>
    <w:p w14:paraId="18C709C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乙方提供给甲方使用的所有商品图片、文字描述等，均免费授权甲方宣传使用。同时保证对图片拥有版权。</w:t>
      </w:r>
    </w:p>
    <w:p w14:paraId="403B99B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经甲方审核通过上架的商品及资料，并不视作甲方认可乙方提交</w:t>
      </w:r>
      <w:r>
        <w:rPr>
          <w:rFonts w:hint="eastAsia" w:ascii="宋体" w:hAnsi="宋体" w:eastAsia="宋体" w:cs="宋体"/>
          <w:color w:val="auto"/>
          <w:szCs w:val="21"/>
          <w:highlight w:val="none"/>
          <w:lang w:eastAsia="zh-CN"/>
        </w:rPr>
        <w:t>商品及</w:t>
      </w:r>
      <w:r>
        <w:rPr>
          <w:rFonts w:hint="eastAsia" w:ascii="宋体" w:hAnsi="宋体" w:eastAsia="宋体" w:cs="宋体"/>
          <w:color w:val="auto"/>
          <w:szCs w:val="21"/>
          <w:highlight w:val="none"/>
        </w:rPr>
        <w:t>材料的真实性、合法性、完整性，也不减轻、免除乙方应承担的任何责任。</w:t>
      </w:r>
    </w:p>
    <w:p w14:paraId="16DF014A">
      <w:pPr>
        <w:ind w:right="-6"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 xml:space="preserve">4.2 </w:t>
      </w:r>
      <w:r>
        <w:rPr>
          <w:rFonts w:hint="eastAsia" w:ascii="宋体" w:hAnsi="宋体" w:eastAsia="宋体" w:cs="宋体"/>
          <w:b w:val="0"/>
          <w:bCs w:val="0"/>
          <w:color w:val="auto"/>
          <w:szCs w:val="21"/>
          <w:highlight w:val="none"/>
        </w:rPr>
        <w:t>商品</w:t>
      </w:r>
      <w:r>
        <w:rPr>
          <w:rFonts w:hint="eastAsia" w:ascii="宋体" w:hAnsi="宋体" w:eastAsia="宋体" w:cs="宋体"/>
          <w:b w:val="0"/>
          <w:bCs w:val="0"/>
          <w:color w:val="auto"/>
          <w:szCs w:val="21"/>
          <w:highlight w:val="none"/>
          <w:lang w:eastAsia="zh-CN"/>
        </w:rPr>
        <w:t>库存管理</w:t>
      </w:r>
    </w:p>
    <w:p w14:paraId="10529992">
      <w:pPr>
        <w:ind w:right="-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乙方须确保商品库存真实有效，禁止无货兑换，虚报库存。</w:t>
      </w:r>
    </w:p>
    <w:p w14:paraId="1366F5D8">
      <w:pPr>
        <w:ind w:right="-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如在本协议有效期限内，由于商品生产厂商的停产、缺货或更新换代等不确定因素，造成</w:t>
      </w:r>
      <w:r>
        <w:rPr>
          <w:rFonts w:hint="eastAsia" w:ascii="宋体" w:hAnsi="宋体" w:eastAsia="宋体" w:cs="宋体"/>
          <w:color w:val="auto"/>
          <w:szCs w:val="21"/>
          <w:highlight w:val="none"/>
          <w:lang w:eastAsia="zh-CN"/>
        </w:rPr>
        <w:t>部分</w:t>
      </w:r>
      <w:r>
        <w:rPr>
          <w:rFonts w:hint="eastAsia" w:ascii="宋体" w:hAnsi="宋体" w:eastAsia="宋体" w:cs="宋体"/>
          <w:color w:val="auto"/>
          <w:szCs w:val="21"/>
          <w:highlight w:val="none"/>
        </w:rPr>
        <w:t>商品的缺货，乙方应提前</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个</w:t>
      </w:r>
      <w:r>
        <w:rPr>
          <w:rFonts w:hint="eastAsia" w:ascii="宋体" w:hAnsi="宋体" w:eastAsia="宋体" w:cs="宋体"/>
          <w:color w:val="auto"/>
          <w:szCs w:val="21"/>
          <w:highlight w:val="none"/>
          <w:lang w:eastAsia="zh-CN"/>
        </w:rPr>
        <w:t>工作</w:t>
      </w:r>
      <w:r>
        <w:rPr>
          <w:rFonts w:hint="eastAsia" w:ascii="宋体" w:hAnsi="宋体" w:eastAsia="宋体" w:cs="宋体"/>
          <w:color w:val="auto"/>
          <w:szCs w:val="21"/>
          <w:highlight w:val="none"/>
        </w:rPr>
        <w:t>日以邮件通知甲方进行下架申请。</w:t>
      </w:r>
    </w:p>
    <w:p w14:paraId="7901A304">
      <w:pPr>
        <w:ind w:right="-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因</w:t>
      </w:r>
      <w:r>
        <w:rPr>
          <w:rFonts w:hint="eastAsia" w:ascii="宋体" w:hAnsi="宋体" w:eastAsia="宋体" w:cs="宋体"/>
          <w:color w:val="auto"/>
          <w:szCs w:val="21"/>
          <w:highlight w:val="none"/>
        </w:rPr>
        <w:t>乙方未能及时通知甲方，</w:t>
      </w:r>
      <w:r>
        <w:rPr>
          <w:rFonts w:hint="eastAsia" w:ascii="宋体" w:hAnsi="宋体" w:eastAsia="宋体" w:cs="宋体"/>
          <w:color w:val="auto"/>
          <w:szCs w:val="21"/>
          <w:highlight w:val="none"/>
          <w:lang w:eastAsia="zh-CN"/>
        </w:rPr>
        <w:t>导致</w:t>
      </w:r>
      <w:r>
        <w:rPr>
          <w:rFonts w:hint="eastAsia" w:ascii="宋体" w:hAnsi="宋体" w:eastAsia="宋体" w:cs="宋体"/>
          <w:color w:val="auto"/>
          <w:szCs w:val="21"/>
          <w:highlight w:val="none"/>
        </w:rPr>
        <w:t>甲方客户兑换该商品</w:t>
      </w:r>
      <w:r>
        <w:rPr>
          <w:rFonts w:hint="eastAsia" w:ascii="宋体" w:hAnsi="宋体" w:eastAsia="宋体" w:cs="宋体"/>
          <w:color w:val="auto"/>
          <w:szCs w:val="21"/>
          <w:highlight w:val="none"/>
          <w:lang w:eastAsia="zh-CN"/>
        </w:rPr>
        <w:t>后无法正常配送、发货</w:t>
      </w:r>
      <w:r>
        <w:rPr>
          <w:rFonts w:hint="eastAsia" w:ascii="宋体" w:hAnsi="宋体" w:eastAsia="宋体" w:cs="宋体"/>
          <w:color w:val="auto"/>
          <w:szCs w:val="21"/>
          <w:highlight w:val="none"/>
        </w:rPr>
        <w:t>，乙方须向甲方客户致歉，并</w:t>
      </w:r>
      <w:r>
        <w:rPr>
          <w:rFonts w:hint="eastAsia" w:ascii="宋体" w:hAnsi="宋体" w:eastAsia="宋体" w:cs="宋体"/>
          <w:color w:val="auto"/>
          <w:szCs w:val="21"/>
          <w:highlight w:val="none"/>
          <w:lang w:eastAsia="zh-CN"/>
        </w:rPr>
        <w:t>在客户同意的前提下，</w:t>
      </w:r>
      <w:r>
        <w:rPr>
          <w:rFonts w:hint="eastAsia" w:ascii="宋体" w:hAnsi="宋体" w:eastAsia="宋体" w:cs="宋体"/>
          <w:color w:val="auto"/>
          <w:szCs w:val="21"/>
          <w:highlight w:val="none"/>
        </w:rPr>
        <w:t>以不高于原</w:t>
      </w:r>
      <w:r>
        <w:rPr>
          <w:rFonts w:hint="eastAsia" w:ascii="宋体" w:hAnsi="宋体" w:eastAsia="宋体" w:cs="宋体"/>
          <w:color w:val="auto"/>
          <w:szCs w:val="21"/>
          <w:highlight w:val="none"/>
          <w:lang w:eastAsia="zh-CN"/>
        </w:rPr>
        <w:t>商品</w:t>
      </w:r>
      <w:r>
        <w:rPr>
          <w:rFonts w:hint="eastAsia" w:ascii="宋体" w:hAnsi="宋体" w:eastAsia="宋体" w:cs="宋体"/>
          <w:color w:val="auto"/>
          <w:szCs w:val="21"/>
          <w:highlight w:val="none"/>
        </w:rPr>
        <w:t>的价格提供性能更好或型号更新且用途相同的商品。</w:t>
      </w:r>
    </w:p>
    <w:p w14:paraId="5B0E20B3">
      <w:pPr>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 xml:space="preserve">4.3 </w:t>
      </w:r>
      <w:r>
        <w:rPr>
          <w:rFonts w:hint="eastAsia" w:ascii="宋体" w:hAnsi="宋体" w:eastAsia="宋体" w:cs="宋体"/>
          <w:b w:val="0"/>
          <w:bCs w:val="0"/>
          <w:color w:val="auto"/>
          <w:szCs w:val="21"/>
          <w:highlight w:val="none"/>
        </w:rPr>
        <w:t>商品</w:t>
      </w:r>
      <w:r>
        <w:rPr>
          <w:rFonts w:hint="eastAsia" w:ascii="宋体" w:hAnsi="宋体" w:eastAsia="宋体" w:cs="宋体"/>
          <w:b w:val="0"/>
          <w:bCs w:val="0"/>
          <w:color w:val="auto"/>
          <w:szCs w:val="21"/>
          <w:highlight w:val="none"/>
          <w:lang w:eastAsia="zh-CN"/>
        </w:rPr>
        <w:t>价格说明</w:t>
      </w:r>
    </w:p>
    <w:p w14:paraId="43495FD5">
      <w:pPr>
        <w:numPr>
          <w:ilvl w:val="0"/>
          <w:numId w:val="0"/>
        </w:num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）商品结算价格以乙方发给甲方最新的</w:t>
      </w:r>
      <w:r>
        <w:rPr>
          <w:rFonts w:hint="eastAsia" w:ascii="宋体" w:hAnsi="宋体" w:eastAsia="宋体" w:cs="宋体"/>
          <w:color w:val="auto"/>
          <w:szCs w:val="21"/>
          <w:highlight w:val="none"/>
        </w:rPr>
        <w:t>《拟上架商品与价格清单》</w:t>
      </w:r>
      <w:r>
        <w:rPr>
          <w:rFonts w:hint="eastAsia" w:ascii="宋体" w:hAnsi="宋体" w:eastAsia="宋体" w:cs="宋体"/>
          <w:color w:val="auto"/>
          <w:szCs w:val="21"/>
          <w:highlight w:val="none"/>
          <w:lang w:eastAsia="zh-CN"/>
        </w:rPr>
        <w:t>上的价格为准，实物商品价格为</w:t>
      </w:r>
      <w:r>
        <w:rPr>
          <w:rFonts w:hint="eastAsia" w:ascii="宋体" w:hAnsi="宋体" w:eastAsia="宋体" w:cs="宋体"/>
          <w:color w:val="auto"/>
          <w:szCs w:val="21"/>
          <w:highlight w:val="none"/>
        </w:rPr>
        <w:t>一件</w:t>
      </w:r>
      <w:r>
        <w:rPr>
          <w:rFonts w:hint="eastAsia" w:ascii="宋体" w:hAnsi="宋体" w:eastAsia="宋体" w:cs="宋体"/>
          <w:color w:val="auto"/>
          <w:szCs w:val="21"/>
          <w:highlight w:val="none"/>
          <w:lang w:eastAsia="zh-CN"/>
        </w:rPr>
        <w:t>商品</w:t>
      </w:r>
      <w:r>
        <w:rPr>
          <w:rFonts w:hint="eastAsia" w:ascii="宋体" w:hAnsi="宋体" w:eastAsia="宋体" w:cs="宋体"/>
          <w:color w:val="auto"/>
          <w:szCs w:val="21"/>
          <w:highlight w:val="none"/>
        </w:rPr>
        <w:t>包邮发货的含税</w:t>
      </w:r>
      <w:r>
        <w:rPr>
          <w:rFonts w:hint="eastAsia" w:ascii="宋体" w:hAnsi="宋体" w:eastAsia="宋体" w:cs="宋体"/>
          <w:color w:val="auto"/>
          <w:szCs w:val="21"/>
          <w:highlight w:val="none"/>
          <w:lang w:eastAsia="zh-CN"/>
        </w:rPr>
        <w:t>价格，虚拟商品为</w:t>
      </w:r>
      <w:r>
        <w:rPr>
          <w:rFonts w:hint="eastAsia" w:ascii="宋体" w:hAnsi="宋体" w:eastAsia="宋体" w:cs="宋体"/>
          <w:color w:val="auto"/>
          <w:szCs w:val="21"/>
          <w:highlight w:val="none"/>
        </w:rPr>
        <w:t>一件</w:t>
      </w:r>
      <w:r>
        <w:rPr>
          <w:rFonts w:hint="eastAsia" w:ascii="宋体" w:hAnsi="宋体" w:eastAsia="宋体" w:cs="宋体"/>
          <w:color w:val="auto"/>
          <w:szCs w:val="21"/>
          <w:highlight w:val="none"/>
          <w:lang w:eastAsia="zh-CN"/>
        </w:rPr>
        <w:t>商品含税价格。</w:t>
      </w:r>
    </w:p>
    <w:p w14:paraId="78B2879D">
      <w:pPr>
        <w:numPr>
          <w:ilvl w:val="0"/>
          <w:numId w:val="3"/>
        </w:num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实物商品折扣率以目前国内电商市场占有率最高的京东、天猫自营价（均含邮、含税）为基数，供应商在此价格基数上提供折扣率。如商品价格为京东平台自营价格的M折、天猫平台自营价格的N折，则折扣率为（M+N)/20×100%。举例：若商品价格（含邮、含税）为京东平台自营价格的8折，天猫平台自营价格的8.5折，则折扣率为82.5%。乙方提供的实物商品，折扣率应不高于XX%（含XX%）。折扣率高于XX%（不含XX%）的商品，需在</w:t>
      </w:r>
      <w:r>
        <w:rPr>
          <w:rFonts w:hint="eastAsia" w:ascii="宋体" w:hAnsi="宋体" w:eastAsia="宋体" w:cs="宋体"/>
          <w:color w:val="auto"/>
          <w:szCs w:val="21"/>
          <w:highlight w:val="none"/>
        </w:rPr>
        <w:t>《拟上架商品与价格清单》</w:t>
      </w:r>
      <w:r>
        <w:rPr>
          <w:rFonts w:hint="eastAsia" w:ascii="宋体" w:hAnsi="宋体" w:eastAsia="宋体" w:cs="宋体"/>
          <w:highlight w:val="none"/>
          <w:lang w:val="en-US" w:eastAsia="zh-CN"/>
        </w:rPr>
        <w:t>中说明折扣率高的原因，经甲方同意后方可供货。</w:t>
      </w:r>
    </w:p>
    <w:p w14:paraId="6E2E34BC">
      <w:pPr>
        <w:numPr>
          <w:ilvl w:val="0"/>
          <w:numId w:val="3"/>
        </w:num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金类虚拟商品包括但不限于：微信立减金、微信红包、支付宝立减金、话费、加油卡、商超购物卡、京东e卡等预付费储值类、通讯充值类、第三方支付工具商品。现金类虚拟商品折扣率以商品自身面值为基数，举例：若100元话费，供货价为105元（含税），则折扣率为105%。乙方提供的现金类虚拟商品，折扣率应不高于XX%（含XX%）。折扣率高于XX%（不含XX%）的商品，需在</w:t>
      </w:r>
      <w:r>
        <w:rPr>
          <w:rFonts w:hint="eastAsia" w:ascii="宋体" w:hAnsi="宋体" w:eastAsia="宋体" w:cs="宋体"/>
          <w:color w:val="auto"/>
          <w:szCs w:val="21"/>
          <w:highlight w:val="none"/>
        </w:rPr>
        <w:t>《拟上架商品与价格清单》</w:t>
      </w:r>
      <w:r>
        <w:rPr>
          <w:rFonts w:hint="eastAsia" w:ascii="宋体" w:hAnsi="宋体" w:eastAsia="宋体" w:cs="宋体"/>
          <w:highlight w:val="none"/>
          <w:lang w:val="en-US" w:eastAsia="zh-CN"/>
        </w:rPr>
        <w:t>中说明折扣率高的原因，经甲方同意后方可供货。</w:t>
      </w:r>
    </w:p>
    <w:p w14:paraId="1BEBFB52">
      <w:pPr>
        <w:numPr>
          <w:ilvl w:val="0"/>
          <w:numId w:val="3"/>
        </w:num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非现金类虚拟商品包括但不限于：影视会员、出行服务、家政服务、体检服务等具体的商品或服务。非现金类虚拟商品折扣率以商品官方价格为基数，举例：若高铁贵宾厅，官方价格为200元/次，供货价为180元/次（含税），则折扣率为90%。乙方提供的非现金类虚拟商品，折扣率应不高于XX%（含XX%）。折扣率高于XX%（不含XX%）的商品，需在</w:t>
      </w:r>
      <w:r>
        <w:rPr>
          <w:rFonts w:hint="eastAsia" w:ascii="宋体" w:hAnsi="宋体" w:eastAsia="宋体" w:cs="宋体"/>
          <w:color w:val="auto"/>
          <w:szCs w:val="21"/>
          <w:highlight w:val="none"/>
        </w:rPr>
        <w:t>《拟上架商品与价格清单》</w:t>
      </w:r>
      <w:r>
        <w:rPr>
          <w:rFonts w:hint="eastAsia" w:ascii="宋体" w:hAnsi="宋体" w:eastAsia="宋体" w:cs="宋体"/>
          <w:highlight w:val="none"/>
          <w:lang w:val="en-US" w:eastAsia="zh-CN"/>
        </w:rPr>
        <w:t xml:space="preserve">中说明折扣率高的原因，经甲方同意后方可供货。 </w:t>
      </w:r>
    </w:p>
    <w:p w14:paraId="57F6346C">
      <w:pPr>
        <w:numPr>
          <w:ilvl w:val="0"/>
          <w:numId w:val="3"/>
        </w:num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color w:val="auto"/>
          <w:szCs w:val="21"/>
          <w:highlight w:val="none"/>
          <w:lang w:eastAsia="zh-CN"/>
        </w:rPr>
        <w:t>乙方需</w:t>
      </w:r>
      <w:r>
        <w:rPr>
          <w:rFonts w:hint="eastAsia" w:ascii="宋体" w:hAnsi="宋体" w:eastAsia="宋体" w:cs="宋体"/>
          <w:color w:val="auto"/>
          <w:szCs w:val="21"/>
          <w:highlight w:val="none"/>
        </w:rPr>
        <w:t>在每</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rPr>
        <w:t>开始</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u w:val="single"/>
        </w:rPr>
        <w:t>个</w:t>
      </w:r>
      <w:r>
        <w:rPr>
          <w:rFonts w:hint="eastAsia" w:ascii="宋体" w:hAnsi="宋体" w:eastAsia="宋体" w:cs="宋体"/>
          <w:color w:val="auto"/>
          <w:szCs w:val="21"/>
          <w:highlight w:val="none"/>
        </w:rPr>
        <w:t>工作日内核对</w:t>
      </w:r>
      <w:r>
        <w:rPr>
          <w:rFonts w:hint="eastAsia" w:ascii="宋体" w:hAnsi="宋体" w:eastAsia="宋体" w:cs="宋体"/>
          <w:color w:val="auto"/>
          <w:szCs w:val="21"/>
          <w:highlight w:val="none"/>
          <w:lang w:eastAsia="zh-CN"/>
        </w:rPr>
        <w:t>上架</w:t>
      </w:r>
      <w:r>
        <w:rPr>
          <w:rFonts w:hint="eastAsia" w:ascii="宋体" w:hAnsi="宋体" w:eastAsia="宋体" w:cs="宋体"/>
          <w:color w:val="auto"/>
          <w:szCs w:val="21"/>
          <w:highlight w:val="none"/>
        </w:rPr>
        <w:t>商品的最新</w:t>
      </w:r>
      <w:r>
        <w:rPr>
          <w:rFonts w:hint="eastAsia" w:ascii="宋体" w:hAnsi="宋体" w:eastAsia="宋体" w:cs="宋体"/>
          <w:color w:val="auto"/>
          <w:szCs w:val="21"/>
          <w:highlight w:val="none"/>
          <w:lang w:eastAsia="zh-CN"/>
        </w:rPr>
        <w:t>结算价格及折扣率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完成商品价格监测报告</w:t>
      </w:r>
      <w:r>
        <w:rPr>
          <w:rFonts w:hint="eastAsia" w:ascii="宋体" w:hAnsi="宋体" w:eastAsia="宋体" w:cs="宋体"/>
          <w:highlight w:val="none"/>
          <w:lang w:val="en-US" w:eastAsia="zh-CN"/>
        </w:rPr>
        <w:t>，报告加盖公章后邮寄给甲方，并将报告电子档发送至甲方联系人指定电子邮箱。</w:t>
      </w:r>
    </w:p>
    <w:p w14:paraId="6EB99DE3">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如商品价格上涨，或价格折扣率已高于乙方承诺的折扣率，甲方将对相关商品做下架处理，重新选品、比价；</w:t>
      </w:r>
    </w:p>
    <w:p w14:paraId="7C69BA25">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如商品价格下调，折扣率仍不高于乙方承诺的折扣率，乙方需将最新的商品价格信息推送给甲方，由甲方按新的价格重新上架。</w:t>
      </w:r>
    </w:p>
    <w:p w14:paraId="7C737263">
      <w:pPr>
        <w:numPr>
          <w:ilvl w:val="0"/>
          <w:numId w:val="3"/>
        </w:num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如甲方未能按时（以甲方收到报告电子档的电子邮件时间为准）提交商品价格报告，甲方有权将乙方全部商品做下架处理，待乙方提交报告后，再将商品重新上架。</w:t>
      </w:r>
    </w:p>
    <w:p w14:paraId="5057E023">
      <w:pPr>
        <w:numPr>
          <w:ilvl w:val="0"/>
          <w:numId w:val="3"/>
        </w:num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乙方如需调整已上架商品价格，需提供相关商品调价说明函，说明调价原因，说明函加盖公章后邮寄给甲方，并将说明函电子档发送至甲方联系人指定电子邮箱。甲方收到调价函后，根据实际情况，对相关商品做调价或下架处理。</w:t>
      </w:r>
    </w:p>
    <w:p w14:paraId="2D6E72D6">
      <w:pPr>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（8）甲方只对每件商品及配送服务支付一次费用，无论任何原因造成的重复配送，甲方都不再支付额外的费用。如在履行协议过程发生任何其他费用，由乙方承担。</w:t>
      </w:r>
    </w:p>
    <w:p w14:paraId="47E33F31">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第五条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商品费用结算</w:t>
      </w:r>
    </w:p>
    <w:p w14:paraId="2891A50B">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5.1 </w:t>
      </w:r>
      <w:r>
        <w:rPr>
          <w:rFonts w:hint="eastAsia" w:ascii="宋体" w:hAnsi="宋体" w:eastAsia="宋体" w:cs="宋体"/>
          <w:color w:val="auto"/>
          <w:szCs w:val="21"/>
          <w:highlight w:val="none"/>
        </w:rPr>
        <w:t>商品结算款每</w:t>
      </w:r>
      <w:r>
        <w:rPr>
          <w:rFonts w:hint="eastAsia" w:ascii="宋体" w:hAnsi="宋体" w:eastAsia="宋体" w:cs="宋体"/>
          <w:color w:val="auto"/>
          <w:szCs w:val="21"/>
          <w:highlight w:val="none"/>
          <w:lang w:eastAsia="zh-CN"/>
        </w:rPr>
        <w:t>季度</w:t>
      </w:r>
      <w:r>
        <w:rPr>
          <w:rFonts w:hint="eastAsia" w:ascii="宋体" w:hAnsi="宋体" w:eastAsia="宋体" w:cs="宋体"/>
          <w:color w:val="auto"/>
          <w:szCs w:val="21"/>
          <w:highlight w:val="none"/>
        </w:rPr>
        <w:t>结算一次，所有结算订单须为结算周期内已完成状态订单，</w:t>
      </w:r>
      <w:r>
        <w:rPr>
          <w:rFonts w:hint="eastAsia" w:ascii="宋体" w:hAnsi="宋体" w:eastAsia="宋体" w:cs="宋体"/>
          <w:color w:val="auto"/>
          <w:szCs w:val="21"/>
          <w:highlight w:val="none"/>
          <w:lang w:eastAsia="zh-CN"/>
        </w:rPr>
        <w:t>商品结算价格（含税含运）以商品最近一次上架时的价格为准。</w:t>
      </w:r>
      <w:r>
        <w:rPr>
          <w:rFonts w:hint="eastAsia" w:ascii="宋体" w:hAnsi="宋体" w:eastAsia="宋体" w:cs="宋体"/>
          <w:color w:val="auto"/>
          <w:szCs w:val="21"/>
          <w:highlight w:val="none"/>
        </w:rPr>
        <w:t>乙方须配合甲方要求开展费用结算对账工作</w:t>
      </w:r>
      <w:r>
        <w:rPr>
          <w:rFonts w:hint="eastAsia" w:ascii="宋体" w:hAnsi="宋体" w:eastAsia="宋体" w:cs="宋体"/>
          <w:color w:val="auto"/>
          <w:szCs w:val="21"/>
          <w:highlight w:val="none"/>
          <w:lang w:eastAsia="zh-CN"/>
        </w:rPr>
        <w:t>，向甲方出具</w:t>
      </w:r>
      <w:r>
        <w:rPr>
          <w:rFonts w:hint="eastAsia" w:ascii="宋体" w:hAnsi="宋体" w:eastAsia="宋体" w:cs="宋体"/>
          <w:sz w:val="21"/>
          <w:szCs w:val="21"/>
          <w:highlight w:val="none"/>
          <w:lang w:eastAsia="zh-CN"/>
        </w:rPr>
        <w:t>上</w:t>
      </w:r>
      <w:r>
        <w:rPr>
          <w:rFonts w:hint="eastAsia" w:ascii="宋体" w:hAnsi="宋体" w:eastAsia="宋体" w:cs="宋体"/>
          <w:sz w:val="21"/>
          <w:szCs w:val="21"/>
          <w:highlight w:val="none"/>
        </w:rPr>
        <w:t>季</w:t>
      </w:r>
      <w:r>
        <w:rPr>
          <w:rFonts w:hint="eastAsia" w:ascii="宋体" w:hAnsi="宋体" w:eastAsia="宋体" w:cs="宋体"/>
          <w:sz w:val="21"/>
          <w:szCs w:val="21"/>
          <w:highlight w:val="none"/>
          <w:lang w:eastAsia="zh-CN"/>
        </w:rPr>
        <w:t>度</w:t>
      </w:r>
      <w:r>
        <w:rPr>
          <w:rFonts w:hint="eastAsia" w:ascii="宋体" w:hAnsi="宋体" w:eastAsia="宋体" w:cs="宋体"/>
          <w:sz w:val="21"/>
          <w:szCs w:val="21"/>
          <w:highlight w:val="none"/>
        </w:rPr>
        <w:t>对账清单</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在收到对账清单1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个工作日内完成确认。双方确认后，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按照</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要求</w:t>
      </w:r>
      <w:r>
        <w:rPr>
          <w:rFonts w:hint="eastAsia" w:ascii="宋体" w:hAnsi="宋体" w:eastAsia="宋体" w:cs="宋体"/>
          <w:sz w:val="21"/>
          <w:szCs w:val="21"/>
          <w:highlight w:val="none"/>
          <w:lang w:eastAsia="zh-CN"/>
        </w:rPr>
        <w:t>开具结算等额、且税率与商品</w:t>
      </w:r>
      <w:r>
        <w:rPr>
          <w:rFonts w:hint="eastAsia" w:ascii="宋体" w:hAnsi="宋体" w:eastAsia="宋体" w:cs="宋体"/>
          <w:sz w:val="21"/>
          <w:szCs w:val="21"/>
          <w:highlight w:val="none"/>
          <w:lang w:val="en-US" w:eastAsia="zh-CN"/>
        </w:rPr>
        <w:t>权益</w:t>
      </w:r>
      <w:r>
        <w:rPr>
          <w:rFonts w:hint="eastAsia" w:ascii="宋体" w:hAnsi="宋体" w:eastAsia="宋体" w:cs="宋体"/>
          <w:sz w:val="21"/>
          <w:szCs w:val="21"/>
          <w:highlight w:val="none"/>
          <w:lang w:eastAsia="zh-CN"/>
        </w:rPr>
        <w:t>性质相匹配的</w:t>
      </w:r>
      <w:r>
        <w:rPr>
          <w:rFonts w:hint="eastAsia" w:ascii="宋体" w:hAnsi="宋体" w:eastAsia="宋体" w:cs="宋体"/>
          <w:sz w:val="21"/>
          <w:szCs w:val="21"/>
          <w:highlight w:val="none"/>
        </w:rPr>
        <w:t>合法有效的增值税专用发票，</w:t>
      </w:r>
      <w:r>
        <w:rPr>
          <w:rFonts w:hint="eastAsia" w:ascii="宋体" w:hAnsi="宋体" w:eastAsia="宋体" w:cs="宋体"/>
          <w:sz w:val="21"/>
          <w:szCs w:val="21"/>
          <w:highlight w:val="none"/>
          <w:lang w:eastAsia="zh-CN"/>
        </w:rPr>
        <w:t>甲方收到</w:t>
      </w:r>
      <w:r>
        <w:rPr>
          <w:rFonts w:hint="eastAsia" w:ascii="宋体" w:hAnsi="宋体" w:eastAsia="宋体" w:cs="宋体"/>
          <w:sz w:val="21"/>
          <w:szCs w:val="21"/>
          <w:highlight w:val="none"/>
        </w:rPr>
        <w:t>发票后</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个工作日内</w:t>
      </w:r>
      <w:r>
        <w:rPr>
          <w:rFonts w:hint="eastAsia" w:ascii="宋体" w:hAnsi="宋体" w:eastAsia="宋体" w:cs="宋体"/>
          <w:sz w:val="21"/>
          <w:szCs w:val="21"/>
          <w:highlight w:val="none"/>
          <w:lang w:eastAsia="zh-CN"/>
        </w:rPr>
        <w:t>，完成费用的支付</w:t>
      </w:r>
      <w:r>
        <w:rPr>
          <w:rFonts w:hint="eastAsia" w:ascii="宋体" w:hAnsi="宋体" w:eastAsia="宋体" w:cs="宋体"/>
          <w:sz w:val="21"/>
          <w:szCs w:val="21"/>
          <w:highlight w:val="none"/>
        </w:rPr>
        <w:t>。</w:t>
      </w:r>
    </w:p>
    <w:p w14:paraId="6F15E873">
      <w:pPr>
        <w:snapToGrid w:val="0"/>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 甲方指定开具</w:t>
      </w:r>
      <w:r>
        <w:rPr>
          <w:rFonts w:hint="eastAsia" w:ascii="宋体" w:hAnsi="宋体" w:eastAsia="宋体" w:cs="宋体"/>
          <w:color w:val="auto"/>
          <w:szCs w:val="21"/>
          <w:highlight w:val="none"/>
          <w:lang w:eastAsia="zh-CN"/>
        </w:rPr>
        <w:t>开</w:t>
      </w:r>
      <w:r>
        <w:rPr>
          <w:rFonts w:hint="eastAsia" w:ascii="宋体" w:hAnsi="宋体" w:eastAsia="宋体" w:cs="宋体"/>
          <w:color w:val="auto"/>
          <w:szCs w:val="21"/>
          <w:highlight w:val="none"/>
        </w:rPr>
        <w:t>票信息</w:t>
      </w:r>
      <w:r>
        <w:rPr>
          <w:rFonts w:hint="eastAsia" w:ascii="宋体" w:hAnsi="宋体" w:eastAsia="宋体" w:cs="宋体"/>
          <w:color w:val="auto"/>
          <w:szCs w:val="21"/>
          <w:highlight w:val="none"/>
          <w:lang w:eastAsia="zh-CN"/>
        </w:rPr>
        <w:t>如下：</w:t>
      </w:r>
    </w:p>
    <w:p w14:paraId="6122C546">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名称：_____________________________</w:t>
      </w:r>
    </w:p>
    <w:p w14:paraId="5EA2802D">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税号（统一社会信用代码）：_________</w:t>
      </w:r>
    </w:p>
    <w:p w14:paraId="668938AD">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地址：_____________________________</w:t>
      </w:r>
    </w:p>
    <w:p w14:paraId="0C1864A9">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电话：_____________________________</w:t>
      </w:r>
    </w:p>
    <w:p w14:paraId="781BC59F">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开户行：_____________________________</w:t>
      </w:r>
    </w:p>
    <w:p w14:paraId="0D9A0C1B">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账号：_____________________________</w:t>
      </w:r>
    </w:p>
    <w:p w14:paraId="6D389E1C">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发票内容：税收编码对应简称*产品名称（如产品较多，则于发票“货物或应税劳务、服务名称”栏归纳为产品大类，另提供产品销售清单，列出开票明细）</w:t>
      </w:r>
    </w:p>
    <w:p w14:paraId="6E555C2C">
      <w:pPr>
        <w:snapToGrid w:val="0"/>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 乙方指定收款账户信息如下：</w:t>
      </w:r>
    </w:p>
    <w:p w14:paraId="419C997A">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开户银行：_____________________________</w:t>
      </w:r>
    </w:p>
    <w:p w14:paraId="3C0245EA">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账户户名：_____________________________</w:t>
      </w:r>
    </w:p>
    <w:p w14:paraId="544F560D">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账号：_____________________________</w:t>
      </w:r>
    </w:p>
    <w:p w14:paraId="3B885B25">
      <w:pPr>
        <w:tabs>
          <w:tab w:val="left" w:pos="851"/>
        </w:tabs>
        <w:adjustRightIn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上述账户信息如有变更，变更方应在相应付款期限前至少提前</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10</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个工作日以书面方式通知对方。书面通知应加盖公章。</w:t>
      </w:r>
    </w:p>
    <w:p w14:paraId="7BD822ED">
      <w:pPr>
        <w:tabs>
          <w:tab w:val="left" w:pos="851"/>
        </w:tabs>
        <w:adjustRightInd w:val="0"/>
        <w:snapToGrid/>
        <w:ind w:firstLine="420" w:firstLineChars="200"/>
        <w:rPr>
          <w:rFonts w:hint="eastAsia" w:ascii="宋体" w:hAnsi="宋体" w:eastAsia="宋体" w:cs="宋体"/>
          <w:color w:val="auto"/>
          <w:szCs w:val="21"/>
          <w:highlight w:val="none"/>
        </w:rPr>
      </w:pPr>
      <w:r>
        <w:rPr>
          <w:rFonts w:hint="eastAsia" w:ascii="宋体" w:hAnsi="宋体" w:eastAsia="宋体" w:cs="宋体"/>
          <w:color w:val="000000"/>
          <w:szCs w:val="21"/>
        </w:rPr>
        <w:t>如</w:t>
      </w:r>
      <w:r>
        <w:rPr>
          <w:rFonts w:hint="eastAsia" w:ascii="宋体" w:hAnsi="宋体" w:eastAsia="宋体" w:cs="宋体"/>
          <w:color w:val="000000"/>
          <w:szCs w:val="21"/>
          <w:lang w:eastAsia="zh-CN"/>
        </w:rPr>
        <w:t>因</w:t>
      </w:r>
      <w:r>
        <w:rPr>
          <w:rFonts w:hint="eastAsia" w:ascii="宋体" w:hAnsi="宋体" w:eastAsia="宋体" w:cs="宋体"/>
          <w:color w:val="000000"/>
          <w:szCs w:val="21"/>
        </w:rPr>
        <w:t>乙方未及时通知</w:t>
      </w:r>
      <w:r>
        <w:rPr>
          <w:rFonts w:hint="eastAsia" w:ascii="宋体" w:hAnsi="宋体" w:eastAsia="宋体" w:cs="宋体"/>
          <w:color w:val="000000"/>
          <w:szCs w:val="21"/>
          <w:lang w:eastAsia="zh-CN"/>
        </w:rPr>
        <w:t>，</w:t>
      </w:r>
      <w:r>
        <w:rPr>
          <w:rFonts w:hint="eastAsia" w:ascii="宋体" w:hAnsi="宋体" w:eastAsia="宋体" w:cs="宋体"/>
          <w:color w:val="000000"/>
          <w:szCs w:val="21"/>
        </w:rPr>
        <w:t>导致款项延迟支付或付款错误，责任由乙方承担。</w:t>
      </w:r>
    </w:p>
    <w:p w14:paraId="160C3BE5">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第六条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服务要求</w:t>
      </w:r>
    </w:p>
    <w:p w14:paraId="1A47D817">
      <w:pPr>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6.1 </w:t>
      </w:r>
      <w:r>
        <w:rPr>
          <w:rFonts w:hint="eastAsia" w:ascii="宋体" w:hAnsi="宋体" w:eastAsia="宋体" w:cs="宋体"/>
          <w:b w:val="0"/>
          <w:bCs w:val="0"/>
          <w:color w:val="auto"/>
          <w:szCs w:val="21"/>
          <w:highlight w:val="none"/>
        </w:rPr>
        <w:t>项目服务</w:t>
      </w:r>
      <w:r>
        <w:rPr>
          <w:rFonts w:hint="eastAsia" w:ascii="宋体" w:hAnsi="宋体" w:eastAsia="宋体" w:cs="宋体"/>
          <w:b w:val="0"/>
          <w:bCs w:val="0"/>
          <w:color w:val="auto"/>
          <w:szCs w:val="21"/>
          <w:highlight w:val="none"/>
          <w:lang w:eastAsia="zh-CN"/>
        </w:rPr>
        <w:t>团队</w:t>
      </w:r>
    </w:p>
    <w:p w14:paraId="47E7CF8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乙方须</w:t>
      </w:r>
      <w:r>
        <w:rPr>
          <w:rFonts w:hint="eastAsia" w:ascii="宋体" w:hAnsi="宋体" w:eastAsia="宋体" w:cs="宋体"/>
          <w:lang w:val="en-US" w:eastAsia="zh-CN"/>
        </w:rPr>
        <w:t>在重庆本地具有独立办公地点或分公司，并为甲方在重庆配置专职执行团队，</w:t>
      </w:r>
      <w:r>
        <w:rPr>
          <w:rFonts w:hint="eastAsia" w:ascii="宋体" w:hAnsi="宋体" w:eastAsia="宋体" w:cs="宋体"/>
          <w:color w:val="auto"/>
          <w:szCs w:val="21"/>
          <w:highlight w:val="none"/>
        </w:rPr>
        <w:t>人员要求如下：</w:t>
      </w:r>
    </w:p>
    <w:p w14:paraId="77461500">
      <w:pPr>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lang w:val="en-US" w:eastAsia="zh-CN"/>
        </w:rPr>
        <w:t>（1）</w:t>
      </w:r>
      <w:r>
        <w:rPr>
          <w:rFonts w:hint="eastAsia" w:ascii="宋体" w:hAnsi="宋体" w:eastAsia="宋体" w:cs="宋体"/>
          <w:b w:val="0"/>
          <w:bCs w:val="0"/>
          <w:color w:val="auto"/>
          <w:szCs w:val="21"/>
          <w:highlight w:val="none"/>
        </w:rPr>
        <w:t>项目经理</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shd w:val="clear" w:color="auto" w:fill="auto"/>
          <w:lang w:val="en-US" w:eastAsia="zh-CN"/>
        </w:rPr>
        <w:t>至少</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名</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至少</w:t>
      </w:r>
      <w:r>
        <w:rPr>
          <w:rFonts w:hint="eastAsia" w:ascii="宋体" w:hAnsi="宋体" w:eastAsia="宋体" w:cs="宋体"/>
          <w:b w:val="0"/>
          <w:bCs w:val="0"/>
          <w:color w:val="auto"/>
          <w:szCs w:val="21"/>
          <w:highlight w:val="none"/>
        </w:rPr>
        <w:t>具备五年（含）以上积分</w:t>
      </w:r>
      <w:r>
        <w:rPr>
          <w:rFonts w:hint="eastAsia" w:ascii="宋体" w:hAnsi="宋体" w:eastAsia="宋体" w:cs="宋体"/>
          <w:b w:val="0"/>
          <w:bCs w:val="0"/>
          <w:color w:val="auto"/>
          <w:szCs w:val="21"/>
          <w:highlight w:val="none"/>
          <w:lang w:eastAsia="zh-CN"/>
        </w:rPr>
        <w:t>商城</w:t>
      </w:r>
      <w:r>
        <w:rPr>
          <w:rFonts w:hint="eastAsia" w:ascii="宋体" w:hAnsi="宋体" w:eastAsia="宋体" w:cs="宋体"/>
          <w:b w:val="0"/>
          <w:bCs w:val="0"/>
          <w:color w:val="auto"/>
          <w:szCs w:val="21"/>
          <w:highlight w:val="none"/>
        </w:rPr>
        <w:t>业务运营经验。负责项目整体规划和质量监控以及费用核对、账务结算工作。</w:t>
      </w:r>
      <w:r>
        <w:rPr>
          <w:rFonts w:hint="eastAsia" w:ascii="宋体" w:hAnsi="宋体" w:eastAsia="宋体" w:cs="宋体"/>
          <w:b w:val="0"/>
          <w:bCs w:val="0"/>
          <w:color w:val="auto"/>
          <w:szCs w:val="21"/>
          <w:highlight w:val="none"/>
          <w:lang w:eastAsia="zh-CN"/>
        </w:rPr>
        <w:t>负责</w:t>
      </w:r>
      <w:r>
        <w:rPr>
          <w:rFonts w:hint="eastAsia" w:ascii="宋体" w:hAnsi="宋体" w:eastAsia="宋体" w:cs="宋体"/>
          <w:b w:val="0"/>
          <w:bCs w:val="0"/>
          <w:color w:val="auto"/>
          <w:szCs w:val="21"/>
          <w:highlight w:val="none"/>
        </w:rPr>
        <w:t>与甲方指定</w:t>
      </w:r>
      <w:r>
        <w:rPr>
          <w:rFonts w:hint="eastAsia" w:ascii="宋体" w:hAnsi="宋体" w:eastAsia="宋体" w:cs="宋体"/>
          <w:b w:val="0"/>
          <w:bCs w:val="0"/>
          <w:color w:val="auto"/>
          <w:szCs w:val="21"/>
          <w:highlight w:val="none"/>
          <w:lang w:eastAsia="zh-CN"/>
        </w:rPr>
        <w:t>联系人对接</w:t>
      </w:r>
      <w:r>
        <w:rPr>
          <w:rFonts w:hint="eastAsia" w:ascii="宋体" w:hAnsi="宋体" w:eastAsia="宋体" w:cs="宋体"/>
          <w:b w:val="0"/>
          <w:bCs w:val="0"/>
          <w:color w:val="auto"/>
          <w:szCs w:val="21"/>
          <w:highlight w:val="none"/>
        </w:rPr>
        <w:t>，反馈项目进度并提供有效的改善建议，及时解决服务过程中的出现的问题。项目经理应具备五年（含）以上积分业务运营经验。</w:t>
      </w:r>
    </w:p>
    <w:p w14:paraId="131B3699">
      <w:pPr>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产品经理（至少1名）。至少具备五年（含）以上积分商城系统开发经验。负责配合甲方完成乙方系统功能优化、API接口改造以及营销活动开发等工作，保障项目顺利推进与落地。日常与甲方对接需求，牵头处理各类系统异常问题，如出现业务中断或潜在中断风险，及时提供解决方案并协调资源到达现场解决，确保甲方业务连续性与稳定性。</w:t>
      </w:r>
    </w:p>
    <w:p w14:paraId="3ACA43E4">
      <w:pPr>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业务运营人员（至少1名）：应具备三年（含）以上积分商城业务运营经验。负责积分商城的日常运营支持、商品选品、库存及价格监控、营销活动策划及落地、营销活动配置与数据监控等工作。日常与甲方保持密切沟通，定期收集并反馈运营数据，为商城优化提供依据，确保运营服务的及时性与准确性。</w:t>
      </w:r>
    </w:p>
    <w:p w14:paraId="1976255C">
      <w:pPr>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b w:val="0"/>
          <w:bCs w:val="0"/>
          <w:color w:val="auto"/>
          <w:szCs w:val="21"/>
          <w:highlight w:val="none"/>
          <w:lang w:val="en-US" w:eastAsia="zh-CN"/>
        </w:rPr>
        <w:t>（4）售后服务人员（至少2名）：应具备两年（含）以上积分商城客服或售后相关工作经验。负责处理积分商城相关的客户咨询、投诉及使用问题，提供专业、及时的解决方案。日常需与甲方保持高效协同，对常见问题进行整理反馈，并协助完成客户满意度回访，保障客户的服务体</w:t>
      </w:r>
      <w:r>
        <w:rPr>
          <w:rFonts w:hint="eastAsia" w:ascii="宋体" w:hAnsi="宋体" w:eastAsia="宋体" w:cs="宋体"/>
          <w:i w:val="0"/>
          <w:iCs w:val="0"/>
          <w:caps w:val="0"/>
          <w:color w:val="auto"/>
          <w:spacing w:val="0"/>
          <w:sz w:val="21"/>
          <w:szCs w:val="21"/>
          <w:highlight w:val="none"/>
          <w:shd w:val="clear" w:color="auto" w:fill="auto"/>
        </w:rPr>
        <w:t>验与满意度。</w:t>
      </w:r>
    </w:p>
    <w:p w14:paraId="4EA9E489">
      <w:pPr>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6.2 </w:t>
      </w:r>
      <w:r>
        <w:rPr>
          <w:rFonts w:hint="eastAsia" w:ascii="宋体" w:hAnsi="宋体" w:eastAsia="宋体" w:cs="宋体"/>
          <w:b w:val="0"/>
          <w:bCs w:val="0"/>
          <w:color w:val="auto"/>
          <w:szCs w:val="21"/>
          <w:highlight w:val="none"/>
        </w:rPr>
        <w:t>项目</w:t>
      </w:r>
      <w:r>
        <w:rPr>
          <w:rFonts w:hint="eastAsia" w:ascii="宋体" w:hAnsi="宋体" w:eastAsia="宋体" w:cs="宋体"/>
          <w:b w:val="0"/>
          <w:bCs w:val="0"/>
          <w:color w:val="auto"/>
          <w:szCs w:val="21"/>
          <w:highlight w:val="none"/>
          <w:lang w:eastAsia="zh-CN"/>
        </w:rPr>
        <w:t>运营管理</w:t>
      </w:r>
    </w:p>
    <w:p w14:paraId="40362846">
      <w:pPr>
        <w:ind w:firstLine="420" w:firstLineChars="200"/>
        <w:rPr>
          <w:rFonts w:hint="eastAsia" w:ascii="宋体" w:hAnsi="宋体" w:eastAsia="宋体" w:cs="宋体"/>
          <w:color w:val="auto"/>
          <w:szCs w:val="21"/>
          <w:highlight w:val="none"/>
        </w:rPr>
      </w:pPr>
      <w:r>
        <w:rPr>
          <w:rFonts w:hint="eastAsia" w:ascii="宋体" w:hAnsi="宋体" w:eastAsia="宋体" w:cs="宋体"/>
          <w:lang w:val="en-US" w:eastAsia="zh-CN"/>
        </w:rPr>
        <w:t>（1）</w:t>
      </w:r>
      <w:r>
        <w:rPr>
          <w:rFonts w:hint="eastAsia" w:ascii="宋体" w:hAnsi="宋体" w:eastAsia="宋体" w:cs="宋体"/>
          <w:color w:val="auto"/>
          <w:szCs w:val="21"/>
          <w:highlight w:val="none"/>
        </w:rPr>
        <w:t>乙方应按月向甲方提供</w:t>
      </w:r>
      <w:r>
        <w:rPr>
          <w:rFonts w:hint="eastAsia" w:ascii="宋体" w:hAnsi="宋体" w:eastAsia="宋体" w:cs="宋体"/>
          <w:color w:val="auto"/>
          <w:szCs w:val="21"/>
          <w:highlight w:val="none"/>
          <w:lang w:eastAsia="zh-CN"/>
        </w:rPr>
        <w:t>运营</w:t>
      </w:r>
      <w:r>
        <w:rPr>
          <w:rFonts w:hint="eastAsia" w:ascii="宋体" w:hAnsi="宋体" w:eastAsia="宋体" w:cs="宋体"/>
          <w:color w:val="auto"/>
          <w:szCs w:val="21"/>
          <w:highlight w:val="none"/>
        </w:rPr>
        <w:t>分析</w:t>
      </w:r>
      <w:r>
        <w:rPr>
          <w:rFonts w:hint="eastAsia" w:ascii="宋体" w:hAnsi="宋体" w:eastAsia="宋体" w:cs="宋体"/>
          <w:color w:val="auto"/>
          <w:szCs w:val="21"/>
          <w:highlight w:val="none"/>
          <w:lang w:eastAsia="zh-CN"/>
        </w:rPr>
        <w:t>报告</w:t>
      </w:r>
      <w:r>
        <w:rPr>
          <w:rFonts w:hint="eastAsia" w:ascii="宋体" w:hAnsi="宋体" w:eastAsia="宋体" w:cs="宋体"/>
          <w:color w:val="auto"/>
          <w:szCs w:val="21"/>
          <w:highlight w:val="none"/>
        </w:rPr>
        <w:t>。分析内容包括但不限于汇总每月投诉问题单的处理情况、每月服务热线接通处理情况、商品的兑换</w:t>
      </w:r>
      <w:r>
        <w:rPr>
          <w:rFonts w:hint="eastAsia" w:ascii="宋体" w:hAnsi="宋体" w:eastAsia="宋体" w:cs="宋体"/>
          <w:color w:val="auto"/>
          <w:szCs w:val="21"/>
          <w:highlight w:val="none"/>
          <w:lang w:eastAsia="zh-CN"/>
        </w:rPr>
        <w:t>情况。</w:t>
      </w:r>
      <w:r>
        <w:rPr>
          <w:rFonts w:hint="eastAsia" w:ascii="宋体" w:hAnsi="宋体" w:eastAsia="宋体" w:cs="宋体"/>
          <w:color w:val="auto"/>
          <w:szCs w:val="21"/>
          <w:highlight w:val="none"/>
        </w:rPr>
        <w:t>深入分析每款商品受欢迎程度、客户喜好、同业积分换礼动态、市场动态等。</w:t>
      </w:r>
    </w:p>
    <w:p w14:paraId="3E8CEE4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需</w:t>
      </w:r>
      <w:r>
        <w:rPr>
          <w:rFonts w:hint="eastAsia" w:ascii="宋体" w:hAnsi="宋体" w:eastAsia="宋体" w:cs="宋体"/>
          <w:color w:val="auto"/>
          <w:szCs w:val="21"/>
          <w:highlight w:val="none"/>
        </w:rPr>
        <w:t>根据甲方</w:t>
      </w:r>
      <w:r>
        <w:rPr>
          <w:rFonts w:hint="eastAsia" w:ascii="宋体" w:hAnsi="宋体" w:eastAsia="宋体" w:cs="宋体"/>
          <w:color w:val="auto"/>
          <w:szCs w:val="21"/>
          <w:highlight w:val="none"/>
          <w:lang w:eastAsia="zh-CN"/>
        </w:rPr>
        <w:t>需求</w:t>
      </w:r>
      <w:r>
        <w:rPr>
          <w:rFonts w:hint="eastAsia" w:ascii="宋体" w:hAnsi="宋体" w:eastAsia="宋体" w:cs="宋体"/>
          <w:color w:val="auto"/>
          <w:szCs w:val="21"/>
          <w:highlight w:val="none"/>
        </w:rPr>
        <w:t>，提供营销方案；结合市场动态，提供商品让利、</w:t>
      </w:r>
      <w:r>
        <w:rPr>
          <w:rFonts w:hint="eastAsia" w:ascii="宋体" w:hAnsi="宋体" w:eastAsia="宋体" w:cs="宋体"/>
          <w:color w:val="auto"/>
          <w:szCs w:val="21"/>
          <w:highlight w:val="none"/>
          <w:lang w:eastAsia="zh-CN"/>
        </w:rPr>
        <w:t>营销</w:t>
      </w:r>
      <w:r>
        <w:rPr>
          <w:rFonts w:hint="eastAsia" w:ascii="宋体" w:hAnsi="宋体" w:eastAsia="宋体" w:cs="宋体"/>
          <w:color w:val="auto"/>
          <w:szCs w:val="21"/>
          <w:highlight w:val="none"/>
        </w:rPr>
        <w:t>活动策划提案。甲方根据提案质量、吸引程度确认是否使用。</w:t>
      </w:r>
    </w:p>
    <w:p w14:paraId="261DAE90">
      <w:pP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第七条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lang w:eastAsia="zh-CN"/>
        </w:rPr>
        <w:t>客户服务</w:t>
      </w:r>
    </w:p>
    <w:p w14:paraId="518F19A3">
      <w:pPr>
        <w:ind w:firstLine="420" w:firstLineChars="200"/>
        <w:rPr>
          <w:rFonts w:hint="eastAsia" w:ascii="宋体" w:hAnsi="宋体" w:eastAsia="宋体" w:cs="宋体"/>
          <w:color w:val="auto"/>
          <w:szCs w:val="21"/>
          <w:highlight w:val="none"/>
        </w:rPr>
      </w:pPr>
      <w:r>
        <w:rPr>
          <w:rFonts w:hint="eastAsia" w:ascii="宋体" w:hAnsi="宋体" w:eastAsia="宋体" w:cs="宋体"/>
          <w:lang w:val="en-US" w:eastAsia="zh-CN"/>
        </w:rPr>
        <w:t xml:space="preserve">7.1 </w:t>
      </w:r>
      <w:r>
        <w:rPr>
          <w:rFonts w:hint="eastAsia" w:ascii="宋体" w:hAnsi="宋体" w:eastAsia="宋体" w:cs="宋体"/>
          <w:color w:val="auto"/>
          <w:szCs w:val="21"/>
          <w:highlight w:val="none"/>
        </w:rPr>
        <w:t>乙方须为甲方提供专门的客服坐席团队，本项目客户服务热线号码是[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lang w:val="en-US" w:eastAsia="zh-CN"/>
        </w:rPr>
        <w:t>乙方客服面向甲方的服务时间应不得少于7X12小时（含法定节假日）；乙方客服面向甲方客户的服务时间应不得少于7X24小时（含法定节假日）；</w:t>
      </w:r>
    </w:p>
    <w:p w14:paraId="2005AE7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en-US" w:eastAsia="zh-CN"/>
        </w:rPr>
        <w:t xml:space="preserve">7.2 </w:t>
      </w:r>
      <w:r>
        <w:rPr>
          <w:rFonts w:hint="eastAsia" w:ascii="宋体" w:hAnsi="宋体" w:eastAsia="宋体" w:cs="宋体"/>
          <w:color w:val="auto"/>
          <w:szCs w:val="21"/>
          <w:highlight w:val="none"/>
        </w:rPr>
        <w:t>乙方应定期对本项目的客服坐席团队进行培训，掌握最新的项目内容。</w:t>
      </w:r>
    </w:p>
    <w:p w14:paraId="5F84B581">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en-US" w:eastAsia="zh-CN"/>
        </w:rPr>
        <w:t xml:space="preserve">7.3 </w:t>
      </w:r>
      <w:r>
        <w:rPr>
          <w:rFonts w:hint="eastAsia" w:ascii="宋体" w:hAnsi="宋体" w:eastAsia="宋体" w:cs="宋体"/>
          <w:color w:val="auto"/>
          <w:szCs w:val="21"/>
          <w:highlight w:val="none"/>
        </w:rPr>
        <w:t>乙方承诺客户服务热线接通率达9</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%，承诺月不良投诉率控制在0.2% 内。</w:t>
      </w:r>
    </w:p>
    <w:p w14:paraId="1F7497E3">
      <w:pPr>
        <w:snapToGrid w:val="0"/>
        <w:ind w:firstLine="420"/>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服务热线接通率=客户致电服务热线接通量</w:t>
      </w:r>
      <w:r>
        <w:rPr>
          <w:rFonts w:hint="eastAsia" w:ascii="宋体" w:hAnsi="宋体" w:eastAsia="宋体" w:cs="宋体"/>
          <w:szCs w:val="24"/>
          <w:highlight w:val="none"/>
          <w:u w:val="none"/>
          <w:lang w:val="en-US" w:eastAsia="zh-CN"/>
        </w:rPr>
        <w:t xml:space="preserve"> </w:t>
      </w:r>
      <w:r>
        <w:rPr>
          <w:rFonts w:hint="eastAsia" w:ascii="宋体" w:hAnsi="宋体" w:eastAsia="宋体" w:cs="宋体"/>
          <w:color w:val="auto"/>
          <w:szCs w:val="24"/>
          <w:highlight w:val="none"/>
          <w:u w:val="none"/>
        </w:rPr>
        <w:t>÷</w:t>
      </w:r>
      <w:r>
        <w:rPr>
          <w:rFonts w:hint="eastAsia" w:ascii="宋体" w:hAnsi="宋体" w:eastAsia="宋体" w:cs="宋体"/>
          <w:szCs w:val="24"/>
          <w:highlight w:val="none"/>
          <w:u w:val="none"/>
          <w:lang w:val="en-US" w:eastAsia="zh-CN"/>
        </w:rPr>
        <w:t xml:space="preserve"> </w:t>
      </w:r>
      <w:r>
        <w:rPr>
          <w:rFonts w:hint="eastAsia" w:ascii="宋体" w:hAnsi="宋体" w:eastAsia="宋体" w:cs="宋体"/>
          <w:color w:val="auto"/>
          <w:szCs w:val="24"/>
          <w:highlight w:val="none"/>
          <w:u w:val="none"/>
        </w:rPr>
        <w:t xml:space="preserve">总来电量 </w:t>
      </w:r>
    </w:p>
    <w:p w14:paraId="4917A483">
      <w:pPr>
        <w:snapToGrid w:val="0"/>
        <w:ind w:firstLine="420"/>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月不良投诉率=本月不良投诉量 ÷ 本月订单总量（含退货订单）</w:t>
      </w:r>
    </w:p>
    <w:p w14:paraId="4C42C90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不良投诉的定义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因甲方、甲方客户或不可抗力原因导致甲方客户未能如期收到兑换产品、使用产品过程中发现为假冒产品、或产品质量问题或产品功能描述不符、或快递发货问题等损害甲方客户利益而引起的投诉。同一客户的每次不良投诉均计算为1次投诉，不管是否针对同一产品或同一事件。</w:t>
      </w:r>
    </w:p>
    <w:p w14:paraId="549966F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szCs w:val="24"/>
          <w:lang w:val="en-US" w:eastAsia="zh-CN"/>
        </w:rPr>
        <w:t xml:space="preserve">7.4 </w:t>
      </w:r>
      <w:r>
        <w:rPr>
          <w:rFonts w:hint="eastAsia" w:ascii="宋体" w:hAnsi="宋体" w:eastAsia="宋体" w:cs="宋体"/>
          <w:color w:val="auto"/>
          <w:szCs w:val="21"/>
          <w:highlight w:val="none"/>
        </w:rPr>
        <w:t>乙方须建立客户投诉处理机制，要求在T+1个工作日内（含）有效解决客户投诉。如甲方客户致电乙方的服务热线，乙方应按以下要求提供服务：</w:t>
      </w:r>
    </w:p>
    <w:p w14:paraId="72029A3F">
      <w:pPr>
        <w:snapToGrid w:val="0"/>
        <w:ind w:firstLine="420"/>
        <w:rPr>
          <w:rFonts w:hint="eastAsia" w:ascii="宋体" w:hAnsi="宋体" w:eastAsia="宋体" w:cs="宋体"/>
          <w:color w:val="auto"/>
          <w:szCs w:val="21"/>
          <w:highlight w:val="none"/>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color w:val="auto"/>
          <w:szCs w:val="21"/>
          <w:highlight w:val="none"/>
        </w:rPr>
        <w:t>如甲方客户来电仅查询订单的配送情况，直接咨询对关于产品的材质规格（包括颜色、款式、型号等）、是否有库存可供应等一般性问题查询，乙方须承诺可立即答复。</w:t>
      </w:r>
    </w:p>
    <w:p w14:paraId="64C47813">
      <w:pPr>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color w:val="auto"/>
          <w:szCs w:val="21"/>
          <w:highlight w:val="none"/>
        </w:rPr>
        <w:t>如甲方客户致电提出涉及订单的质量投诉、配送服务差、延迟等投诉，乙方承诺在T+1个工作</w:t>
      </w:r>
      <w:r>
        <w:rPr>
          <w:rFonts w:hint="eastAsia" w:ascii="宋体" w:hAnsi="宋体" w:eastAsia="宋体" w:cs="宋体"/>
          <w:color w:val="auto"/>
          <w:szCs w:val="24"/>
          <w:highlight w:val="none"/>
          <w:lang w:val="en-US" w:eastAsia="zh-CN"/>
        </w:rPr>
        <w:t>日内主动向甲方客户进行回复并与甲方客户就解决方案达成一致，并跟踪后续处理结果。　</w:t>
      </w:r>
    </w:p>
    <w:p w14:paraId="5472DC1D">
      <w:pPr>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（3）如甲方客户提出要投诉至媒体、国家机关、政府监管部门或第三方团体时，乙方须在0.5 小时内反馈给甲方，并1小时内提出有效解决方案。如限时内无法解决，应及时向甲方反馈，与甲方协商处理。</w:t>
      </w:r>
    </w:p>
    <w:p w14:paraId="73BA3AB8">
      <w:pPr>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（4）如乙方在收到经甲方以电子邮件或其他方式发送的关于客户查询/投诉的信息，须于当日内向甲方核实回复。对于紧急投诉，须于1小时内提供有效处解决方案。</w:t>
      </w:r>
    </w:p>
    <w:p w14:paraId="3BDD6B6C">
      <w:pPr>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（5）乙方未按上述要求处理，需承担相应的处罚措施，具体详见第XXX条“违约处理条款”。</w:t>
      </w:r>
    </w:p>
    <w:p w14:paraId="51111477">
      <w:pP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第八条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商品</w:t>
      </w:r>
      <w:r>
        <w:rPr>
          <w:rFonts w:hint="eastAsia" w:ascii="宋体" w:hAnsi="宋体" w:eastAsia="宋体" w:cs="宋体"/>
          <w:b/>
          <w:bCs/>
          <w:color w:val="auto"/>
          <w:szCs w:val="21"/>
          <w:highlight w:val="none"/>
          <w:lang w:eastAsia="zh-CN"/>
        </w:rPr>
        <w:t>发货要求</w:t>
      </w:r>
    </w:p>
    <w:p w14:paraId="2CF9A680">
      <w:pPr>
        <w:snapToGrid w:val="0"/>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甲方订单生成后，通过乙方接口推送给乙方，乙方需在规定时间内完成商品的配送、发货。</w:t>
      </w:r>
    </w:p>
    <w:p w14:paraId="465D1135">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8.1 </w:t>
      </w:r>
      <w:r>
        <w:rPr>
          <w:rFonts w:hint="eastAsia" w:ascii="宋体" w:hAnsi="宋体" w:eastAsia="宋体" w:cs="宋体"/>
          <w:color w:val="auto"/>
          <w:szCs w:val="21"/>
          <w:highlight w:val="none"/>
          <w:lang w:eastAsia="zh-CN"/>
        </w:rPr>
        <w:t>虚拟商品发货时效要求</w:t>
      </w:r>
      <w:r>
        <w:rPr>
          <w:rFonts w:hint="eastAsia" w:ascii="宋体" w:hAnsi="宋体" w:eastAsia="宋体" w:cs="宋体"/>
          <w:color w:val="auto"/>
          <w:szCs w:val="21"/>
          <w:highlight w:val="none"/>
        </w:rPr>
        <w:t>：虚拟商品交付以线上电子方式实现。如采用直充方式交付，</w:t>
      </w:r>
      <w:r>
        <w:rPr>
          <w:rFonts w:hint="eastAsia" w:ascii="宋体" w:hAnsi="宋体" w:eastAsia="宋体" w:cs="宋体"/>
          <w:color w:val="auto"/>
          <w:szCs w:val="21"/>
          <w:highlight w:val="none"/>
          <w:lang w:eastAsia="zh-CN"/>
        </w:rPr>
        <w:t>乙方需甲方</w:t>
      </w:r>
      <w:r>
        <w:rPr>
          <w:rFonts w:hint="eastAsia" w:ascii="宋体" w:hAnsi="宋体" w:eastAsia="宋体" w:cs="宋体"/>
          <w:color w:val="auto"/>
          <w:szCs w:val="21"/>
          <w:highlight w:val="none"/>
        </w:rPr>
        <w:t>订单生成后48小时内（以将完成状态上传至采购人商城系统为准）</w:t>
      </w:r>
      <w:r>
        <w:rPr>
          <w:rFonts w:hint="eastAsia" w:ascii="宋体" w:hAnsi="宋体" w:eastAsia="宋体" w:cs="宋体"/>
          <w:color w:val="auto"/>
          <w:szCs w:val="21"/>
          <w:highlight w:val="none"/>
          <w:lang w:eastAsia="zh-CN"/>
        </w:rPr>
        <w:t>充值到甲方客户指定账号</w:t>
      </w:r>
      <w:r>
        <w:rPr>
          <w:rFonts w:hint="eastAsia" w:ascii="宋体" w:hAnsi="宋体" w:eastAsia="宋体" w:cs="宋体"/>
          <w:color w:val="auto"/>
          <w:szCs w:val="21"/>
          <w:highlight w:val="none"/>
        </w:rPr>
        <w:t>；如采用卡密、兑换码、兑换链接等方式交付，</w:t>
      </w:r>
      <w:r>
        <w:rPr>
          <w:rFonts w:hint="eastAsia" w:ascii="宋体" w:hAnsi="宋体" w:eastAsia="宋体" w:cs="宋体"/>
          <w:color w:val="auto"/>
          <w:szCs w:val="21"/>
          <w:highlight w:val="none"/>
          <w:lang w:eastAsia="zh-CN"/>
        </w:rPr>
        <w:t>乙方需在甲方系统</w:t>
      </w:r>
      <w:r>
        <w:rPr>
          <w:rFonts w:hint="eastAsia" w:ascii="宋体" w:hAnsi="宋体" w:eastAsia="宋体" w:cs="宋体"/>
          <w:color w:val="auto"/>
          <w:szCs w:val="21"/>
          <w:highlight w:val="none"/>
        </w:rPr>
        <w:t>订单生成后1分钟内，将卡密、兑换码、兑换链接等信息上传至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系统，并显示给</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客户。</w:t>
      </w:r>
    </w:p>
    <w:p w14:paraId="12C12798">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8.2 </w:t>
      </w:r>
      <w:r>
        <w:rPr>
          <w:rFonts w:hint="eastAsia" w:ascii="宋体" w:hAnsi="宋体" w:eastAsia="宋体" w:cs="宋体"/>
          <w:color w:val="auto"/>
          <w:szCs w:val="21"/>
          <w:highlight w:val="none"/>
          <w:lang w:eastAsia="zh-CN"/>
        </w:rPr>
        <w:t>实物商品</w:t>
      </w:r>
      <w:r>
        <w:rPr>
          <w:rFonts w:hint="eastAsia" w:ascii="宋体" w:hAnsi="宋体" w:eastAsia="宋体" w:cs="宋体"/>
          <w:color w:val="auto"/>
          <w:szCs w:val="21"/>
          <w:highlight w:val="none"/>
        </w:rPr>
        <w:t>发货时效要求：乙方</w:t>
      </w:r>
      <w:r>
        <w:rPr>
          <w:rFonts w:hint="eastAsia" w:ascii="宋体" w:hAnsi="宋体" w:eastAsia="宋体" w:cs="宋体"/>
          <w:color w:val="auto"/>
          <w:szCs w:val="21"/>
          <w:highlight w:val="none"/>
          <w:lang w:eastAsia="zh-CN"/>
        </w:rPr>
        <w:t>需在甲方系统订单生成后</w:t>
      </w:r>
      <w:r>
        <w:rPr>
          <w:rFonts w:hint="eastAsia" w:ascii="宋体" w:hAnsi="宋体" w:eastAsia="宋体" w:cs="宋体"/>
          <w:color w:val="auto"/>
          <w:szCs w:val="21"/>
          <w:highlight w:val="none"/>
          <w:u w:val="single"/>
        </w:rPr>
        <w:t>T+2</w:t>
      </w:r>
      <w:r>
        <w:rPr>
          <w:rFonts w:hint="eastAsia" w:ascii="宋体" w:hAnsi="宋体" w:eastAsia="宋体" w:cs="宋体"/>
          <w:color w:val="auto"/>
          <w:szCs w:val="21"/>
          <w:highlight w:val="none"/>
        </w:rPr>
        <w:t>个工作日内完成商品发货。如遇特殊商品无法满足此发货时效，乙方应向甲方提供专项说明至甲方审核评估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发货完成以在甲方系统上传发货快递单号为准。</w:t>
      </w:r>
    </w:p>
    <w:p w14:paraId="0DD6DC43">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8.3 </w:t>
      </w:r>
      <w:r>
        <w:rPr>
          <w:rFonts w:hint="eastAsia" w:ascii="宋体" w:hAnsi="宋体" w:eastAsia="宋体" w:cs="宋体"/>
          <w:color w:val="auto"/>
          <w:szCs w:val="21"/>
          <w:highlight w:val="none"/>
        </w:rPr>
        <w:t>配送时限要求：乙方应</w:t>
      </w:r>
      <w:r>
        <w:rPr>
          <w:rFonts w:hint="eastAsia" w:ascii="宋体" w:hAnsi="宋体" w:eastAsia="宋体" w:cs="宋体"/>
          <w:color w:val="auto"/>
          <w:szCs w:val="21"/>
          <w:highlight w:val="none"/>
          <w:lang w:eastAsia="zh-CN"/>
        </w:rPr>
        <w:t>保证</w:t>
      </w:r>
      <w:r>
        <w:rPr>
          <w:rFonts w:hint="eastAsia" w:ascii="宋体" w:hAnsi="宋体" w:eastAsia="宋体" w:cs="宋体"/>
          <w:color w:val="auto"/>
          <w:szCs w:val="21"/>
          <w:highlight w:val="none"/>
        </w:rPr>
        <w:t>重庆本地区域物流配送时限在3个自然日（含）内，特殊地区（新疆、青海、西藏、云南、海南地区）配送时限在7个自然日（含）内，其余地区配送时限在5个自然日（含）内。</w:t>
      </w:r>
    </w:p>
    <w:p w14:paraId="7C5BEFA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（1）配送时限指订单发货之日至客户签收之日的时间。因不可抗力或甲方客户提供信息有误而造成乙方迟延递送的情况不在配送时限要求范围内。</w:t>
      </w:r>
    </w:p>
    <w:p w14:paraId="0EC9B57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（2）如遇特殊商品无法满足此配送时限，乙方应向甲方提供专项说明至甲方审核评估。</w:t>
      </w:r>
      <w:r>
        <w:rPr>
          <w:rFonts w:hint="eastAsia" w:ascii="宋体" w:hAnsi="宋体" w:eastAsia="宋体" w:cs="宋体"/>
          <w:lang w:eastAsia="zh-CN"/>
        </w:rPr>
        <w:t>乙方</w:t>
      </w:r>
      <w:r>
        <w:rPr>
          <w:rFonts w:hint="eastAsia" w:ascii="宋体" w:hAnsi="宋体" w:eastAsia="宋体" w:cs="宋体"/>
        </w:rPr>
        <w:t>应要求合作快递送货当天</w:t>
      </w:r>
      <w:r>
        <w:rPr>
          <w:rFonts w:hint="eastAsia" w:ascii="宋体" w:hAnsi="宋体" w:eastAsia="宋体" w:cs="宋体"/>
          <w:lang w:eastAsia="zh-CN"/>
        </w:rPr>
        <w:t>按订单收件人联系方式</w:t>
      </w:r>
      <w:r>
        <w:rPr>
          <w:rFonts w:hint="eastAsia" w:ascii="宋体" w:hAnsi="宋体" w:eastAsia="宋体" w:cs="宋体"/>
        </w:rPr>
        <w:t>致电</w:t>
      </w:r>
      <w:r>
        <w:rPr>
          <w:rFonts w:hint="eastAsia" w:ascii="宋体" w:hAnsi="宋体" w:eastAsia="宋体" w:cs="宋体"/>
          <w:lang w:eastAsia="zh-CN"/>
        </w:rPr>
        <w:t>收件人，</w:t>
      </w:r>
      <w:r>
        <w:rPr>
          <w:rFonts w:hint="eastAsia" w:ascii="宋体" w:hAnsi="宋体" w:eastAsia="宋体" w:cs="宋体"/>
        </w:rPr>
        <w:t>确认配送地址及配送时间。</w:t>
      </w:r>
      <w:r>
        <w:rPr>
          <w:rFonts w:hint="eastAsia" w:ascii="宋体" w:hAnsi="宋体" w:eastAsia="宋体" w:cs="宋体"/>
          <w:color w:val="auto"/>
          <w:szCs w:val="21"/>
          <w:highlight w:val="none"/>
        </w:rPr>
        <w:t>对于在配送过程中3次（含）以上仍无法取得联系的客户，乙方应立即将客户信息反馈给甲方，经甲方确认后，乙方应按甲方提供的新联系方式与客户取得联系安排配送或按甲方提供的新地址重新进行配送。如因配送争议或物流时效引起的客诉，乙方须负责妥善处理、消除对甲方造成的不良影响并承担对应损失。</w:t>
      </w:r>
    </w:p>
    <w:p w14:paraId="5ECE9C08">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8.4 </w:t>
      </w:r>
      <w:r>
        <w:rPr>
          <w:rFonts w:hint="eastAsia" w:ascii="宋体" w:hAnsi="宋体" w:eastAsia="宋体" w:cs="宋体"/>
          <w:color w:val="auto"/>
          <w:szCs w:val="21"/>
          <w:highlight w:val="none"/>
        </w:rPr>
        <w:t>配送结果的反馈：乙方</w:t>
      </w:r>
      <w:r>
        <w:rPr>
          <w:rFonts w:hint="eastAsia" w:ascii="宋体" w:hAnsi="宋体" w:eastAsia="宋体" w:cs="宋体"/>
          <w:color w:val="auto"/>
          <w:szCs w:val="21"/>
          <w:highlight w:val="none"/>
          <w:lang w:eastAsia="zh-CN"/>
        </w:rPr>
        <w:t>需通过接口向</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推送</w:t>
      </w:r>
      <w:r>
        <w:rPr>
          <w:rFonts w:hint="eastAsia" w:ascii="宋体" w:hAnsi="宋体" w:eastAsia="宋体" w:cs="宋体"/>
          <w:color w:val="auto"/>
          <w:szCs w:val="21"/>
          <w:highlight w:val="none"/>
        </w:rPr>
        <w:t>商品的</w:t>
      </w:r>
      <w:r>
        <w:rPr>
          <w:rFonts w:hint="eastAsia" w:ascii="宋体" w:hAnsi="宋体" w:eastAsia="宋体" w:cs="宋体"/>
          <w:color w:val="auto"/>
          <w:szCs w:val="21"/>
          <w:highlight w:val="none"/>
          <w:lang w:eastAsia="zh-CN"/>
        </w:rPr>
        <w:t>配送状态（包括但不限于：待发货、已发货、已完成、已取消等状态），以及配送信息</w:t>
      </w:r>
      <w:r>
        <w:rPr>
          <w:rFonts w:hint="eastAsia" w:ascii="宋体" w:hAnsi="宋体" w:eastAsia="宋体" w:cs="宋体"/>
          <w:color w:val="auto"/>
          <w:szCs w:val="21"/>
          <w:highlight w:val="none"/>
        </w:rPr>
        <w:t>（包括但不限于：已下订单商品的</w:t>
      </w:r>
      <w:r>
        <w:rPr>
          <w:rFonts w:hint="eastAsia" w:ascii="宋体" w:hAnsi="宋体" w:eastAsia="宋体" w:cs="宋体"/>
          <w:color w:val="auto"/>
          <w:szCs w:val="21"/>
          <w:highlight w:val="none"/>
          <w:lang w:eastAsia="zh-CN"/>
        </w:rPr>
        <w:t>配送单号、</w:t>
      </w:r>
      <w:r>
        <w:rPr>
          <w:rFonts w:hint="eastAsia" w:ascii="宋体" w:hAnsi="宋体" w:eastAsia="宋体" w:cs="宋体"/>
          <w:color w:val="auto"/>
          <w:szCs w:val="21"/>
          <w:highlight w:val="none"/>
        </w:rPr>
        <w:t>承运商名称</w:t>
      </w:r>
      <w:r>
        <w:rPr>
          <w:rFonts w:hint="eastAsia" w:ascii="宋体" w:hAnsi="宋体" w:eastAsia="宋体" w:cs="宋体"/>
          <w:color w:val="auto"/>
          <w:szCs w:val="21"/>
          <w:highlight w:val="none"/>
          <w:lang w:eastAsia="zh-CN"/>
        </w:rPr>
        <w:t>、预计送达时间、</w:t>
      </w:r>
      <w:r>
        <w:rPr>
          <w:rFonts w:hint="eastAsia" w:ascii="宋体" w:hAnsi="宋体" w:eastAsia="宋体" w:cs="宋体"/>
          <w:color w:val="auto"/>
          <w:szCs w:val="21"/>
          <w:highlight w:val="none"/>
        </w:rPr>
        <w:t>发货</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、签收</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eastAsia="zh-CN"/>
        </w:rPr>
        <w:t>信息</w:t>
      </w:r>
      <w:r>
        <w:rPr>
          <w:rFonts w:hint="eastAsia" w:ascii="宋体" w:hAnsi="宋体" w:eastAsia="宋体" w:cs="宋体"/>
          <w:color w:val="auto"/>
          <w:szCs w:val="21"/>
          <w:highlight w:val="none"/>
        </w:rPr>
        <w:t>）。</w:t>
      </w:r>
    </w:p>
    <w:p w14:paraId="05F15F7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第九条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商品售后服务</w:t>
      </w:r>
    </w:p>
    <w:p w14:paraId="1530B2D6">
      <w:pPr>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9.1 </w:t>
      </w:r>
      <w:r>
        <w:rPr>
          <w:rFonts w:hint="eastAsia" w:ascii="宋体" w:hAnsi="宋体" w:eastAsia="宋体" w:cs="宋体"/>
          <w:color w:val="auto"/>
          <w:szCs w:val="21"/>
          <w:highlight w:val="none"/>
        </w:rPr>
        <w:t>乙方保证所提供的商品为甲方所要求品牌的原装合格正品，且商品的质量符合国家、地方或行业相关质量标准,国家标准与地方标准不一致的，以质量要求较高者为准；若本协议所涉及的商品无国家标准、地方标准或行业标准，则以通常标准、安全原则或符合协议目的的特定标准履行。</w:t>
      </w:r>
    </w:p>
    <w:p w14:paraId="400889A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9.2 </w:t>
      </w:r>
      <w:r>
        <w:rPr>
          <w:rFonts w:hint="eastAsia" w:ascii="宋体" w:hAnsi="宋体" w:eastAsia="宋体" w:cs="宋体"/>
          <w:color w:val="auto"/>
          <w:szCs w:val="21"/>
          <w:highlight w:val="none"/>
        </w:rPr>
        <w:t>本协议所涉及的商品均享有乙方正常供应之商品所享有的各项售后服务权利，因乙方所供商品品质问题造成的所有不良后果均由乙方承担，乙方承诺本协议所涉商品出现本身制作问题和瑕疵，由乙方包退包换。</w:t>
      </w:r>
    </w:p>
    <w:p w14:paraId="6E768F1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9.3 </w:t>
      </w:r>
      <w:r>
        <w:rPr>
          <w:rFonts w:hint="eastAsia" w:ascii="宋体" w:hAnsi="宋体" w:eastAsia="宋体" w:cs="宋体"/>
          <w:color w:val="auto"/>
          <w:szCs w:val="21"/>
          <w:highlight w:val="none"/>
        </w:rPr>
        <w:t>乙方须在每个商品的独立包装内提供三包凭证和合格证，甲方客户凭该三包凭证或合格证即可享受乙方三包服务。</w:t>
      </w:r>
    </w:p>
    <w:p w14:paraId="7AF7039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9.4 </w:t>
      </w:r>
      <w:r>
        <w:rPr>
          <w:rFonts w:hint="eastAsia" w:ascii="宋体" w:hAnsi="宋体" w:eastAsia="宋体" w:cs="宋体"/>
          <w:color w:val="auto"/>
          <w:szCs w:val="21"/>
          <w:highlight w:val="none"/>
        </w:rPr>
        <w:t>乙方须提供“7天无理由退货”服务，</w:t>
      </w:r>
      <w:r>
        <w:rPr>
          <w:rFonts w:hint="eastAsia" w:ascii="宋体" w:hAnsi="宋体" w:eastAsia="宋体" w:cs="宋体"/>
          <w:color w:val="auto"/>
          <w:szCs w:val="21"/>
          <w:highlight w:val="none"/>
          <w:lang w:eastAsia="zh-CN"/>
        </w:rPr>
        <w:t>如</w:t>
      </w:r>
      <w:r>
        <w:rPr>
          <w:rFonts w:hint="eastAsia" w:ascii="宋体" w:hAnsi="宋体" w:eastAsia="宋体" w:cs="宋体"/>
          <w:color w:val="auto"/>
          <w:szCs w:val="21"/>
          <w:highlight w:val="none"/>
        </w:rPr>
        <w:t>甲方客户签收时发现商品本身有破损、污渍、或在保修期内使用时出现商品质量问题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则由乙方负责在甲方客户</w:t>
      </w:r>
      <w:r>
        <w:rPr>
          <w:rFonts w:hint="eastAsia" w:ascii="宋体" w:hAnsi="宋体" w:eastAsia="宋体" w:cs="宋体"/>
          <w:color w:val="auto"/>
          <w:szCs w:val="21"/>
          <w:highlight w:val="none"/>
          <w:lang w:eastAsia="zh-CN"/>
        </w:rPr>
        <w:t>反馈问题后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个工作日内予以更换。</w:t>
      </w:r>
    </w:p>
    <w:p w14:paraId="6C1A359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9.5 </w:t>
      </w:r>
      <w:r>
        <w:rPr>
          <w:rFonts w:hint="eastAsia" w:ascii="宋体" w:hAnsi="宋体" w:eastAsia="宋体" w:cs="宋体"/>
          <w:color w:val="auto"/>
          <w:szCs w:val="21"/>
          <w:highlight w:val="none"/>
        </w:rPr>
        <w:t>鉴于甲方非本协议项下商品的生产厂商或经销商，因乙方商品存在缺陷而造成相关人身或财产损失的，概由乙方承担商品责任；若甲方客户向甲方投诉乙方产品责任的，则由甲方转交乙方处理，乙方不得以任何理由推诿，且乙方承担因退换货所产生的一切费用。</w:t>
      </w:r>
    </w:p>
    <w:p w14:paraId="2336AB25">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第十条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违约处理条款</w:t>
      </w:r>
    </w:p>
    <w:p w14:paraId="2F61BE0A">
      <w:pPr>
        <w:ind w:left="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highlight w:val="none"/>
          <w:lang w:val="en-US" w:eastAsia="zh-CN"/>
        </w:rPr>
        <w:t xml:space="preserve">10.1 </w:t>
      </w:r>
      <w:r>
        <w:rPr>
          <w:rFonts w:hint="eastAsia" w:ascii="宋体" w:hAnsi="宋体" w:eastAsia="宋体" w:cs="宋体"/>
          <w:color w:val="auto"/>
          <w:szCs w:val="21"/>
          <w:highlight w:val="none"/>
          <w:lang w:eastAsia="zh-CN"/>
        </w:rPr>
        <w:t>乙方需按甲方需求选品，</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《拟上架商品与价格清单》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如乙方连续三次提供的符合甲方选品需求的商品量低于当期需求商品总量的50%（含50%，例如：甲方需乙方提供100款商品，乙方提供的清单有50款商品符合要求），</w:t>
      </w:r>
      <w:r>
        <w:rPr>
          <w:rFonts w:hint="eastAsia" w:ascii="宋体" w:hAnsi="宋体" w:eastAsia="宋体" w:cs="宋体"/>
          <w:i w:val="0"/>
          <w:iCs w:val="0"/>
          <w:caps w:val="0"/>
          <w:color w:val="auto"/>
          <w:spacing w:val="0"/>
          <w:sz w:val="21"/>
          <w:szCs w:val="21"/>
          <w:highlight w:val="none"/>
          <w:shd w:val="clear" w:fill="FFFFFF"/>
        </w:rPr>
        <w:t>甲方可要求乙方限期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个月</w:t>
      </w:r>
      <w:r>
        <w:rPr>
          <w:rFonts w:hint="eastAsia" w:ascii="宋体" w:hAnsi="宋体" w:eastAsia="宋体" w:cs="宋体"/>
          <w:i w:val="0"/>
          <w:iCs w:val="0"/>
          <w:caps w:val="0"/>
          <w:color w:val="auto"/>
          <w:spacing w:val="0"/>
          <w:sz w:val="21"/>
          <w:szCs w:val="21"/>
          <w:highlight w:val="none"/>
          <w:shd w:val="clear" w:fill="FFFFFF"/>
        </w:rPr>
        <w:t>整改。</w:t>
      </w:r>
      <w:r>
        <w:rPr>
          <w:rFonts w:hint="eastAsia" w:ascii="宋体" w:hAnsi="宋体" w:eastAsia="宋体" w:cs="宋体"/>
          <w:i w:val="0"/>
          <w:iCs w:val="0"/>
          <w:caps w:val="0"/>
          <w:color w:val="auto"/>
          <w:spacing w:val="0"/>
          <w:sz w:val="21"/>
          <w:szCs w:val="21"/>
          <w:highlight w:val="none"/>
          <w:shd w:val="clear"/>
          <w:lang w:val="en-US" w:eastAsia="zh-CN"/>
        </w:rPr>
        <w:t>如</w:t>
      </w:r>
      <w:r>
        <w:rPr>
          <w:rFonts w:hint="eastAsia" w:ascii="宋体" w:hAnsi="宋体" w:eastAsia="宋体" w:cs="宋体"/>
          <w:i w:val="0"/>
          <w:iCs w:val="0"/>
          <w:caps w:val="0"/>
          <w:color w:val="auto"/>
          <w:spacing w:val="0"/>
          <w:sz w:val="21"/>
          <w:szCs w:val="21"/>
          <w:highlight w:val="none"/>
          <w:shd w:val="clear" w:fill="FFFFFF"/>
        </w:rPr>
        <w:t>整改期后</w:t>
      </w:r>
      <w:r>
        <w:rPr>
          <w:rFonts w:hint="eastAsia" w:ascii="宋体" w:hAnsi="宋体" w:eastAsia="宋体" w:cs="宋体"/>
          <w:i w:val="0"/>
          <w:iCs w:val="0"/>
          <w:caps w:val="0"/>
          <w:color w:val="auto"/>
          <w:spacing w:val="0"/>
          <w:sz w:val="21"/>
          <w:szCs w:val="21"/>
          <w:highlight w:val="none"/>
          <w:shd w:val="clear"/>
          <w:lang w:val="en-US" w:eastAsia="zh-CN"/>
        </w:rPr>
        <w:t>仍未达到甲方要求</w:t>
      </w:r>
      <w:r>
        <w:rPr>
          <w:rFonts w:hint="eastAsia" w:ascii="宋体" w:hAnsi="宋体" w:eastAsia="宋体" w:cs="宋体"/>
          <w:i w:val="0"/>
          <w:iCs w:val="0"/>
          <w:caps w:val="0"/>
          <w:color w:val="auto"/>
          <w:spacing w:val="0"/>
          <w:sz w:val="21"/>
          <w:szCs w:val="21"/>
          <w:highlight w:val="none"/>
          <w:shd w:val="clear" w:fill="FFFFFF"/>
        </w:rPr>
        <w:t>，甲方有权立即</w:t>
      </w:r>
      <w:r>
        <w:rPr>
          <w:rFonts w:hint="eastAsia" w:ascii="宋体" w:hAnsi="宋体" w:eastAsia="宋体" w:cs="宋体"/>
          <w:color w:val="auto"/>
          <w:sz w:val="21"/>
          <w:highlight w:val="none"/>
        </w:rPr>
        <w:t>终止本协议。</w:t>
      </w:r>
    </w:p>
    <w:p w14:paraId="096A2EB6">
      <w:pPr>
        <w:pStyle w:val="54"/>
        <w:ind w:left="0" w:firstLine="420" w:firstLineChars="20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10.2 </w:t>
      </w:r>
      <w:r>
        <w:rPr>
          <w:rFonts w:hint="eastAsia" w:ascii="宋体" w:hAnsi="宋体" w:eastAsia="宋体" w:cs="宋体"/>
          <w:color w:val="auto"/>
          <w:sz w:val="21"/>
          <w:highlight w:val="none"/>
        </w:rPr>
        <w:t>乙方如对提供甲方的相关资料进行伪造、篡改，则乙方须承担相关的侵权责任，并赔偿甲方由此造成的一切损失，甲方有权立即终止本协议。</w:t>
      </w:r>
    </w:p>
    <w:p w14:paraId="4DBE3320">
      <w:pPr>
        <w:pStyle w:val="54"/>
        <w:ind w:left="0" w:firstLine="420" w:firstLineChars="20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10.3 </w:t>
      </w:r>
      <w:r>
        <w:rPr>
          <w:rFonts w:hint="eastAsia" w:ascii="宋体" w:hAnsi="宋体" w:eastAsia="宋体" w:cs="宋体"/>
          <w:color w:val="auto"/>
          <w:sz w:val="21"/>
          <w:highlight w:val="none"/>
        </w:rPr>
        <w:t>如客户认为</w:t>
      </w:r>
      <w:r>
        <w:rPr>
          <w:rFonts w:hint="eastAsia" w:ascii="宋体" w:hAnsi="宋体" w:eastAsia="宋体" w:cs="宋体"/>
          <w:color w:val="auto"/>
          <w:sz w:val="21"/>
          <w:highlight w:val="none"/>
          <w:lang w:eastAsia="zh-CN"/>
        </w:rPr>
        <w:t>收到的乙方</w:t>
      </w:r>
      <w:r>
        <w:rPr>
          <w:rFonts w:hint="eastAsia" w:ascii="宋体" w:hAnsi="宋体" w:eastAsia="宋体" w:cs="宋体"/>
          <w:color w:val="auto"/>
          <w:sz w:val="21"/>
          <w:highlight w:val="none"/>
        </w:rPr>
        <w:t>商品为假冒（包括盗版）商品或非原厂正品、未经报关进口商品、假冒材质成份商品，客户通过甲方投诉且判定赔付申请成立，甲方有权终止或中止双方合作协议，同时乙方同意按照本协议约定无条件为客户退货，</w:t>
      </w:r>
      <w:r>
        <w:rPr>
          <w:rFonts w:hint="eastAsia" w:ascii="宋体" w:hAnsi="宋体" w:eastAsia="宋体" w:cs="宋体"/>
          <w:color w:val="auto"/>
          <w:sz w:val="21"/>
          <w:highlight w:val="none"/>
          <w:lang w:eastAsia="zh-CN"/>
        </w:rPr>
        <w:t>并</w:t>
      </w:r>
      <w:r>
        <w:rPr>
          <w:rFonts w:hint="eastAsia" w:ascii="宋体" w:hAnsi="宋体" w:eastAsia="宋体" w:cs="宋体"/>
          <w:color w:val="auto"/>
          <w:sz w:val="21"/>
          <w:highlight w:val="none"/>
        </w:rPr>
        <w:t>承诺“假一赔三”，按照客户要求赔偿客户实物商品</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或者按商品</w:t>
      </w:r>
      <w:r>
        <w:rPr>
          <w:rFonts w:hint="eastAsia" w:ascii="宋体" w:hAnsi="宋体" w:eastAsia="宋体" w:cs="宋体"/>
          <w:color w:val="auto"/>
          <w:sz w:val="21"/>
          <w:highlight w:val="none"/>
          <w:lang w:eastAsia="zh-CN"/>
        </w:rPr>
        <w:t>结算价格</w:t>
      </w:r>
      <w:r>
        <w:rPr>
          <w:rFonts w:hint="eastAsia" w:ascii="宋体" w:hAnsi="宋体" w:eastAsia="宋体" w:cs="宋体"/>
          <w:color w:val="auto"/>
          <w:sz w:val="21"/>
          <w:highlight w:val="none"/>
        </w:rPr>
        <w:t>的3倍另行向客户赔付，并承担维权所涉商品的所有物流费用。部分特殊类目商品（如食品）的赔付办法，如国家相关法律法规规定的赔付标准高于本协议的，乙方同意以法律法规规定为准。</w:t>
      </w:r>
    </w:p>
    <w:p w14:paraId="2092E636">
      <w:pPr>
        <w:ind w:right="-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10.4 </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乙方提供的</w:t>
      </w:r>
      <w:r>
        <w:rPr>
          <w:rFonts w:hint="eastAsia" w:ascii="宋体" w:hAnsi="宋体" w:eastAsia="宋体" w:cs="宋体"/>
          <w:color w:val="auto"/>
          <w:szCs w:val="21"/>
          <w:highlight w:val="none"/>
        </w:rPr>
        <w:t>商品信息与实物不符，且客户与乙方协商未果，客户通过甲方投诉并判定客户投诉情况属实的，乙方承诺无条件为客户退货并按照</w:t>
      </w:r>
      <w:r>
        <w:rPr>
          <w:rFonts w:hint="eastAsia" w:ascii="宋体" w:hAnsi="宋体" w:eastAsia="宋体" w:cs="宋体"/>
          <w:color w:val="auto"/>
          <w:szCs w:val="21"/>
          <w:highlight w:val="none"/>
          <w:lang w:eastAsia="zh-CN"/>
        </w:rPr>
        <w:t>商品结算价格的</w:t>
      </w:r>
      <w:r>
        <w:rPr>
          <w:rFonts w:hint="eastAsia" w:ascii="宋体" w:hAnsi="宋体" w:eastAsia="宋体" w:cs="宋体"/>
          <w:color w:val="auto"/>
          <w:szCs w:val="21"/>
          <w:highlight w:val="none"/>
        </w:rPr>
        <w:t>100%另行赔付。</w:t>
      </w:r>
    </w:p>
    <w:p w14:paraId="22CBFD2E">
      <w:pPr>
        <w:ind w:right="-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10.5 </w:t>
      </w:r>
      <w:r>
        <w:rPr>
          <w:rFonts w:hint="eastAsia" w:ascii="宋体" w:hAnsi="宋体" w:eastAsia="宋体" w:cs="宋体"/>
          <w:color w:val="auto"/>
          <w:szCs w:val="21"/>
          <w:highlight w:val="none"/>
        </w:rPr>
        <w:t>乙方应保证对其所提供的商品照片、图片、文字等拥有版权或使用权，且乙方保证甲方使用上述商品照片、图片、文字等材料所涉及的商品名称、企业名称、商标时不会侵犯乙方及任何第三方的版权等合法权益。否则，由此引起的法律责任和损失由乙方承担。</w:t>
      </w:r>
    </w:p>
    <w:p w14:paraId="5A1F0C6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10.6 </w:t>
      </w:r>
      <w:r>
        <w:rPr>
          <w:rFonts w:hint="eastAsia" w:ascii="宋体" w:hAnsi="宋体" w:eastAsia="宋体" w:cs="宋体"/>
          <w:color w:val="auto"/>
          <w:szCs w:val="21"/>
          <w:highlight w:val="none"/>
        </w:rPr>
        <w:t>对于乙方无法按照协议</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六条</w:t>
      </w:r>
      <w:r>
        <w:rPr>
          <w:rFonts w:hint="eastAsia" w:ascii="宋体" w:hAnsi="宋体" w:eastAsia="宋体" w:cs="宋体"/>
          <w:color w:val="auto"/>
          <w:szCs w:val="21"/>
          <w:highlight w:val="none"/>
        </w:rPr>
        <w:t>承诺的</w:t>
      </w:r>
      <w:r>
        <w:rPr>
          <w:rFonts w:hint="eastAsia" w:ascii="宋体" w:hAnsi="宋体" w:eastAsia="宋体" w:cs="宋体"/>
          <w:color w:val="auto"/>
          <w:szCs w:val="21"/>
          <w:highlight w:val="none"/>
          <w:lang w:eastAsia="zh-CN"/>
        </w:rPr>
        <w:t>项目团队要求向甲方提供服务的</w:t>
      </w:r>
      <w:r>
        <w:rPr>
          <w:rFonts w:hint="eastAsia" w:ascii="宋体" w:hAnsi="宋体" w:eastAsia="宋体" w:cs="宋体"/>
          <w:color w:val="auto"/>
          <w:szCs w:val="21"/>
          <w:highlight w:val="none"/>
        </w:rPr>
        <w:t>，甲方将</w:t>
      </w:r>
      <w:r>
        <w:rPr>
          <w:rFonts w:hint="eastAsia" w:ascii="宋体" w:hAnsi="宋体" w:eastAsia="宋体" w:cs="宋体"/>
          <w:color w:val="auto"/>
          <w:szCs w:val="21"/>
          <w:highlight w:val="none"/>
          <w:lang w:eastAsia="zh-CN"/>
        </w:rPr>
        <w:t>扣除</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履约保证金</w:t>
      </w:r>
      <w:r>
        <w:rPr>
          <w:rFonts w:hint="eastAsia" w:ascii="宋体" w:hAnsi="宋体" w:eastAsia="宋体" w:cs="宋体"/>
          <w:color w:val="auto"/>
          <w:szCs w:val="21"/>
          <w:highlight w:val="none"/>
          <w:u w:val="single"/>
        </w:rPr>
        <w:t>10,000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整（大写：壹万元整），</w:t>
      </w:r>
      <w:r>
        <w:rPr>
          <w:rFonts w:hint="eastAsia" w:ascii="宋体" w:hAnsi="宋体" w:eastAsia="宋体" w:cs="宋体"/>
          <w:color w:val="auto"/>
          <w:szCs w:val="21"/>
          <w:highlight w:val="none"/>
        </w:rPr>
        <w:t>并责令马上整改；如果整改仍不符合要求，</w:t>
      </w:r>
      <w:r>
        <w:rPr>
          <w:rFonts w:hint="eastAsia" w:ascii="宋体" w:hAnsi="宋体" w:eastAsia="宋体" w:cs="宋体"/>
          <w:i w:val="0"/>
          <w:iCs w:val="0"/>
          <w:caps w:val="0"/>
          <w:color w:val="auto"/>
          <w:spacing w:val="0"/>
          <w:sz w:val="21"/>
          <w:szCs w:val="21"/>
          <w:highlight w:val="none"/>
          <w:shd w:val="clear"/>
        </w:rPr>
        <w:t>甲方有权立即</w:t>
      </w:r>
      <w:r>
        <w:rPr>
          <w:rFonts w:hint="eastAsia" w:ascii="宋体" w:hAnsi="宋体" w:eastAsia="宋体" w:cs="宋体"/>
          <w:color w:val="auto"/>
          <w:sz w:val="21"/>
          <w:highlight w:val="none"/>
        </w:rPr>
        <w:t>终止本协议。</w:t>
      </w:r>
    </w:p>
    <w:p w14:paraId="5E9E313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10.7 </w:t>
      </w:r>
      <w:r>
        <w:rPr>
          <w:rFonts w:hint="eastAsia" w:ascii="宋体" w:hAnsi="宋体" w:eastAsia="宋体" w:cs="宋体"/>
          <w:color w:val="auto"/>
          <w:szCs w:val="21"/>
          <w:highlight w:val="none"/>
        </w:rPr>
        <w:t>当月不良投诉率＞0.2%时，甲方有权对投诉订单按100元</w:t>
      </w:r>
      <w:r>
        <w:rPr>
          <w:rFonts w:hint="eastAsia" w:ascii="宋体" w:hAnsi="宋体" w:eastAsia="宋体" w:cs="宋体"/>
          <w:color w:val="auto"/>
          <w:szCs w:val="21"/>
          <w:highlight w:val="none"/>
          <w:lang w:eastAsia="zh-CN"/>
        </w:rPr>
        <w:t>整（大写：壹佰元整）</w:t>
      </w:r>
      <w:r>
        <w:rPr>
          <w:rFonts w:hint="eastAsia" w:ascii="宋体" w:hAnsi="宋体" w:eastAsia="宋体" w:cs="宋体"/>
          <w:color w:val="auto"/>
          <w:szCs w:val="21"/>
          <w:highlight w:val="none"/>
        </w:rPr>
        <w:t>/单</w:t>
      </w:r>
      <w:r>
        <w:rPr>
          <w:rFonts w:hint="eastAsia" w:ascii="宋体" w:hAnsi="宋体" w:eastAsia="宋体" w:cs="宋体"/>
          <w:color w:val="auto"/>
          <w:szCs w:val="21"/>
          <w:highlight w:val="none"/>
          <w:lang w:eastAsia="zh-CN"/>
        </w:rPr>
        <w:t>扣除乙方履约保证金</w:t>
      </w:r>
      <w:r>
        <w:rPr>
          <w:rFonts w:hint="eastAsia" w:ascii="宋体" w:hAnsi="宋体" w:eastAsia="宋体" w:cs="宋体"/>
          <w:color w:val="auto"/>
          <w:szCs w:val="21"/>
          <w:highlight w:val="none"/>
        </w:rPr>
        <w:t>。</w:t>
      </w:r>
    </w:p>
    <w:p w14:paraId="1F048E8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10.8 </w:t>
      </w:r>
      <w:r>
        <w:rPr>
          <w:rFonts w:hint="eastAsia" w:ascii="宋体" w:hAnsi="宋体" w:eastAsia="宋体" w:cs="宋体"/>
          <w:color w:val="auto"/>
          <w:szCs w:val="21"/>
          <w:highlight w:val="none"/>
        </w:rPr>
        <w:t>甲方有权</w:t>
      </w:r>
      <w:r>
        <w:rPr>
          <w:rFonts w:hint="eastAsia" w:ascii="宋体" w:hAnsi="宋体" w:eastAsia="宋体" w:cs="宋体"/>
          <w:color w:val="auto"/>
          <w:szCs w:val="21"/>
          <w:highlight w:val="none"/>
          <w:lang w:eastAsia="zh-CN"/>
        </w:rPr>
        <w:t>不定期抽查订单发货情况，</w:t>
      </w:r>
      <w:r>
        <w:rPr>
          <w:rFonts w:hint="eastAsia" w:ascii="宋体" w:hAnsi="宋体" w:eastAsia="宋体" w:cs="宋体"/>
          <w:color w:val="auto"/>
          <w:szCs w:val="21"/>
          <w:highlight w:val="none"/>
        </w:rPr>
        <w:t>对发货时效、配送时限延迟的订单按100元</w:t>
      </w:r>
      <w:r>
        <w:rPr>
          <w:rFonts w:hint="eastAsia" w:ascii="宋体" w:hAnsi="宋体" w:eastAsia="宋体" w:cs="宋体"/>
          <w:color w:val="auto"/>
          <w:szCs w:val="21"/>
          <w:highlight w:val="none"/>
          <w:lang w:eastAsia="zh-CN"/>
        </w:rPr>
        <w:t>整（大写：壹佰元整）</w:t>
      </w:r>
      <w:r>
        <w:rPr>
          <w:rFonts w:hint="eastAsia" w:ascii="宋体" w:hAnsi="宋体" w:eastAsia="宋体" w:cs="宋体"/>
          <w:color w:val="auto"/>
          <w:szCs w:val="21"/>
          <w:highlight w:val="none"/>
        </w:rPr>
        <w:t>/单</w:t>
      </w:r>
      <w:r>
        <w:rPr>
          <w:rFonts w:hint="eastAsia" w:ascii="宋体" w:hAnsi="宋体" w:eastAsia="宋体" w:cs="宋体"/>
          <w:color w:val="auto"/>
          <w:szCs w:val="21"/>
          <w:highlight w:val="none"/>
          <w:lang w:eastAsia="zh-CN"/>
        </w:rPr>
        <w:t>扣除乙方履约保证金</w:t>
      </w:r>
      <w:r>
        <w:rPr>
          <w:rFonts w:hint="eastAsia" w:ascii="宋体" w:hAnsi="宋体" w:eastAsia="宋体" w:cs="宋体"/>
          <w:color w:val="auto"/>
          <w:szCs w:val="21"/>
          <w:highlight w:val="none"/>
        </w:rPr>
        <w:t>。因</w:t>
      </w:r>
      <w:r>
        <w:rPr>
          <w:rFonts w:hint="eastAsia" w:ascii="宋体" w:hAnsi="宋体" w:eastAsia="宋体" w:cs="宋体"/>
          <w:color w:val="auto"/>
          <w:szCs w:val="21"/>
          <w:highlight w:val="none"/>
          <w:lang w:eastAsia="zh-CN"/>
        </w:rPr>
        <w:t>甲方系统或</w:t>
      </w:r>
      <w:r>
        <w:rPr>
          <w:rFonts w:hint="eastAsia" w:ascii="宋体" w:hAnsi="宋体" w:eastAsia="宋体" w:cs="宋体"/>
          <w:color w:val="auto"/>
          <w:szCs w:val="21"/>
          <w:highlight w:val="none"/>
        </w:rPr>
        <w:t>甲方客户自身原因、客观原因</w:t>
      </w:r>
      <w:r>
        <w:rPr>
          <w:rFonts w:hint="eastAsia" w:ascii="宋体" w:hAnsi="宋体" w:eastAsia="宋体" w:cs="宋体"/>
          <w:color w:val="auto"/>
          <w:szCs w:val="21"/>
          <w:highlight w:val="none"/>
          <w:lang w:eastAsia="zh-CN"/>
        </w:rPr>
        <w:t>导致的</w:t>
      </w:r>
      <w:r>
        <w:rPr>
          <w:rFonts w:hint="eastAsia" w:ascii="宋体" w:hAnsi="宋体" w:eastAsia="宋体" w:cs="宋体"/>
          <w:color w:val="auto"/>
          <w:szCs w:val="21"/>
          <w:highlight w:val="none"/>
        </w:rPr>
        <w:t>除外。</w:t>
      </w:r>
    </w:p>
    <w:p w14:paraId="5F5A1EA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10.9 </w:t>
      </w:r>
      <w:r>
        <w:rPr>
          <w:rFonts w:hint="eastAsia" w:ascii="宋体" w:hAnsi="宋体" w:eastAsia="宋体" w:cs="宋体"/>
        </w:rPr>
        <w:t>如因乙方提供的商品或服务存在缺陷、虚假宣传、侵权（包括但不限于侵犯第三方知识产权）或任何其他违法行为，</w:t>
      </w:r>
      <w:r>
        <w:rPr>
          <w:rFonts w:hint="eastAsia" w:ascii="宋体" w:hAnsi="宋体" w:eastAsia="宋体" w:cs="宋体"/>
          <w:kern w:val="2"/>
          <w:sz w:val="21"/>
          <w:szCs w:val="24"/>
          <w:lang w:val="en-US" w:eastAsia="zh-CN" w:bidi="ar-SA"/>
        </w:rPr>
        <w:t>导致甲方（包括其客户、员工及关联方）遭受任何经济损失、商誉损害或面临任何第三方索赔、行政处罚或法律诉讼，</w:t>
      </w:r>
      <w:r>
        <w:rPr>
          <w:rFonts w:hint="eastAsia" w:ascii="宋体" w:hAnsi="宋体" w:eastAsia="宋体" w:cs="宋体"/>
          <w:color w:val="auto"/>
          <w:szCs w:val="21"/>
          <w:highlight w:val="none"/>
        </w:rPr>
        <w:t>甲方将</w:t>
      </w:r>
      <w:r>
        <w:rPr>
          <w:rFonts w:hint="eastAsia" w:ascii="宋体" w:hAnsi="宋体" w:eastAsia="宋体" w:cs="宋体"/>
          <w:color w:val="auto"/>
          <w:szCs w:val="21"/>
          <w:highlight w:val="none"/>
          <w:lang w:eastAsia="zh-CN"/>
        </w:rPr>
        <w:t>扣除</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10000元整</w:t>
      </w:r>
      <w:r>
        <w:rPr>
          <w:rFonts w:hint="eastAsia" w:ascii="宋体" w:hAnsi="宋体" w:eastAsia="宋体" w:cs="宋体"/>
          <w:color w:val="auto"/>
          <w:szCs w:val="21"/>
          <w:highlight w:val="none"/>
          <w:lang w:eastAsia="zh-CN"/>
        </w:rPr>
        <w:t>（大写：壹万元整）</w:t>
      </w:r>
      <w:r>
        <w:rPr>
          <w:rFonts w:hint="eastAsia" w:ascii="宋体" w:hAnsi="宋体" w:eastAsia="宋体" w:cs="宋体"/>
          <w:color w:val="auto"/>
          <w:szCs w:val="21"/>
          <w:highlight w:val="none"/>
          <w:u w:val="single"/>
        </w:rPr>
        <w:t>至 10</w:t>
      </w:r>
      <w:r>
        <w:rPr>
          <w:rFonts w:hint="eastAsia" w:ascii="宋体" w:hAnsi="宋体" w:eastAsia="宋体" w:cs="宋体"/>
          <w:color w:val="auto"/>
          <w:szCs w:val="21"/>
          <w:highlight w:val="none"/>
          <w:u w:val="single"/>
          <w:lang w:val="en-US" w:eastAsia="zh-CN"/>
        </w:rPr>
        <w:t>0000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整（大写：拾万元整）履约保证金</w:t>
      </w:r>
      <w:r>
        <w:rPr>
          <w:rFonts w:hint="eastAsia" w:ascii="宋体" w:hAnsi="宋体" w:eastAsia="宋体" w:cs="宋体"/>
          <w:color w:val="auto"/>
          <w:szCs w:val="21"/>
          <w:highlight w:val="none"/>
        </w:rPr>
        <w:t>，</w:t>
      </w:r>
      <w:r>
        <w:rPr>
          <w:rFonts w:hint="eastAsia" w:ascii="宋体" w:hAnsi="宋体" w:eastAsia="宋体" w:cs="宋体"/>
          <w:kern w:val="2"/>
          <w:sz w:val="21"/>
          <w:szCs w:val="24"/>
          <w:lang w:val="en-US" w:eastAsia="zh-CN" w:bidi="ar-SA"/>
        </w:rPr>
        <w:t>由乙方承担全部法律责任，承担全部赔偿责任（包括但不限于直接经济损失、间接损失、银行为处理此事支付的律师费、诉讼费等），并负责处理相关争议与索赔的处理，全力消除对甲方声誉的负面影响。</w:t>
      </w:r>
      <w:r>
        <w:rPr>
          <w:rFonts w:hint="eastAsia" w:ascii="宋体" w:hAnsi="宋体" w:eastAsia="宋体" w:cs="宋体"/>
          <w:color w:val="auto"/>
          <w:szCs w:val="21"/>
          <w:highlight w:val="none"/>
        </w:rPr>
        <w:t>甲方将暂停与乙方的合作关系，限期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个月</w:t>
      </w:r>
      <w:r>
        <w:rPr>
          <w:rFonts w:hint="eastAsia" w:ascii="宋体" w:hAnsi="宋体" w:eastAsia="宋体" w:cs="宋体"/>
          <w:color w:val="auto"/>
          <w:szCs w:val="21"/>
          <w:highlight w:val="none"/>
        </w:rPr>
        <w:t>整改，待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完全处理完毕后，书面反馈整改情况说明，经甲方审批后</w:t>
      </w:r>
      <w:r>
        <w:rPr>
          <w:rFonts w:hint="eastAsia" w:ascii="宋体" w:hAnsi="宋体" w:eastAsia="宋体" w:cs="宋体"/>
          <w:color w:val="auto"/>
          <w:szCs w:val="21"/>
          <w:highlight w:val="none"/>
          <w:lang w:eastAsia="zh-CN"/>
        </w:rPr>
        <w:t>决定是否继续</w:t>
      </w:r>
      <w:r>
        <w:rPr>
          <w:rFonts w:hint="eastAsia" w:ascii="宋体" w:hAnsi="宋体" w:eastAsia="宋体" w:cs="宋体"/>
          <w:color w:val="auto"/>
          <w:szCs w:val="21"/>
          <w:highlight w:val="none"/>
        </w:rPr>
        <w:t>开展合作。</w:t>
      </w:r>
    </w:p>
    <w:p w14:paraId="28ACAD19">
      <w:pPr>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 xml:space="preserve">10.10 </w:t>
      </w:r>
      <w:r>
        <w:rPr>
          <w:rFonts w:hint="eastAsia" w:ascii="宋体" w:hAnsi="宋体" w:eastAsia="宋体" w:cs="宋体"/>
          <w:color w:val="auto"/>
          <w:szCs w:val="21"/>
          <w:highlight w:val="none"/>
        </w:rPr>
        <w:t>如乙方未能按协议承诺响应</w:t>
      </w:r>
      <w:r>
        <w:rPr>
          <w:rFonts w:hint="eastAsia" w:ascii="宋体" w:hAnsi="宋体" w:eastAsia="宋体" w:cs="宋体"/>
          <w:color w:val="auto"/>
          <w:szCs w:val="21"/>
          <w:highlight w:val="none"/>
          <w:lang w:eastAsia="zh-CN"/>
        </w:rPr>
        <w:t>甲方营销活动需求</w:t>
      </w:r>
      <w:r>
        <w:rPr>
          <w:rFonts w:hint="eastAsia" w:ascii="宋体" w:hAnsi="宋体" w:eastAsia="宋体" w:cs="宋体"/>
          <w:color w:val="auto"/>
          <w:szCs w:val="21"/>
          <w:highlight w:val="none"/>
        </w:rPr>
        <w:t>，甲方将</w:t>
      </w:r>
      <w:r>
        <w:rPr>
          <w:rFonts w:hint="eastAsia" w:ascii="宋体" w:hAnsi="宋体" w:eastAsia="宋体" w:cs="宋体"/>
          <w:color w:val="auto"/>
          <w:szCs w:val="21"/>
          <w:highlight w:val="none"/>
          <w:lang w:eastAsia="zh-CN"/>
        </w:rPr>
        <w:t>扣除</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5000元整</w:t>
      </w:r>
      <w:r>
        <w:rPr>
          <w:rFonts w:hint="eastAsia" w:ascii="宋体" w:hAnsi="宋体" w:eastAsia="宋体" w:cs="宋体"/>
          <w:color w:val="auto"/>
          <w:szCs w:val="21"/>
          <w:highlight w:val="none"/>
          <w:lang w:eastAsia="zh-CN"/>
        </w:rPr>
        <w:t>（大写：</w:t>
      </w:r>
      <w:r>
        <w:rPr>
          <w:rFonts w:hint="eastAsia" w:ascii="宋体" w:hAnsi="宋体" w:eastAsia="宋体" w:cs="宋体"/>
          <w:color w:val="auto"/>
          <w:szCs w:val="21"/>
          <w:highlight w:val="none"/>
          <w:lang w:val="en-US" w:eastAsia="zh-CN"/>
        </w:rPr>
        <w:t>伍仟</w:t>
      </w:r>
      <w:r>
        <w:rPr>
          <w:rFonts w:hint="eastAsia" w:ascii="宋体" w:hAnsi="宋体" w:eastAsia="宋体" w:cs="宋体"/>
          <w:color w:val="auto"/>
          <w:szCs w:val="21"/>
          <w:highlight w:val="none"/>
          <w:lang w:eastAsia="zh-CN"/>
        </w:rPr>
        <w:t>元整）履约保证</w:t>
      </w:r>
      <w:r>
        <w:rPr>
          <w:rFonts w:hint="eastAsia" w:ascii="宋体" w:hAnsi="宋体" w:eastAsia="宋体" w:cs="宋体"/>
          <w:color w:val="auto"/>
          <w:szCs w:val="21"/>
          <w:highlight w:val="none"/>
        </w:rPr>
        <w:t>金并责令马上整改；如果整改仍不符合要求，甲方有权随时</w:t>
      </w:r>
      <w:r>
        <w:rPr>
          <w:rFonts w:hint="eastAsia" w:ascii="宋体" w:hAnsi="宋体" w:eastAsia="宋体" w:cs="宋体"/>
          <w:color w:val="auto"/>
          <w:szCs w:val="21"/>
          <w:highlight w:val="none"/>
          <w:lang w:val="en-US" w:eastAsia="zh-CN"/>
        </w:rPr>
        <w:t>解除</w:t>
      </w:r>
      <w:r>
        <w:rPr>
          <w:rFonts w:hint="eastAsia" w:ascii="宋体" w:hAnsi="宋体" w:eastAsia="宋体" w:cs="宋体"/>
          <w:color w:val="auto"/>
          <w:szCs w:val="21"/>
          <w:highlight w:val="none"/>
        </w:rPr>
        <w:t>合作。</w:t>
      </w:r>
    </w:p>
    <w:p w14:paraId="4779EFE4">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第十一条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权利与义务</w:t>
      </w:r>
    </w:p>
    <w:p w14:paraId="67178A40">
      <w:pPr>
        <w:snapToGrid w:val="0"/>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 xml:space="preserve">11.1 </w:t>
      </w:r>
      <w:r>
        <w:rPr>
          <w:rFonts w:hint="eastAsia" w:ascii="宋体" w:hAnsi="宋体" w:eastAsia="宋体" w:cs="宋体"/>
          <w:b w:val="0"/>
          <w:bCs w:val="0"/>
          <w:color w:val="auto"/>
          <w:szCs w:val="21"/>
          <w:highlight w:val="none"/>
        </w:rPr>
        <w:t>甲方权利与义务</w:t>
      </w:r>
    </w:p>
    <w:p w14:paraId="6C2E013E">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甲方应当按合同约定向乙方支付商品结算款。</w:t>
      </w:r>
    </w:p>
    <w:p w14:paraId="6FFC9A8C">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甲方有权对乙方进行服务评估，提出合理意见，乙方应当接受并改进。</w:t>
      </w:r>
    </w:p>
    <w:p w14:paraId="54341190">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甲方对商品发生的任何质量及商品配送问题均不负法律责任，甲方有权要求乙方做好相关问题的处理（包括赔偿）及对甲方客户的解释工作。</w:t>
      </w:r>
    </w:p>
    <w:p w14:paraId="68246B46">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甲方有权对乙方提供的相关服务进行核准和检查，并对于出现的问题有权要求乙方在合理的时间内予以整改解决。</w:t>
      </w:r>
    </w:p>
    <w:p w14:paraId="74E6E234">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本协议约定的其他甲方权利义务。</w:t>
      </w:r>
    </w:p>
    <w:p w14:paraId="502D9C69">
      <w:pPr>
        <w:snapToGrid w:val="0"/>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 xml:space="preserve">11.2 </w:t>
      </w:r>
      <w:r>
        <w:rPr>
          <w:rFonts w:hint="eastAsia" w:ascii="宋体" w:hAnsi="宋体" w:eastAsia="宋体" w:cs="宋体"/>
          <w:b w:val="0"/>
          <w:bCs w:val="0"/>
          <w:color w:val="auto"/>
          <w:szCs w:val="21"/>
          <w:highlight w:val="none"/>
        </w:rPr>
        <w:t>乙方权利义务</w:t>
      </w:r>
    </w:p>
    <w:p w14:paraId="21D426E1">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保证所提供商品是全新、未用过、原装、未拆封的；其质量、规格及外观特征等符合国家有关标准规范和甲、乙双方商议的约定，并能确保甲方客户的正常使用。同时，乙方所供应的商品必须附有合格证、说明书等文书，商品的标记、警示也应符合国家有关规定，否则甲方和甲方客户可以拒收。</w:t>
      </w:r>
    </w:p>
    <w:p w14:paraId="65F96B4C">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乙方按照规范性法律文件的规定，向甲方客户承担产品质量保证、保修服务和保修期内的维护责任，乙方的质量保证及保修范围含商品的全部零部件、附件、配套产品等。在保质保用期内，如商品出现产品质量问题的，由乙方依法负责提供免费的包修、包换、包退及其他服务。</w:t>
      </w:r>
    </w:p>
    <w:p w14:paraId="6EE676C8">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乙方应保证协议约定的发货时间和配送时间，在送递商品过程中，应当保持应有的服务标准与规范。如果商品需要安装的，乙方应当及时为甲方客户提供安装服务，该服务质量也适用本协议对商品质量的约定。</w:t>
      </w:r>
    </w:p>
    <w:p w14:paraId="15680A78">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在商品送递过程中，乙方应保证物品的安全性和完整性，不得发生物品的损坏和丢失。如乙方在商品送递过程中发生商品损坏或丢失的，由乙方负责赔偿，并重新安排配送。</w:t>
      </w:r>
    </w:p>
    <w:p w14:paraId="4F4091DB">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乙方如出现经办人变动或公司政策性变动，需提前1个月书面通知甲方。如果乙方不及时通知的，甲方将按原约定履行协议，因此发生的后果由乙方承担。</w:t>
      </w:r>
    </w:p>
    <w:p w14:paraId="6DD9F190">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本协议约定的其他乙方权利义务。</w:t>
      </w:r>
    </w:p>
    <w:p w14:paraId="1B8C280F">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第十二条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数据安全及保密条款</w:t>
      </w:r>
    </w:p>
    <w:p w14:paraId="0E03BAED">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12.1 </w:t>
      </w:r>
      <w:r>
        <w:rPr>
          <w:rFonts w:hint="eastAsia" w:ascii="宋体" w:hAnsi="宋体" w:eastAsia="宋体" w:cs="宋体"/>
          <w:color w:val="auto"/>
          <w:szCs w:val="21"/>
          <w:highlight w:val="none"/>
        </w:rPr>
        <w:t>乙方应对甲方及甲方客户的资料及数据（包括客户号、地址、联系电话、交易信息等）保密，未经甲方事先书面同意不得以任何方式，也不得为自己任何目的将上述信息对外公布、泄露、出售或用作本协议之外的其他用途。乙方也应促使与其相关或关联的任何人或其代表遵守本条规定。一旦违反，甲方将</w:t>
      </w:r>
      <w:r>
        <w:rPr>
          <w:rFonts w:hint="eastAsia" w:ascii="宋体" w:hAnsi="宋体" w:eastAsia="宋体" w:cs="宋体"/>
          <w:color w:val="auto"/>
          <w:szCs w:val="21"/>
          <w:highlight w:val="none"/>
          <w:lang w:eastAsia="zh-CN"/>
        </w:rPr>
        <w:t>扣除</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10000元整</w:t>
      </w:r>
      <w:r>
        <w:rPr>
          <w:rFonts w:hint="eastAsia" w:ascii="宋体" w:hAnsi="宋体" w:eastAsia="宋体" w:cs="宋体"/>
          <w:color w:val="auto"/>
          <w:szCs w:val="21"/>
          <w:highlight w:val="none"/>
          <w:lang w:eastAsia="zh-CN"/>
        </w:rPr>
        <w:t>（大写：壹万元整）履约保证金</w:t>
      </w:r>
      <w:r>
        <w:rPr>
          <w:rFonts w:hint="eastAsia" w:ascii="宋体" w:hAnsi="宋体" w:eastAsia="宋体" w:cs="宋体"/>
          <w:color w:val="auto"/>
          <w:szCs w:val="21"/>
          <w:highlight w:val="none"/>
        </w:rPr>
        <w:t>；如对甲方造成损失，乙方还应偿付甲方的损失金额。</w:t>
      </w:r>
    </w:p>
    <w:p w14:paraId="5C2B3E5F">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12.2 </w:t>
      </w:r>
      <w:r>
        <w:rPr>
          <w:rFonts w:hint="eastAsia" w:ascii="宋体" w:hAnsi="宋体" w:eastAsia="宋体" w:cs="宋体"/>
          <w:color w:val="auto"/>
          <w:szCs w:val="21"/>
          <w:highlight w:val="none"/>
        </w:rPr>
        <w:t>甲、乙双方保证对本协议及业务上的共同资料及在本协议履行过程中所了解的有关对方的业务、技术和商业秘密进行保密。非经甲、乙双方同意，在任何情况下均不得向第三方透露，法律法规、金融监管机构另有规定或法院书面要求的除外。</w:t>
      </w:r>
    </w:p>
    <w:p w14:paraId="3BD192FC">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12.3 </w:t>
      </w:r>
      <w:r>
        <w:rPr>
          <w:rFonts w:hint="eastAsia" w:ascii="宋体" w:hAnsi="宋体" w:eastAsia="宋体" w:cs="宋体"/>
          <w:color w:val="auto"/>
          <w:szCs w:val="21"/>
          <w:highlight w:val="none"/>
        </w:rPr>
        <w:t>在本协议执行过程中或终止后，甲、乙双方对合作项目的方案制订，实施细节等事项应承担保密义务，未经甲、乙双方共同许可，甲、乙双方均不得擅自翻印、散发对方的任何文件和资料，并不得以任何方式向第三方泄露合作业务的经营情况。同时乙方应根据数据安全及保密要求销毁为甲方提供服务而获得的各类数据信息，并出具已删除数据的承诺函。</w:t>
      </w:r>
    </w:p>
    <w:p w14:paraId="5CB3E885">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12.4 </w:t>
      </w:r>
      <w:r>
        <w:rPr>
          <w:rFonts w:hint="eastAsia" w:ascii="宋体" w:hAnsi="宋体" w:eastAsia="宋体" w:cs="宋体"/>
          <w:color w:val="auto"/>
          <w:szCs w:val="21"/>
          <w:highlight w:val="none"/>
        </w:rPr>
        <w:t>甲、乙任何一方在没有得到对方书面同意前，不得以任何形式将对方的商标、名称、品牌、图片及活动的相关资料用作与本合作项目无关的用途。</w:t>
      </w:r>
    </w:p>
    <w:p w14:paraId="0F2A0DB2">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12.5 </w:t>
      </w:r>
      <w:r>
        <w:rPr>
          <w:rFonts w:hint="eastAsia" w:ascii="宋体" w:hAnsi="宋体" w:eastAsia="宋体" w:cs="宋体"/>
          <w:color w:val="auto"/>
          <w:szCs w:val="21"/>
          <w:highlight w:val="none"/>
        </w:rPr>
        <w:t>甲方有权对乙方的信息数据资料的安全保管及保密情况进行现场了解或检查。</w:t>
      </w:r>
    </w:p>
    <w:p w14:paraId="40DA5C3B">
      <w:pPr>
        <w:snapToGrid w:val="0"/>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12.6 </w:t>
      </w:r>
      <w:r>
        <w:rPr>
          <w:rFonts w:hint="eastAsia" w:ascii="宋体" w:hAnsi="宋体" w:eastAsia="宋体" w:cs="宋体"/>
          <w:color w:val="auto"/>
          <w:szCs w:val="21"/>
          <w:highlight w:val="none"/>
        </w:rPr>
        <w:t>本条款永久有效，保密责任和保密期限不因本协议终止、解除、失效而丧失效力。</w:t>
      </w:r>
    </w:p>
    <w:p w14:paraId="3A0F89CA">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第十三条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反商业贿赂条款</w:t>
      </w:r>
    </w:p>
    <w:p w14:paraId="1F4DD35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13.1 </w:t>
      </w:r>
      <w:r>
        <w:rPr>
          <w:rFonts w:hint="eastAsia" w:ascii="宋体" w:hAnsi="宋体" w:eastAsia="宋体" w:cs="宋体"/>
          <w:color w:val="auto"/>
          <w:szCs w:val="21"/>
          <w:highlight w:val="none"/>
        </w:rPr>
        <w:t xml:space="preserve">乙方承诺与甲方各经办人之间，无任何经济往来，未曾有过且未来也不会以任何现金、实物、回扣、手续费等方式对甲方经办人行贿，或以宴请等其他方式收买、笼络甲方经办人，或有可能影响双方公平、诚信的合作关系的其他行为。 </w:t>
      </w:r>
    </w:p>
    <w:p w14:paraId="536C305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13.2 </w:t>
      </w:r>
      <w:r>
        <w:rPr>
          <w:rFonts w:hint="eastAsia" w:ascii="宋体" w:hAnsi="宋体" w:eastAsia="宋体" w:cs="宋体"/>
          <w:color w:val="auto"/>
          <w:szCs w:val="21"/>
          <w:highlight w:val="none"/>
        </w:rPr>
        <w:t>乙方确保甲方的各经办人及其直系、旁系亲属等可能影响公平交易的关系人员在乙方不担任任何职务，且与乙方之间未有任何投资关系或其他交易关系，不会影响双方的公平、诚信的合作关系。</w:t>
      </w:r>
    </w:p>
    <w:p w14:paraId="14E3A2B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13.3 </w:t>
      </w:r>
      <w:r>
        <w:rPr>
          <w:rFonts w:hint="eastAsia" w:ascii="宋体" w:hAnsi="宋体" w:eastAsia="宋体" w:cs="宋体"/>
          <w:color w:val="auto"/>
          <w:szCs w:val="21"/>
          <w:highlight w:val="none"/>
        </w:rPr>
        <w:t>乙方如违反上述承诺，甲方有权自得知该情形之日起，经书面通知乙方后，单方解除本协议并按照本协议的有关规定行使相关权利。</w:t>
      </w:r>
    </w:p>
    <w:p w14:paraId="6E1E63DC">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w:t>
      </w: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eastAsia="zh-CN"/>
        </w:rPr>
        <w:t>四条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知识产权条款</w:t>
      </w:r>
    </w:p>
    <w:p w14:paraId="5234103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保证所提供的商品和服务不侵犯任何第三方在中华人民共和国境内有效获得的知识产权或其他合法权益。若出现侵犯第三方知识产权或其他合法权益的情形，乙方承诺和保证由此引发的一切责任由乙方承担，并采取一切措施使甲方不牵涉到纠纷当中，不被任何司法机关传唤或作为任何纠纷的主体；乙方应对甲方由此产生的一切损失（包括间接损失）承担赔偿责任。</w:t>
      </w:r>
    </w:p>
    <w:p w14:paraId="3904A0CC">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w:t>
      </w: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eastAsia="zh-CN"/>
        </w:rPr>
        <w:t>五条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不可抗力</w:t>
      </w:r>
    </w:p>
    <w:p w14:paraId="4C409CA5">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15.1 </w:t>
      </w:r>
      <w:r>
        <w:rPr>
          <w:rFonts w:hint="eastAsia" w:ascii="宋体" w:hAnsi="宋体" w:eastAsia="宋体" w:cs="宋体"/>
          <w:color w:val="auto"/>
          <w:szCs w:val="21"/>
          <w:highlight w:val="none"/>
        </w:rPr>
        <w:t>不可抗力系指甲、乙双方在缔结协议时所不能预见的，并且它的发生及其后果是无法避免和无法克服的客观情况，如地震、火灾、兵变、洪水等。</w:t>
      </w:r>
    </w:p>
    <w:p w14:paraId="76BC0A1E">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15.2 </w:t>
      </w:r>
      <w:r>
        <w:rPr>
          <w:rFonts w:hint="eastAsia" w:ascii="宋体" w:hAnsi="宋体" w:eastAsia="宋体" w:cs="宋体"/>
          <w:color w:val="auto"/>
          <w:szCs w:val="21"/>
          <w:highlight w:val="none"/>
        </w:rPr>
        <w:t>任何一方由于不可抗力的原因不能履行协议时，应及时向对方通报不能履行或不能完全履行的理由，发生不可抗力的一方应当在壹个月内提供权威部门出具的有效证明，作为发生不可抗力情况的证明。在取得有关机构证明以后，允许延期履行、部分履行或者不履行协议，甲、乙双方对此互不提出赔偿责任。</w:t>
      </w:r>
    </w:p>
    <w:p w14:paraId="563EBEDC">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15.3 </w:t>
      </w:r>
      <w:r>
        <w:rPr>
          <w:rFonts w:hint="eastAsia" w:ascii="宋体" w:hAnsi="宋体" w:eastAsia="宋体" w:cs="宋体"/>
          <w:color w:val="auto"/>
          <w:szCs w:val="21"/>
          <w:highlight w:val="none"/>
        </w:rPr>
        <w:t>在发生不可抗力的情况下，乙方仍然有责任采取必要的措施加速供货，甲、乙双方应通过友好协商尽快解决本协议的执行问题。</w:t>
      </w:r>
    </w:p>
    <w:p w14:paraId="3B28294D">
      <w:pPr>
        <w:snapToGrid w:val="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第</w:t>
      </w: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eastAsia="zh-CN"/>
        </w:rPr>
        <w:t>六条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协议生效、变更与解除</w:t>
      </w:r>
    </w:p>
    <w:p w14:paraId="57D9D333">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16.1 </w:t>
      </w:r>
      <w:r>
        <w:rPr>
          <w:rFonts w:hint="eastAsia" w:ascii="宋体" w:hAnsi="宋体" w:eastAsia="宋体" w:cs="宋体"/>
          <w:color w:val="auto"/>
          <w:szCs w:val="21"/>
          <w:highlight w:val="none"/>
        </w:rPr>
        <w:t>本协议自甲方盖章、乙方法定代表人或授权代表签字盖章之日起生效。</w:t>
      </w:r>
    </w:p>
    <w:p w14:paraId="204977CB">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16.2 </w:t>
      </w:r>
      <w:r>
        <w:rPr>
          <w:rFonts w:hint="eastAsia" w:ascii="宋体" w:hAnsi="宋体" w:eastAsia="宋体" w:cs="宋体"/>
          <w:color w:val="auto"/>
          <w:szCs w:val="21"/>
          <w:highlight w:val="none"/>
        </w:rPr>
        <w:t>在协议履行过程中，甲、乙双方经协商一致达成书面协议后可以变更或解除本协议；此外，甲方可依法或依本协议的约定行使协议解除权。</w:t>
      </w:r>
    </w:p>
    <w:p w14:paraId="0EFB043E">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16.3 </w:t>
      </w:r>
      <w:r>
        <w:rPr>
          <w:rFonts w:hint="eastAsia" w:ascii="宋体" w:hAnsi="宋体" w:eastAsia="宋体" w:cs="宋体"/>
          <w:color w:val="auto"/>
          <w:szCs w:val="21"/>
          <w:highlight w:val="none"/>
        </w:rPr>
        <w:t>本协议任何原因之终止、中止和到期，不得影响其终止、中止和到期之前双方已产生的权利和义务。</w:t>
      </w:r>
    </w:p>
    <w:p w14:paraId="6992F7F6">
      <w:pPr>
        <w:spacing w:before="145" w:beforeLine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w:t>
      </w: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eastAsia="zh-CN"/>
        </w:rPr>
        <w:t>七条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法律适用及争议解决</w:t>
      </w:r>
    </w:p>
    <w:p w14:paraId="4AE8FBAD">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17.1 </w:t>
      </w:r>
      <w:r>
        <w:rPr>
          <w:rFonts w:hint="eastAsia" w:ascii="宋体" w:hAnsi="宋体" w:eastAsia="宋体" w:cs="宋体"/>
          <w:color w:val="auto"/>
          <w:szCs w:val="21"/>
          <w:highlight w:val="none"/>
        </w:rPr>
        <w:t>本协议适用中华人民共和国法律。</w:t>
      </w:r>
    </w:p>
    <w:p w14:paraId="3953A558">
      <w:pPr>
        <w:snapToGrid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17.2 </w:t>
      </w:r>
      <w:r>
        <w:rPr>
          <w:rFonts w:hint="eastAsia" w:ascii="宋体" w:hAnsi="宋体" w:eastAsia="宋体" w:cs="宋体"/>
          <w:color w:val="auto"/>
          <w:szCs w:val="21"/>
          <w:highlight w:val="none"/>
        </w:rPr>
        <w:t>甲、乙双方在履行本协议过程中若发生争议，首先应协商解决；协商不成的，任何一方均可向</w:t>
      </w:r>
      <w:r>
        <w:rPr>
          <w:rFonts w:hint="eastAsia" w:ascii="宋体" w:hAnsi="宋体" w:eastAsia="宋体" w:cs="宋体"/>
          <w:color w:val="auto"/>
          <w:szCs w:val="21"/>
          <w:highlight w:val="none"/>
          <w:u w:val="single"/>
        </w:rPr>
        <w:t>甲方所在地有管辖权的人民法院</w:t>
      </w:r>
      <w:r>
        <w:rPr>
          <w:rFonts w:hint="eastAsia" w:ascii="宋体" w:hAnsi="宋体" w:eastAsia="宋体" w:cs="宋体"/>
          <w:color w:val="auto"/>
          <w:szCs w:val="21"/>
          <w:highlight w:val="none"/>
        </w:rPr>
        <w:t>提起诉讼。</w:t>
      </w:r>
    </w:p>
    <w:p w14:paraId="16B10363">
      <w:pPr>
        <w:snapToGrid w:val="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第</w:t>
      </w: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eastAsia="zh-CN"/>
        </w:rPr>
        <w:t>八条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协议继承</w:t>
      </w:r>
    </w:p>
    <w:p w14:paraId="7AFC0A9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在本协议有效期间任何一方发生公司重组、更名、合并、分立等事项，该方应自该事项发生之日起七天内书面通知对方。在不影响对方根据本协议或法律应享有的权利的前提下，本协议对发生重组等事项一方的权利义务继受者仍应具有约束力。</w:t>
      </w:r>
    </w:p>
    <w:p w14:paraId="4D699D5A">
      <w:pPr>
        <w:spacing w:before="145" w:beforeLine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第</w:t>
      </w: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eastAsia="zh-CN"/>
        </w:rPr>
        <w:t>九条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其它事项</w:t>
      </w:r>
    </w:p>
    <w:p w14:paraId="755ABF7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19.1 </w:t>
      </w:r>
      <w:r>
        <w:rPr>
          <w:rFonts w:hint="eastAsia" w:ascii="宋体" w:hAnsi="宋体" w:eastAsia="宋体" w:cs="宋体"/>
          <w:color w:val="auto"/>
          <w:szCs w:val="21"/>
          <w:highlight w:val="none"/>
        </w:rPr>
        <w:t>本协议一式</w:t>
      </w:r>
      <w:r>
        <w:rPr>
          <w:rFonts w:hint="eastAsia" w:ascii="宋体" w:hAnsi="宋体" w:eastAsia="宋体" w:cs="宋体"/>
          <w:color w:val="auto"/>
          <w:szCs w:val="21"/>
          <w:highlight w:val="none"/>
          <w:u w:val="single"/>
        </w:rPr>
        <w:t>肆</w:t>
      </w:r>
      <w:r>
        <w:rPr>
          <w:rFonts w:hint="eastAsia" w:ascii="宋体" w:hAnsi="宋体" w:eastAsia="宋体" w:cs="宋体"/>
          <w:color w:val="auto"/>
          <w:szCs w:val="21"/>
          <w:highlight w:val="none"/>
        </w:rPr>
        <w:t>份，双方各执</w:t>
      </w:r>
      <w:r>
        <w:rPr>
          <w:rFonts w:hint="eastAsia" w:ascii="宋体" w:hAnsi="宋体" w:eastAsia="宋体" w:cs="宋体"/>
          <w:color w:val="auto"/>
          <w:szCs w:val="21"/>
          <w:highlight w:val="none"/>
          <w:u w:val="single"/>
        </w:rPr>
        <w:t>贰</w:t>
      </w:r>
      <w:r>
        <w:rPr>
          <w:rFonts w:hint="eastAsia" w:ascii="宋体" w:hAnsi="宋体" w:eastAsia="宋体" w:cs="宋体"/>
          <w:color w:val="auto"/>
          <w:szCs w:val="21"/>
          <w:highlight w:val="none"/>
        </w:rPr>
        <w:t>份，每份具有同等法律效力。</w:t>
      </w:r>
    </w:p>
    <w:p w14:paraId="23EB332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19.2 </w:t>
      </w:r>
      <w:r>
        <w:rPr>
          <w:rFonts w:hint="eastAsia" w:ascii="宋体" w:hAnsi="宋体" w:eastAsia="宋体" w:cs="宋体"/>
          <w:color w:val="auto"/>
          <w:szCs w:val="21"/>
          <w:highlight w:val="none"/>
        </w:rPr>
        <w:t>本协议未尽事宜双方应本着友好协商的精神商议解决。</w:t>
      </w:r>
    </w:p>
    <w:p w14:paraId="77E64BC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19.3 </w:t>
      </w:r>
      <w:r>
        <w:rPr>
          <w:rFonts w:hint="eastAsia" w:ascii="宋体" w:hAnsi="宋体" w:eastAsia="宋体" w:cs="宋体"/>
          <w:color w:val="auto"/>
          <w:szCs w:val="21"/>
          <w:highlight w:val="none"/>
        </w:rPr>
        <w:t>对本协议任何条款（包括协议附件内容）的任何变更、补充或增删，都需经过甲乙双方的书面确认，并由双方签字或盖章后方可生效。否则，未确认方对协议变更部分不承担法律责任。</w:t>
      </w:r>
    </w:p>
    <w:p w14:paraId="42E77E5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19.4 </w:t>
      </w:r>
      <w:r>
        <w:rPr>
          <w:rFonts w:hint="eastAsia" w:ascii="宋体" w:hAnsi="宋体" w:eastAsia="宋体" w:cs="宋体"/>
          <w:color w:val="auto"/>
          <w:szCs w:val="21"/>
          <w:highlight w:val="none"/>
        </w:rPr>
        <w:t>本协议条款名称仅为方便而设，不得用来解释协议条款的含义。本协议任何条款的无效不影响协议任何其他条款的效力。</w:t>
      </w:r>
    </w:p>
    <w:p w14:paraId="34E485B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19.5 </w:t>
      </w:r>
      <w:r>
        <w:rPr>
          <w:rFonts w:hint="eastAsia" w:ascii="宋体" w:hAnsi="宋体" w:eastAsia="宋体" w:cs="宋体"/>
          <w:color w:val="auto"/>
          <w:szCs w:val="21"/>
          <w:highlight w:val="none"/>
        </w:rPr>
        <w:t>甲方已应乙方要求对相关条款作出充分的解释和说明，乙方对本合同条款的含义及相应的法律后果已全部通晓并充分理解，各方对本合同各条款的理解完全一致，对合同内容无异议。</w:t>
      </w:r>
    </w:p>
    <w:p w14:paraId="604E221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19.6 </w:t>
      </w:r>
      <w:r>
        <w:rPr>
          <w:rFonts w:hint="eastAsia" w:ascii="宋体" w:hAnsi="宋体" w:eastAsia="宋体" w:cs="宋体"/>
          <w:color w:val="auto"/>
          <w:szCs w:val="21"/>
          <w:highlight w:val="none"/>
        </w:rPr>
        <w:t>本协议附件如下，附件与本协议具有同等法律效力：</w:t>
      </w:r>
    </w:p>
    <w:p w14:paraId="579B765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w:t>
      </w:r>
      <w:r>
        <w:rPr>
          <w:rFonts w:hint="eastAsia" w:ascii="宋体" w:hAnsi="宋体" w:eastAsia="宋体" w:cs="宋体"/>
          <w:color w:val="auto"/>
          <w:szCs w:val="21"/>
          <w:highlight w:val="none"/>
          <w:u w:val="single"/>
        </w:rPr>
        <w:t xml:space="preserve">   拟上架商品与价格清单 </w:t>
      </w:r>
    </w:p>
    <w:p w14:paraId="37046F8D">
      <w:pPr>
        <w:snapToGrid w:val="0"/>
        <w:rPr>
          <w:rFonts w:hint="eastAsia" w:ascii="宋体" w:hAnsi="宋体" w:eastAsia="宋体" w:cs="宋体"/>
          <w:color w:val="auto"/>
          <w:highlight w:val="none"/>
        </w:rPr>
      </w:pPr>
    </w:p>
    <w:p w14:paraId="5F57D49D">
      <w:pPr>
        <w:pStyle w:val="25"/>
        <w:rPr>
          <w:rFonts w:hint="eastAsia" w:ascii="宋体" w:hAnsi="宋体" w:eastAsia="宋体" w:cs="宋体"/>
          <w:color w:val="auto"/>
          <w:highlight w:val="none"/>
        </w:rPr>
      </w:pPr>
    </w:p>
    <w:p w14:paraId="7F9A4F71">
      <w:pPr>
        <w:pStyle w:val="25"/>
        <w:rPr>
          <w:rFonts w:hint="eastAsia" w:ascii="宋体" w:hAnsi="宋体" w:eastAsia="宋体" w:cs="宋体"/>
          <w:color w:val="auto"/>
          <w:highlight w:val="none"/>
        </w:rPr>
      </w:pPr>
    </w:p>
    <w:p w14:paraId="103F39AB">
      <w:pPr>
        <w:snapToGrid w:val="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甲方（盖章）：                            乙方（盖章）：</w:t>
      </w:r>
    </w:p>
    <w:p w14:paraId="609361A9">
      <w:pPr>
        <w:snapToGrid w:val="0"/>
        <w:rPr>
          <w:rFonts w:hint="eastAsia" w:ascii="宋体" w:hAnsi="宋体" w:eastAsia="宋体" w:cs="宋体"/>
          <w:snapToGrid w:val="0"/>
          <w:color w:val="auto"/>
          <w:sz w:val="24"/>
          <w:highlight w:val="none"/>
        </w:rPr>
      </w:pPr>
    </w:p>
    <w:p w14:paraId="04D3A852">
      <w:pPr>
        <w:snapToGrid w:val="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法定代表人</w:t>
      </w:r>
      <w:r>
        <w:rPr>
          <w:rFonts w:hint="eastAsia" w:ascii="宋体" w:hAnsi="宋体" w:eastAsia="宋体" w:cs="宋体"/>
          <w:color w:val="auto"/>
          <w:sz w:val="24"/>
          <w:highlight w:val="none"/>
        </w:rPr>
        <w:t>/负责人</w:t>
      </w:r>
      <w:r>
        <w:rPr>
          <w:rFonts w:hint="eastAsia" w:ascii="宋体" w:hAnsi="宋体" w:eastAsia="宋体" w:cs="宋体"/>
          <w:snapToGrid w:val="0"/>
          <w:color w:val="auto"/>
          <w:sz w:val="24"/>
          <w:highlight w:val="none"/>
        </w:rPr>
        <w:t xml:space="preserve">                         法定代表人</w:t>
      </w:r>
      <w:r>
        <w:rPr>
          <w:rFonts w:hint="eastAsia" w:ascii="宋体" w:hAnsi="宋体" w:eastAsia="宋体" w:cs="宋体"/>
          <w:color w:val="auto"/>
          <w:sz w:val="24"/>
          <w:highlight w:val="none"/>
        </w:rPr>
        <w:t>/负责人</w:t>
      </w:r>
      <w:r>
        <w:rPr>
          <w:rFonts w:hint="eastAsia" w:ascii="宋体" w:hAnsi="宋体" w:eastAsia="宋体" w:cs="宋体"/>
          <w:snapToGrid w:val="0"/>
          <w:color w:val="auto"/>
          <w:sz w:val="24"/>
          <w:highlight w:val="none"/>
        </w:rPr>
        <w:t xml:space="preserve">          </w:t>
      </w:r>
    </w:p>
    <w:p w14:paraId="1A7E3976">
      <w:pPr>
        <w:snapToGrid w:val="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或授权代理人：                            或授权代理人：</w:t>
      </w:r>
    </w:p>
    <w:p w14:paraId="47700B86">
      <w:pPr>
        <w:snapToGrid w:val="0"/>
        <w:rPr>
          <w:rFonts w:hint="eastAsia" w:ascii="宋体" w:hAnsi="宋体" w:eastAsia="宋体" w:cs="宋体"/>
          <w:snapToGrid w:val="0"/>
          <w:color w:val="auto"/>
          <w:sz w:val="24"/>
          <w:highlight w:val="none"/>
        </w:rPr>
      </w:pPr>
    </w:p>
    <w:p w14:paraId="68DD7504">
      <w:pPr>
        <w:snapToGrid w:val="0"/>
        <w:rPr>
          <w:rFonts w:hint="eastAsia" w:ascii="宋体" w:hAnsi="宋体" w:eastAsia="宋体" w:cs="宋体"/>
          <w:color w:val="auto"/>
          <w:highlight w:val="none"/>
        </w:rPr>
      </w:pPr>
      <w:r>
        <w:rPr>
          <w:rFonts w:hint="eastAsia" w:ascii="宋体" w:hAnsi="宋体" w:eastAsia="宋体" w:cs="宋体"/>
          <w:snapToGrid w:val="0"/>
          <w:color w:val="auto"/>
          <w:sz w:val="24"/>
          <w:highlight w:val="none"/>
        </w:rPr>
        <w:t>日期：   年  月  日                       日期：   年  月  日</w:t>
      </w:r>
      <w:bookmarkStart w:id="297" w:name="_Toc67994295"/>
      <w:bookmarkEnd w:id="297"/>
      <w:bookmarkStart w:id="298" w:name="_Toc89089920"/>
      <w:bookmarkEnd w:id="298"/>
      <w:bookmarkStart w:id="299" w:name="_Toc89089779"/>
      <w:bookmarkEnd w:id="299"/>
      <w:bookmarkStart w:id="300" w:name="_Toc89089608"/>
      <w:bookmarkEnd w:id="300"/>
      <w:bookmarkStart w:id="301" w:name="_Toc89086512"/>
      <w:bookmarkEnd w:id="301"/>
      <w:bookmarkStart w:id="302" w:name="RANGE!D45"/>
      <w:bookmarkEnd w:id="302"/>
      <w:bookmarkStart w:id="303" w:name="_Toc89087890"/>
      <w:bookmarkEnd w:id="303"/>
      <w:bookmarkStart w:id="304" w:name="_Toc89087842"/>
      <w:bookmarkEnd w:id="304"/>
      <w:bookmarkStart w:id="305" w:name="_Toc89086883"/>
      <w:bookmarkEnd w:id="305"/>
      <w:bookmarkStart w:id="306" w:name="_Toc89087230"/>
      <w:bookmarkEnd w:id="306"/>
      <w:bookmarkStart w:id="307" w:name="_Toc89088063"/>
      <w:bookmarkEnd w:id="307"/>
      <w:bookmarkStart w:id="308" w:name="_Toc89089923"/>
      <w:bookmarkEnd w:id="308"/>
      <w:bookmarkStart w:id="309" w:name="_Toc67994274"/>
      <w:bookmarkEnd w:id="309"/>
      <w:bookmarkStart w:id="310" w:name="_Toc67994337"/>
      <w:bookmarkEnd w:id="310"/>
      <w:bookmarkStart w:id="311" w:name="_Toc89089710"/>
      <w:bookmarkEnd w:id="311"/>
      <w:bookmarkStart w:id="312" w:name="_Toc89089566"/>
      <w:bookmarkEnd w:id="312"/>
      <w:bookmarkStart w:id="313" w:name="_Toc89086763"/>
      <w:bookmarkEnd w:id="313"/>
      <w:bookmarkStart w:id="314" w:name="_Toc89086548"/>
      <w:bookmarkEnd w:id="314"/>
      <w:bookmarkStart w:id="315" w:name="_Toc89087581"/>
      <w:bookmarkEnd w:id="315"/>
      <w:bookmarkStart w:id="316" w:name="_Toc89089924"/>
      <w:bookmarkEnd w:id="316"/>
      <w:bookmarkStart w:id="317" w:name="_Toc67994296"/>
      <w:bookmarkEnd w:id="317"/>
      <w:bookmarkStart w:id="318" w:name="_Toc89089541"/>
      <w:bookmarkEnd w:id="318"/>
      <w:bookmarkStart w:id="319" w:name="_Toc89087803"/>
      <w:bookmarkEnd w:id="319"/>
      <w:bookmarkStart w:id="320" w:name="_Toc67306777"/>
      <w:bookmarkEnd w:id="320"/>
      <w:bookmarkStart w:id="321" w:name="_Toc89086630"/>
      <w:bookmarkEnd w:id="321"/>
      <w:bookmarkStart w:id="322" w:name="_Toc89087929"/>
      <w:bookmarkEnd w:id="322"/>
      <w:bookmarkStart w:id="323" w:name="_Toc89086540"/>
      <w:bookmarkEnd w:id="323"/>
      <w:bookmarkStart w:id="324" w:name="_Toc89088051"/>
      <w:bookmarkEnd w:id="324"/>
      <w:bookmarkStart w:id="325" w:name="_Toc89087440"/>
      <w:bookmarkEnd w:id="325"/>
      <w:bookmarkStart w:id="326" w:name="_Toc89087068"/>
      <w:bookmarkEnd w:id="326"/>
      <w:bookmarkStart w:id="327" w:name="_Toc89087441"/>
      <w:bookmarkEnd w:id="327"/>
      <w:bookmarkStart w:id="328" w:name="_Toc89086346"/>
      <w:bookmarkEnd w:id="328"/>
      <w:bookmarkStart w:id="329" w:name="_Toc89088052"/>
      <w:bookmarkEnd w:id="329"/>
      <w:bookmarkStart w:id="330" w:name="_Toc89086360"/>
      <w:bookmarkEnd w:id="330"/>
      <w:bookmarkStart w:id="331" w:name="_Toc89089657"/>
      <w:bookmarkEnd w:id="331"/>
      <w:bookmarkStart w:id="332" w:name="_Toc89089636"/>
      <w:bookmarkEnd w:id="332"/>
      <w:bookmarkStart w:id="333" w:name="_Toc89086682"/>
      <w:bookmarkEnd w:id="333"/>
      <w:bookmarkStart w:id="334" w:name="_Toc89087437"/>
      <w:bookmarkEnd w:id="334"/>
      <w:bookmarkStart w:id="335" w:name="_Toc89087410"/>
      <w:bookmarkEnd w:id="335"/>
      <w:bookmarkStart w:id="336" w:name="_Toc89087397"/>
      <w:bookmarkEnd w:id="336"/>
      <w:bookmarkStart w:id="337" w:name="_Toc89086347"/>
      <w:bookmarkEnd w:id="337"/>
      <w:bookmarkStart w:id="338" w:name="_Toc89086375"/>
      <w:bookmarkEnd w:id="338"/>
      <w:bookmarkStart w:id="339" w:name="_Toc89089434"/>
      <w:bookmarkEnd w:id="339"/>
      <w:bookmarkStart w:id="340" w:name="_Toc89087426"/>
      <w:bookmarkEnd w:id="340"/>
      <w:bookmarkStart w:id="341" w:name="_Toc89089262"/>
      <w:bookmarkEnd w:id="341"/>
      <w:bookmarkStart w:id="342" w:name="_Toc89086355"/>
      <w:bookmarkEnd w:id="342"/>
      <w:bookmarkStart w:id="343" w:name="_Toc89087387"/>
      <w:bookmarkEnd w:id="343"/>
      <w:bookmarkStart w:id="344" w:name="_Toc89087066"/>
      <w:bookmarkEnd w:id="344"/>
      <w:bookmarkStart w:id="345" w:name="_Toc67307267"/>
      <w:bookmarkEnd w:id="345"/>
      <w:bookmarkStart w:id="346" w:name="_Toc89086905"/>
      <w:bookmarkEnd w:id="346"/>
      <w:bookmarkStart w:id="347" w:name="_Toc66691026"/>
      <w:bookmarkEnd w:id="347"/>
      <w:bookmarkStart w:id="348" w:name="_Toc67762193"/>
      <w:bookmarkEnd w:id="348"/>
      <w:bookmarkStart w:id="349" w:name="_Toc89087401"/>
      <w:bookmarkEnd w:id="349"/>
      <w:bookmarkStart w:id="350" w:name="_Toc89086366"/>
      <w:bookmarkEnd w:id="350"/>
      <w:bookmarkStart w:id="351" w:name="_Toc89089928"/>
      <w:bookmarkEnd w:id="351"/>
      <w:bookmarkStart w:id="352" w:name="_Toc89087425"/>
      <w:bookmarkEnd w:id="352"/>
      <w:bookmarkStart w:id="353" w:name="_Toc89089289"/>
      <w:bookmarkEnd w:id="353"/>
      <w:bookmarkStart w:id="354" w:name="_Toc89086875"/>
      <w:bookmarkEnd w:id="354"/>
      <w:bookmarkStart w:id="355" w:name="_Toc89087064"/>
      <w:bookmarkEnd w:id="355"/>
      <w:bookmarkStart w:id="356" w:name="_Toc89087793"/>
      <w:bookmarkEnd w:id="356"/>
      <w:bookmarkStart w:id="357" w:name="_Toc89086364"/>
      <w:bookmarkEnd w:id="357"/>
      <w:bookmarkStart w:id="358" w:name="_Toc89088054"/>
      <w:bookmarkEnd w:id="358"/>
      <w:bookmarkStart w:id="359" w:name="_Toc89086393"/>
      <w:bookmarkEnd w:id="359"/>
      <w:bookmarkStart w:id="360" w:name="_Toc89087403"/>
      <w:bookmarkEnd w:id="360"/>
      <w:bookmarkStart w:id="361" w:name="_Toc89086924"/>
      <w:bookmarkEnd w:id="361"/>
      <w:bookmarkStart w:id="362" w:name="_Toc89087407"/>
      <w:bookmarkEnd w:id="362"/>
      <w:bookmarkStart w:id="363" w:name="_Toc89087556"/>
      <w:bookmarkEnd w:id="363"/>
      <w:bookmarkStart w:id="364" w:name="_Toc89089279"/>
      <w:bookmarkEnd w:id="364"/>
      <w:bookmarkStart w:id="365" w:name="_Toc89088067"/>
      <w:bookmarkEnd w:id="365"/>
      <w:bookmarkStart w:id="366" w:name="_Toc89087919"/>
      <w:bookmarkEnd w:id="366"/>
      <w:bookmarkStart w:id="367" w:name="_Toc89087413"/>
      <w:bookmarkEnd w:id="367"/>
      <w:bookmarkStart w:id="368" w:name="_Toc89086918"/>
      <w:bookmarkEnd w:id="368"/>
      <w:bookmarkStart w:id="369" w:name="_Toc67994327"/>
      <w:bookmarkEnd w:id="369"/>
      <w:bookmarkStart w:id="370" w:name="_Toc67762225"/>
      <w:bookmarkEnd w:id="370"/>
      <w:bookmarkStart w:id="371" w:name="_Toc89087911"/>
      <w:bookmarkEnd w:id="371"/>
      <w:bookmarkStart w:id="372" w:name="_Toc89087060"/>
      <w:bookmarkEnd w:id="372"/>
      <w:bookmarkStart w:id="373" w:name="_Toc89086397"/>
      <w:bookmarkEnd w:id="373"/>
      <w:bookmarkStart w:id="374" w:name="_Toc67306682"/>
      <w:bookmarkEnd w:id="374"/>
      <w:bookmarkStart w:id="375" w:name="_Toc89087390"/>
      <w:bookmarkEnd w:id="375"/>
      <w:bookmarkStart w:id="376" w:name="_Toc89089937"/>
      <w:bookmarkEnd w:id="376"/>
      <w:bookmarkStart w:id="377" w:name="_Toc89087388"/>
      <w:bookmarkEnd w:id="377"/>
      <w:bookmarkStart w:id="378" w:name="_Toc89089717"/>
      <w:bookmarkEnd w:id="378"/>
      <w:bookmarkStart w:id="379" w:name="_Toc89089878"/>
      <w:bookmarkEnd w:id="379"/>
      <w:bookmarkStart w:id="380" w:name="_Toc89086538"/>
      <w:bookmarkEnd w:id="380"/>
      <w:bookmarkStart w:id="381" w:name="_Toc89087820"/>
      <w:bookmarkEnd w:id="381"/>
      <w:bookmarkStart w:id="382" w:name="_Toc89086617"/>
      <w:bookmarkEnd w:id="382"/>
      <w:bookmarkStart w:id="383" w:name="_Toc89087983"/>
      <w:bookmarkEnd w:id="383"/>
      <w:bookmarkStart w:id="384" w:name="_Toc89089450"/>
      <w:bookmarkEnd w:id="384"/>
      <w:bookmarkStart w:id="385" w:name="_Toc67306674"/>
      <w:bookmarkEnd w:id="385"/>
      <w:bookmarkStart w:id="386" w:name="_Toc89089277"/>
      <w:bookmarkEnd w:id="386"/>
      <w:bookmarkStart w:id="387" w:name="_Toc89089280"/>
      <w:bookmarkEnd w:id="387"/>
      <w:bookmarkStart w:id="388" w:name="_Toc89086589"/>
      <w:bookmarkEnd w:id="388"/>
      <w:bookmarkStart w:id="389" w:name="_Toc89089263"/>
      <w:bookmarkEnd w:id="389"/>
      <w:bookmarkStart w:id="390" w:name="_Toc89087400"/>
      <w:bookmarkEnd w:id="390"/>
      <w:bookmarkStart w:id="391" w:name="_Toc89086536"/>
      <w:bookmarkEnd w:id="391"/>
      <w:bookmarkStart w:id="392" w:name="_Toc89087554"/>
      <w:bookmarkEnd w:id="392"/>
      <w:bookmarkStart w:id="393" w:name="_Toc67307262"/>
      <w:bookmarkEnd w:id="393"/>
      <w:bookmarkStart w:id="394" w:name="_Toc89089264"/>
      <w:bookmarkEnd w:id="394"/>
      <w:bookmarkStart w:id="395" w:name="_Toc89087677"/>
      <w:bookmarkEnd w:id="395"/>
      <w:bookmarkStart w:id="396" w:name="_Toc89086915"/>
      <w:bookmarkEnd w:id="396"/>
      <w:bookmarkStart w:id="397" w:name="_Toc67994297"/>
      <w:bookmarkEnd w:id="397"/>
      <w:bookmarkStart w:id="398" w:name="_Toc89089423"/>
      <w:bookmarkEnd w:id="398"/>
      <w:bookmarkStart w:id="399" w:name="_Toc67306737"/>
      <w:bookmarkEnd w:id="399"/>
      <w:bookmarkStart w:id="400" w:name="_Toc89086925"/>
      <w:bookmarkEnd w:id="400"/>
      <w:bookmarkStart w:id="401" w:name="_Toc89087051"/>
      <w:bookmarkEnd w:id="401"/>
      <w:bookmarkStart w:id="402" w:name="_Toc89087412"/>
      <w:bookmarkEnd w:id="402"/>
      <w:bookmarkStart w:id="403" w:name="_Toc89087754"/>
      <w:bookmarkEnd w:id="403"/>
      <w:bookmarkStart w:id="404" w:name="_Toc89087129"/>
      <w:bookmarkEnd w:id="404"/>
      <w:bookmarkStart w:id="405" w:name="_Toc89086383"/>
      <w:bookmarkEnd w:id="405"/>
      <w:bookmarkStart w:id="406" w:name="_Toc89089788"/>
      <w:bookmarkEnd w:id="406"/>
      <w:bookmarkStart w:id="407" w:name="_Toc89087404"/>
      <w:bookmarkEnd w:id="407"/>
      <w:bookmarkStart w:id="408" w:name="_Toc67994285"/>
      <w:bookmarkEnd w:id="408"/>
      <w:bookmarkStart w:id="409" w:name="_Toc89087486"/>
      <w:bookmarkEnd w:id="409"/>
      <w:bookmarkStart w:id="410" w:name="_Toc89089769"/>
      <w:bookmarkEnd w:id="410"/>
      <w:bookmarkStart w:id="411" w:name="_Toc67307294"/>
      <w:bookmarkEnd w:id="411"/>
      <w:bookmarkStart w:id="412" w:name="_Toc89086516"/>
      <w:bookmarkEnd w:id="412"/>
      <w:bookmarkStart w:id="413" w:name="_Toc89089798"/>
      <w:bookmarkEnd w:id="413"/>
      <w:bookmarkStart w:id="414" w:name="_Toc67306774"/>
      <w:bookmarkEnd w:id="414"/>
      <w:bookmarkStart w:id="415" w:name="_Toc89086878"/>
      <w:bookmarkEnd w:id="415"/>
      <w:bookmarkStart w:id="416" w:name="_Toc89089300"/>
      <w:bookmarkEnd w:id="416"/>
      <w:bookmarkStart w:id="417" w:name="_Toc89089433"/>
      <w:bookmarkEnd w:id="417"/>
      <w:bookmarkStart w:id="418" w:name="_Toc67994336"/>
      <w:bookmarkEnd w:id="418"/>
      <w:bookmarkStart w:id="419" w:name="_Toc89086689"/>
      <w:bookmarkEnd w:id="419"/>
      <w:bookmarkStart w:id="420" w:name="_Toc89086888"/>
      <w:bookmarkEnd w:id="420"/>
      <w:bookmarkStart w:id="421" w:name="_Toc89087965"/>
      <w:bookmarkEnd w:id="421"/>
      <w:bookmarkStart w:id="422" w:name="_Toc67994323"/>
      <w:bookmarkEnd w:id="422"/>
      <w:bookmarkStart w:id="423" w:name="_Toc67306589"/>
      <w:bookmarkEnd w:id="423"/>
      <w:bookmarkStart w:id="424" w:name="_Toc67307309"/>
      <w:bookmarkEnd w:id="424"/>
      <w:bookmarkStart w:id="425" w:name="_Toc89086511"/>
      <w:bookmarkEnd w:id="425"/>
      <w:bookmarkStart w:id="426" w:name="_Toc89089256"/>
      <w:bookmarkEnd w:id="426"/>
      <w:bookmarkStart w:id="427" w:name="_Toc89089742"/>
      <w:bookmarkEnd w:id="427"/>
      <w:bookmarkStart w:id="428" w:name="_Toc89087573"/>
      <w:bookmarkEnd w:id="428"/>
      <w:bookmarkStart w:id="429" w:name="_Toc89089593"/>
      <w:bookmarkEnd w:id="429"/>
      <w:bookmarkStart w:id="430" w:name="_Toc89088058"/>
      <w:bookmarkEnd w:id="430"/>
      <w:bookmarkStart w:id="431" w:name="_Toc89087438"/>
      <w:bookmarkEnd w:id="431"/>
      <w:bookmarkStart w:id="432" w:name="_Toc67762195"/>
      <w:bookmarkEnd w:id="432"/>
      <w:bookmarkStart w:id="433" w:name="_Toc89089449"/>
      <w:bookmarkEnd w:id="433"/>
      <w:bookmarkStart w:id="434" w:name="_Toc89089922"/>
      <w:bookmarkEnd w:id="434"/>
      <w:bookmarkStart w:id="435" w:name="_Toc89086908"/>
      <w:bookmarkEnd w:id="435"/>
      <w:bookmarkStart w:id="436" w:name="_Toc89088046"/>
      <w:bookmarkEnd w:id="436"/>
      <w:bookmarkStart w:id="437" w:name="_Toc89086900"/>
      <w:bookmarkEnd w:id="437"/>
      <w:bookmarkStart w:id="438" w:name="_Toc89089306"/>
      <w:bookmarkEnd w:id="438"/>
      <w:bookmarkStart w:id="439" w:name="_Toc89089840"/>
      <w:bookmarkEnd w:id="439"/>
      <w:bookmarkStart w:id="440" w:name="_Toc89087552"/>
      <w:bookmarkEnd w:id="440"/>
      <w:bookmarkStart w:id="441" w:name="_Toc89087672"/>
      <w:bookmarkEnd w:id="441"/>
      <w:bookmarkStart w:id="442" w:name="_Toc89088059"/>
      <w:bookmarkEnd w:id="442"/>
      <w:bookmarkStart w:id="443" w:name="_Toc89087563"/>
      <w:bookmarkEnd w:id="443"/>
      <w:bookmarkStart w:id="444" w:name="_Toc89087815"/>
      <w:bookmarkEnd w:id="444"/>
      <w:bookmarkStart w:id="445" w:name="_Toc89089308"/>
      <w:bookmarkEnd w:id="445"/>
      <w:bookmarkStart w:id="446" w:name="_Toc89086396"/>
      <w:bookmarkEnd w:id="446"/>
      <w:bookmarkStart w:id="447" w:name="_Toc89087040"/>
      <w:bookmarkEnd w:id="447"/>
      <w:bookmarkStart w:id="448" w:name="_Toc89086874"/>
      <w:bookmarkEnd w:id="448"/>
      <w:bookmarkStart w:id="449" w:name="_Toc89087439"/>
      <w:bookmarkEnd w:id="449"/>
      <w:bookmarkStart w:id="450" w:name="_Toc89087572"/>
      <w:bookmarkEnd w:id="450"/>
      <w:bookmarkStart w:id="451" w:name="_Toc89089546"/>
      <w:bookmarkEnd w:id="451"/>
      <w:bookmarkStart w:id="452" w:name="_Toc89087391"/>
      <w:bookmarkEnd w:id="452"/>
      <w:bookmarkStart w:id="453" w:name="_Toc89086752"/>
      <w:bookmarkEnd w:id="453"/>
      <w:bookmarkStart w:id="454" w:name="_Toc89087707"/>
      <w:bookmarkEnd w:id="454"/>
      <w:bookmarkStart w:id="455" w:name="_Toc89087724"/>
      <w:bookmarkEnd w:id="455"/>
      <w:bookmarkStart w:id="456" w:name="_Toc89088060"/>
      <w:bookmarkEnd w:id="456"/>
      <w:bookmarkStart w:id="457" w:name="_Toc89087062"/>
      <w:bookmarkEnd w:id="457"/>
      <w:bookmarkStart w:id="458" w:name="_Toc89089732"/>
      <w:bookmarkEnd w:id="458"/>
      <w:bookmarkStart w:id="459" w:name="_Toc89086569"/>
      <w:bookmarkEnd w:id="459"/>
      <w:bookmarkStart w:id="460" w:name="_Toc89087713"/>
      <w:bookmarkEnd w:id="460"/>
      <w:bookmarkStart w:id="461" w:name="_Toc89087431"/>
      <w:bookmarkEnd w:id="461"/>
      <w:bookmarkStart w:id="462" w:name="_Toc89087783"/>
      <w:bookmarkEnd w:id="462"/>
      <w:bookmarkStart w:id="463" w:name="_Toc89089530"/>
      <w:bookmarkEnd w:id="463"/>
      <w:bookmarkStart w:id="464" w:name="_Toc89087043"/>
      <w:bookmarkEnd w:id="464"/>
      <w:bookmarkStart w:id="465" w:name="_Toc89087584"/>
      <w:bookmarkEnd w:id="465"/>
      <w:bookmarkStart w:id="466" w:name="_Toc89089975"/>
      <w:bookmarkEnd w:id="466"/>
      <w:bookmarkStart w:id="467" w:name="_Toc89086371"/>
      <w:bookmarkEnd w:id="467"/>
      <w:bookmarkStart w:id="468" w:name="_Toc89086525"/>
      <w:bookmarkEnd w:id="468"/>
      <w:bookmarkStart w:id="469" w:name="_Toc89087553"/>
      <w:bookmarkEnd w:id="469"/>
      <w:bookmarkStart w:id="470" w:name="_Toc89089307"/>
      <w:bookmarkEnd w:id="470"/>
      <w:bookmarkStart w:id="471" w:name="_Toc89087427"/>
      <w:bookmarkEnd w:id="471"/>
      <w:bookmarkStart w:id="472" w:name="_Toc89086800"/>
      <w:bookmarkEnd w:id="472"/>
      <w:bookmarkStart w:id="473" w:name="_Toc89086761"/>
      <w:bookmarkEnd w:id="473"/>
      <w:bookmarkStart w:id="474" w:name="_Toc67307308"/>
      <w:bookmarkEnd w:id="474"/>
      <w:bookmarkStart w:id="475" w:name="_Toc89088053"/>
      <w:bookmarkEnd w:id="475"/>
      <w:bookmarkStart w:id="476" w:name="_Toc89086584"/>
      <w:bookmarkEnd w:id="476"/>
      <w:bookmarkStart w:id="477" w:name="_Toc89087565"/>
      <w:bookmarkEnd w:id="477"/>
      <w:bookmarkStart w:id="478" w:name="_Toc89086912"/>
      <w:bookmarkEnd w:id="478"/>
      <w:bookmarkStart w:id="479" w:name="_Toc89087049"/>
      <w:bookmarkEnd w:id="479"/>
      <w:bookmarkStart w:id="480" w:name="_Toc89086363"/>
      <w:bookmarkEnd w:id="480"/>
      <w:bookmarkStart w:id="481" w:name="_Toc89086390"/>
      <w:bookmarkEnd w:id="481"/>
      <w:bookmarkStart w:id="482" w:name="_Toc89087059"/>
      <w:bookmarkEnd w:id="482"/>
      <w:bookmarkStart w:id="483" w:name="_Toc89089270"/>
      <w:bookmarkEnd w:id="483"/>
      <w:bookmarkStart w:id="484" w:name="_Toc89089301"/>
      <w:bookmarkEnd w:id="484"/>
      <w:bookmarkStart w:id="485" w:name="_Toc89089260"/>
      <w:bookmarkEnd w:id="485"/>
      <w:bookmarkStart w:id="486" w:name="_Toc89087416"/>
      <w:bookmarkEnd w:id="486"/>
      <w:bookmarkStart w:id="487" w:name="_Toc89087661"/>
      <w:bookmarkEnd w:id="487"/>
      <w:bookmarkStart w:id="488" w:name="_Toc89086387"/>
      <w:bookmarkEnd w:id="488"/>
      <w:bookmarkStart w:id="489" w:name="_Toc89087583"/>
      <w:bookmarkEnd w:id="489"/>
      <w:bookmarkStart w:id="490" w:name="_Toc89089444"/>
      <w:bookmarkEnd w:id="490"/>
      <w:bookmarkStart w:id="491" w:name="_Toc89086542"/>
      <w:bookmarkEnd w:id="491"/>
      <w:bookmarkStart w:id="492" w:name="_Toc89087420"/>
      <w:bookmarkEnd w:id="492"/>
      <w:bookmarkStart w:id="493" w:name="_Toc89086606"/>
      <w:bookmarkEnd w:id="493"/>
      <w:bookmarkStart w:id="494" w:name="_Toc89089258"/>
      <w:bookmarkEnd w:id="494"/>
      <w:bookmarkStart w:id="495" w:name="_Toc89088062"/>
      <w:bookmarkEnd w:id="495"/>
      <w:bookmarkStart w:id="496" w:name="_Toc67306691"/>
      <w:bookmarkEnd w:id="496"/>
      <w:bookmarkStart w:id="497" w:name="_Toc89089286"/>
      <w:bookmarkEnd w:id="497"/>
      <w:bookmarkStart w:id="498" w:name="_Toc89087576"/>
      <w:bookmarkEnd w:id="498"/>
      <w:bookmarkStart w:id="499" w:name="_Toc67306639"/>
      <w:bookmarkEnd w:id="499"/>
      <w:bookmarkStart w:id="500" w:name="_Toc67306769"/>
      <w:bookmarkEnd w:id="500"/>
      <w:bookmarkStart w:id="501" w:name="_Toc89087900"/>
      <w:bookmarkEnd w:id="501"/>
      <w:bookmarkStart w:id="502" w:name="_Toc89086601"/>
      <w:bookmarkEnd w:id="502"/>
      <w:bookmarkStart w:id="503" w:name="_Toc89089261"/>
      <w:bookmarkEnd w:id="503"/>
      <w:bookmarkStart w:id="504" w:name="_Toc89086365"/>
      <w:bookmarkEnd w:id="504"/>
      <w:bookmarkStart w:id="505" w:name="_Toc89086354"/>
      <w:bookmarkEnd w:id="505"/>
      <w:bookmarkStart w:id="506" w:name="_Toc89087462"/>
      <w:bookmarkEnd w:id="506"/>
      <w:bookmarkStart w:id="507" w:name="_Toc89086358"/>
      <w:bookmarkEnd w:id="507"/>
      <w:bookmarkStart w:id="508" w:name="_Toc89086377"/>
      <w:bookmarkEnd w:id="508"/>
      <w:bookmarkStart w:id="509" w:name="_Toc89086400"/>
      <w:bookmarkEnd w:id="509"/>
      <w:bookmarkStart w:id="510" w:name="_Toc89089278"/>
      <w:bookmarkEnd w:id="510"/>
      <w:bookmarkStart w:id="511" w:name="_Toc89087778"/>
      <w:bookmarkEnd w:id="511"/>
      <w:bookmarkStart w:id="512" w:name="_Toc89086671"/>
      <w:bookmarkEnd w:id="512"/>
      <w:bookmarkStart w:id="513" w:name="_Toc89088057"/>
      <w:bookmarkEnd w:id="513"/>
      <w:bookmarkStart w:id="514" w:name="_Toc89089782"/>
      <w:bookmarkEnd w:id="514"/>
      <w:bookmarkStart w:id="515" w:name="_Toc89089673"/>
      <w:bookmarkEnd w:id="515"/>
      <w:bookmarkStart w:id="516" w:name="_Toc89087982"/>
      <w:bookmarkEnd w:id="516"/>
      <w:bookmarkStart w:id="517" w:name="_Toc89086926"/>
      <w:bookmarkEnd w:id="517"/>
      <w:bookmarkStart w:id="518" w:name="_Toc89089551"/>
      <w:bookmarkEnd w:id="518"/>
      <w:bookmarkStart w:id="519" w:name="_Toc89087429"/>
      <w:bookmarkEnd w:id="519"/>
      <w:bookmarkStart w:id="520" w:name="_Toc89087739"/>
      <w:bookmarkEnd w:id="520"/>
      <w:bookmarkStart w:id="521" w:name="_Toc89086579"/>
      <w:bookmarkEnd w:id="521"/>
      <w:bookmarkStart w:id="522" w:name="_Toc67306667"/>
      <w:bookmarkEnd w:id="522"/>
      <w:bookmarkStart w:id="523" w:name="_Toc89087063"/>
      <w:bookmarkEnd w:id="523"/>
      <w:bookmarkStart w:id="524" w:name="_Toc89087399"/>
      <w:bookmarkEnd w:id="524"/>
      <w:bookmarkStart w:id="525" w:name="_Toc89089851"/>
      <w:bookmarkEnd w:id="525"/>
      <w:bookmarkStart w:id="526" w:name="_Toc89087841"/>
      <w:bookmarkEnd w:id="526"/>
      <w:bookmarkStart w:id="527" w:name="_Toc89086896"/>
      <w:bookmarkEnd w:id="527"/>
      <w:bookmarkStart w:id="528" w:name="_Toc89087692"/>
      <w:bookmarkEnd w:id="528"/>
      <w:bookmarkStart w:id="529" w:name="_Toc89086590"/>
      <w:bookmarkEnd w:id="529"/>
      <w:bookmarkStart w:id="530" w:name="_Toc89087873"/>
      <w:bookmarkEnd w:id="530"/>
      <w:bookmarkStart w:id="531" w:name="_Toc89086596"/>
      <w:bookmarkEnd w:id="531"/>
      <w:bookmarkStart w:id="532" w:name="_Toc89086359"/>
      <w:bookmarkEnd w:id="532"/>
      <w:bookmarkStart w:id="533" w:name="_Toc89087070"/>
      <w:bookmarkEnd w:id="533"/>
      <w:bookmarkStart w:id="534" w:name="_Toc89087228"/>
      <w:bookmarkEnd w:id="534"/>
      <w:bookmarkStart w:id="535" w:name="_Toc89087848"/>
      <w:bookmarkEnd w:id="535"/>
      <w:bookmarkStart w:id="536" w:name="_Toc89089439"/>
      <w:bookmarkEnd w:id="536"/>
      <w:bookmarkStart w:id="537" w:name="_Toc89089662"/>
      <w:bookmarkEnd w:id="537"/>
      <w:bookmarkStart w:id="538" w:name="_Toc89086898"/>
      <w:bookmarkEnd w:id="538"/>
      <w:bookmarkStart w:id="539" w:name="_Toc89089694"/>
      <w:bookmarkEnd w:id="539"/>
      <w:bookmarkStart w:id="540" w:name="_Toc89087564"/>
      <w:bookmarkEnd w:id="540"/>
      <w:bookmarkStart w:id="541" w:name="_Toc89087423"/>
      <w:bookmarkEnd w:id="541"/>
      <w:bookmarkStart w:id="542" w:name="_Toc89086894"/>
      <w:bookmarkEnd w:id="542"/>
      <w:bookmarkStart w:id="543" w:name="_Toc89087883"/>
      <w:bookmarkEnd w:id="543"/>
      <w:bookmarkStart w:id="544" w:name="_Toc89089456"/>
      <w:bookmarkEnd w:id="544"/>
      <w:bookmarkStart w:id="545" w:name="_Toc89087029"/>
      <w:bookmarkEnd w:id="545"/>
      <w:bookmarkStart w:id="546" w:name="_Toc89089430"/>
      <w:bookmarkEnd w:id="546"/>
      <w:bookmarkStart w:id="547" w:name="_Toc89089780"/>
      <w:bookmarkEnd w:id="547"/>
      <w:bookmarkStart w:id="548" w:name="_Toc89087971"/>
      <w:bookmarkEnd w:id="548"/>
      <w:bookmarkStart w:id="549" w:name="_Toc89086715"/>
      <w:bookmarkEnd w:id="549"/>
      <w:bookmarkStart w:id="550" w:name="_Toc89087884"/>
      <w:bookmarkEnd w:id="550"/>
      <w:bookmarkStart w:id="551" w:name="_Toc89089634"/>
      <w:bookmarkEnd w:id="551"/>
      <w:bookmarkStart w:id="552" w:name="_Toc89087048"/>
      <w:bookmarkEnd w:id="552"/>
      <w:bookmarkStart w:id="553" w:name="_Toc89088009"/>
      <w:bookmarkEnd w:id="553"/>
      <w:bookmarkStart w:id="554" w:name="_Toc89087050"/>
      <w:bookmarkEnd w:id="554"/>
      <w:bookmarkStart w:id="555" w:name="_Toc89086880"/>
      <w:bookmarkEnd w:id="555"/>
      <w:bookmarkStart w:id="556" w:name="_Toc89086884"/>
      <w:bookmarkEnd w:id="556"/>
      <w:bookmarkStart w:id="557" w:name="_Toc89087424"/>
      <w:bookmarkEnd w:id="557"/>
      <w:bookmarkStart w:id="558" w:name="_Toc89086382"/>
      <w:bookmarkEnd w:id="558"/>
      <w:bookmarkStart w:id="559" w:name="_Toc89087122"/>
      <w:bookmarkEnd w:id="559"/>
      <w:bookmarkStart w:id="560" w:name="_Toc66691098"/>
      <w:bookmarkEnd w:id="560"/>
      <w:bookmarkStart w:id="561" w:name="_Toc89087660"/>
      <w:bookmarkEnd w:id="561"/>
      <w:bookmarkStart w:id="562" w:name="_Toc89087702"/>
      <w:bookmarkEnd w:id="562"/>
      <w:bookmarkStart w:id="563" w:name="_Toc89088066"/>
      <w:bookmarkEnd w:id="563"/>
      <w:bookmarkStart w:id="564" w:name="_Toc89086517"/>
      <w:bookmarkEnd w:id="564"/>
      <w:bookmarkStart w:id="565" w:name="_Toc89089588"/>
      <w:bookmarkEnd w:id="565"/>
      <w:bookmarkStart w:id="566" w:name="_Toc89089704"/>
      <w:bookmarkEnd w:id="566"/>
      <w:bookmarkStart w:id="567" w:name="_Toc89086625"/>
      <w:bookmarkEnd w:id="567"/>
      <w:bookmarkStart w:id="568" w:name="_Toc89089304"/>
      <w:bookmarkEnd w:id="568"/>
      <w:bookmarkStart w:id="569" w:name="_Toc89086421"/>
      <w:bookmarkEnd w:id="569"/>
      <w:bookmarkStart w:id="570" w:name="_Toc89087587"/>
      <w:bookmarkEnd w:id="570"/>
      <w:bookmarkStart w:id="571" w:name="_Toc89087765"/>
      <w:bookmarkEnd w:id="571"/>
      <w:bookmarkStart w:id="572" w:name="_Toc89086521"/>
      <w:bookmarkEnd w:id="572"/>
      <w:bookmarkStart w:id="573" w:name="_Toc89087052"/>
      <w:bookmarkEnd w:id="573"/>
      <w:bookmarkStart w:id="574" w:name="_Toc89088105"/>
      <w:bookmarkEnd w:id="574"/>
      <w:bookmarkStart w:id="575" w:name="_Toc89089635"/>
      <w:bookmarkEnd w:id="575"/>
      <w:bookmarkStart w:id="576" w:name="_Toc89089276"/>
      <w:bookmarkEnd w:id="576"/>
      <w:bookmarkStart w:id="577" w:name="_Toc89089435"/>
      <w:bookmarkEnd w:id="577"/>
      <w:bookmarkStart w:id="578" w:name="_Toc89087759"/>
      <w:bookmarkEnd w:id="578"/>
      <w:bookmarkStart w:id="579" w:name="_Toc89089282"/>
      <w:bookmarkEnd w:id="579"/>
      <w:bookmarkStart w:id="580" w:name="_Toc89086899"/>
      <w:bookmarkEnd w:id="580"/>
      <w:bookmarkStart w:id="581" w:name="_Toc89089447"/>
      <w:bookmarkEnd w:id="581"/>
      <w:bookmarkStart w:id="582" w:name="_Toc89086380"/>
      <w:bookmarkEnd w:id="582"/>
      <w:bookmarkStart w:id="583" w:name="_Toc89086532"/>
      <w:bookmarkEnd w:id="583"/>
      <w:bookmarkStart w:id="584" w:name="_Toc89087430"/>
      <w:bookmarkEnd w:id="584"/>
      <w:bookmarkStart w:id="585" w:name="_Toc89086716"/>
      <w:bookmarkEnd w:id="585"/>
      <w:bookmarkStart w:id="586" w:name="_Toc89087687"/>
      <w:bookmarkEnd w:id="586"/>
      <w:bookmarkStart w:id="587" w:name="_Toc89086923"/>
      <w:bookmarkEnd w:id="587"/>
      <w:bookmarkStart w:id="588" w:name="_Toc89087075"/>
      <w:bookmarkEnd w:id="588"/>
      <w:bookmarkStart w:id="589" w:name="_Toc89087057"/>
      <w:bookmarkEnd w:id="589"/>
      <w:bookmarkStart w:id="590" w:name="_Toc89087421"/>
      <w:bookmarkEnd w:id="590"/>
      <w:bookmarkStart w:id="591" w:name="_Toc89089684"/>
      <w:bookmarkEnd w:id="591"/>
      <w:bookmarkStart w:id="592" w:name="_Toc89087863"/>
      <w:bookmarkEnd w:id="592"/>
      <w:bookmarkStart w:id="593" w:name="_Toc89089331"/>
      <w:bookmarkEnd w:id="593"/>
      <w:bookmarkStart w:id="594" w:name="_Toc89086530"/>
      <w:bookmarkEnd w:id="594"/>
      <w:bookmarkStart w:id="595" w:name="_Toc89086529"/>
      <w:bookmarkEnd w:id="595"/>
      <w:bookmarkStart w:id="596" w:name="_Toc89087044"/>
      <w:bookmarkEnd w:id="596"/>
      <w:bookmarkStart w:id="597" w:name="_Toc89087433"/>
      <w:bookmarkEnd w:id="597"/>
      <w:bookmarkStart w:id="598" w:name="_Toc66691097"/>
      <w:bookmarkEnd w:id="598"/>
      <w:bookmarkStart w:id="599" w:name="_Toc89089303"/>
      <w:bookmarkEnd w:id="599"/>
      <w:bookmarkStart w:id="600" w:name="_Toc89089431"/>
      <w:bookmarkEnd w:id="600"/>
      <w:bookmarkStart w:id="601" w:name="_Toc89087798"/>
      <w:bookmarkEnd w:id="601"/>
      <w:bookmarkStart w:id="602" w:name="_Toc89087047"/>
      <w:bookmarkEnd w:id="602"/>
      <w:bookmarkStart w:id="603" w:name="_Toc89089722"/>
      <w:bookmarkEnd w:id="603"/>
      <w:bookmarkStart w:id="604" w:name="_Toc89089297"/>
      <w:bookmarkEnd w:id="604"/>
      <w:bookmarkStart w:id="605" w:name="_Toc89086388"/>
      <w:bookmarkEnd w:id="605"/>
      <w:bookmarkStart w:id="606" w:name="_Toc89086361"/>
      <w:bookmarkEnd w:id="606"/>
      <w:bookmarkStart w:id="607" w:name="_Toc89087555"/>
      <w:bookmarkEnd w:id="607"/>
      <w:bookmarkStart w:id="608" w:name="_Toc89087156"/>
      <w:bookmarkEnd w:id="608"/>
      <w:bookmarkStart w:id="609" w:name="_Toc89089285"/>
      <w:bookmarkEnd w:id="609"/>
      <w:bookmarkStart w:id="610" w:name="_Toc89087729"/>
      <w:bookmarkEnd w:id="610"/>
      <w:bookmarkStart w:id="611" w:name="_Toc89087924"/>
      <w:bookmarkEnd w:id="611"/>
      <w:bookmarkStart w:id="612" w:name="_Toc89087749"/>
      <w:bookmarkEnd w:id="612"/>
      <w:bookmarkStart w:id="613" w:name="_Toc89089915"/>
      <w:bookmarkEnd w:id="613"/>
      <w:bookmarkStart w:id="614" w:name="_Toc89089642"/>
      <w:bookmarkEnd w:id="614"/>
      <w:bookmarkStart w:id="615" w:name="_Toc89089452"/>
      <w:bookmarkEnd w:id="615"/>
      <w:bookmarkStart w:id="616" w:name="_Toc89087065"/>
      <w:bookmarkEnd w:id="616"/>
      <w:bookmarkStart w:id="617" w:name="_Toc89086890"/>
      <w:bookmarkEnd w:id="617"/>
      <w:bookmarkStart w:id="618" w:name="_Toc89087766"/>
      <w:bookmarkEnd w:id="618"/>
      <w:bookmarkStart w:id="619" w:name="_Toc89087402"/>
      <w:bookmarkEnd w:id="619"/>
      <w:bookmarkStart w:id="620" w:name="_Toc89087570"/>
      <w:bookmarkEnd w:id="620"/>
      <w:bookmarkStart w:id="621" w:name="_Toc67307266"/>
      <w:bookmarkEnd w:id="621"/>
      <w:bookmarkStart w:id="622" w:name="_Toc89089440"/>
      <w:bookmarkEnd w:id="622"/>
      <w:bookmarkStart w:id="623" w:name="_Toc89087406"/>
      <w:bookmarkEnd w:id="623"/>
      <w:bookmarkStart w:id="624" w:name="_Toc89089283"/>
      <w:bookmarkEnd w:id="624"/>
      <w:bookmarkStart w:id="625" w:name="_Toc89089647"/>
      <w:bookmarkEnd w:id="625"/>
      <w:bookmarkStart w:id="626" w:name="_Toc89089298"/>
      <w:bookmarkEnd w:id="626"/>
      <w:bookmarkStart w:id="627" w:name="_Toc89087409"/>
      <w:bookmarkEnd w:id="627"/>
      <w:bookmarkStart w:id="628" w:name="_Toc89086886"/>
      <w:bookmarkEnd w:id="628"/>
      <w:bookmarkStart w:id="629" w:name="_Toc89089445"/>
      <w:bookmarkEnd w:id="629"/>
      <w:bookmarkStart w:id="630" w:name="_Toc89089296"/>
      <w:bookmarkEnd w:id="630"/>
      <w:bookmarkStart w:id="631" w:name="_Toc89087389"/>
      <w:bookmarkEnd w:id="631"/>
      <w:bookmarkStart w:id="632" w:name="_Toc67994330"/>
      <w:bookmarkEnd w:id="632"/>
      <w:bookmarkStart w:id="633" w:name="_Toc89086367"/>
      <w:bookmarkEnd w:id="633"/>
      <w:bookmarkStart w:id="634" w:name="_Toc67994219"/>
      <w:bookmarkEnd w:id="634"/>
      <w:bookmarkStart w:id="635" w:name="_Toc67306775"/>
      <w:bookmarkEnd w:id="635"/>
      <w:bookmarkStart w:id="636" w:name="_Toc67762228"/>
      <w:bookmarkEnd w:id="636"/>
      <w:bookmarkStart w:id="637" w:name="_Toc89086389"/>
      <w:bookmarkEnd w:id="637"/>
      <w:bookmarkStart w:id="638" w:name="_Toc89087422"/>
      <w:bookmarkEnd w:id="638"/>
      <w:bookmarkStart w:id="639" w:name="_Toc89089834"/>
      <w:bookmarkEnd w:id="639"/>
      <w:bookmarkStart w:id="640" w:name="_Toc89086893"/>
      <w:bookmarkEnd w:id="640"/>
      <w:bookmarkStart w:id="641" w:name="_Toc67994376"/>
      <w:bookmarkEnd w:id="641"/>
      <w:bookmarkStart w:id="642" w:name="_Toc89087042"/>
      <w:bookmarkEnd w:id="642"/>
      <w:bookmarkStart w:id="643" w:name="_Toc89089442"/>
      <w:bookmarkEnd w:id="643"/>
      <w:bookmarkStart w:id="644" w:name="_Toc89086903"/>
      <w:bookmarkEnd w:id="644"/>
      <w:bookmarkStart w:id="645" w:name="_Toc89086379"/>
      <w:bookmarkEnd w:id="645"/>
      <w:bookmarkStart w:id="646" w:name="_Toc89086882"/>
      <w:bookmarkEnd w:id="646"/>
      <w:bookmarkStart w:id="647" w:name="_Toc67762226"/>
      <w:bookmarkEnd w:id="647"/>
      <w:bookmarkStart w:id="648" w:name="_Toc89087408"/>
      <w:bookmarkEnd w:id="648"/>
      <w:bookmarkStart w:id="649" w:name="_Toc89087061"/>
      <w:bookmarkEnd w:id="649"/>
      <w:bookmarkStart w:id="650" w:name="_Toc89087560"/>
      <w:bookmarkEnd w:id="650"/>
      <w:bookmarkStart w:id="651" w:name="_Toc89087575"/>
      <w:bookmarkEnd w:id="651"/>
      <w:bookmarkStart w:id="652" w:name="_Toc89087128"/>
      <w:bookmarkEnd w:id="652"/>
      <w:bookmarkStart w:id="653" w:name="_Toc89089189"/>
      <w:bookmarkEnd w:id="653"/>
      <w:bookmarkStart w:id="654" w:name="_Toc89086873"/>
      <w:bookmarkEnd w:id="654"/>
      <w:bookmarkStart w:id="655" w:name="_Toc89086362"/>
      <w:bookmarkEnd w:id="655"/>
      <w:bookmarkStart w:id="656" w:name="_Toc89086373"/>
      <w:bookmarkEnd w:id="656"/>
      <w:bookmarkStart w:id="657" w:name="_Toc89086524"/>
      <w:bookmarkEnd w:id="657"/>
      <w:bookmarkStart w:id="658" w:name="_Toc89086381"/>
      <w:bookmarkEnd w:id="658"/>
      <w:bookmarkStart w:id="659" w:name="_Toc89087579"/>
      <w:bookmarkEnd w:id="659"/>
      <w:bookmarkStart w:id="660" w:name="_Toc66691084"/>
      <w:bookmarkEnd w:id="660"/>
      <w:bookmarkStart w:id="661" w:name="_Toc89086374"/>
      <w:bookmarkEnd w:id="661"/>
      <w:bookmarkStart w:id="662" w:name="_Toc89086877"/>
      <w:bookmarkEnd w:id="662"/>
      <w:bookmarkStart w:id="663" w:name="_Toc89089294"/>
      <w:bookmarkEnd w:id="663"/>
      <w:bookmarkStart w:id="664" w:name="_Toc89086911"/>
      <w:bookmarkEnd w:id="664"/>
      <w:bookmarkStart w:id="665" w:name="_Toc89087415"/>
      <w:bookmarkEnd w:id="665"/>
      <w:bookmarkStart w:id="666" w:name="_Toc89087041"/>
      <w:bookmarkEnd w:id="666"/>
      <w:bookmarkStart w:id="667" w:name="_Toc67306741"/>
      <w:bookmarkEnd w:id="667"/>
      <w:bookmarkStart w:id="668" w:name="_Toc89087411"/>
      <w:bookmarkEnd w:id="668"/>
      <w:bookmarkStart w:id="669" w:name="_Toc89087436"/>
      <w:bookmarkEnd w:id="669"/>
      <w:bookmarkStart w:id="670" w:name="_Toc89089581"/>
      <w:bookmarkEnd w:id="670"/>
      <w:bookmarkStart w:id="671" w:name="_Toc89086352"/>
      <w:bookmarkEnd w:id="671"/>
      <w:bookmarkStart w:id="672" w:name="_Toc89086392"/>
      <w:bookmarkEnd w:id="672"/>
      <w:bookmarkStart w:id="673" w:name="_Toc89087275"/>
      <w:bookmarkEnd w:id="673"/>
      <w:bookmarkStart w:id="674" w:name="_Toc89086881"/>
      <w:bookmarkEnd w:id="674"/>
      <w:bookmarkStart w:id="675" w:name="_Toc89087395"/>
      <w:bookmarkEnd w:id="675"/>
      <w:bookmarkStart w:id="676" w:name="_Toc89086907"/>
      <w:bookmarkEnd w:id="676"/>
      <w:bookmarkStart w:id="677" w:name="_Toc89087117"/>
      <w:bookmarkEnd w:id="677"/>
      <w:bookmarkStart w:id="678" w:name="_Toc89086559"/>
      <w:bookmarkEnd w:id="678"/>
      <w:bookmarkStart w:id="679" w:name="_Toc89086385"/>
      <w:bookmarkEnd w:id="679"/>
      <w:bookmarkStart w:id="680" w:name="_Toc89086564"/>
      <w:bookmarkEnd w:id="680"/>
      <w:bookmarkStart w:id="681" w:name="_Toc89086535"/>
      <w:bookmarkEnd w:id="681"/>
      <w:bookmarkStart w:id="682" w:name="_Toc89089561"/>
      <w:bookmarkEnd w:id="682"/>
      <w:bookmarkStart w:id="683" w:name="_Toc89087092"/>
      <w:bookmarkEnd w:id="683"/>
      <w:bookmarkStart w:id="684" w:name="_Toc89086916"/>
      <w:bookmarkEnd w:id="684"/>
      <w:bookmarkStart w:id="685" w:name="_Toc89087058"/>
      <w:bookmarkEnd w:id="685"/>
      <w:bookmarkStart w:id="686" w:name="_Toc89087277"/>
      <w:bookmarkEnd w:id="686"/>
      <w:bookmarkStart w:id="687" w:name="_Toc89089931"/>
      <w:bookmarkEnd w:id="687"/>
      <w:bookmarkStart w:id="688" w:name="_Toc89086895"/>
      <w:bookmarkEnd w:id="688"/>
      <w:bookmarkStart w:id="689" w:name="_Toc89089309"/>
      <w:bookmarkEnd w:id="689"/>
      <w:bookmarkStart w:id="690" w:name="_Toc89086885"/>
      <w:bookmarkEnd w:id="690"/>
      <w:bookmarkStart w:id="691" w:name="_Toc89086534"/>
      <w:bookmarkEnd w:id="691"/>
      <w:bookmarkStart w:id="692" w:name="_Toc89089927"/>
      <w:bookmarkEnd w:id="692"/>
      <w:bookmarkStart w:id="693" w:name="_Toc89087557"/>
      <w:bookmarkEnd w:id="693"/>
      <w:bookmarkStart w:id="694" w:name="_Toc89087810"/>
      <w:bookmarkEnd w:id="694"/>
      <w:bookmarkStart w:id="695" w:name="_Toc89086801"/>
      <w:bookmarkEnd w:id="695"/>
      <w:bookmarkStart w:id="696" w:name="_Toc67306783"/>
      <w:bookmarkEnd w:id="696"/>
      <w:bookmarkStart w:id="697" w:name="_Toc89089432"/>
      <w:bookmarkEnd w:id="697"/>
      <w:bookmarkStart w:id="698" w:name="_Toc89087056"/>
      <w:bookmarkEnd w:id="698"/>
      <w:bookmarkStart w:id="699" w:name="_Toc89087682"/>
      <w:bookmarkEnd w:id="699"/>
      <w:bookmarkStart w:id="700" w:name="_Toc89089667"/>
      <w:bookmarkEnd w:id="700"/>
      <w:bookmarkStart w:id="701" w:name="_Toc89086892"/>
      <w:bookmarkEnd w:id="701"/>
      <w:bookmarkStart w:id="702" w:name="_Toc89086370"/>
      <w:bookmarkEnd w:id="702"/>
      <w:bookmarkStart w:id="703" w:name="_Toc67994269"/>
      <w:bookmarkEnd w:id="703"/>
      <w:bookmarkStart w:id="704" w:name="_Toc89087045"/>
      <w:bookmarkEnd w:id="704"/>
      <w:bookmarkStart w:id="705" w:name="_Toc89089288"/>
      <w:bookmarkEnd w:id="705"/>
      <w:bookmarkStart w:id="706" w:name="_Toc89086917"/>
      <w:bookmarkEnd w:id="706"/>
      <w:bookmarkStart w:id="707" w:name="_Toc89089441"/>
      <w:bookmarkEnd w:id="707"/>
      <w:bookmarkStart w:id="708" w:name="_Toc67306672"/>
      <w:bookmarkEnd w:id="708"/>
      <w:bookmarkStart w:id="709" w:name="_Toc89086445"/>
      <w:bookmarkEnd w:id="709"/>
      <w:bookmarkStart w:id="710" w:name="_Toc89089427"/>
      <w:bookmarkEnd w:id="710"/>
      <w:bookmarkStart w:id="711" w:name="_Toc89086616"/>
      <w:bookmarkEnd w:id="711"/>
      <w:bookmarkStart w:id="712" w:name="_Toc67307301"/>
      <w:bookmarkEnd w:id="712"/>
      <w:bookmarkStart w:id="713" w:name="_Toc89087067"/>
      <w:bookmarkEnd w:id="713"/>
      <w:bookmarkStart w:id="714" w:name="_Toc89089429"/>
      <w:bookmarkEnd w:id="714"/>
      <w:bookmarkStart w:id="715" w:name="_Toc67306635"/>
      <w:bookmarkEnd w:id="715"/>
      <w:bookmarkStart w:id="716" w:name="_Toc89089265"/>
      <w:bookmarkEnd w:id="716"/>
      <w:bookmarkStart w:id="717" w:name="_Toc89086533"/>
      <w:bookmarkEnd w:id="717"/>
      <w:bookmarkStart w:id="718" w:name="_Toc89086513"/>
      <w:bookmarkEnd w:id="718"/>
      <w:bookmarkStart w:id="719" w:name="_Toc89087561"/>
      <w:bookmarkEnd w:id="719"/>
      <w:bookmarkStart w:id="720" w:name="_Toc89089267"/>
      <w:bookmarkEnd w:id="720"/>
      <w:bookmarkStart w:id="721" w:name="_Toc89087434"/>
      <w:bookmarkEnd w:id="721"/>
      <w:bookmarkStart w:id="722" w:name="_Toc89087910"/>
      <w:bookmarkEnd w:id="722"/>
      <w:bookmarkStart w:id="723" w:name="_Toc89086906"/>
      <w:bookmarkEnd w:id="723"/>
      <w:bookmarkStart w:id="724" w:name="_Toc89089292"/>
      <w:bookmarkEnd w:id="724"/>
      <w:bookmarkStart w:id="725" w:name="_Toc89086519"/>
      <w:bookmarkEnd w:id="725"/>
      <w:bookmarkStart w:id="726" w:name="_Toc89087912"/>
      <w:bookmarkEnd w:id="726"/>
      <w:bookmarkStart w:id="727" w:name="_Toc89086541"/>
      <w:bookmarkEnd w:id="727"/>
      <w:bookmarkStart w:id="728" w:name="_Toc89086922"/>
      <w:bookmarkEnd w:id="728"/>
      <w:bookmarkStart w:id="729" w:name="_Toc67762234"/>
      <w:bookmarkEnd w:id="729"/>
      <w:bookmarkStart w:id="730" w:name="_Toc89087543"/>
      <w:bookmarkEnd w:id="730"/>
      <w:bookmarkStart w:id="731" w:name="_Toc89087073"/>
      <w:bookmarkEnd w:id="731"/>
      <w:bookmarkStart w:id="732" w:name="_Toc89087432"/>
      <w:bookmarkEnd w:id="732"/>
      <w:bookmarkStart w:id="733" w:name="_Toc89087166"/>
      <w:bookmarkEnd w:id="733"/>
      <w:bookmarkStart w:id="734" w:name="_Toc89086515"/>
      <w:bookmarkEnd w:id="734"/>
      <w:bookmarkStart w:id="735" w:name="_Toc89087574"/>
      <w:bookmarkEnd w:id="735"/>
      <w:bookmarkStart w:id="736" w:name="_Toc89087734"/>
      <w:bookmarkEnd w:id="736"/>
      <w:bookmarkStart w:id="737" w:name="_Toc89087577"/>
      <w:bookmarkEnd w:id="737"/>
      <w:bookmarkStart w:id="738" w:name="_Toc89087167"/>
      <w:bookmarkEnd w:id="738"/>
      <w:bookmarkStart w:id="739" w:name="_Toc89086910"/>
      <w:bookmarkEnd w:id="739"/>
      <w:bookmarkStart w:id="740" w:name="_Toc89086876"/>
      <w:bookmarkEnd w:id="740"/>
      <w:bookmarkStart w:id="741" w:name="_Toc89087830"/>
      <w:bookmarkEnd w:id="741"/>
      <w:bookmarkStart w:id="742" w:name="_Toc89087559"/>
      <w:bookmarkEnd w:id="742"/>
      <w:bookmarkStart w:id="743" w:name="_Toc89086546"/>
      <w:bookmarkEnd w:id="743"/>
      <w:bookmarkStart w:id="744" w:name="_Toc89087712"/>
      <w:bookmarkEnd w:id="744"/>
      <w:bookmarkStart w:id="745" w:name="_Toc67762189"/>
      <w:bookmarkEnd w:id="745"/>
      <w:bookmarkStart w:id="746" w:name="_Toc89087151"/>
      <w:bookmarkEnd w:id="746"/>
      <w:bookmarkStart w:id="747" w:name="_Toc89087393"/>
      <w:bookmarkEnd w:id="747"/>
      <w:bookmarkStart w:id="748" w:name="_Toc67994329"/>
      <w:bookmarkEnd w:id="748"/>
      <w:bookmarkStart w:id="749" w:name="_Toc89087107"/>
      <w:bookmarkEnd w:id="749"/>
      <w:bookmarkStart w:id="750" w:name="_Toc89087314"/>
      <w:bookmarkEnd w:id="750"/>
      <w:bookmarkStart w:id="751" w:name="_Toc89086502"/>
      <w:bookmarkEnd w:id="751"/>
      <w:bookmarkStart w:id="752" w:name="_Toc89086378"/>
      <w:bookmarkEnd w:id="752"/>
      <w:bookmarkStart w:id="753" w:name="_Toc89089421"/>
      <w:bookmarkEnd w:id="753"/>
      <w:bookmarkStart w:id="754" w:name="_Toc89086279"/>
      <w:bookmarkEnd w:id="754"/>
      <w:bookmarkStart w:id="755" w:name="_Toc89089925"/>
      <w:bookmarkEnd w:id="755"/>
      <w:bookmarkStart w:id="756" w:name="_Toc89086618"/>
      <w:bookmarkEnd w:id="756"/>
      <w:bookmarkStart w:id="757" w:name="_Toc89089935"/>
      <w:bookmarkEnd w:id="757"/>
      <w:bookmarkStart w:id="758" w:name="_Toc89086914"/>
      <w:bookmarkEnd w:id="758"/>
      <w:bookmarkStart w:id="759" w:name="_Toc89089259"/>
      <w:bookmarkEnd w:id="759"/>
      <w:bookmarkStart w:id="760" w:name="_Toc89089623"/>
      <w:bookmarkEnd w:id="760"/>
      <w:bookmarkStart w:id="761" w:name="_Toc89087097"/>
      <w:bookmarkEnd w:id="761"/>
      <w:bookmarkStart w:id="762" w:name="_Toc89089618"/>
      <w:bookmarkEnd w:id="762"/>
      <w:bookmarkStart w:id="763" w:name="_Toc89087558"/>
      <w:bookmarkEnd w:id="763"/>
      <w:bookmarkStart w:id="764" w:name="_Toc89087744"/>
      <w:bookmarkEnd w:id="764"/>
      <w:bookmarkStart w:id="765" w:name="_Toc89087981"/>
      <w:bookmarkEnd w:id="765"/>
      <w:bookmarkStart w:id="766" w:name="_Toc89087417"/>
      <w:bookmarkEnd w:id="766"/>
      <w:bookmarkStart w:id="767" w:name="_Toc89087112"/>
      <w:bookmarkEnd w:id="767"/>
      <w:bookmarkStart w:id="768" w:name="_Toc89087976"/>
      <w:bookmarkEnd w:id="768"/>
      <w:bookmarkStart w:id="769" w:name="_Toc89087398"/>
      <w:bookmarkEnd w:id="769"/>
      <w:bookmarkStart w:id="770" w:name="_Toc89086514"/>
      <w:bookmarkEnd w:id="770"/>
      <w:bookmarkStart w:id="771" w:name="_Toc89087038"/>
      <w:bookmarkEnd w:id="771"/>
      <w:bookmarkStart w:id="772" w:name="_Toc89087773"/>
      <w:bookmarkEnd w:id="772"/>
      <w:bookmarkStart w:id="773" w:name="_Toc89087697"/>
      <w:bookmarkEnd w:id="773"/>
      <w:bookmarkStart w:id="774" w:name="_Toc89086891"/>
      <w:bookmarkEnd w:id="774"/>
      <w:bookmarkStart w:id="775" w:name="_Toc89089930"/>
      <w:bookmarkEnd w:id="775"/>
      <w:bookmarkStart w:id="776" w:name="_Toc89086357"/>
      <w:bookmarkEnd w:id="776"/>
      <w:bookmarkStart w:id="777" w:name="_Toc89089284"/>
      <w:bookmarkEnd w:id="777"/>
      <w:bookmarkStart w:id="778" w:name="_Toc89089921"/>
      <w:bookmarkEnd w:id="778"/>
      <w:bookmarkStart w:id="779" w:name="_Toc89087130"/>
      <w:bookmarkEnd w:id="779"/>
      <w:bookmarkStart w:id="780" w:name="_Toc89089711"/>
      <w:bookmarkEnd w:id="780"/>
      <w:bookmarkStart w:id="781" w:name="_Toc89089412"/>
      <w:bookmarkEnd w:id="781"/>
      <w:bookmarkStart w:id="782" w:name="_Toc89086522"/>
      <w:bookmarkEnd w:id="782"/>
      <w:bookmarkStart w:id="783" w:name="_Toc67994375"/>
      <w:bookmarkEnd w:id="783"/>
      <w:bookmarkStart w:id="784" w:name="_Toc89089268"/>
      <w:bookmarkEnd w:id="784"/>
      <w:bookmarkStart w:id="785" w:name="_Toc89089257"/>
      <w:bookmarkEnd w:id="785"/>
      <w:bookmarkStart w:id="786" w:name="_Toc89089633"/>
      <w:bookmarkEnd w:id="786"/>
      <w:bookmarkStart w:id="787" w:name="_Toc89089556"/>
      <w:bookmarkEnd w:id="787"/>
      <w:bookmarkStart w:id="788" w:name="_Toc89089275"/>
      <w:bookmarkEnd w:id="788"/>
      <w:bookmarkStart w:id="789" w:name="_Toc89089672"/>
      <w:bookmarkEnd w:id="789"/>
      <w:bookmarkStart w:id="790" w:name="_Toc89086537"/>
      <w:bookmarkEnd w:id="790"/>
      <w:bookmarkStart w:id="791" w:name="_Toc67307302"/>
      <w:bookmarkEnd w:id="791"/>
      <w:bookmarkStart w:id="792" w:name="_Toc89086913"/>
      <w:bookmarkEnd w:id="792"/>
      <w:bookmarkStart w:id="793" w:name="_Toc89087835"/>
      <w:bookmarkEnd w:id="793"/>
      <w:bookmarkStart w:id="794" w:name="_Toc89086543"/>
      <w:bookmarkEnd w:id="794"/>
      <w:bookmarkStart w:id="795" w:name="_Toc89087578"/>
      <w:bookmarkEnd w:id="795"/>
      <w:bookmarkStart w:id="796" w:name="_Toc89086350"/>
      <w:bookmarkEnd w:id="796"/>
      <w:bookmarkStart w:id="797" w:name="_Toc89086356"/>
      <w:bookmarkEnd w:id="797"/>
      <w:bookmarkStart w:id="798" w:name="_Toc89089287"/>
      <w:bookmarkEnd w:id="798"/>
      <w:bookmarkStart w:id="799" w:name="_Toc67307216"/>
      <w:bookmarkEnd w:id="799"/>
      <w:bookmarkStart w:id="800" w:name="_Toc89087405"/>
      <w:bookmarkEnd w:id="800"/>
      <w:bookmarkStart w:id="801" w:name="_Toc89087868"/>
      <w:bookmarkEnd w:id="801"/>
      <w:bookmarkStart w:id="802" w:name="_Toc89088056"/>
      <w:bookmarkEnd w:id="802"/>
      <w:bookmarkStart w:id="803" w:name="_Toc67994338"/>
      <w:bookmarkEnd w:id="803"/>
      <w:bookmarkStart w:id="804" w:name="_Toc89086539"/>
      <w:bookmarkEnd w:id="804"/>
      <w:bookmarkStart w:id="805" w:name="_Toc89089451"/>
      <w:bookmarkEnd w:id="805"/>
      <w:bookmarkStart w:id="806" w:name="_Toc89089747"/>
      <w:bookmarkEnd w:id="806"/>
      <w:bookmarkStart w:id="807" w:name="_Toc89086901"/>
      <w:bookmarkEnd w:id="807"/>
      <w:bookmarkStart w:id="808" w:name="_Toc89089302"/>
      <w:bookmarkEnd w:id="808"/>
      <w:bookmarkStart w:id="809" w:name="_Toc89087414"/>
      <w:bookmarkEnd w:id="809"/>
      <w:bookmarkStart w:id="810" w:name="_Toc89086897"/>
      <w:bookmarkEnd w:id="810"/>
      <w:bookmarkStart w:id="811" w:name="_Toc67307300"/>
      <w:bookmarkEnd w:id="811"/>
      <w:bookmarkStart w:id="812" w:name="_Toc67306673"/>
      <w:bookmarkEnd w:id="812"/>
      <w:bookmarkStart w:id="813" w:name="_Toc89086376"/>
      <w:bookmarkEnd w:id="813"/>
      <w:bookmarkStart w:id="814" w:name="_Toc89089529"/>
      <w:bookmarkEnd w:id="814"/>
      <w:bookmarkStart w:id="815" w:name="_Toc89089753"/>
      <w:bookmarkEnd w:id="815"/>
      <w:bookmarkStart w:id="816" w:name="_Toc89089295"/>
      <w:bookmarkEnd w:id="816"/>
      <w:bookmarkStart w:id="817" w:name="_Toc89087788"/>
      <w:bookmarkEnd w:id="817"/>
      <w:bookmarkStart w:id="818" w:name="_Toc89089274"/>
      <w:bookmarkEnd w:id="818"/>
      <w:bookmarkStart w:id="819" w:name="_Toc89086554"/>
      <w:bookmarkEnd w:id="819"/>
      <w:bookmarkStart w:id="820" w:name="_Toc89086574"/>
      <w:bookmarkEnd w:id="820"/>
      <w:bookmarkStart w:id="821" w:name="_Toc89089781"/>
      <w:bookmarkEnd w:id="821"/>
      <w:bookmarkStart w:id="822" w:name="_Toc89086348"/>
      <w:bookmarkEnd w:id="822"/>
      <w:bookmarkStart w:id="823" w:name="_Toc89087394"/>
      <w:bookmarkEnd w:id="823"/>
      <w:bookmarkStart w:id="824" w:name="_Toc89087719"/>
      <w:bookmarkEnd w:id="824"/>
      <w:bookmarkStart w:id="825" w:name="_Toc67306742"/>
      <w:bookmarkEnd w:id="825"/>
      <w:bookmarkStart w:id="826" w:name="_Toc89086386"/>
      <w:bookmarkEnd w:id="826"/>
      <w:bookmarkStart w:id="827" w:name="_Toc89087858"/>
      <w:bookmarkEnd w:id="827"/>
      <w:bookmarkStart w:id="828" w:name="_Toc89087418"/>
      <w:bookmarkEnd w:id="828"/>
      <w:bookmarkStart w:id="829" w:name="_Toc89086372"/>
      <w:bookmarkEnd w:id="829"/>
      <w:bookmarkStart w:id="830" w:name="_Toc89089699"/>
      <w:bookmarkEnd w:id="830"/>
      <w:bookmarkStart w:id="831" w:name="_Toc89086368"/>
      <w:bookmarkEnd w:id="831"/>
      <w:bookmarkStart w:id="832" w:name="_Toc67762143"/>
      <w:bookmarkEnd w:id="832"/>
      <w:bookmarkStart w:id="833" w:name="_Toc89089291"/>
      <w:bookmarkEnd w:id="833"/>
      <w:bookmarkStart w:id="834" w:name="_Toc89086909"/>
      <w:bookmarkEnd w:id="834"/>
      <w:bookmarkStart w:id="835" w:name="_Toc67994290"/>
      <w:bookmarkEnd w:id="835"/>
      <w:bookmarkStart w:id="836" w:name="_Toc89089273"/>
      <w:bookmarkEnd w:id="836"/>
      <w:bookmarkStart w:id="837" w:name="_Toc89087767"/>
      <w:bookmarkEnd w:id="837"/>
      <w:bookmarkStart w:id="838" w:name="_Toc89089290"/>
      <w:bookmarkEnd w:id="838"/>
      <w:bookmarkStart w:id="839" w:name="_Toc89089598"/>
      <w:bookmarkEnd w:id="839"/>
      <w:bookmarkStart w:id="840" w:name="_Toc89088061"/>
      <w:bookmarkEnd w:id="840"/>
      <w:bookmarkStart w:id="841" w:name="_Toc89089974"/>
      <w:bookmarkEnd w:id="841"/>
      <w:bookmarkStart w:id="842" w:name="_Toc89087127"/>
      <w:bookmarkEnd w:id="842"/>
      <w:bookmarkStart w:id="843" w:name="_Toc89087582"/>
      <w:bookmarkEnd w:id="843"/>
      <w:bookmarkStart w:id="844" w:name="_Toc89087905"/>
      <w:bookmarkEnd w:id="844"/>
      <w:bookmarkStart w:id="845" w:name="_Toc89089759"/>
      <w:bookmarkEnd w:id="845"/>
      <w:bookmarkStart w:id="846" w:name="_Toc89089422"/>
      <w:bookmarkEnd w:id="846"/>
      <w:bookmarkStart w:id="847" w:name="_Toc89086806"/>
      <w:bookmarkEnd w:id="847"/>
      <w:bookmarkStart w:id="848" w:name="_Toc89087913"/>
      <w:bookmarkEnd w:id="848"/>
      <w:bookmarkStart w:id="849" w:name="_Toc89086619"/>
      <w:bookmarkEnd w:id="849"/>
      <w:bookmarkStart w:id="850" w:name="_Toc67306675"/>
      <w:bookmarkEnd w:id="850"/>
      <w:bookmarkStart w:id="851" w:name="_Toc89089603"/>
      <w:bookmarkEnd w:id="851"/>
      <w:bookmarkStart w:id="852" w:name="_Toc89086762"/>
      <w:bookmarkEnd w:id="852"/>
      <w:bookmarkStart w:id="853" w:name="_Toc89089271"/>
      <w:bookmarkEnd w:id="853"/>
      <w:bookmarkStart w:id="854" w:name="_Toc89087320"/>
      <w:bookmarkEnd w:id="854"/>
      <w:bookmarkStart w:id="855" w:name="_Toc89089299"/>
      <w:bookmarkEnd w:id="855"/>
      <w:bookmarkStart w:id="856" w:name="_Toc67762227"/>
      <w:bookmarkEnd w:id="856"/>
      <w:bookmarkStart w:id="857" w:name="_Toc89089536"/>
      <w:bookmarkEnd w:id="857"/>
      <w:bookmarkStart w:id="858" w:name="_Toc89086688"/>
      <w:bookmarkEnd w:id="858"/>
      <w:bookmarkStart w:id="859" w:name="_Toc89089932"/>
      <w:bookmarkEnd w:id="859"/>
      <w:bookmarkStart w:id="860" w:name="_Toc89086879"/>
      <w:bookmarkEnd w:id="860"/>
      <w:bookmarkStart w:id="861" w:name="_Toc89086889"/>
      <w:bookmarkEnd w:id="861"/>
      <w:bookmarkStart w:id="862" w:name="_Toc89089453"/>
      <w:bookmarkEnd w:id="862"/>
      <w:bookmarkStart w:id="863" w:name="_Toc67307299"/>
      <w:bookmarkEnd w:id="863"/>
      <w:bookmarkStart w:id="864" w:name="_Toc89087428"/>
      <w:bookmarkEnd w:id="864"/>
      <w:bookmarkStart w:id="865" w:name="_Toc89088068"/>
      <w:bookmarkEnd w:id="865"/>
      <w:bookmarkStart w:id="866" w:name="_Toc89086687"/>
      <w:bookmarkEnd w:id="866"/>
      <w:bookmarkStart w:id="867" w:name="_Toc89089424"/>
      <w:bookmarkEnd w:id="867"/>
      <w:bookmarkStart w:id="868" w:name="_Toc89089845"/>
      <w:bookmarkEnd w:id="868"/>
      <w:bookmarkStart w:id="869" w:name="_Toc67306743"/>
      <w:bookmarkEnd w:id="869"/>
      <w:bookmarkStart w:id="870" w:name="_Toc89089266"/>
      <w:bookmarkEnd w:id="870"/>
      <w:bookmarkStart w:id="871" w:name="_Toc89087667"/>
      <w:bookmarkEnd w:id="871"/>
      <w:bookmarkStart w:id="872" w:name="_Toc67306640"/>
      <w:bookmarkEnd w:id="872"/>
      <w:bookmarkStart w:id="873" w:name="_Toc89086369"/>
      <w:bookmarkEnd w:id="873"/>
      <w:bookmarkStart w:id="874" w:name="_Toc89088010"/>
      <w:bookmarkEnd w:id="874"/>
      <w:bookmarkStart w:id="875" w:name="_Toc89087895"/>
      <w:bookmarkEnd w:id="875"/>
      <w:bookmarkStart w:id="876" w:name="疑问2"/>
      <w:bookmarkEnd w:id="876"/>
      <w:bookmarkStart w:id="877" w:name="_Toc89089652"/>
      <w:bookmarkEnd w:id="877"/>
      <w:bookmarkStart w:id="878" w:name="_Toc89089929"/>
      <w:bookmarkEnd w:id="878"/>
      <w:bookmarkStart w:id="879" w:name="_Toc89087039"/>
      <w:bookmarkEnd w:id="879"/>
      <w:bookmarkStart w:id="880" w:name="_Toc89087764"/>
      <w:bookmarkEnd w:id="880"/>
      <w:bookmarkStart w:id="881" w:name="_Toc89086677"/>
      <w:bookmarkEnd w:id="881"/>
      <w:bookmarkStart w:id="882" w:name="_Toc89086353"/>
      <w:bookmarkEnd w:id="882"/>
      <w:bookmarkStart w:id="883" w:name="_Toc89089613"/>
      <w:bookmarkEnd w:id="883"/>
      <w:bookmarkStart w:id="884" w:name="_Toc89087566"/>
      <w:bookmarkEnd w:id="884"/>
      <w:bookmarkStart w:id="885" w:name="_Toc89089582"/>
      <w:bookmarkEnd w:id="885"/>
      <w:bookmarkStart w:id="886" w:name="_Toc89087161"/>
      <w:bookmarkEnd w:id="886"/>
      <w:bookmarkStart w:id="887" w:name="_Toc67306641"/>
      <w:bookmarkEnd w:id="887"/>
      <w:bookmarkStart w:id="888" w:name="_Toc89089355"/>
      <w:bookmarkEnd w:id="888"/>
      <w:bookmarkStart w:id="889" w:name="_Toc89089628"/>
      <w:bookmarkEnd w:id="889"/>
      <w:bookmarkStart w:id="890" w:name="_Toc89086635"/>
      <w:bookmarkEnd w:id="890"/>
      <w:bookmarkStart w:id="891" w:name="_Toc89089850"/>
      <w:bookmarkEnd w:id="891"/>
      <w:bookmarkStart w:id="892" w:name="_Toc89089737"/>
      <w:bookmarkEnd w:id="892"/>
      <w:bookmarkStart w:id="893" w:name="_Toc89087315"/>
      <w:bookmarkEnd w:id="893"/>
      <w:bookmarkStart w:id="894" w:name="_Toc89087046"/>
      <w:bookmarkEnd w:id="894"/>
      <w:bookmarkStart w:id="895" w:name="_Toc89087276"/>
      <w:bookmarkEnd w:id="895"/>
      <w:bookmarkStart w:id="896" w:name="_Toc89086611"/>
      <w:bookmarkEnd w:id="896"/>
      <w:bookmarkStart w:id="897" w:name="_Toc89089709"/>
      <w:bookmarkEnd w:id="897"/>
      <w:bookmarkStart w:id="898" w:name="_Toc67307268"/>
      <w:bookmarkEnd w:id="898"/>
      <w:bookmarkStart w:id="899" w:name="_Toc89089936"/>
      <w:bookmarkEnd w:id="899"/>
      <w:bookmarkStart w:id="900" w:name="_Toc67762194"/>
      <w:bookmarkEnd w:id="900"/>
      <w:bookmarkStart w:id="901" w:name="_Toc89089926"/>
      <w:bookmarkEnd w:id="901"/>
      <w:bookmarkStart w:id="902" w:name="_Toc89087878"/>
      <w:bookmarkEnd w:id="902"/>
      <w:bookmarkStart w:id="903" w:name="_Toc89086518"/>
      <w:bookmarkEnd w:id="903"/>
      <w:bookmarkStart w:id="904" w:name="_Toc89089793"/>
      <w:bookmarkEnd w:id="904"/>
      <w:bookmarkStart w:id="905" w:name="_Toc89089425"/>
      <w:bookmarkEnd w:id="905"/>
      <w:bookmarkStart w:id="906" w:name="_Toc67762235"/>
      <w:bookmarkEnd w:id="906"/>
      <w:bookmarkStart w:id="907" w:name="_Toc89086921"/>
      <w:bookmarkEnd w:id="907"/>
      <w:bookmarkStart w:id="908" w:name="_Toc89087229"/>
      <w:bookmarkEnd w:id="908"/>
      <w:bookmarkStart w:id="909" w:name="_Toc89089571"/>
      <w:bookmarkEnd w:id="909"/>
      <w:bookmarkStart w:id="910" w:name="_Hlt535410122"/>
      <w:bookmarkEnd w:id="910"/>
      <w:bookmarkStart w:id="911" w:name="_Toc89089689"/>
      <w:bookmarkEnd w:id="911"/>
      <w:bookmarkStart w:id="912" w:name="_Toc89087853"/>
      <w:bookmarkEnd w:id="912"/>
      <w:bookmarkStart w:id="913" w:name="_Toc89087804"/>
      <w:bookmarkEnd w:id="913"/>
      <w:bookmarkStart w:id="914" w:name="_Toc67306776"/>
      <w:bookmarkEnd w:id="914"/>
      <w:bookmarkStart w:id="915" w:name="_Toc89086398"/>
      <w:bookmarkEnd w:id="915"/>
      <w:bookmarkStart w:id="916" w:name="_Toc89087825"/>
      <w:bookmarkEnd w:id="916"/>
      <w:bookmarkStart w:id="917" w:name="_Toc89087435"/>
      <w:bookmarkEnd w:id="917"/>
      <w:bookmarkStart w:id="918" w:name="_Toc89087392"/>
      <w:bookmarkEnd w:id="918"/>
      <w:bookmarkStart w:id="919" w:name="_Toc89089448"/>
      <w:bookmarkEnd w:id="919"/>
      <w:bookmarkStart w:id="920" w:name="_Toc67306681"/>
      <w:bookmarkEnd w:id="920"/>
      <w:bookmarkStart w:id="921" w:name="_Toc89089852"/>
      <w:bookmarkEnd w:id="921"/>
      <w:bookmarkStart w:id="922" w:name="_Toc89087419"/>
      <w:bookmarkEnd w:id="922"/>
      <w:bookmarkStart w:id="923" w:name="_Toc67306784"/>
      <w:bookmarkEnd w:id="923"/>
      <w:bookmarkStart w:id="924" w:name="_Toc89087562"/>
      <w:bookmarkEnd w:id="924"/>
      <w:bookmarkStart w:id="925" w:name="_Toc89089679"/>
      <w:bookmarkEnd w:id="925"/>
      <w:bookmarkStart w:id="926" w:name="_Toc89089764"/>
      <w:bookmarkEnd w:id="926"/>
      <w:bookmarkStart w:id="927" w:name="_Toc89086399"/>
      <w:bookmarkEnd w:id="927"/>
      <w:bookmarkStart w:id="928" w:name="_Toc89089272"/>
      <w:bookmarkEnd w:id="928"/>
      <w:bookmarkStart w:id="929" w:name="_Toc89089446"/>
      <w:bookmarkEnd w:id="929"/>
      <w:bookmarkStart w:id="930" w:name="_Toc89087069"/>
      <w:bookmarkEnd w:id="930"/>
      <w:bookmarkStart w:id="931" w:name="_Toc67762221"/>
      <w:bookmarkEnd w:id="931"/>
      <w:bookmarkStart w:id="932" w:name="_Toc89086919"/>
      <w:bookmarkEnd w:id="932"/>
      <w:bookmarkStart w:id="933" w:name="_Toc89087102"/>
      <w:bookmarkEnd w:id="933"/>
      <w:bookmarkStart w:id="934" w:name="_Toc89086531"/>
      <w:bookmarkEnd w:id="934"/>
      <w:bookmarkStart w:id="935" w:name="_Toc89086394"/>
      <w:bookmarkEnd w:id="935"/>
      <w:bookmarkStart w:id="936" w:name="_Toc89086927"/>
      <w:bookmarkEnd w:id="936"/>
      <w:bookmarkStart w:id="937" w:name="_Toc89089443"/>
      <w:bookmarkEnd w:id="937"/>
      <w:bookmarkStart w:id="938" w:name="_Toc89089426"/>
      <w:bookmarkEnd w:id="938"/>
      <w:bookmarkStart w:id="939" w:name="_Toc89089774"/>
      <w:bookmarkEnd w:id="939"/>
      <w:bookmarkStart w:id="940" w:name="_Toc89089305"/>
      <w:bookmarkEnd w:id="940"/>
      <w:bookmarkStart w:id="941" w:name="_Toc89087396"/>
      <w:bookmarkEnd w:id="941"/>
      <w:bookmarkStart w:id="942" w:name="_Toc67994261"/>
      <w:bookmarkEnd w:id="942"/>
      <w:bookmarkStart w:id="943" w:name="_Toc89088055"/>
      <w:bookmarkEnd w:id="943"/>
      <w:bookmarkStart w:id="944" w:name="_Toc89086395"/>
      <w:bookmarkEnd w:id="944"/>
      <w:bookmarkStart w:id="945" w:name="_Toc89089293"/>
      <w:bookmarkEnd w:id="945"/>
      <w:bookmarkStart w:id="946" w:name="_Toc89087580"/>
      <w:bookmarkEnd w:id="946"/>
      <w:bookmarkStart w:id="947" w:name="_Toc89089269"/>
      <w:bookmarkEnd w:id="947"/>
      <w:bookmarkStart w:id="948" w:name="_Toc89086351"/>
      <w:bookmarkEnd w:id="948"/>
      <w:bookmarkStart w:id="949" w:name="_Toc89089752"/>
      <w:bookmarkEnd w:id="949"/>
      <w:bookmarkStart w:id="950" w:name="_Toc89086523"/>
      <w:bookmarkEnd w:id="950"/>
      <w:bookmarkStart w:id="951" w:name="_Toc89087840"/>
      <w:bookmarkEnd w:id="951"/>
      <w:bookmarkStart w:id="952" w:name="_Toc67994328"/>
      <w:bookmarkEnd w:id="952"/>
      <w:bookmarkStart w:id="953" w:name="_Toc89088106"/>
      <w:bookmarkEnd w:id="953"/>
      <w:bookmarkStart w:id="954" w:name="_Toc89086384"/>
      <w:bookmarkEnd w:id="954"/>
      <w:bookmarkStart w:id="955" w:name="_Toc89086948"/>
      <w:bookmarkEnd w:id="955"/>
      <w:bookmarkStart w:id="956" w:name="_Toc89089310"/>
      <w:bookmarkEnd w:id="956"/>
      <w:bookmarkStart w:id="957" w:name="_Toc89086520"/>
      <w:bookmarkEnd w:id="957"/>
      <w:bookmarkStart w:id="958" w:name="_Toc89087266"/>
      <w:bookmarkEnd w:id="958"/>
      <w:bookmarkStart w:id="959" w:name="_Toc89089576"/>
      <w:bookmarkEnd w:id="959"/>
      <w:bookmarkStart w:id="960" w:name="_Toc89089879"/>
      <w:bookmarkEnd w:id="960"/>
      <w:bookmarkStart w:id="961" w:name="_Toc89086349"/>
      <w:bookmarkEnd w:id="961"/>
      <w:bookmarkStart w:id="962" w:name="_Toc89089281"/>
      <w:bookmarkEnd w:id="962"/>
      <w:bookmarkStart w:id="963" w:name="_Toc89086391"/>
      <w:bookmarkEnd w:id="963"/>
      <w:bookmarkStart w:id="964" w:name="_Toc89086972"/>
      <w:bookmarkEnd w:id="964"/>
      <w:bookmarkStart w:id="965" w:name="_Toc89089727"/>
      <w:bookmarkEnd w:id="965"/>
      <w:bookmarkStart w:id="966" w:name="_Toc89086902"/>
      <w:bookmarkEnd w:id="966"/>
      <w:bookmarkStart w:id="967" w:name="_Toc89086920"/>
      <w:bookmarkEnd w:id="967"/>
      <w:bookmarkStart w:id="968" w:name="_Toc89089428"/>
      <w:bookmarkEnd w:id="968"/>
      <w:bookmarkStart w:id="969" w:name="_Toc89086904"/>
      <w:bookmarkEnd w:id="969"/>
      <w:bookmarkStart w:id="970" w:name="_Toc89086887"/>
      <w:bookmarkEnd w:id="970"/>
      <w:bookmarkStart w:id="971" w:name="_Toc89087571"/>
      <w:bookmarkEnd w:id="971"/>
    </w:p>
    <w:p w14:paraId="4F45D1B8">
      <w:pPr>
        <w:sectPr>
          <w:headerReference r:id="rId18" w:type="default"/>
          <w:pgSz w:w="11907" w:h="16840"/>
          <w:pgMar w:top="1417" w:right="1134" w:bottom="1417" w:left="1134" w:header="851" w:footer="850" w:gutter="0"/>
          <w:cols w:space="720" w:num="1"/>
          <w:docGrid w:linePitch="312" w:charSpace="0"/>
        </w:sectPr>
      </w:pPr>
    </w:p>
    <w:bookmarkEnd w:id="279"/>
    <w:bookmarkEnd w:id="280"/>
    <w:bookmarkEnd w:id="281"/>
    <w:bookmarkEnd w:id="293"/>
    <w:bookmarkEnd w:id="294"/>
    <w:bookmarkEnd w:id="295"/>
    <w:bookmarkEnd w:id="296"/>
    <w:p w14:paraId="5C0E1DEE">
      <w:pPr>
        <w:pStyle w:val="3"/>
        <w:spacing w:line="520" w:lineRule="exact"/>
        <w:ind w:left="0" w:leftChars="0" w:firstLine="0" w:firstLineChars="0"/>
        <w:jc w:val="center"/>
        <w:rPr>
          <w:rStyle w:val="41"/>
          <w:b/>
          <w:color w:val="auto"/>
          <w:highlight w:val="none"/>
        </w:rPr>
      </w:pPr>
      <w:bookmarkStart w:id="972" w:name="_Toc173415205"/>
      <w:bookmarkStart w:id="973" w:name="_Toc6227"/>
      <w:bookmarkStart w:id="974" w:name="_Toc6825"/>
      <w:bookmarkStart w:id="975" w:name="_Toc32035"/>
      <w:bookmarkStart w:id="976" w:name="_Toc763"/>
      <w:bookmarkStart w:id="977" w:name="_Toc27538"/>
      <w:r>
        <w:rPr>
          <w:rStyle w:val="41"/>
          <w:rFonts w:hint="eastAsia"/>
          <w:b/>
          <w:color w:val="auto"/>
          <w:highlight w:val="none"/>
        </w:rPr>
        <w:t xml:space="preserve">第五章  </w:t>
      </w:r>
      <w:bookmarkEnd w:id="972"/>
      <w:bookmarkEnd w:id="973"/>
      <w:r>
        <w:rPr>
          <w:rStyle w:val="41"/>
          <w:rFonts w:hint="eastAsia"/>
          <w:b/>
          <w:color w:val="auto"/>
          <w:highlight w:val="none"/>
        </w:rPr>
        <w:t>委托人要求</w:t>
      </w:r>
    </w:p>
    <w:bookmarkEnd w:id="974"/>
    <w:p w14:paraId="25625BA5">
      <w:pPr>
        <w:adjustRightInd w:val="0"/>
        <w:snapToGrid w:val="0"/>
        <w:spacing w:line="400" w:lineRule="exact"/>
        <w:ind w:firstLine="422"/>
        <w:rPr>
          <w:rFonts w:hint="eastAsia" w:ascii="宋体" w:hAnsi="宋体" w:cs="Times New Roman"/>
          <w:b/>
          <w:color w:val="auto"/>
          <w:szCs w:val="21"/>
          <w:highlight w:val="none"/>
          <w:lang w:val="en-US" w:eastAsia="zh-CN"/>
        </w:rPr>
      </w:pPr>
      <w:bookmarkStart w:id="978" w:name="_Toc26896"/>
      <w:r>
        <w:rPr>
          <w:rFonts w:hint="eastAsia" w:ascii="宋体" w:hAnsi="宋体" w:cs="Times New Roman"/>
          <w:b/>
          <w:color w:val="auto"/>
          <w:szCs w:val="21"/>
          <w:highlight w:val="none"/>
          <w:lang w:val="en-US" w:eastAsia="zh-CN"/>
        </w:rPr>
        <w:t>1.项目概况</w:t>
      </w:r>
    </w:p>
    <w:p w14:paraId="551C9192">
      <w:pPr>
        <w:autoSpaceDE w:val="0"/>
        <w:autoSpaceDN w:val="0"/>
        <w:adjustRightInd w:val="0"/>
        <w:snapToGrid w:val="0"/>
        <w:spacing w:line="400" w:lineRule="exact"/>
        <w:ind w:firstLine="42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本次商品权益供应入围项目，旨在为重庆三峡银行个人客户提供涵盖实物商品、虚拟商品的多元化积分兑换、权益领取及核销服务，全面提升个人客户增值服务体验。</w:t>
      </w:r>
    </w:p>
    <w:p w14:paraId="002629F5">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2 项目目标</w:t>
      </w:r>
    </w:p>
    <w:p w14:paraId="6E4E76B3">
      <w:pPr>
        <w:autoSpaceDE w:val="0"/>
        <w:autoSpaceDN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通过本次公开比选拟入围4家商品权益供应商，一是为重庆三峡银行积分商城提供商品权益供应；二是免费策划、开发积分及个人客户权益相关营销活动，并对活动提供商品权益供应。</w:t>
      </w:r>
    </w:p>
    <w:p w14:paraId="7091B7DB">
      <w:pPr>
        <w:autoSpaceDE w:val="0"/>
        <w:autoSpaceDN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主要的商品采购范围包括：</w:t>
      </w:r>
    </w:p>
    <w:p w14:paraId="79508377">
      <w:pPr>
        <w:autoSpaceDE w:val="0"/>
        <w:autoSpaceDN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实物商品：包括但不限于米面粮油类、家清日化类、厨房用具类、家居家纺类、家用电器类、饮料冲调类、坚果零食类、运动户外类、个护美妆类、箱包皮具类等银行积分商城常见实物商品。</w:t>
      </w:r>
    </w:p>
    <w:p w14:paraId="19B728EC">
      <w:pPr>
        <w:autoSpaceDE w:val="0"/>
        <w:autoSpaceDN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虚拟商品：包括但不限于支付立减类（微信立减金、京东E卡等）；视频会员类（优酷、爱奇艺、腾讯等）；商超类（沃尔玛、山姆、盒马生鲜等）；加油卡类（中石油、中石化等）；全国连锁商户类（星巴克、Costa、哈根达斯、必胜客等）；电影票券类（猫眼、淘票票等）；健康体检类（爱康国宾、三甲医院体检中心等）；食品生鲜类（美团、饿了么、顺丰优选、中粮等）；话费流量类（移动、联通、电信）；旅游出行类（机场、高铁贵宾厅、携程等）；打车类（滴滴等）；家政服务类（天鹅到家、京东家政等）等虚拟商品。</w:t>
      </w:r>
    </w:p>
    <w:p w14:paraId="09550741">
      <w:pPr>
        <w:adjustRightInd w:val="0"/>
        <w:snapToGrid w:val="0"/>
        <w:spacing w:line="400" w:lineRule="exact"/>
        <w:ind w:firstLine="422"/>
        <w:rPr>
          <w:rFonts w:hint="default"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3.项目要求</w:t>
      </w:r>
    </w:p>
    <w:p w14:paraId="048FD878">
      <w:pPr>
        <w:adjustRightInd w:val="0"/>
        <w:snapToGrid w:val="0"/>
        <w:spacing w:line="400" w:lineRule="exact"/>
        <w:ind w:firstLine="422"/>
        <w:rPr>
          <w:rFonts w:hint="eastAsia" w:ascii="宋体" w:hAnsi="宋体" w:cs="Times New Roman"/>
          <w:b/>
          <w:color w:val="auto"/>
          <w:szCs w:val="21"/>
          <w:highlight w:val="none"/>
        </w:rPr>
      </w:pPr>
      <w:r>
        <w:rPr>
          <w:rFonts w:hint="eastAsia" w:ascii="宋体" w:hAnsi="宋体" w:cs="Times New Roman"/>
          <w:b/>
          <w:color w:val="auto"/>
          <w:szCs w:val="21"/>
          <w:highlight w:val="none"/>
          <w:lang w:val="en-US" w:eastAsia="zh-CN"/>
        </w:rPr>
        <w:t>3.1</w:t>
      </w:r>
      <w:r>
        <w:rPr>
          <w:rFonts w:hint="eastAsia" w:ascii="宋体" w:hAnsi="宋体" w:cs="Times New Roman"/>
          <w:b/>
          <w:color w:val="auto"/>
          <w:szCs w:val="21"/>
          <w:highlight w:val="none"/>
        </w:rPr>
        <w:t>商品供应要求</w:t>
      </w:r>
    </w:p>
    <w:p w14:paraId="73E12FF6">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投标人须按</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要求</w:t>
      </w:r>
      <w:r>
        <w:rPr>
          <w:rFonts w:hint="eastAsia" w:ascii="宋体" w:hAnsi="宋体" w:cs="宋体"/>
          <w:bCs/>
          <w:color w:val="auto"/>
          <w:szCs w:val="21"/>
          <w:highlight w:val="none"/>
          <w:lang w:val="en-US" w:eastAsia="zh-CN"/>
        </w:rPr>
        <w:t>提供</w:t>
      </w:r>
      <w:r>
        <w:rPr>
          <w:rFonts w:hint="eastAsia" w:ascii="宋体" w:hAnsi="宋体" w:cs="宋体"/>
          <w:bCs/>
          <w:color w:val="auto"/>
          <w:szCs w:val="21"/>
          <w:highlight w:val="none"/>
        </w:rPr>
        <w:t>的实物商品、虚拟商品经营资质，承诺提供的所有商品渠道来源合法合规，有正规授权（授权内容包括但不限于销售、宣传、商标使用等）的代理资格，确保商品授权真实有效、完整。</w:t>
      </w:r>
    </w:p>
    <w:p w14:paraId="2CC1AC0F">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建立有效的库存监控与预警机制，确保上架商品供应充足。如遇库存即将耗尽或补货困难的情况，应在24小时内通知</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w:t>
      </w:r>
    </w:p>
    <w:p w14:paraId="1A4BF6F4">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应有不断开发商品及知名品牌的能力，商品品类及知名品牌丰富，具有在同业中相对优势的商品及知名品牌开发资源。</w:t>
      </w:r>
    </w:p>
    <w:p w14:paraId="0C0CC354">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27F1F257">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3.2系统对接要求</w:t>
      </w:r>
    </w:p>
    <w:p w14:paraId="3906AF53">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承诺免费提供标准API接口，完成与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商城系统、个人客户权益系统及手机银行等系统的对接工作，按</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要求通过接口传输商品、订单、物流等相关数据。由此产生的所有接口改造费用，均由</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承担。</w:t>
      </w:r>
    </w:p>
    <w:p w14:paraId="16D4E72A">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30A602D6">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3.3营销活动要求</w:t>
      </w:r>
    </w:p>
    <w:p w14:paraId="7E9439A9">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承诺积极响应</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的各项积分及个人客户权益相关营销活动要求，免费提供从活动策划、H5与海报设计到活动系统开发的全流程支持，服务范围涵盖日常营销、节日专题、有奖调查等多种类型线上线下营销活动，并对活动提供商品权益供应。</w:t>
      </w:r>
    </w:p>
    <w:p w14:paraId="698CE9CE">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093FE575">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3.3商品交付要求</w:t>
      </w:r>
    </w:p>
    <w:p w14:paraId="5A8BFBDD">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实物商品交付</w:t>
      </w:r>
    </w:p>
    <w:p w14:paraId="0EB94A80">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①</w:t>
      </w:r>
      <w:r>
        <w:rPr>
          <w:rFonts w:hint="eastAsia" w:ascii="宋体" w:hAnsi="宋体" w:cs="宋体"/>
          <w:bCs/>
          <w:color w:val="auto"/>
          <w:szCs w:val="21"/>
          <w:highlight w:val="none"/>
        </w:rPr>
        <w:t>实物商品交付以点对点上门配送为主，</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及</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客户订单生成后T+2个工作日内完成发货（发货以快递单号上传至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相关系统为准），将商品送至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客户指定地址。</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应要求合作快递送货当天按订单收件人联系方式致电收件人，确认配送地址及配送时间。</w:t>
      </w:r>
    </w:p>
    <w:p w14:paraId="29116C02">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②</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交付的商品应具有适于运输方式的坚固包装，应根据商品的不同特性和要求采取防潮、防雨、防锈、防震、防磁等保护措施，以确保安全无损交付。</w:t>
      </w:r>
    </w:p>
    <w:p w14:paraId="5375AB47">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③</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承诺，商品发货后，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及</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可以通过商城系统、商城前端页面查询到商品物流单号，并显示物流信息、预计到达时间。重庆本地区域物流配送时限在3个自然日（含）内，特殊地区（新疆、青海、西藏、云南、海南地区）配送时限在7个自然日（含）内，其余地区配送时限在5个自然日（含）内。配送时限指订单发货之日至客户签收之日的时间。因不可抗拒力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客户提供信息有误导致的延迟配送情况不在配送时限要求范围内。</w:t>
      </w:r>
    </w:p>
    <w:p w14:paraId="760C0ECA">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虚拟商品交付</w:t>
      </w:r>
    </w:p>
    <w:p w14:paraId="7810DAAE">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①</w:t>
      </w:r>
      <w:r>
        <w:rPr>
          <w:rFonts w:hint="eastAsia" w:ascii="宋体" w:hAnsi="宋体" w:cs="宋体"/>
          <w:bCs/>
          <w:color w:val="auto"/>
          <w:szCs w:val="21"/>
          <w:highlight w:val="none"/>
        </w:rPr>
        <w:t>虚拟商品交付以线上电子方式实现。如采用直充方式交付，</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承诺，订单生成后48小时内完成充值（以将完成状态上传至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相关系统为准）；如采用卡密、兑换码、兑换链接等方式交付，</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承诺，订单生成后1分钟内，将卡密、兑换码、兑换链接等信息上传至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商城系统，并显示给客户。</w:t>
      </w:r>
    </w:p>
    <w:p w14:paraId="4CB04D10">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②</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交付的虚拟商品必须确保其有效性、合法性与唯一性，不得设置未向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明示的额外使用限制。对于需要客户自行兑换的卡密、兑换码、兑换链接，</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应提供清晰、即时的兑换指引与客服支持。</w:t>
      </w:r>
    </w:p>
    <w:p w14:paraId="0DBB6231">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22EECDF8">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3.4商品品控要求</w:t>
      </w:r>
    </w:p>
    <w:p w14:paraId="5E0EBB8F">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承诺，所提供商品均为面向广大消费者、在线上线下公开渠道常规销售的标准产品（即“常规市场流通品”），而非任何形式的“电商专供款”、“线上专供款”或定制化产品。</w:t>
      </w:r>
    </w:p>
    <w:p w14:paraId="778B7A8C">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提供的商品符合国家对该类商品类别制定的质量标准，商品应为外包装完整、全新、无破损、未使用过的产品；产品内附质量说明或使用说明的，说明书应完整、清晰、准确无误，确保产品能够按照说明书正常使用。</w:t>
      </w:r>
    </w:p>
    <w:p w14:paraId="6A9442AC">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承诺，不得以次充好或提供假冒伪劣商品、不得提供过期或临期产品；若产品为普通食品，发货时，保质期剩余时长应大于等于保质期1/2的时长。</w:t>
      </w:r>
    </w:p>
    <w:p w14:paraId="461FD82D">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承诺，商品退换货服务至少应达到国家规定、行业规定和知名品牌方规定的水平。有效退换货期不少于7个自然日（含），退换货处理时效应为T+1个工作日内（含）。对于</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原因造成的退换货（包括但不限于产品质量问题、配送错误等），来回退换货费用均由</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承担。</w:t>
      </w:r>
    </w:p>
    <w:p w14:paraId="6608B35D">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关于不良投诉率的要求，</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承诺月不良投诉率在0.2%以内，月不良投诉率＝本月不良投诉量÷本月订单总量。不良投诉定义：因</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在商品交付、商品质量或客户服务方面存在过失，从而导致损害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或其客户利益所引发的投诉。因</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客户自身原因或不可抗力造成的投诉除外。</w:t>
      </w:r>
    </w:p>
    <w:p w14:paraId="45F8E297">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承诺，如因</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提供的商品或服务存在任何缺陷、瑕疵，或涉及虚假宣传、侵权（包括但不限于知识产权侵权）及其他任何违法行为，导致</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（包括其客户、员工及关联方）遭受任何经济损失、商誉损害或面临任何第三方索赔、行政处罚或法律诉讼的，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应承担全部法律责任，承担由此产生的全部赔偿责任（包括但不限于直接经济损失、间接损失、银行为处理此事支付的律师费、诉讼费等），并负责处理相关争议与索赔的处理，全力消除对</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声誉的负面影响。</w:t>
      </w:r>
    </w:p>
    <w:p w14:paraId="01F4A472">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387BD8D4">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3.5售后服务要求</w:t>
      </w:r>
    </w:p>
    <w:p w14:paraId="6118ADA9">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承诺，提供完善的客户服务团队，设有专属客服热线，提供客服联动响应机制，客服热线接通率应在90%以上。</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客服面向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的服务时间应不得少于7X12小时（含法定节假日）；</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客服面向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客户的服务时间应不得少于7X24小时（含法定节假日）；售后问题</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在1个工作日内响应并妥善处理，如遇情节严重的投诉（如</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客户提出要投诉至12315、监管、工商等机关部门），</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在0.5小时内反馈给</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，并在1小时内提出有效解决方案。如限时内无法解决，应及时向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反馈，与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协商处理。</w:t>
      </w:r>
    </w:p>
    <w:p w14:paraId="46D03210">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4CA19A6D">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3.6运营要求</w:t>
      </w:r>
    </w:p>
    <w:p w14:paraId="6972554B">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须具备丰富的银行积分商城运营经验，配合</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制定商城经营性计划及策略，免费提供积分及个人客户权益相关营销活动策划、设计、开发，并承诺按月提交两项核心报告：一是商品价格监测报告，</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将</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上架商品结算价与京东、天猫自营店同款进行比价；二是运营分析报告，</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综合分析商品、权益兑换核销情况与售后问题，并结合比价结果对项目运营提出具体建议。</w:t>
      </w:r>
    </w:p>
    <w:p w14:paraId="2FA80234">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1E24AB8E">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3.7系统运行问题应急处理要求</w:t>
      </w:r>
    </w:p>
    <w:p w14:paraId="5ACFF77D">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承诺，系统服务响应时间不超过20分钟，若出现生产业务中断或可能中断的生产事件，必须在30分钟内提供解决方案，或4小时内到达现场解决。其他没有导致</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生产中断的情况，可以通过电话、邮件形式，在24小时内提供解决方案或现场解决。</w:t>
      </w:r>
    </w:p>
    <w:p w14:paraId="2E734868">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64421106">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3.8项目人员配置要求</w:t>
      </w:r>
    </w:p>
    <w:p w14:paraId="08B934B2">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承诺，入围后在重庆具有独立办公地点或分公司，并为</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在重庆配置专职执行团队，团队成员（项目经理、产品经理、开发人员、客服经理等）均为</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公司正式员工，并可保证在工作日1小时内抵达</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办公地点。</w:t>
      </w:r>
    </w:p>
    <w:p w14:paraId="616DC919">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12E9D864">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3.9商户服务要求</w:t>
      </w:r>
    </w:p>
    <w:p w14:paraId="71C8EF59">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承诺，免费为</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推荐的商户提供完整的供应商配套服务，包括但不限于：负责该商户的准入、考核及与</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签约、结算，并向商户提供一套成熟的可由其自己操作的商城供应商管理系统（含商户账号管理、新增商品管理、商品订单管理、售后订单管理、物流配送、财务订单管理等核心功能）。以上所有服务内容，均不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或商户收取任何形式费用。</w:t>
      </w:r>
    </w:p>
    <w:p w14:paraId="5C5B8E8E">
      <w:pPr>
        <w:autoSpaceDE w:val="0"/>
        <w:autoSpaceDN w:val="0"/>
        <w:adjustRightInd w:val="0"/>
        <w:snapToGrid w:val="0"/>
        <w:spacing w:line="400" w:lineRule="exact"/>
        <w:ind w:firstLine="420"/>
        <w:rPr>
          <w:rFonts w:hint="eastAsia" w:eastAsia="宋体"/>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4E0B67A0">
      <w:pPr>
        <w:adjustRightInd w:val="0"/>
        <w:snapToGrid w:val="0"/>
        <w:spacing w:line="400" w:lineRule="exact"/>
        <w:ind w:firstLine="422"/>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3.10风险管理、合规与保密等要求</w:t>
      </w:r>
    </w:p>
    <w:p w14:paraId="3EC3B19E">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应向本项目相关人员进行专业培训，培训</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有全面的客户服务培训计划和记录，经专业培训及测试通过的人员方可上岗作业。</w:t>
      </w:r>
    </w:p>
    <w:p w14:paraId="3362169A">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应建立严格的保密机制，防止信息泄露。在入围后与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签订保密相关协议，确保</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及</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客户信息数据的安全性。</w:t>
      </w:r>
    </w:p>
    <w:p w14:paraId="63B6784E">
      <w:pPr>
        <w:autoSpaceDE w:val="0"/>
        <w:autoSpaceDN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应具备处理</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数据的作业流程，确保仅有工作需要的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员工才能接触或处理</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的数据信息，且只可为相关人员配置其开展工作或服务所需的数据访问权限，未经</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授权不得向第三方透露、传输</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数据和与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相关的任何信息。</w:t>
      </w:r>
    </w:p>
    <w:p w14:paraId="7A8912F7">
      <w:pPr>
        <w:autoSpaceDE w:val="0"/>
        <w:autoSpaceDN w:val="0"/>
        <w:adjustRightInd w:val="0"/>
        <w:snapToGrid w:val="0"/>
        <w:spacing w:line="400" w:lineRule="exact"/>
        <w:ind w:firstLine="420"/>
        <w:rPr>
          <w:rFonts w:hint="eastAsia"/>
          <w:b/>
          <w:bCs/>
          <w:color w:val="auto"/>
          <w:szCs w:val="21"/>
          <w:highlight w:val="none"/>
          <w:lang w:eastAsia="zh-CN"/>
        </w:rPr>
      </w:pPr>
      <w:r>
        <w:rPr>
          <w:rFonts w:hint="eastAsia"/>
          <w:b/>
          <w:bCs/>
          <w:color w:val="auto"/>
          <w:szCs w:val="21"/>
          <w:highlight w:val="none"/>
          <w:lang w:val="en-US" w:eastAsia="zh-CN"/>
        </w:rPr>
        <w:t>提供：</w:t>
      </w:r>
      <w:r>
        <w:rPr>
          <w:rFonts w:hint="eastAsia"/>
          <w:b/>
          <w:bCs/>
          <w:highlight w:val="none"/>
          <w:lang w:val="en-US" w:eastAsia="zh-CN"/>
        </w:rPr>
        <w:t>承诺函</w:t>
      </w:r>
      <w:r>
        <w:rPr>
          <w:rFonts w:hint="eastAsia"/>
          <w:b/>
          <w:bCs/>
          <w:color w:val="auto"/>
          <w:szCs w:val="21"/>
          <w:highlight w:val="none"/>
        </w:rPr>
        <w:t>（格式见第六章投标文件格式）</w:t>
      </w:r>
      <w:r>
        <w:rPr>
          <w:rFonts w:hint="eastAsia"/>
          <w:b/>
          <w:bCs/>
          <w:color w:val="auto"/>
          <w:szCs w:val="21"/>
          <w:highlight w:val="none"/>
          <w:lang w:eastAsia="zh-CN"/>
        </w:rPr>
        <w:t>。</w:t>
      </w:r>
    </w:p>
    <w:p w14:paraId="61C45A00">
      <w:pPr>
        <w:rPr>
          <w:rFonts w:hint="eastAsia"/>
          <w:b/>
          <w:bCs/>
          <w:color w:val="auto"/>
          <w:szCs w:val="21"/>
          <w:highlight w:val="none"/>
          <w:lang w:eastAsia="zh-CN"/>
        </w:rPr>
      </w:pPr>
      <w:r>
        <w:rPr>
          <w:rFonts w:hint="eastAsia"/>
          <w:b/>
          <w:bCs/>
          <w:color w:val="auto"/>
          <w:szCs w:val="21"/>
          <w:highlight w:val="none"/>
          <w:lang w:eastAsia="zh-CN"/>
        </w:rPr>
        <w:br w:type="page"/>
      </w:r>
    </w:p>
    <w:p w14:paraId="1149E80F">
      <w:pPr>
        <w:pStyle w:val="25"/>
        <w:rPr>
          <w:rFonts w:hint="eastAsia"/>
          <w:lang w:eastAsia="zh-CN"/>
        </w:rPr>
      </w:pPr>
    </w:p>
    <w:p w14:paraId="21F9D93F">
      <w:pPr>
        <w:pStyle w:val="3"/>
        <w:spacing w:line="520" w:lineRule="exact"/>
        <w:ind w:left="0" w:leftChars="0" w:firstLine="0" w:firstLineChars="0"/>
        <w:jc w:val="center"/>
        <w:rPr>
          <w:rStyle w:val="41"/>
          <w:b/>
          <w:color w:val="auto"/>
          <w:highlight w:val="none"/>
        </w:rPr>
      </w:pPr>
      <w:bookmarkStart w:id="979" w:name="_Toc173415206"/>
      <w:r>
        <w:rPr>
          <w:rStyle w:val="41"/>
          <w:rFonts w:hint="eastAsia"/>
          <w:b/>
          <w:color w:val="auto"/>
          <w:highlight w:val="none"/>
        </w:rPr>
        <w:t>第六章    投标文件格式</w:t>
      </w:r>
      <w:bookmarkEnd w:id="975"/>
      <w:bookmarkEnd w:id="976"/>
      <w:bookmarkEnd w:id="977"/>
      <w:bookmarkEnd w:id="978"/>
      <w:bookmarkEnd w:id="979"/>
    </w:p>
    <w:p w14:paraId="26958617">
      <w:pPr>
        <w:spacing w:line="400" w:lineRule="exact"/>
        <w:ind w:firstLine="480"/>
        <w:rPr>
          <w:rFonts w:ascii="宋体" w:hAnsi="宋体"/>
          <w:color w:val="auto"/>
          <w:sz w:val="24"/>
          <w:szCs w:val="24"/>
          <w:highlight w:val="none"/>
        </w:rPr>
      </w:pPr>
      <w:r>
        <w:rPr>
          <w:rFonts w:ascii="宋体" w:hAnsi="宋体"/>
          <w:color w:val="auto"/>
          <w:sz w:val="24"/>
          <w:szCs w:val="24"/>
          <w:highlight w:val="none"/>
        </w:rPr>
        <w:br w:type="page"/>
      </w:r>
    </w:p>
    <w:p w14:paraId="6DC19401">
      <w:pPr>
        <w:spacing w:line="400" w:lineRule="exact"/>
        <w:ind w:firstLine="480"/>
        <w:rPr>
          <w:rFonts w:ascii="宋体" w:hAnsi="宋体"/>
          <w:color w:val="auto"/>
          <w:sz w:val="24"/>
          <w:szCs w:val="24"/>
          <w:highlight w:val="none"/>
        </w:rPr>
      </w:pPr>
    </w:p>
    <w:p w14:paraId="771428C0">
      <w:pPr>
        <w:spacing w:line="400" w:lineRule="exact"/>
        <w:ind w:left="0" w:leftChars="0"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目    录</w:t>
      </w:r>
    </w:p>
    <w:p w14:paraId="59FBA865">
      <w:pPr>
        <w:spacing w:line="400" w:lineRule="exact"/>
        <w:ind w:firstLine="482"/>
        <w:rPr>
          <w:rFonts w:ascii="宋体" w:hAnsi="宋体"/>
          <w:b/>
          <w:color w:val="auto"/>
          <w:sz w:val="24"/>
          <w:szCs w:val="24"/>
          <w:highlight w:val="none"/>
        </w:rPr>
      </w:pPr>
    </w:p>
    <w:p w14:paraId="4ED6B529">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ascii="宋体" w:hAnsi="宋体"/>
          <w:b/>
          <w:color w:val="auto"/>
          <w:sz w:val="24"/>
          <w:szCs w:val="24"/>
          <w:highlight w:val="none"/>
        </w:rPr>
      </w:pPr>
      <w:r>
        <w:rPr>
          <w:rFonts w:hint="eastAsia" w:ascii="宋体" w:hAnsi="宋体"/>
          <w:b/>
          <w:color w:val="auto"/>
          <w:sz w:val="24"/>
          <w:szCs w:val="24"/>
          <w:highlight w:val="none"/>
        </w:rPr>
        <w:t>一、投标函部分</w:t>
      </w:r>
    </w:p>
    <w:p w14:paraId="058EF19C">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ascii="宋体" w:hAnsi="宋体"/>
          <w:b/>
          <w:color w:val="auto"/>
          <w:sz w:val="24"/>
          <w:szCs w:val="24"/>
          <w:highlight w:val="none"/>
        </w:rPr>
      </w:pPr>
      <w:r>
        <w:rPr>
          <w:rFonts w:hint="eastAsia" w:ascii="宋体" w:hAnsi="宋体"/>
          <w:b/>
          <w:color w:val="auto"/>
          <w:sz w:val="24"/>
          <w:szCs w:val="24"/>
          <w:highlight w:val="none"/>
        </w:rPr>
        <w:t>二、资格审查（含商务部分）</w:t>
      </w:r>
    </w:p>
    <w:p w14:paraId="2C54A6D7">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ascii="宋体" w:hAnsi="宋体"/>
          <w:b/>
          <w:color w:val="auto"/>
          <w:sz w:val="24"/>
          <w:szCs w:val="24"/>
          <w:highlight w:val="none"/>
        </w:rPr>
      </w:pPr>
      <w:r>
        <w:rPr>
          <w:rFonts w:hint="eastAsia" w:ascii="宋体" w:hAnsi="宋体"/>
          <w:b/>
          <w:color w:val="auto"/>
          <w:sz w:val="24"/>
          <w:szCs w:val="24"/>
          <w:highlight w:val="none"/>
        </w:rPr>
        <w:t>三、技术部分</w:t>
      </w:r>
    </w:p>
    <w:p w14:paraId="72F17C31">
      <w:pPr>
        <w:ind w:left="0" w:leftChars="0" w:firstLine="0" w:firstLineChars="0"/>
        <w:rPr>
          <w:rFonts w:ascii="宋体" w:hAnsi="宋体"/>
          <w:b/>
          <w:bCs/>
          <w:color w:val="auto"/>
          <w:sz w:val="40"/>
          <w:szCs w:val="40"/>
          <w:highlight w:val="none"/>
        </w:rPr>
      </w:pPr>
      <w:r>
        <w:rPr>
          <w:rFonts w:ascii="宋体" w:hAnsi="宋体"/>
          <w:b/>
          <w:bCs/>
          <w:color w:val="auto"/>
          <w:sz w:val="40"/>
          <w:szCs w:val="40"/>
          <w:highlight w:val="none"/>
        </w:rPr>
        <w:br w:type="page"/>
      </w:r>
    </w:p>
    <w:p w14:paraId="58E5C1CE">
      <w:pPr>
        <w:pStyle w:val="4"/>
        <w:spacing w:line="360" w:lineRule="auto"/>
        <w:ind w:left="0" w:leftChars="0" w:firstLine="0" w:firstLineChars="0"/>
        <w:jc w:val="center"/>
        <w:rPr>
          <w:rFonts w:ascii="宋体" w:hAnsi="宋体"/>
          <w:b w:val="0"/>
          <w:color w:val="auto"/>
          <w:sz w:val="28"/>
          <w:szCs w:val="28"/>
          <w:highlight w:val="none"/>
        </w:rPr>
      </w:pPr>
      <w:r>
        <w:rPr>
          <w:rFonts w:hint="eastAsia" w:ascii="宋体" w:hAnsi="宋体"/>
          <w:color w:val="auto"/>
          <w:sz w:val="28"/>
          <w:szCs w:val="28"/>
          <w:highlight w:val="none"/>
        </w:rPr>
        <w:t>一、投标函部分</w:t>
      </w:r>
    </w:p>
    <w:p w14:paraId="5B191561">
      <w:pPr>
        <w:ind w:firstLine="562"/>
        <w:rPr>
          <w:rFonts w:ascii="宋体" w:hAnsi="宋体" w:cs="楷体"/>
          <w:b/>
          <w:color w:val="auto"/>
          <w:sz w:val="28"/>
          <w:highlight w:val="none"/>
          <w:u w:val="single"/>
        </w:rPr>
      </w:pPr>
      <w:r>
        <w:rPr>
          <w:rFonts w:ascii="宋体" w:hAnsi="宋体" w:cs="楷体"/>
          <w:b/>
          <w:color w:val="auto"/>
          <w:sz w:val="28"/>
          <w:highlight w:val="none"/>
          <w:u w:val="single"/>
        </w:rPr>
        <w:br w:type="page"/>
      </w:r>
    </w:p>
    <w:p w14:paraId="286CE97F">
      <w:pPr>
        <w:tabs>
          <w:tab w:val="left" w:pos="2580"/>
          <w:tab w:val="left" w:pos="5940"/>
        </w:tabs>
        <w:autoSpaceDE w:val="0"/>
        <w:autoSpaceDN w:val="0"/>
        <w:adjustRightInd w:val="0"/>
        <w:snapToGrid w:val="0"/>
        <w:spacing w:line="400" w:lineRule="exact"/>
        <w:ind w:left="0" w:leftChars="0" w:firstLine="0" w:firstLineChars="0"/>
        <w:jc w:val="center"/>
        <w:rPr>
          <w:rFonts w:ascii="宋体" w:hAnsi="宋体" w:cs="楷体"/>
          <w:color w:val="auto"/>
          <w:sz w:val="28"/>
          <w:highlight w:val="none"/>
          <w:u w:val="single"/>
        </w:rPr>
      </w:pPr>
      <w:r>
        <w:rPr>
          <w:rFonts w:hint="eastAsia" w:ascii="宋体" w:hAnsi="宋体" w:cs="楷体"/>
          <w:b/>
          <w:color w:val="auto"/>
          <w:sz w:val="28"/>
          <w:highlight w:val="none"/>
          <w:u w:val="single"/>
        </w:rPr>
        <w:t xml:space="preserve">                        （项目名称）</w:t>
      </w:r>
    </w:p>
    <w:p w14:paraId="7C88FF6A">
      <w:pPr>
        <w:tabs>
          <w:tab w:val="left" w:pos="3600"/>
          <w:tab w:val="left" w:pos="4480"/>
          <w:tab w:val="left" w:pos="5360"/>
        </w:tabs>
        <w:autoSpaceDE w:val="0"/>
        <w:autoSpaceDN w:val="0"/>
        <w:adjustRightInd w:val="0"/>
        <w:snapToGrid w:val="0"/>
        <w:spacing w:line="400" w:lineRule="exact"/>
        <w:ind w:firstLine="880"/>
        <w:rPr>
          <w:rFonts w:ascii="宋体" w:hAnsi="宋体" w:cs="MingLiU"/>
          <w:color w:val="auto"/>
          <w:sz w:val="44"/>
          <w:szCs w:val="44"/>
          <w:highlight w:val="none"/>
        </w:rPr>
      </w:pPr>
    </w:p>
    <w:p w14:paraId="70FC68CE">
      <w:pPr>
        <w:tabs>
          <w:tab w:val="left" w:pos="3600"/>
          <w:tab w:val="left" w:pos="4480"/>
          <w:tab w:val="left" w:pos="5360"/>
        </w:tabs>
        <w:autoSpaceDE w:val="0"/>
        <w:autoSpaceDN w:val="0"/>
        <w:adjustRightInd w:val="0"/>
        <w:snapToGrid w:val="0"/>
        <w:spacing w:line="400" w:lineRule="exact"/>
        <w:ind w:firstLine="880"/>
        <w:rPr>
          <w:rFonts w:ascii="宋体" w:hAnsi="宋体" w:cs="MingLiU"/>
          <w:color w:val="auto"/>
          <w:sz w:val="44"/>
          <w:szCs w:val="44"/>
          <w:highlight w:val="none"/>
        </w:rPr>
      </w:pPr>
    </w:p>
    <w:p w14:paraId="4CD6C97D">
      <w:pPr>
        <w:tabs>
          <w:tab w:val="left" w:pos="3600"/>
          <w:tab w:val="left" w:pos="4480"/>
          <w:tab w:val="left" w:pos="5360"/>
        </w:tabs>
        <w:autoSpaceDE w:val="0"/>
        <w:autoSpaceDN w:val="0"/>
        <w:adjustRightInd w:val="0"/>
        <w:snapToGrid w:val="0"/>
        <w:spacing w:line="1200" w:lineRule="exact"/>
        <w:ind w:firstLine="1687"/>
        <w:rPr>
          <w:rFonts w:ascii="宋体" w:hAnsi="宋体" w:cs="MingLiU"/>
          <w:b/>
          <w:color w:val="auto"/>
          <w:sz w:val="84"/>
          <w:szCs w:val="84"/>
          <w:highlight w:val="none"/>
        </w:rPr>
      </w:pPr>
    </w:p>
    <w:p w14:paraId="01A33D89">
      <w:pPr>
        <w:tabs>
          <w:tab w:val="left" w:pos="3600"/>
          <w:tab w:val="left" w:pos="4480"/>
          <w:tab w:val="left" w:pos="5360"/>
        </w:tabs>
        <w:autoSpaceDE w:val="0"/>
        <w:autoSpaceDN w:val="0"/>
        <w:adjustRightInd w:val="0"/>
        <w:snapToGrid w:val="0"/>
        <w:spacing w:line="1200" w:lineRule="exact"/>
        <w:ind w:firstLine="1687"/>
        <w:rPr>
          <w:rFonts w:ascii="宋体" w:hAnsi="宋体" w:cs="MingLiU"/>
          <w:b/>
          <w:color w:val="auto"/>
          <w:sz w:val="84"/>
          <w:szCs w:val="84"/>
          <w:highlight w:val="none"/>
        </w:rPr>
      </w:pPr>
    </w:p>
    <w:p w14:paraId="5BBC7827">
      <w:pPr>
        <w:tabs>
          <w:tab w:val="left" w:pos="3600"/>
          <w:tab w:val="left" w:pos="4480"/>
          <w:tab w:val="left" w:pos="5360"/>
        </w:tabs>
        <w:autoSpaceDE w:val="0"/>
        <w:autoSpaceDN w:val="0"/>
        <w:adjustRightInd w:val="0"/>
        <w:snapToGrid w:val="0"/>
        <w:spacing w:line="1200" w:lineRule="exact"/>
        <w:ind w:left="0" w:leftChars="0" w:firstLine="0" w:firstLineChars="0"/>
        <w:jc w:val="center"/>
        <w:rPr>
          <w:rFonts w:ascii="宋体" w:hAnsi="宋体" w:cs="MingLiU"/>
          <w:b/>
          <w:color w:val="auto"/>
          <w:sz w:val="84"/>
          <w:szCs w:val="84"/>
          <w:highlight w:val="none"/>
        </w:rPr>
      </w:pPr>
      <w:r>
        <w:rPr>
          <w:rFonts w:hint="eastAsia" w:ascii="宋体" w:hAnsi="宋体" w:cs="MingLiU"/>
          <w:b/>
          <w:color w:val="auto"/>
          <w:sz w:val="84"/>
          <w:szCs w:val="84"/>
          <w:highlight w:val="none"/>
        </w:rPr>
        <w:t>投  标  文  件</w:t>
      </w:r>
    </w:p>
    <w:p w14:paraId="47A8DC5B">
      <w:pPr>
        <w:autoSpaceDE w:val="0"/>
        <w:autoSpaceDN w:val="0"/>
        <w:adjustRightInd w:val="0"/>
        <w:snapToGrid w:val="0"/>
        <w:spacing w:line="1200" w:lineRule="exact"/>
        <w:ind w:firstLine="320"/>
        <w:rPr>
          <w:rFonts w:ascii="宋体" w:hAnsi="宋体" w:cs="MingLiU"/>
          <w:color w:val="auto"/>
          <w:sz w:val="16"/>
          <w:szCs w:val="16"/>
          <w:highlight w:val="none"/>
        </w:rPr>
      </w:pPr>
    </w:p>
    <w:p w14:paraId="26A7A28B">
      <w:pPr>
        <w:autoSpaceDE w:val="0"/>
        <w:autoSpaceDN w:val="0"/>
        <w:adjustRightInd w:val="0"/>
        <w:snapToGrid w:val="0"/>
        <w:spacing w:line="1200" w:lineRule="exact"/>
        <w:ind w:left="0" w:leftChars="0" w:firstLine="0" w:firstLineChars="0"/>
        <w:jc w:val="center"/>
        <w:rPr>
          <w:rFonts w:ascii="宋体" w:hAnsi="宋体" w:cs="MingLiU"/>
          <w:b/>
          <w:color w:val="auto"/>
          <w:sz w:val="36"/>
          <w:szCs w:val="36"/>
          <w:highlight w:val="none"/>
        </w:rPr>
      </w:pPr>
      <w:r>
        <w:rPr>
          <w:rFonts w:hint="eastAsia" w:ascii="宋体" w:hAnsi="宋体" w:cs="MingLiU"/>
          <w:b/>
          <w:color w:val="auto"/>
          <w:sz w:val="36"/>
          <w:szCs w:val="36"/>
          <w:highlight w:val="none"/>
        </w:rPr>
        <w:t>投标函部分</w:t>
      </w:r>
    </w:p>
    <w:p w14:paraId="36105CA7">
      <w:pPr>
        <w:autoSpaceDE w:val="0"/>
        <w:autoSpaceDN w:val="0"/>
        <w:adjustRightInd w:val="0"/>
        <w:snapToGrid w:val="0"/>
        <w:spacing w:line="1200" w:lineRule="exact"/>
        <w:ind w:firstLine="422"/>
        <w:rPr>
          <w:rFonts w:ascii="宋体" w:hAnsi="宋体" w:cs="MingLiU"/>
          <w:b/>
          <w:color w:val="auto"/>
          <w:highlight w:val="none"/>
        </w:rPr>
      </w:pPr>
    </w:p>
    <w:p w14:paraId="36624D93">
      <w:pPr>
        <w:autoSpaceDE w:val="0"/>
        <w:autoSpaceDN w:val="0"/>
        <w:adjustRightInd w:val="0"/>
        <w:snapToGrid w:val="0"/>
        <w:spacing w:line="1200" w:lineRule="exact"/>
        <w:ind w:firstLine="422"/>
        <w:rPr>
          <w:rFonts w:ascii="宋体" w:hAnsi="宋体" w:cs="MingLiU"/>
          <w:b/>
          <w:color w:val="auto"/>
          <w:highlight w:val="none"/>
        </w:rPr>
      </w:pPr>
    </w:p>
    <w:p w14:paraId="0F485A94">
      <w:pPr>
        <w:autoSpaceDE w:val="0"/>
        <w:autoSpaceDN w:val="0"/>
        <w:adjustRightInd w:val="0"/>
        <w:snapToGrid w:val="0"/>
        <w:spacing w:line="400" w:lineRule="exact"/>
        <w:ind w:firstLine="422"/>
        <w:rPr>
          <w:rFonts w:ascii="宋体" w:hAnsi="宋体" w:cs="MingLiU"/>
          <w:b/>
          <w:color w:val="auto"/>
          <w:highlight w:val="none"/>
        </w:rPr>
      </w:pPr>
    </w:p>
    <w:p w14:paraId="3025A898">
      <w:pPr>
        <w:autoSpaceDE w:val="0"/>
        <w:autoSpaceDN w:val="0"/>
        <w:adjustRightInd w:val="0"/>
        <w:snapToGrid w:val="0"/>
        <w:spacing w:line="400" w:lineRule="exact"/>
        <w:ind w:firstLine="422"/>
        <w:rPr>
          <w:rFonts w:ascii="宋体" w:hAnsi="宋体" w:cs="MingLiU"/>
          <w:b/>
          <w:color w:val="auto"/>
          <w:highlight w:val="none"/>
        </w:rPr>
      </w:pPr>
    </w:p>
    <w:p w14:paraId="22397851">
      <w:pPr>
        <w:autoSpaceDE w:val="0"/>
        <w:autoSpaceDN w:val="0"/>
        <w:adjustRightInd w:val="0"/>
        <w:snapToGrid w:val="0"/>
        <w:spacing w:line="400" w:lineRule="exact"/>
        <w:ind w:firstLine="422"/>
        <w:rPr>
          <w:rFonts w:ascii="宋体" w:hAnsi="宋体" w:cs="MingLiU"/>
          <w:b/>
          <w:color w:val="auto"/>
          <w:highlight w:val="none"/>
        </w:rPr>
      </w:pPr>
    </w:p>
    <w:p w14:paraId="7243DD9C">
      <w:pPr>
        <w:tabs>
          <w:tab w:val="left" w:pos="6080"/>
          <w:tab w:val="left" w:pos="6640"/>
        </w:tabs>
        <w:autoSpaceDE w:val="0"/>
        <w:autoSpaceDN w:val="0"/>
        <w:adjustRightInd w:val="0"/>
        <w:snapToGrid w:val="0"/>
        <w:spacing w:line="400" w:lineRule="exact"/>
        <w:ind w:left="0" w:leftChars="0" w:firstLine="0" w:firstLineChars="0"/>
        <w:jc w:val="center"/>
        <w:rPr>
          <w:rFonts w:ascii="宋体" w:hAnsi="宋体"/>
          <w:b/>
          <w:color w:val="auto"/>
          <w:w w:val="99"/>
          <w:sz w:val="28"/>
          <w:szCs w:val="28"/>
          <w:highlight w:val="none"/>
        </w:rPr>
      </w:pPr>
      <w:r>
        <w:rPr>
          <w:rFonts w:hint="eastAsia" w:ascii="宋体" w:hAnsi="宋体" w:cs="MingLiU"/>
          <w:b/>
          <w:color w:val="auto"/>
          <w:w w:val="99"/>
          <w:sz w:val="28"/>
          <w:szCs w:val="28"/>
          <w:highlight w:val="none"/>
        </w:rPr>
        <w:t>投</w:t>
      </w:r>
      <w:r>
        <w:rPr>
          <w:rFonts w:hint="eastAsia" w:ascii="宋体" w:hAnsi="宋体" w:cs="MingLiU"/>
          <w:b/>
          <w:color w:val="auto"/>
          <w:w w:val="99"/>
          <w:sz w:val="28"/>
          <w:szCs w:val="28"/>
          <w:highlight w:val="none"/>
          <w:lang w:val="en-US" w:eastAsia="zh-CN"/>
        </w:rPr>
        <w:t xml:space="preserve">  </w:t>
      </w:r>
      <w:r>
        <w:rPr>
          <w:rFonts w:hint="eastAsia" w:ascii="宋体" w:hAnsi="宋体" w:cs="MingLiU"/>
          <w:b/>
          <w:color w:val="auto"/>
          <w:w w:val="99"/>
          <w:sz w:val="28"/>
          <w:szCs w:val="28"/>
          <w:highlight w:val="none"/>
        </w:rPr>
        <w:t>标</w:t>
      </w:r>
      <w:r>
        <w:rPr>
          <w:rFonts w:hint="eastAsia" w:ascii="宋体" w:hAnsi="宋体" w:cs="MingLiU"/>
          <w:b/>
          <w:color w:val="auto"/>
          <w:w w:val="99"/>
          <w:sz w:val="28"/>
          <w:szCs w:val="28"/>
          <w:highlight w:val="none"/>
          <w:lang w:val="en-US" w:eastAsia="zh-CN"/>
        </w:rPr>
        <w:t xml:space="preserve">  </w:t>
      </w:r>
      <w:r>
        <w:rPr>
          <w:rFonts w:hint="eastAsia" w:ascii="宋体" w:hAnsi="宋体" w:cs="MingLiU"/>
          <w:b/>
          <w:color w:val="auto"/>
          <w:w w:val="99"/>
          <w:sz w:val="28"/>
          <w:szCs w:val="28"/>
          <w:highlight w:val="none"/>
        </w:rPr>
        <w:t>人</w:t>
      </w:r>
      <w:r>
        <w:rPr>
          <w:rFonts w:hint="eastAsia" w:ascii="宋体" w:hAnsi="宋体" w:cs="MingLiU"/>
          <w:b/>
          <w:color w:val="auto"/>
          <w:spacing w:val="1"/>
          <w:w w:val="99"/>
          <w:sz w:val="28"/>
          <w:szCs w:val="28"/>
          <w:highlight w:val="none"/>
        </w:rPr>
        <w:t>：</w:t>
      </w:r>
      <w:r>
        <w:rPr>
          <w:rFonts w:hint="eastAsia" w:ascii="宋体" w:hAnsi="宋体" w:cs="MingLiU"/>
          <w:b/>
          <w:color w:val="auto"/>
          <w:w w:val="198"/>
          <w:sz w:val="28"/>
          <w:szCs w:val="28"/>
          <w:highlight w:val="none"/>
          <w:u w:val="single"/>
        </w:rPr>
        <w:t xml:space="preserve"> 　　　　 　　</w:t>
      </w:r>
      <w:r>
        <w:rPr>
          <w:rFonts w:hint="eastAsia" w:ascii="宋体" w:hAnsi="宋体" w:cs="MingLiU"/>
          <w:b/>
          <w:color w:val="auto"/>
          <w:w w:val="99"/>
          <w:sz w:val="28"/>
          <w:szCs w:val="28"/>
          <w:highlight w:val="none"/>
        </w:rPr>
        <w:t>（盖单位法人章）</w:t>
      </w:r>
    </w:p>
    <w:p w14:paraId="3B0C5FD0">
      <w:pPr>
        <w:tabs>
          <w:tab w:val="left" w:pos="6080"/>
          <w:tab w:val="left" w:pos="6640"/>
        </w:tabs>
        <w:autoSpaceDE w:val="0"/>
        <w:autoSpaceDN w:val="0"/>
        <w:adjustRightInd w:val="0"/>
        <w:snapToGrid w:val="0"/>
        <w:spacing w:line="400" w:lineRule="exact"/>
        <w:ind w:left="0" w:leftChars="0" w:firstLine="0" w:firstLineChars="0"/>
        <w:jc w:val="center"/>
        <w:rPr>
          <w:rFonts w:ascii="宋体" w:hAnsi="宋体" w:cs="MingLiU"/>
          <w:b/>
          <w:color w:val="auto"/>
          <w:sz w:val="28"/>
          <w:szCs w:val="28"/>
          <w:highlight w:val="none"/>
        </w:rPr>
      </w:pPr>
      <w:r>
        <w:rPr>
          <w:rFonts w:hint="eastAsia" w:ascii="宋体" w:hAnsi="宋体" w:cs="MingLiU"/>
          <w:b/>
          <w:color w:val="auto"/>
          <w:w w:val="99"/>
          <w:sz w:val="28"/>
          <w:szCs w:val="28"/>
          <w:highlight w:val="none"/>
        </w:rPr>
        <w:t>法定代表人或其委托代理人：</w:t>
      </w:r>
      <w:r>
        <w:rPr>
          <w:rFonts w:hint="eastAsia" w:ascii="宋体" w:hAnsi="宋体" w:cs="MingLiU"/>
          <w:b/>
          <w:color w:val="auto"/>
          <w:w w:val="198"/>
          <w:sz w:val="28"/>
          <w:szCs w:val="28"/>
          <w:highlight w:val="none"/>
          <w:u w:val="single"/>
        </w:rPr>
        <w:t xml:space="preserve"> 　　 　</w:t>
      </w:r>
      <w:r>
        <w:rPr>
          <w:rFonts w:hint="eastAsia" w:ascii="宋体" w:hAnsi="宋体" w:cs="MingLiU"/>
          <w:b/>
          <w:color w:val="auto"/>
          <w:w w:val="99"/>
          <w:sz w:val="28"/>
          <w:szCs w:val="28"/>
          <w:highlight w:val="none"/>
        </w:rPr>
        <w:t>（签字或盖章）</w:t>
      </w:r>
    </w:p>
    <w:p w14:paraId="1000C2CE">
      <w:pPr>
        <w:tabs>
          <w:tab w:val="left" w:pos="3280"/>
          <w:tab w:val="left" w:pos="4680"/>
          <w:tab w:val="left" w:pos="6080"/>
        </w:tabs>
        <w:autoSpaceDE w:val="0"/>
        <w:autoSpaceDN w:val="0"/>
        <w:adjustRightInd w:val="0"/>
        <w:snapToGrid w:val="0"/>
        <w:spacing w:line="400" w:lineRule="exact"/>
        <w:ind w:left="0" w:leftChars="0" w:firstLine="0" w:firstLineChars="0"/>
        <w:jc w:val="center"/>
        <w:rPr>
          <w:rFonts w:ascii="宋体" w:hAnsi="宋体" w:cs="MingLiU"/>
          <w:b/>
          <w:color w:val="auto"/>
          <w:sz w:val="28"/>
          <w:szCs w:val="28"/>
          <w:highlight w:val="none"/>
        </w:rPr>
      </w:pPr>
      <w:r>
        <w:rPr>
          <w:rFonts w:hint="eastAsia" w:ascii="宋体" w:hAnsi="宋体" w:cs="MingLiU"/>
          <w:b/>
          <w:color w:val="auto"/>
          <w:w w:val="99"/>
          <w:sz w:val="28"/>
          <w:szCs w:val="28"/>
          <w:highlight w:val="none"/>
          <w:u w:val="single"/>
        </w:rPr>
        <w:t xml:space="preserve">   　</w:t>
      </w:r>
      <w:r>
        <w:rPr>
          <w:rFonts w:hint="eastAsia" w:ascii="宋体" w:hAnsi="宋体" w:cs="MingLiU"/>
          <w:b/>
          <w:color w:val="auto"/>
          <w:w w:val="99"/>
          <w:sz w:val="28"/>
          <w:szCs w:val="28"/>
          <w:highlight w:val="none"/>
        </w:rPr>
        <w:t>年</w:t>
      </w:r>
      <w:r>
        <w:rPr>
          <w:rFonts w:hint="eastAsia" w:ascii="宋体" w:hAnsi="宋体" w:cs="MingLiU"/>
          <w:b/>
          <w:color w:val="auto"/>
          <w:w w:val="99"/>
          <w:sz w:val="28"/>
          <w:szCs w:val="28"/>
          <w:highlight w:val="none"/>
          <w:u w:val="single"/>
        </w:rPr>
        <w:t xml:space="preserve">    </w:t>
      </w:r>
      <w:r>
        <w:rPr>
          <w:rFonts w:hint="eastAsia" w:ascii="宋体" w:hAnsi="宋体" w:cs="MingLiU"/>
          <w:b/>
          <w:color w:val="auto"/>
          <w:w w:val="99"/>
          <w:sz w:val="28"/>
          <w:szCs w:val="28"/>
          <w:highlight w:val="none"/>
        </w:rPr>
        <w:t>月</w:t>
      </w:r>
      <w:r>
        <w:rPr>
          <w:rFonts w:hint="eastAsia" w:ascii="宋体" w:hAnsi="宋体" w:cs="MingLiU"/>
          <w:b/>
          <w:color w:val="auto"/>
          <w:w w:val="99"/>
          <w:sz w:val="28"/>
          <w:szCs w:val="28"/>
          <w:highlight w:val="none"/>
          <w:u w:val="single"/>
        </w:rPr>
        <w:t xml:space="preserve">    </w:t>
      </w:r>
      <w:r>
        <w:rPr>
          <w:rFonts w:hint="eastAsia" w:ascii="宋体" w:hAnsi="宋体" w:cs="MingLiU"/>
          <w:b/>
          <w:color w:val="auto"/>
          <w:w w:val="99"/>
          <w:sz w:val="28"/>
          <w:szCs w:val="28"/>
          <w:highlight w:val="none"/>
        </w:rPr>
        <w:t>日</w:t>
      </w:r>
    </w:p>
    <w:p w14:paraId="3A3F74D9">
      <w:pPr>
        <w:autoSpaceDE w:val="0"/>
        <w:autoSpaceDN w:val="0"/>
        <w:adjustRightInd w:val="0"/>
        <w:snapToGrid w:val="0"/>
        <w:spacing w:line="400" w:lineRule="exact"/>
        <w:ind w:firstLine="480"/>
        <w:rPr>
          <w:rFonts w:ascii="宋体" w:hAnsi="宋体" w:cs="MingLiU"/>
          <w:color w:val="auto"/>
          <w:sz w:val="24"/>
          <w:szCs w:val="21"/>
          <w:highlight w:val="none"/>
        </w:rPr>
      </w:pPr>
      <w:r>
        <w:rPr>
          <w:rFonts w:hint="eastAsia" w:ascii="宋体" w:hAnsi="宋体" w:cs="MingLiU"/>
          <w:color w:val="auto"/>
          <w:sz w:val="24"/>
          <w:szCs w:val="21"/>
          <w:highlight w:val="none"/>
        </w:rPr>
        <w:br w:type="page"/>
      </w:r>
    </w:p>
    <w:p w14:paraId="03E39E7B">
      <w:pPr>
        <w:autoSpaceDE w:val="0"/>
        <w:autoSpaceDN w:val="0"/>
        <w:adjustRightInd w:val="0"/>
        <w:snapToGrid w:val="0"/>
        <w:spacing w:line="400" w:lineRule="exact"/>
        <w:ind w:firstLine="643"/>
        <w:jc w:val="center"/>
        <w:rPr>
          <w:rFonts w:ascii="宋体" w:hAnsi="宋体" w:cs="MingLiU"/>
          <w:b/>
          <w:color w:val="auto"/>
          <w:sz w:val="32"/>
          <w:szCs w:val="32"/>
          <w:highlight w:val="none"/>
        </w:rPr>
      </w:pPr>
    </w:p>
    <w:p w14:paraId="1F7341A9">
      <w:pPr>
        <w:autoSpaceDE w:val="0"/>
        <w:autoSpaceDN w:val="0"/>
        <w:adjustRightInd w:val="0"/>
        <w:snapToGrid w:val="0"/>
        <w:spacing w:line="400" w:lineRule="exact"/>
        <w:ind w:left="0" w:leftChars="0" w:firstLine="0" w:firstLineChars="0"/>
        <w:jc w:val="center"/>
        <w:rPr>
          <w:rFonts w:ascii="宋体" w:hAnsi="宋体" w:cs="MingLiU"/>
          <w:b/>
          <w:color w:val="auto"/>
          <w:sz w:val="32"/>
          <w:szCs w:val="32"/>
          <w:highlight w:val="none"/>
        </w:rPr>
      </w:pPr>
      <w:r>
        <w:rPr>
          <w:rFonts w:hint="eastAsia" w:ascii="宋体" w:hAnsi="宋体" w:cs="MingLiU"/>
          <w:b/>
          <w:color w:val="auto"/>
          <w:sz w:val="32"/>
          <w:szCs w:val="32"/>
          <w:highlight w:val="none"/>
        </w:rPr>
        <w:t>目</w:t>
      </w:r>
      <w:r>
        <w:rPr>
          <w:rFonts w:hint="eastAsia" w:ascii="宋体" w:hAnsi="宋体" w:cs="MingLiU"/>
          <w:b/>
          <w:color w:val="auto"/>
          <w:sz w:val="32"/>
          <w:szCs w:val="32"/>
          <w:highlight w:val="none"/>
          <w:lang w:val="en-US" w:eastAsia="zh-CN"/>
        </w:rPr>
        <w:t xml:space="preserve">   </w:t>
      </w:r>
      <w:r>
        <w:rPr>
          <w:rFonts w:hint="eastAsia" w:ascii="宋体" w:hAnsi="宋体" w:cs="MingLiU"/>
          <w:b/>
          <w:color w:val="auto"/>
          <w:sz w:val="32"/>
          <w:szCs w:val="32"/>
          <w:highlight w:val="none"/>
        </w:rPr>
        <w:t>录</w:t>
      </w:r>
    </w:p>
    <w:p w14:paraId="2B7FFC8F">
      <w:pPr>
        <w:autoSpaceDE w:val="0"/>
        <w:autoSpaceDN w:val="0"/>
        <w:adjustRightInd w:val="0"/>
        <w:snapToGrid w:val="0"/>
        <w:spacing w:line="400" w:lineRule="exact"/>
        <w:ind w:firstLine="420"/>
        <w:jc w:val="center"/>
        <w:rPr>
          <w:rFonts w:ascii="宋体" w:hAnsi="宋体"/>
          <w:color w:val="auto"/>
          <w:szCs w:val="21"/>
          <w:highlight w:val="none"/>
        </w:rPr>
      </w:pPr>
    </w:p>
    <w:p w14:paraId="411B92CC">
      <w:pPr>
        <w:autoSpaceDE w:val="0"/>
        <w:autoSpaceDN w:val="0"/>
        <w:adjustRightInd w:val="0"/>
        <w:snapToGrid w:val="0"/>
        <w:spacing w:line="400" w:lineRule="exact"/>
        <w:ind w:left="0" w:leftChars="0" w:firstLine="0" w:firstLineChars="0"/>
        <w:jc w:val="center"/>
        <w:rPr>
          <w:rFonts w:ascii="宋体" w:hAnsi="宋体" w:cs="MingLiU"/>
          <w:color w:val="auto"/>
          <w:w w:val="99"/>
          <w:sz w:val="28"/>
          <w:szCs w:val="28"/>
          <w:highlight w:val="none"/>
        </w:rPr>
      </w:pPr>
      <w:r>
        <w:rPr>
          <w:rFonts w:hint="eastAsia" w:ascii="宋体" w:hAnsi="宋体"/>
          <w:color w:val="auto"/>
          <w:szCs w:val="21"/>
          <w:highlight w:val="none"/>
        </w:rPr>
        <w:t>格式自拟</w:t>
      </w:r>
    </w:p>
    <w:p w14:paraId="1E8CA285">
      <w:pPr>
        <w:autoSpaceDE w:val="0"/>
        <w:autoSpaceDN w:val="0"/>
        <w:adjustRightInd w:val="0"/>
        <w:snapToGrid w:val="0"/>
        <w:spacing w:line="400" w:lineRule="exact"/>
        <w:ind w:firstLine="551"/>
        <w:jc w:val="both"/>
        <w:rPr>
          <w:rFonts w:ascii="宋体" w:hAnsi="宋体" w:cs="MingLiU"/>
          <w:color w:val="auto"/>
          <w:w w:val="99"/>
          <w:sz w:val="28"/>
          <w:szCs w:val="28"/>
          <w:highlight w:val="none"/>
        </w:rPr>
        <w:sectPr>
          <w:headerReference r:id="rId19" w:type="default"/>
          <w:footerReference r:id="rId20" w:type="default"/>
          <w:pgSz w:w="11906" w:h="16838"/>
          <w:pgMar w:top="1134" w:right="1134" w:bottom="1134" w:left="1134" w:header="851" w:footer="992" w:gutter="0"/>
          <w:cols w:space="720" w:num="1"/>
          <w:docGrid w:linePitch="312" w:charSpace="0"/>
        </w:sectPr>
      </w:pPr>
    </w:p>
    <w:p w14:paraId="211D6F43">
      <w:pPr>
        <w:pStyle w:val="4"/>
        <w:spacing w:before="156" w:beforeLines="50" w:after="156" w:afterLines="50" w:line="400" w:lineRule="exact"/>
        <w:ind w:left="0" w:leftChars="0" w:firstLine="0" w:firstLineChars="0"/>
        <w:jc w:val="center"/>
        <w:rPr>
          <w:rFonts w:ascii="宋体" w:hAnsi="宋体" w:eastAsia="宋体"/>
          <w:color w:val="auto"/>
          <w:sz w:val="28"/>
          <w:szCs w:val="24"/>
          <w:highlight w:val="none"/>
        </w:rPr>
      </w:pPr>
      <w:bookmarkStart w:id="980" w:name="_Toc29541"/>
      <w:bookmarkStart w:id="981" w:name="_Toc19297"/>
      <w:bookmarkStart w:id="982" w:name="_Toc14818"/>
      <w:r>
        <w:rPr>
          <w:rFonts w:hint="eastAsia" w:ascii="宋体" w:hAnsi="宋体" w:eastAsia="宋体"/>
          <w:color w:val="auto"/>
          <w:sz w:val="28"/>
          <w:szCs w:val="24"/>
          <w:highlight w:val="none"/>
        </w:rPr>
        <w:t>1、</w:t>
      </w:r>
      <w:r>
        <w:rPr>
          <w:rFonts w:ascii="宋体" w:hAnsi="宋体" w:eastAsia="宋体"/>
          <w:color w:val="auto"/>
          <w:sz w:val="28"/>
          <w:szCs w:val="24"/>
          <w:highlight w:val="none"/>
        </w:rPr>
        <w:t>投标函</w:t>
      </w:r>
      <w:bookmarkEnd w:id="980"/>
      <w:bookmarkEnd w:id="981"/>
      <w:bookmarkEnd w:id="982"/>
    </w:p>
    <w:p w14:paraId="64728EB6">
      <w:pPr>
        <w:ind w:left="0" w:leftChars="0" w:firstLine="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（招标人全称）</w:t>
      </w:r>
      <w:r>
        <w:rPr>
          <w:rFonts w:asciiTheme="minorEastAsia" w:hAnsiTheme="minorEastAsia" w:eastAsiaTheme="minorEastAsia"/>
          <w:color w:val="auto"/>
          <w:szCs w:val="21"/>
          <w:highlight w:val="none"/>
        </w:rPr>
        <w:t>：</w:t>
      </w:r>
    </w:p>
    <w:p w14:paraId="777C1249">
      <w:pPr>
        <w:ind w:firstLine="420"/>
        <w:rPr>
          <w:rFonts w:asciiTheme="minorEastAsia" w:hAnsiTheme="minorEastAsia" w:eastAsiaTheme="minorEastAsia"/>
          <w:color w:val="auto"/>
          <w:szCs w:val="21"/>
          <w:highlight w:val="none"/>
        </w:rPr>
      </w:pPr>
      <w:r>
        <w:rPr>
          <w:rFonts w:hint="eastAsia" w:ascii="宋体" w:hAnsi="宋体"/>
          <w:snapToGrid w:val="0"/>
          <w:color w:val="000000" w:themeColor="text1"/>
          <w:kern w:val="0"/>
          <w:szCs w:val="21"/>
          <w:lang w:val="en-US" w:eastAsia="zh-CN"/>
          <w14:textFill>
            <w14:solidFill>
              <w14:schemeClr w14:val="tx1"/>
            </w14:solidFill>
          </w14:textFill>
        </w:rPr>
        <w:t>1.</w:t>
      </w:r>
      <w:r>
        <w:rPr>
          <w:rFonts w:ascii="宋体" w:hAnsi="宋体"/>
          <w:snapToGrid w:val="0"/>
          <w:color w:val="000000" w:themeColor="text1"/>
          <w:kern w:val="0"/>
          <w:szCs w:val="21"/>
          <w14:textFill>
            <w14:solidFill>
              <w14:schemeClr w14:val="tx1"/>
            </w14:solidFill>
          </w14:textFill>
        </w:rPr>
        <w:t>我方已仔细研究了</w:t>
      </w:r>
      <w:r>
        <w:rPr>
          <w:rFonts w:ascii="宋体" w:hAnsi="宋体"/>
          <w:snapToGrid w:val="0"/>
          <w:color w:val="000000" w:themeColor="text1"/>
          <w:kern w:val="0"/>
          <w:szCs w:val="21"/>
          <w:u w:val="single"/>
          <w14:textFill>
            <w14:solidFill>
              <w14:schemeClr w14:val="tx1"/>
            </w14:solidFill>
          </w14:textFill>
        </w:rPr>
        <w:tab/>
      </w:r>
      <w:r>
        <w:rPr>
          <w:rFonts w:hint="eastAsia" w:ascii="宋体" w:hAnsi="宋体"/>
          <w:snapToGrid w:val="0"/>
          <w:color w:val="000000" w:themeColor="text1"/>
          <w:kern w:val="0"/>
          <w:szCs w:val="21"/>
          <w:u w:val="single"/>
          <w:lang w:val="en-US" w:eastAsia="zh-CN"/>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14:textFill>
            <w14:solidFill>
              <w14:schemeClr w14:val="tx1"/>
            </w14:solidFill>
          </w14:textFill>
        </w:rPr>
        <w:t>（项目名称</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招标文件的全部内容，</w:t>
      </w:r>
      <w:r>
        <w:rPr>
          <w:rFonts w:hint="eastAsia" w:ascii="宋体" w:hAnsi="宋体"/>
          <w:snapToGrid w:val="0"/>
          <w:color w:val="000000" w:themeColor="text1"/>
          <w:kern w:val="0"/>
          <w:szCs w:val="21"/>
          <w14:textFill>
            <w14:solidFill>
              <w14:schemeClr w14:val="tx1"/>
            </w14:solidFill>
          </w14:textFill>
        </w:rPr>
        <w:t>愿意以</w:t>
      </w:r>
      <w:r>
        <w:rPr>
          <w:rFonts w:hint="eastAsia" w:asciiTheme="minorEastAsia" w:hAnsiTheme="minorEastAsia" w:eastAsiaTheme="minorEastAsia" w:cstheme="minorEastAsia"/>
          <w:color w:val="auto"/>
          <w:kern w:val="0"/>
          <w:sz w:val="21"/>
          <w:szCs w:val="21"/>
          <w:highlight w:val="none"/>
          <w:lang w:val="en-US" w:eastAsia="zh-CN" w:bidi="ar"/>
        </w:rPr>
        <w:t>实物商品投标报价（含税、含邮）：折扣率</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auto"/>
          <w:kern w:val="0"/>
          <w:sz w:val="21"/>
          <w:szCs w:val="21"/>
          <w:highlight w:val="none"/>
          <w:lang w:val="en-US" w:eastAsia="zh-CN" w:bidi="ar"/>
        </w:rPr>
        <w:t>%；现金类虚拟商品投标报价（含税）：折扣率</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auto"/>
          <w:kern w:val="0"/>
          <w:sz w:val="21"/>
          <w:szCs w:val="21"/>
          <w:highlight w:val="none"/>
          <w:lang w:val="en-US" w:eastAsia="zh-CN" w:bidi="ar"/>
        </w:rPr>
        <w:t>%；非现金类虚拟商品投标报价（含税）：折扣率</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auto"/>
          <w:kern w:val="0"/>
          <w:sz w:val="21"/>
          <w:szCs w:val="21"/>
          <w:highlight w:val="none"/>
          <w:lang w:val="en-US" w:eastAsia="zh-CN" w:bidi="ar"/>
        </w:rPr>
        <w:t>%</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服务期</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r>
        <w:rPr>
          <w:rFonts w:ascii="宋体" w:hAnsi="宋体"/>
          <w:snapToGrid w:val="0"/>
          <w:color w:val="000000" w:themeColor="text1"/>
          <w:kern w:val="0"/>
          <w:szCs w:val="21"/>
          <w14:textFill>
            <w14:solidFill>
              <w14:schemeClr w14:val="tx1"/>
            </w14:solidFill>
          </w14:textFill>
        </w:rPr>
        <w:t>按合同约定完成</w:t>
      </w:r>
      <w:r>
        <w:rPr>
          <w:rFonts w:hint="eastAsia" w:ascii="宋体" w:hAnsi="宋体"/>
          <w:snapToGrid w:val="0"/>
          <w:color w:val="000000" w:themeColor="text1"/>
          <w:kern w:val="0"/>
          <w:szCs w:val="21"/>
          <w:lang w:val="en-US" w:eastAsia="zh-CN"/>
          <w14:textFill>
            <w14:solidFill>
              <w14:schemeClr w14:val="tx1"/>
            </w14:solidFill>
          </w14:textFill>
        </w:rPr>
        <w:t>本项目的</w:t>
      </w:r>
      <w:r>
        <w:rPr>
          <w:rFonts w:ascii="宋体" w:hAnsi="宋体"/>
          <w:snapToGrid w:val="0"/>
          <w:color w:val="000000" w:themeColor="text1"/>
          <w:kern w:val="0"/>
          <w:szCs w:val="21"/>
          <w14:textFill>
            <w14:solidFill>
              <w14:schemeClr w14:val="tx1"/>
            </w14:solidFill>
          </w14:textFill>
        </w:rPr>
        <w:t>工作</w:t>
      </w:r>
      <w:r>
        <w:rPr>
          <w:rFonts w:hint="eastAsia" w:ascii="宋体" w:hAnsi="宋体"/>
          <w:snapToGrid w:val="0"/>
          <w:color w:val="000000" w:themeColor="text1"/>
          <w:kern w:val="0"/>
          <w:szCs w:val="21"/>
          <w:lang w:eastAsia="zh-CN"/>
          <w14:textFill>
            <w14:solidFill>
              <w14:schemeClr w14:val="tx1"/>
            </w14:solidFill>
          </w14:textFill>
        </w:rPr>
        <w:t>。</w:t>
      </w:r>
    </w:p>
    <w:p w14:paraId="1BF2FFD1">
      <w:pPr>
        <w:spacing w:line="360" w:lineRule="auto"/>
        <w:ind w:firstLine="420" w:firstLineChars="200"/>
        <w:rPr>
          <w:rFonts w:hint="eastAsia" w:asciiTheme="minorEastAsia" w:hAnsiTheme="minorEastAsia" w:eastAsiaTheme="minorEastAsia"/>
          <w:szCs w:val="21"/>
        </w:rPr>
      </w:pPr>
      <w:bookmarkStart w:id="983" w:name="_Toc15447"/>
      <w:bookmarkStart w:id="984" w:name="_Toc29934"/>
      <w:bookmarkStart w:id="985" w:name="_Toc6786"/>
      <w:bookmarkStart w:id="986" w:name="_Toc2169"/>
      <w:r>
        <w:rPr>
          <w:rFonts w:hint="eastAsia" w:asciiTheme="minorEastAsia" w:hAnsiTheme="minorEastAsia" w:eastAsiaTheme="minorEastAsia"/>
          <w:szCs w:val="21"/>
        </w:rPr>
        <w:t>2</w:t>
      </w:r>
      <w:r>
        <w:rPr>
          <w:rFonts w:asciiTheme="minorEastAsia" w:hAnsiTheme="minorEastAsia" w:eastAsiaTheme="minorEastAsia"/>
          <w:szCs w:val="21"/>
        </w:rPr>
        <w:t>．我方承诺</w:t>
      </w:r>
      <w:r>
        <w:rPr>
          <w:rFonts w:hint="eastAsia" w:ascii="宋体" w:hAnsi="宋体"/>
          <w:snapToGrid w:val="0"/>
          <w:kern w:val="0"/>
          <w:szCs w:val="21"/>
        </w:rPr>
        <w:t>响应招标文件规定的投标有效期，</w:t>
      </w:r>
      <w:r>
        <w:rPr>
          <w:rFonts w:asciiTheme="minorEastAsia" w:hAnsiTheme="minorEastAsia" w:eastAsiaTheme="minorEastAsia"/>
          <w:szCs w:val="21"/>
        </w:rPr>
        <w:t>在投标有效期内不</w:t>
      </w:r>
      <w:r>
        <w:rPr>
          <w:rFonts w:hint="eastAsia" w:asciiTheme="minorEastAsia" w:hAnsiTheme="minorEastAsia" w:eastAsiaTheme="minorEastAsia"/>
          <w:szCs w:val="21"/>
        </w:rPr>
        <w:t>修改、</w:t>
      </w:r>
      <w:r>
        <w:rPr>
          <w:rFonts w:asciiTheme="minorEastAsia" w:hAnsiTheme="minorEastAsia" w:eastAsiaTheme="minorEastAsia"/>
          <w:szCs w:val="21"/>
        </w:rPr>
        <w:t>撤销投标文件。</w:t>
      </w:r>
    </w:p>
    <w:p w14:paraId="3B8332F0">
      <w:pPr>
        <w:spacing w:line="360" w:lineRule="auto"/>
        <w:ind w:firstLine="420" w:firstLineChars="200"/>
        <w:rPr>
          <w:rFonts w:hint="eastAsia" w:asciiTheme="minorEastAsia" w:hAnsiTheme="minorEastAsia" w:eastAsiaTheme="minorEastAsia"/>
          <w:szCs w:val="21"/>
        </w:rPr>
      </w:pPr>
      <w:r>
        <w:rPr>
          <w:rFonts w:hint="eastAsia" w:ascii="宋体" w:hAnsi="宋体"/>
          <w:snapToGrid w:val="0"/>
          <w:kern w:val="0"/>
          <w:szCs w:val="21"/>
        </w:rPr>
        <w:t>3.</w:t>
      </w:r>
      <w:r>
        <w:rPr>
          <w:rFonts w:ascii="宋体" w:hAnsi="宋体"/>
          <w:snapToGrid w:val="0"/>
          <w:kern w:val="0"/>
          <w:szCs w:val="21"/>
        </w:rPr>
        <w:t>随同本投标函提交投标保证金一份，金额为人民币（大写）</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ascii="宋体" w:hAnsi="宋体"/>
          <w:snapToGrid w:val="0"/>
          <w:kern w:val="0"/>
          <w:szCs w:val="21"/>
        </w:rPr>
        <w:t>。投标保证金</w:t>
      </w:r>
      <w:r>
        <w:rPr>
          <w:rFonts w:hint="eastAsia" w:ascii="宋体" w:hAnsi="宋体"/>
          <w:snapToGrid w:val="0"/>
          <w:kern w:val="0"/>
          <w:szCs w:val="21"/>
        </w:rPr>
        <w:t>有效期</w:t>
      </w:r>
      <w:r>
        <w:rPr>
          <w:rFonts w:ascii="宋体" w:hAnsi="宋体"/>
          <w:snapToGrid w:val="0"/>
          <w:kern w:val="0"/>
          <w:szCs w:val="21"/>
        </w:rPr>
        <w:t>与投标</w:t>
      </w:r>
      <w:r>
        <w:rPr>
          <w:rFonts w:hint="eastAsia" w:ascii="宋体" w:hAnsi="宋体"/>
          <w:snapToGrid w:val="0"/>
          <w:kern w:val="0"/>
          <w:szCs w:val="21"/>
        </w:rPr>
        <w:t>有效期</w:t>
      </w:r>
      <w:r>
        <w:rPr>
          <w:rFonts w:ascii="宋体" w:hAnsi="宋体"/>
          <w:snapToGrid w:val="0"/>
          <w:kern w:val="0"/>
          <w:szCs w:val="21"/>
        </w:rPr>
        <w:t>一致，在此期间，若我方违反招投标有关法律、法规及本招标文件的相关规定，投标保证金的受益人为招标人。</w:t>
      </w:r>
    </w:p>
    <w:p w14:paraId="7A26735A">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．如我方中标，我方承诺：</w:t>
      </w:r>
    </w:p>
    <w:p w14:paraId="3E300CFD">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（1）在收到中标通知书后，在中标通知书规定的期限内与你方签订合同；</w:t>
      </w:r>
    </w:p>
    <w:p w14:paraId="12A4E3B6">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（2）在签订合同时不向你方提出附加条件；</w:t>
      </w:r>
    </w:p>
    <w:p w14:paraId="233A4D53">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（3）按照招标文件要求提交履约保证金；</w:t>
      </w:r>
      <w:bookmarkStart w:id="987" w:name="_Toc352691658"/>
      <w:bookmarkStart w:id="988" w:name="_Toc1187"/>
      <w:bookmarkStart w:id="989" w:name="_Toc369531694"/>
    </w:p>
    <w:p w14:paraId="25BE708E">
      <w:pPr>
        <w:spacing w:line="360" w:lineRule="auto"/>
        <w:ind w:firstLine="420" w:firstLineChars="200"/>
        <w:rPr>
          <w:rFonts w:hint="eastAsia" w:asciiTheme="minorEastAsia" w:hAnsiTheme="minorEastAsia" w:eastAsiaTheme="minorEastAsia"/>
          <w:szCs w:val="21"/>
          <w:lang w:eastAsia="zh-CN"/>
        </w:rPr>
      </w:pPr>
      <w:r>
        <w:rPr>
          <w:rFonts w:asciiTheme="minorEastAsia" w:hAnsiTheme="minorEastAsia" w:eastAsiaTheme="minorEastAsia"/>
          <w:szCs w:val="21"/>
        </w:rPr>
        <w:t>（4）在合</w:t>
      </w:r>
      <w:bookmarkEnd w:id="987"/>
      <w:bookmarkEnd w:id="988"/>
      <w:bookmarkEnd w:id="989"/>
      <w:r>
        <w:rPr>
          <w:rFonts w:asciiTheme="minorEastAsia" w:hAnsiTheme="minorEastAsia" w:eastAsiaTheme="minorEastAsia"/>
          <w:szCs w:val="21"/>
        </w:rPr>
        <w:t>同约定的期限内完成合同规定的全部义务</w:t>
      </w:r>
      <w:r>
        <w:rPr>
          <w:rFonts w:hint="eastAsia" w:asciiTheme="minorEastAsia" w:hAnsiTheme="minorEastAsia" w:eastAsiaTheme="minorEastAsia"/>
          <w:szCs w:val="21"/>
          <w:lang w:eastAsia="zh-CN"/>
        </w:rPr>
        <w:t>；</w:t>
      </w:r>
    </w:p>
    <w:p w14:paraId="02CEFAF7">
      <w:pPr>
        <w:spacing w:line="360" w:lineRule="auto"/>
        <w:ind w:firstLine="420" w:firstLineChars="200"/>
        <w:rPr>
          <w:rFonts w:hint="eastAsia" w:asciiTheme="minorEastAsia" w:hAnsiTheme="minorEastAsia" w:eastAsiaTheme="minorEastAsia"/>
          <w:szCs w:val="21"/>
          <w:lang w:eastAsia="zh-CN"/>
        </w:rPr>
      </w:pPr>
      <w:r>
        <w:rPr>
          <w:rFonts w:asciiTheme="minorEastAsia" w:hAnsiTheme="minorEastAsia" w:eastAsiaTheme="minorEastAsia"/>
          <w:szCs w:val="21"/>
        </w:rPr>
        <w:t>（5）</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lang w:eastAsia="zh-CN"/>
        </w:rPr>
        <w:t>的投标文件符合第四章 合同条款及格式规定，投标文件中没有贵单位不能接受的条件；</w:t>
      </w:r>
    </w:p>
    <w:p w14:paraId="6A10BCCC">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asciiTheme="minorEastAsia" w:hAnsiTheme="minorEastAsia" w:eastAsiaTheme="minorEastAsia"/>
          <w:szCs w:val="21"/>
        </w:rPr>
        <w:t>我方承诺以不低于招标文件第</w:t>
      </w:r>
      <w:r>
        <w:rPr>
          <w:rFonts w:hint="eastAsia" w:asciiTheme="minorEastAsia" w:hAnsiTheme="minorEastAsia" w:eastAsiaTheme="minorEastAsia"/>
          <w:szCs w:val="21"/>
        </w:rPr>
        <w:t>五</w:t>
      </w:r>
      <w:r>
        <w:rPr>
          <w:rFonts w:asciiTheme="minorEastAsia" w:hAnsiTheme="minorEastAsia" w:eastAsiaTheme="minorEastAsia"/>
          <w:szCs w:val="21"/>
        </w:rPr>
        <w:t>章“</w:t>
      </w:r>
      <w:r>
        <w:rPr>
          <w:rFonts w:hint="eastAsia" w:asciiTheme="minorEastAsia" w:hAnsiTheme="minorEastAsia" w:eastAsiaTheme="minorEastAsia"/>
          <w:szCs w:val="21"/>
          <w:lang w:val="en-US" w:eastAsia="zh-CN"/>
        </w:rPr>
        <w:t>委托人</w:t>
      </w:r>
      <w:r>
        <w:rPr>
          <w:rFonts w:asciiTheme="minorEastAsia" w:hAnsiTheme="minorEastAsia" w:eastAsiaTheme="minorEastAsia"/>
          <w:szCs w:val="21"/>
        </w:rPr>
        <w:t>要求”中所列的要求完成全部合同</w:t>
      </w:r>
      <w:r>
        <w:rPr>
          <w:rFonts w:hint="eastAsia" w:asciiTheme="minorEastAsia" w:hAnsiTheme="minorEastAsia" w:eastAsiaTheme="minorEastAsia"/>
          <w:szCs w:val="21"/>
        </w:rPr>
        <w:t>工作</w:t>
      </w:r>
      <w:r>
        <w:rPr>
          <w:rFonts w:hint="eastAsia" w:asciiTheme="minorEastAsia" w:hAnsiTheme="minorEastAsia" w:eastAsiaTheme="minorEastAsia"/>
          <w:szCs w:val="21"/>
          <w:lang w:eastAsia="zh-CN"/>
        </w:rPr>
        <w:t>。</w:t>
      </w:r>
    </w:p>
    <w:p w14:paraId="4D30777A">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5．我方在此声明，所递交的投标文件及有关资料内容完整、真实和准确，且不存在第二章“投标人须知”第1.4.3项</w:t>
      </w:r>
      <w:r>
        <w:rPr>
          <w:rFonts w:hint="eastAsia" w:asciiTheme="minorEastAsia" w:hAnsiTheme="minorEastAsia" w:eastAsiaTheme="minorEastAsia"/>
          <w:szCs w:val="21"/>
        </w:rPr>
        <w:t>和第8.2款</w:t>
      </w:r>
      <w:r>
        <w:rPr>
          <w:rFonts w:asciiTheme="minorEastAsia" w:hAnsiTheme="minorEastAsia" w:eastAsiaTheme="minorEastAsia"/>
          <w:szCs w:val="21"/>
        </w:rPr>
        <w:t>规定的任何一种情形。</w:t>
      </w:r>
      <w:r>
        <w:rPr>
          <w:rFonts w:hint="eastAsia" w:asciiTheme="minorEastAsia" w:hAnsiTheme="minorEastAsia" w:eastAsiaTheme="minorEastAsia"/>
          <w:szCs w:val="21"/>
        </w:rPr>
        <w:t>同时我方承诺接受招标文件及附件、澄清及修改通知中所有的内容。</w:t>
      </w:r>
    </w:p>
    <w:p w14:paraId="0D1E5ACF">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u w:val="single"/>
        </w:rPr>
        <w:t>（其他补充说明）</w:t>
      </w:r>
      <w:r>
        <w:rPr>
          <w:rFonts w:asciiTheme="minorEastAsia" w:hAnsiTheme="minorEastAsia" w:eastAsiaTheme="minorEastAsia"/>
          <w:szCs w:val="21"/>
        </w:rPr>
        <w:t>。</w:t>
      </w:r>
    </w:p>
    <w:p w14:paraId="56202EE4">
      <w:pPr>
        <w:spacing w:line="360" w:lineRule="auto"/>
        <w:ind w:firstLine="420" w:firstLineChars="200"/>
        <w:rPr>
          <w:rFonts w:hint="eastAsia" w:asciiTheme="minorEastAsia" w:hAnsiTheme="minorEastAsia" w:eastAsiaTheme="minorEastAsia"/>
          <w:szCs w:val="21"/>
        </w:rPr>
      </w:pPr>
    </w:p>
    <w:p w14:paraId="529871B9">
      <w:pPr>
        <w:tabs>
          <w:tab w:val="left" w:pos="7140"/>
          <w:tab w:val="left" w:pos="7560"/>
          <w:tab w:val="left" w:pos="8300"/>
        </w:tabs>
        <w:autoSpaceDE w:val="0"/>
        <w:autoSpaceDN w:val="0"/>
        <w:adjustRightInd w:val="0"/>
        <w:spacing w:line="360" w:lineRule="auto"/>
        <w:ind w:firstLine="420" w:firstLineChars="200"/>
        <w:rPr>
          <w:rFonts w:hint="eastAsia" w:ascii="宋体" w:hAnsi="宋体"/>
          <w:snapToGrid w:val="0"/>
          <w:kern w:val="0"/>
          <w:szCs w:val="21"/>
        </w:rPr>
      </w:pPr>
      <w:bookmarkStart w:id="990" w:name="_Toc352691659"/>
      <w:bookmarkEnd w:id="990"/>
      <w:bookmarkStart w:id="991" w:name="_Toc369531696"/>
      <w:bookmarkEnd w:id="991"/>
      <w:bookmarkStart w:id="992" w:name="_Toc369531695"/>
      <w:bookmarkEnd w:id="992"/>
      <w:bookmarkStart w:id="993" w:name="_Toc16824"/>
      <w:bookmarkEnd w:id="993"/>
      <w:bookmarkStart w:id="994" w:name="_Toc352691660"/>
      <w:bookmarkEnd w:id="994"/>
      <w:bookmarkStart w:id="995" w:name="_Toc16568"/>
      <w:bookmarkEnd w:id="995"/>
      <w:r>
        <w:rPr>
          <w:rFonts w:ascii="宋体" w:hAnsi="宋体"/>
          <w:snapToGrid w:val="0"/>
          <w:kern w:val="0"/>
          <w:szCs w:val="21"/>
        </w:rPr>
        <w:t>投标人：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679D77DD">
      <w:pPr>
        <w:tabs>
          <w:tab w:val="left" w:pos="7140"/>
          <w:tab w:val="left" w:pos="7560"/>
          <w:tab w:val="left" w:pos="8300"/>
        </w:tabs>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3521B55">
      <w:pPr>
        <w:tabs>
          <w:tab w:val="left" w:pos="7035"/>
          <w:tab w:val="left" w:pos="7560"/>
          <w:tab w:val="left" w:pos="8300"/>
        </w:tabs>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47AB53D6">
      <w:pPr>
        <w:tabs>
          <w:tab w:val="left" w:pos="8300"/>
        </w:tabs>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4AC3120">
      <w:pPr>
        <w:tabs>
          <w:tab w:val="left" w:pos="8300"/>
        </w:tabs>
        <w:autoSpaceDE w:val="0"/>
        <w:autoSpaceDN w:val="0"/>
        <w:adjustRightIn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556BF27">
      <w:pPr>
        <w:tabs>
          <w:tab w:val="left" w:pos="8300"/>
        </w:tabs>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10D45BC">
      <w:pPr>
        <w:tabs>
          <w:tab w:val="left" w:pos="8300"/>
        </w:tabs>
        <w:autoSpaceDE w:val="0"/>
        <w:autoSpaceDN w:val="0"/>
        <w:adjustRightInd w:val="0"/>
        <w:spacing w:line="360" w:lineRule="auto"/>
        <w:ind w:firstLine="420" w:firstLineChars="200"/>
        <w:rPr>
          <w:rFonts w:hint="eastAsia"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CF85990">
      <w:pPr>
        <w:tabs>
          <w:tab w:val="left" w:pos="8300"/>
        </w:tabs>
        <w:autoSpaceDE w:val="0"/>
        <w:autoSpaceDN w:val="0"/>
        <w:adjustRightInd w:val="0"/>
        <w:spacing w:line="360" w:lineRule="auto"/>
        <w:ind w:firstLine="420" w:firstLineChars="200"/>
        <w:jc w:val="right"/>
        <w:rPr>
          <w:rFonts w:hint="eastAsia"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03E054B">
      <w:pPr>
        <w:pStyle w:val="9"/>
        <w:spacing w:before="312" w:beforeLines="100" w:after="312" w:afterLines="100" w:line="400" w:lineRule="exact"/>
        <w:ind w:firstLine="4560" w:firstLineChars="1900"/>
        <w:rPr>
          <w:rFonts w:ascii="宋体" w:hAnsi="宋体"/>
          <w:color w:val="auto"/>
          <w:sz w:val="24"/>
          <w:highlight w:val="none"/>
        </w:rPr>
      </w:pPr>
      <w:r>
        <w:rPr>
          <w:rFonts w:ascii="宋体" w:hAnsi="宋体"/>
          <w:b/>
          <w:color w:val="auto"/>
          <w:sz w:val="24"/>
          <w:highlight w:val="none"/>
        </w:rPr>
        <w:br w:type="page"/>
      </w:r>
    </w:p>
    <w:p w14:paraId="3CCA6553">
      <w:pPr>
        <w:pStyle w:val="5"/>
        <w:spacing w:before="0" w:after="0" w:line="360" w:lineRule="auto"/>
        <w:ind w:left="0" w:leftChars="0" w:firstLine="0" w:firstLineChars="0"/>
        <w:jc w:val="center"/>
        <w:rPr>
          <w:rFonts w:hint="eastAsia" w:asciiTheme="minorEastAsia" w:hAnsiTheme="minorEastAsia" w:eastAsiaTheme="minorEastAsia"/>
        </w:rPr>
      </w:pPr>
      <w:r>
        <w:rPr>
          <w:rFonts w:hint="eastAsia" w:ascii="宋体" w:hAnsi="宋体" w:eastAsia="宋体"/>
          <w:color w:val="auto"/>
          <w:sz w:val="28"/>
          <w:szCs w:val="24"/>
          <w:highlight w:val="none"/>
          <w:lang w:val="en-US" w:eastAsia="zh-CN"/>
        </w:rPr>
        <w:t>2</w:t>
      </w:r>
      <w:r>
        <w:rPr>
          <w:rFonts w:hint="eastAsia" w:ascii="宋体" w:hAnsi="宋体" w:eastAsia="宋体"/>
          <w:color w:val="auto"/>
          <w:sz w:val="28"/>
          <w:szCs w:val="24"/>
          <w:highlight w:val="none"/>
        </w:rPr>
        <w:t>、</w:t>
      </w:r>
      <w:bookmarkEnd w:id="983"/>
      <w:bookmarkEnd w:id="984"/>
      <w:bookmarkEnd w:id="985"/>
      <w:bookmarkEnd w:id="986"/>
      <w:r>
        <w:rPr>
          <w:rFonts w:hint="eastAsia" w:asciiTheme="minorEastAsia" w:hAnsiTheme="minorEastAsia" w:eastAsiaTheme="minorEastAsia"/>
          <w:b/>
          <w:bCs/>
        </w:rPr>
        <w:t>法定代表人身份证明或授权委托书</w:t>
      </w:r>
    </w:p>
    <w:p w14:paraId="5D560695">
      <w:pPr>
        <w:bidi w:val="0"/>
        <w:ind w:left="0" w:leftChars="0" w:firstLine="0" w:firstLineChars="0"/>
        <w:jc w:val="center"/>
        <w:rPr>
          <w:rFonts w:hint="eastAsia"/>
          <w:sz w:val="28"/>
          <w:szCs w:val="24"/>
        </w:rPr>
      </w:pPr>
      <w:bookmarkStart w:id="996" w:name="_Toc10632"/>
      <w:bookmarkStart w:id="997" w:name="_Toc24172"/>
      <w:bookmarkStart w:id="998" w:name="_Toc6235"/>
      <w:bookmarkStart w:id="999" w:name="_Toc14081"/>
      <w:bookmarkStart w:id="1000" w:name="_Toc30808"/>
      <w:bookmarkStart w:id="1001" w:name="_Toc361"/>
      <w:r>
        <w:rPr>
          <w:rFonts w:hint="eastAsia"/>
          <w:sz w:val="28"/>
          <w:szCs w:val="24"/>
        </w:rPr>
        <w:t>1.</w:t>
      </w:r>
      <w:r>
        <w:rPr>
          <w:sz w:val="28"/>
          <w:szCs w:val="24"/>
        </w:rPr>
        <w:t>法定代表人身份证明</w:t>
      </w:r>
      <w:bookmarkEnd w:id="996"/>
      <w:bookmarkEnd w:id="997"/>
      <w:bookmarkEnd w:id="998"/>
      <w:bookmarkEnd w:id="999"/>
      <w:bookmarkEnd w:id="1000"/>
      <w:bookmarkEnd w:id="1001"/>
    </w:p>
    <w:p w14:paraId="56550D74">
      <w:pPr>
        <w:tabs>
          <w:tab w:val="left" w:pos="5565"/>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86A82FA">
      <w:pPr>
        <w:tabs>
          <w:tab w:val="left" w:pos="5475"/>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941E882">
      <w:pPr>
        <w:tabs>
          <w:tab w:val="left" w:pos="5475"/>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A84BD1D">
      <w:pPr>
        <w:tabs>
          <w:tab w:val="left" w:pos="2520"/>
          <w:tab w:val="left" w:pos="3836"/>
        </w:tabs>
        <w:autoSpaceDE w:val="0"/>
        <w:autoSpaceDN w:val="0"/>
        <w:adjustRightInd w:val="0"/>
        <w:snapToGrid w:val="0"/>
        <w:spacing w:line="360" w:lineRule="auto"/>
        <w:ind w:firstLine="390" w:firstLineChars="186"/>
        <w:jc w:val="left"/>
        <w:rPr>
          <w:rFonts w:hint="eastAsia" w:ascii="宋体" w:hAnsi="宋体"/>
          <w:kern w:val="0"/>
          <w:sz w:val="10"/>
          <w:szCs w:val="10"/>
        </w:rPr>
      </w:pPr>
      <w:r>
        <w:rPr>
          <w:rFonts w:ascii="宋体" w:hAnsi="宋体"/>
          <w:kern w:val="0"/>
          <w:szCs w:val="21"/>
        </w:rPr>
        <w:t>成立时间：</w:t>
      </w: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4B20E5BC">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w w:val="200"/>
          <w:kern w:val="0"/>
          <w:szCs w:val="21"/>
          <w:u w:val="single"/>
        </w:rPr>
      </w:pPr>
      <w:r>
        <w:rPr>
          <w:rFonts w:ascii="宋体" w:hAnsi="宋体"/>
          <w:kern w:val="0"/>
          <w:szCs w:val="21"/>
        </w:rPr>
        <w:t>姓</w:t>
      </w:r>
      <w:r>
        <w:rPr>
          <w:rFonts w:hint="eastAsia" w:ascii="宋体" w:hAnsi="宋体"/>
          <w:kern w:val="0"/>
          <w:szCs w:val="21"/>
        </w:rPr>
        <w:t xml:space="preserve">    </w:t>
      </w:r>
      <w:r>
        <w:rPr>
          <w:rFonts w:ascii="宋体" w:hAnsi="宋体"/>
          <w:kern w:val="0"/>
          <w:szCs w:val="21"/>
        </w:rPr>
        <w:t>名：</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w w:val="200"/>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w w:val="200"/>
          <w:kern w:val="0"/>
          <w:szCs w:val="21"/>
          <w:u w:val="single"/>
        </w:rPr>
        <w:t xml:space="preserve">    </w:t>
      </w:r>
      <w:r>
        <w:rPr>
          <w:rFonts w:ascii="宋体" w:hAnsi="宋体"/>
          <w:kern w:val="0"/>
          <w:szCs w:val="21"/>
        </w:rPr>
        <w:t>职务：</w:t>
      </w:r>
      <w:r>
        <w:rPr>
          <w:rFonts w:hint="eastAsia" w:ascii="宋体" w:hAnsi="宋体"/>
          <w:w w:val="200"/>
          <w:kern w:val="0"/>
          <w:szCs w:val="21"/>
          <w:u w:val="single"/>
        </w:rPr>
        <w:t xml:space="preserve">    </w:t>
      </w:r>
    </w:p>
    <w:p w14:paraId="2BE6657C">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0C9FEED4">
      <w:pPr>
        <w:tabs>
          <w:tab w:val="left" w:pos="3360"/>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特此证明。</w:t>
      </w:r>
    </w:p>
    <w:p w14:paraId="526A523E">
      <w:pPr>
        <w:autoSpaceDE w:val="0"/>
        <w:autoSpaceDN w:val="0"/>
        <w:adjustRightInd w:val="0"/>
        <w:snapToGrid w:val="0"/>
        <w:spacing w:line="360" w:lineRule="auto"/>
        <w:ind w:firstLine="810" w:firstLineChars="386"/>
        <w:jc w:val="left"/>
        <w:rPr>
          <w:rFonts w:hint="eastAsia" w:ascii="宋体" w:hAnsi="宋体"/>
          <w:kern w:val="0"/>
          <w:szCs w:val="21"/>
        </w:rPr>
      </w:pPr>
      <w:r>
        <w:rPr>
          <w:rFonts w:hint="eastAsia" w:ascii="宋体" w:hAnsi="宋体"/>
          <w:kern w:val="0"/>
          <w:szCs w:val="21"/>
        </w:rPr>
        <w:t>附：法定代表人身份证明扫描件（双面）</w:t>
      </w:r>
    </w:p>
    <w:p w14:paraId="389041CD">
      <w:pPr>
        <w:autoSpaceDE w:val="0"/>
        <w:autoSpaceDN w:val="0"/>
        <w:adjustRightInd w:val="0"/>
        <w:snapToGrid w:val="0"/>
        <w:spacing w:line="360" w:lineRule="auto"/>
        <w:jc w:val="left"/>
        <w:rPr>
          <w:rFonts w:hint="eastAsia" w:ascii="宋体" w:hAnsi="宋体"/>
          <w:szCs w:val="21"/>
        </w:rPr>
      </w:pPr>
    </w:p>
    <w:p w14:paraId="44F6BF56">
      <w:pPr>
        <w:pStyle w:val="2"/>
        <w:spacing w:after="0" w:line="360" w:lineRule="auto"/>
        <w:rPr>
          <w:rFonts w:hint="eastAsia" w:ascii="宋体" w:hAnsi="宋体"/>
          <w:szCs w:val="21"/>
        </w:rPr>
      </w:pPr>
    </w:p>
    <w:p w14:paraId="7DE88486">
      <w:pPr>
        <w:pStyle w:val="2"/>
        <w:spacing w:after="0" w:line="360" w:lineRule="auto"/>
        <w:rPr>
          <w:rFonts w:hint="eastAsia" w:ascii="宋体" w:hAnsi="宋体"/>
          <w:szCs w:val="21"/>
        </w:rPr>
      </w:pPr>
    </w:p>
    <w:p w14:paraId="25610E5D">
      <w:pPr>
        <w:pStyle w:val="2"/>
        <w:spacing w:after="0" w:line="360" w:lineRule="auto"/>
        <w:rPr>
          <w:rFonts w:hint="eastAsia" w:ascii="宋体" w:hAnsi="宋体"/>
          <w:szCs w:val="21"/>
        </w:rPr>
      </w:pPr>
    </w:p>
    <w:p w14:paraId="30EDFAF0">
      <w:pPr>
        <w:pStyle w:val="2"/>
        <w:spacing w:after="0" w:line="360" w:lineRule="auto"/>
        <w:rPr>
          <w:rFonts w:hint="eastAsia" w:ascii="宋体" w:hAnsi="宋体"/>
          <w:szCs w:val="21"/>
        </w:rPr>
      </w:pPr>
    </w:p>
    <w:p w14:paraId="24488A8F">
      <w:pPr>
        <w:pStyle w:val="2"/>
        <w:spacing w:after="0" w:line="360" w:lineRule="auto"/>
        <w:rPr>
          <w:rFonts w:hint="eastAsia" w:ascii="宋体" w:hAnsi="宋体"/>
          <w:szCs w:val="21"/>
        </w:rPr>
      </w:pPr>
    </w:p>
    <w:p w14:paraId="788EDE1D">
      <w:pPr>
        <w:pStyle w:val="2"/>
        <w:spacing w:after="0" w:line="360" w:lineRule="auto"/>
        <w:rPr>
          <w:rFonts w:hint="eastAsia" w:ascii="宋体" w:hAnsi="宋体"/>
          <w:szCs w:val="21"/>
        </w:rPr>
      </w:pPr>
    </w:p>
    <w:p w14:paraId="321726B4">
      <w:pPr>
        <w:pStyle w:val="2"/>
        <w:spacing w:after="0" w:line="360" w:lineRule="auto"/>
        <w:rPr>
          <w:rFonts w:hint="eastAsia" w:ascii="宋体" w:hAnsi="宋体"/>
          <w:szCs w:val="21"/>
        </w:rPr>
      </w:pPr>
    </w:p>
    <w:p w14:paraId="4A0AA892">
      <w:pPr>
        <w:tabs>
          <w:tab w:val="left" w:pos="5460"/>
        </w:tabs>
        <w:autoSpaceDE w:val="0"/>
        <w:autoSpaceDN w:val="0"/>
        <w:adjustRightInd w:val="0"/>
        <w:snapToGrid w:val="0"/>
        <w:spacing w:line="360" w:lineRule="auto"/>
        <w:ind w:firstLine="2100"/>
        <w:jc w:val="right"/>
        <w:rPr>
          <w:rFonts w:hint="eastAsia" w:ascii="宋体" w:hAnsi="宋体"/>
          <w:kern w:val="0"/>
          <w:szCs w:val="21"/>
        </w:rPr>
      </w:pPr>
      <w:r>
        <w:rPr>
          <w:rFonts w:ascii="宋体" w:hAnsi="宋体"/>
          <w:snapToGrid w:val="0"/>
          <w:kern w:val="0"/>
          <w:szCs w:val="21"/>
        </w:rPr>
        <w:t>投标人：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0E5B2854">
      <w:pPr>
        <w:tabs>
          <w:tab w:val="left" w:pos="8300"/>
        </w:tabs>
        <w:autoSpaceDE w:val="0"/>
        <w:autoSpaceDN w:val="0"/>
        <w:adjustRightInd w:val="0"/>
        <w:spacing w:line="360" w:lineRule="auto"/>
        <w:ind w:firstLine="420" w:firstLineChars="200"/>
        <w:jc w:val="right"/>
        <w:rPr>
          <w:rFonts w:hint="eastAsia"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4A229480">
      <w:pPr>
        <w:pStyle w:val="2"/>
        <w:spacing w:line="360" w:lineRule="auto"/>
      </w:pPr>
    </w:p>
    <w:p w14:paraId="3D4D243F">
      <w:pPr>
        <w:spacing w:line="360" w:lineRule="auto"/>
        <w:ind w:firstLine="420" w:firstLineChars="200"/>
        <w:rPr>
          <w:rFonts w:hint="eastAsia" w:asciiTheme="minorEastAsia" w:hAnsiTheme="minorEastAsia" w:eastAsiaTheme="minorEastAsia"/>
          <w:sz w:val="20"/>
        </w:rPr>
      </w:pPr>
      <w:r>
        <w:rPr>
          <w:rFonts w:ascii="宋体" w:hAnsi="宋体"/>
        </w:rPr>
        <w:t>注：法定代表人身份证明需按上述格式填写完整，不可缺少内容。在此基础上增加内容的不影响其有效性。</w:t>
      </w:r>
    </w:p>
    <w:p w14:paraId="71E5D498">
      <w:pPr>
        <w:spacing w:line="440" w:lineRule="exact"/>
        <w:jc w:val="center"/>
        <w:rPr>
          <w:rFonts w:hint="eastAsia" w:asciiTheme="minorEastAsia" w:hAnsiTheme="minorEastAsia" w:eastAsiaTheme="minorEastAsia"/>
          <w:sz w:val="20"/>
        </w:rPr>
      </w:pPr>
      <w:r>
        <w:rPr>
          <w:rFonts w:asciiTheme="minorEastAsia" w:hAnsiTheme="minorEastAsia" w:eastAsiaTheme="minorEastAsia"/>
          <w:sz w:val="20"/>
        </w:rPr>
        <w:br w:type="page"/>
      </w:r>
    </w:p>
    <w:p w14:paraId="77298050">
      <w:pPr>
        <w:bidi w:val="0"/>
        <w:ind w:left="0" w:leftChars="0" w:firstLine="0" w:firstLineChars="0"/>
        <w:jc w:val="center"/>
        <w:rPr>
          <w:rFonts w:hint="eastAsia" w:ascii="Times New Roman" w:hAnsi="Times New Roman" w:cs="Times New Roman"/>
          <w:sz w:val="28"/>
          <w:szCs w:val="24"/>
        </w:rPr>
      </w:pPr>
      <w:bookmarkStart w:id="1002" w:name="_Toc19047"/>
      <w:bookmarkStart w:id="1003" w:name="_Toc2589"/>
      <w:bookmarkStart w:id="1004" w:name="_Toc492300724"/>
      <w:bookmarkStart w:id="1005" w:name="_Toc7630"/>
      <w:bookmarkStart w:id="1006" w:name="_Toc6449"/>
      <w:bookmarkStart w:id="1007" w:name="_Toc4159"/>
      <w:bookmarkStart w:id="1008" w:name="_Toc648"/>
      <w:r>
        <w:rPr>
          <w:rFonts w:hint="eastAsia" w:ascii="Times New Roman" w:hAnsi="Times New Roman" w:cs="Times New Roman"/>
          <w:sz w:val="28"/>
          <w:szCs w:val="24"/>
        </w:rPr>
        <w:t>2.授权委托书</w:t>
      </w:r>
      <w:bookmarkEnd w:id="1002"/>
      <w:bookmarkEnd w:id="1003"/>
      <w:bookmarkEnd w:id="1004"/>
      <w:bookmarkEnd w:id="1005"/>
      <w:bookmarkEnd w:id="1006"/>
      <w:bookmarkEnd w:id="1007"/>
      <w:bookmarkEnd w:id="1008"/>
    </w:p>
    <w:p w14:paraId="119EF563">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rPr>
        <w:t>代表我方</w:t>
      </w:r>
      <w:r>
        <w:rPr>
          <w:rFonts w:ascii="宋体" w:hAnsi="宋体"/>
          <w:kern w:val="0"/>
          <w:szCs w:val="21"/>
        </w:rPr>
        <w:t>签署、澄清、说明、补正、递交、撤回、修改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hint="eastAsia" w:ascii="宋体" w:hAnsi="宋体"/>
          <w:kern w:val="0"/>
          <w:szCs w:val="21"/>
        </w:rPr>
        <w:t>，</w:t>
      </w:r>
      <w:r>
        <w:rPr>
          <w:rFonts w:ascii="宋体" w:hAnsi="宋体"/>
          <w:kern w:val="0"/>
          <w:szCs w:val="21"/>
        </w:rPr>
        <w:t>其法律后果由我方承担。</w:t>
      </w:r>
    </w:p>
    <w:p w14:paraId="785829D9">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458685A6">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 w:val="20"/>
          <w:szCs w:val="20"/>
        </w:rPr>
      </w:pPr>
      <w:r>
        <w:rPr>
          <w:rFonts w:ascii="宋体" w:hAnsi="宋体"/>
          <w:kern w:val="0"/>
          <w:szCs w:val="21"/>
        </w:rPr>
        <w:t>代理人无转委托权。</w:t>
      </w:r>
    </w:p>
    <w:p w14:paraId="4210C05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snapToGrid w:val="0"/>
          <w:kern w:val="0"/>
          <w:szCs w:val="21"/>
        </w:rPr>
        <w:t>投标人：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3941AD18">
      <w:pPr>
        <w:tabs>
          <w:tab w:val="left" w:pos="630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BB66A6C">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AC78922">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3DF75A67">
      <w:pPr>
        <w:tabs>
          <w:tab w:val="left" w:pos="6825"/>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A4B20BC">
      <w:pPr>
        <w:tabs>
          <w:tab w:val="left" w:pos="6825"/>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58D6CAC8">
      <w:pPr>
        <w:tabs>
          <w:tab w:val="left" w:pos="6825"/>
        </w:tabs>
        <w:autoSpaceDE w:val="0"/>
        <w:autoSpaceDN w:val="0"/>
        <w:adjustRightInd w:val="0"/>
        <w:snapToGrid w:val="0"/>
        <w:spacing w:line="360" w:lineRule="auto"/>
        <w:ind w:firstLine="420" w:firstLineChars="200"/>
        <w:jc w:val="left"/>
        <w:rPr>
          <w:rFonts w:hint="eastAsia" w:ascii="宋体" w:hAnsi="宋体"/>
          <w:kern w:val="0"/>
          <w:sz w:val="20"/>
          <w:szCs w:val="20"/>
        </w:rPr>
      </w:pPr>
      <w:r>
        <w:rPr>
          <w:rFonts w:hint="eastAsia" w:ascii="宋体" w:hAnsi="宋体"/>
          <w:kern w:val="0"/>
          <w:szCs w:val="21"/>
        </w:rPr>
        <w:t>委托代理人电话（手机）：</w:t>
      </w:r>
      <w:r>
        <w:rPr>
          <w:rFonts w:hint="eastAsia" w:ascii="宋体" w:hAnsi="宋体"/>
          <w:kern w:val="0"/>
          <w:szCs w:val="21"/>
          <w:u w:val="single"/>
        </w:rPr>
        <w:t xml:space="preserve">                                          </w:t>
      </w:r>
    </w:p>
    <w:p w14:paraId="640F8C48">
      <w:pPr>
        <w:autoSpaceDE w:val="0"/>
        <w:autoSpaceDN w:val="0"/>
        <w:adjustRightInd w:val="0"/>
        <w:snapToGrid w:val="0"/>
        <w:spacing w:line="360" w:lineRule="auto"/>
        <w:jc w:val="left"/>
        <w:rPr>
          <w:rFonts w:hint="eastAsia" w:ascii="宋体" w:hAnsi="宋体"/>
          <w:kern w:val="0"/>
          <w:sz w:val="20"/>
          <w:szCs w:val="20"/>
        </w:rPr>
      </w:pPr>
    </w:p>
    <w:p w14:paraId="7D69D60B">
      <w:pPr>
        <w:autoSpaceDE w:val="0"/>
        <w:autoSpaceDN w:val="0"/>
        <w:adjustRightInd w:val="0"/>
        <w:snapToGrid w:val="0"/>
        <w:spacing w:line="360" w:lineRule="auto"/>
        <w:ind w:firstLine="810" w:firstLineChars="386"/>
        <w:jc w:val="left"/>
        <w:rPr>
          <w:rFonts w:hint="eastAsia" w:ascii="宋体" w:hAnsi="宋体"/>
          <w:kern w:val="0"/>
          <w:szCs w:val="21"/>
        </w:rPr>
      </w:pPr>
      <w:r>
        <w:rPr>
          <w:rFonts w:hint="eastAsia" w:ascii="宋体" w:hAnsi="宋体"/>
          <w:kern w:val="0"/>
          <w:szCs w:val="21"/>
        </w:rPr>
        <w:t>附：法定代表人和委托代理人身份证明扫描件（双面）</w:t>
      </w:r>
    </w:p>
    <w:p w14:paraId="6089D403">
      <w:pPr>
        <w:autoSpaceDE w:val="0"/>
        <w:autoSpaceDN w:val="0"/>
        <w:adjustRightInd w:val="0"/>
        <w:snapToGrid w:val="0"/>
        <w:spacing w:line="360" w:lineRule="auto"/>
        <w:jc w:val="left"/>
        <w:rPr>
          <w:rFonts w:hint="eastAsia" w:ascii="宋体" w:hAnsi="宋体"/>
          <w:szCs w:val="21"/>
        </w:rPr>
      </w:pPr>
    </w:p>
    <w:p w14:paraId="3972812A">
      <w:pPr>
        <w:pStyle w:val="2"/>
        <w:spacing w:after="0" w:line="360" w:lineRule="auto"/>
        <w:rPr>
          <w:rFonts w:hint="eastAsia" w:ascii="宋体" w:hAnsi="宋体"/>
          <w:szCs w:val="21"/>
        </w:rPr>
      </w:pPr>
    </w:p>
    <w:p w14:paraId="1FF5F87F">
      <w:pPr>
        <w:pStyle w:val="2"/>
        <w:spacing w:after="0" w:line="360" w:lineRule="auto"/>
        <w:rPr>
          <w:rFonts w:hint="eastAsia" w:ascii="宋体" w:hAnsi="宋体"/>
          <w:szCs w:val="21"/>
        </w:rPr>
      </w:pPr>
    </w:p>
    <w:p w14:paraId="0FFA007B">
      <w:pPr>
        <w:pStyle w:val="2"/>
        <w:spacing w:after="0" w:line="360" w:lineRule="auto"/>
        <w:rPr>
          <w:rFonts w:hint="eastAsia" w:ascii="宋体" w:hAnsi="宋体"/>
          <w:szCs w:val="21"/>
        </w:rPr>
      </w:pPr>
    </w:p>
    <w:p w14:paraId="03EB2439">
      <w:pPr>
        <w:pStyle w:val="2"/>
        <w:spacing w:after="0" w:line="360" w:lineRule="auto"/>
        <w:rPr>
          <w:rFonts w:hint="eastAsia" w:ascii="宋体" w:hAnsi="宋体"/>
          <w:szCs w:val="21"/>
        </w:rPr>
      </w:pPr>
    </w:p>
    <w:p w14:paraId="75D2C2C7">
      <w:pPr>
        <w:tabs>
          <w:tab w:val="left" w:pos="8300"/>
        </w:tabs>
        <w:autoSpaceDE w:val="0"/>
        <w:autoSpaceDN w:val="0"/>
        <w:adjustRightInd w:val="0"/>
        <w:spacing w:line="360" w:lineRule="auto"/>
        <w:ind w:firstLine="420" w:firstLineChars="200"/>
        <w:jc w:val="right"/>
        <w:rPr>
          <w:rFonts w:hint="eastAsia"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30A6B4DE">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rPr>
      </w:pPr>
    </w:p>
    <w:p w14:paraId="510DE0DA">
      <w:pPr>
        <w:tabs>
          <w:tab w:val="left" w:pos="5760"/>
        </w:tabs>
        <w:autoSpaceDE w:val="0"/>
        <w:autoSpaceDN w:val="0"/>
        <w:adjustRightInd w:val="0"/>
        <w:spacing w:line="360" w:lineRule="auto"/>
        <w:ind w:firstLine="420" w:firstLineChars="200"/>
        <w:jc w:val="left"/>
        <w:rPr>
          <w:rFonts w:hint="eastAsia" w:ascii="宋体" w:hAnsi="宋体"/>
          <w:kern w:val="0"/>
          <w:szCs w:val="21"/>
        </w:rPr>
      </w:pPr>
    </w:p>
    <w:p w14:paraId="458A4433">
      <w:pPr>
        <w:tabs>
          <w:tab w:val="left" w:pos="5760"/>
        </w:tabs>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注：</w:t>
      </w:r>
      <w:r>
        <w:rPr>
          <w:rFonts w:hint="eastAsia"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3567FABD">
      <w:pPr>
        <w:tabs>
          <w:tab w:val="left" w:pos="5760"/>
        </w:tabs>
        <w:autoSpaceDE w:val="0"/>
        <w:autoSpaceDN w:val="0"/>
        <w:adjustRightInd w:val="0"/>
        <w:spacing w:line="360" w:lineRule="auto"/>
        <w:ind w:firstLine="420" w:firstLineChars="200"/>
        <w:jc w:val="left"/>
        <w:rPr>
          <w:rFonts w:hint="eastAsia"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7939011A">
      <w:pPr>
        <w:widowControl/>
        <w:jc w:val="left"/>
      </w:pPr>
      <w:r>
        <w:br w:type="page"/>
      </w:r>
    </w:p>
    <w:p w14:paraId="20A38299">
      <w:pPr>
        <w:pStyle w:val="4"/>
        <w:spacing w:line="360" w:lineRule="auto"/>
        <w:ind w:left="0" w:leftChars="0" w:firstLine="0" w:firstLineChars="0"/>
        <w:jc w:val="center"/>
        <w:rPr>
          <w:color w:val="auto"/>
          <w:highlight w:val="none"/>
        </w:rPr>
      </w:pPr>
      <w:bookmarkStart w:id="1009" w:name="_Toc533418077"/>
      <w:bookmarkStart w:id="1010" w:name="_Toc505090269"/>
      <w:bookmarkStart w:id="1011" w:name="_Toc18514"/>
      <w:bookmarkStart w:id="1012" w:name="_Toc12241"/>
      <w:bookmarkStart w:id="1013" w:name="_Toc498"/>
      <w:bookmarkStart w:id="1014" w:name="_Toc16493"/>
      <w:r>
        <w:rPr>
          <w:rFonts w:hint="eastAsia"/>
          <w:color w:val="auto"/>
          <w:highlight w:val="none"/>
          <w:lang w:val="en-US" w:eastAsia="zh-CN"/>
        </w:rPr>
        <w:t>二</w:t>
      </w:r>
      <w:r>
        <w:rPr>
          <w:rFonts w:hint="eastAsia"/>
          <w:color w:val="auto"/>
          <w:highlight w:val="none"/>
        </w:rPr>
        <w:t>、资格审查</w:t>
      </w:r>
      <w:bookmarkEnd w:id="1009"/>
      <w:bookmarkEnd w:id="1010"/>
      <w:bookmarkEnd w:id="1011"/>
      <w:r>
        <w:rPr>
          <w:rFonts w:hint="eastAsia"/>
          <w:color w:val="auto"/>
          <w:highlight w:val="none"/>
        </w:rPr>
        <w:t>（含商务部分）</w:t>
      </w:r>
      <w:bookmarkEnd w:id="1012"/>
      <w:bookmarkEnd w:id="1013"/>
      <w:bookmarkEnd w:id="1014"/>
    </w:p>
    <w:p w14:paraId="15E6ED8A">
      <w:pPr>
        <w:ind w:firstLine="420"/>
        <w:rPr>
          <w:rFonts w:ascii="Arial" w:hAnsi="Arial" w:cs="Arial"/>
          <w:color w:val="auto"/>
          <w:sz w:val="24"/>
          <w:szCs w:val="24"/>
          <w:highlight w:val="none"/>
        </w:rPr>
      </w:pPr>
      <w:r>
        <w:rPr>
          <w:color w:val="auto"/>
          <w:highlight w:val="none"/>
        </w:rPr>
        <w:br w:type="page"/>
      </w:r>
    </w:p>
    <w:p w14:paraId="2861CD90">
      <w:pPr>
        <w:pStyle w:val="7"/>
        <w:ind w:firstLine="480"/>
        <w:rPr>
          <w:color w:val="auto"/>
          <w:highlight w:val="none"/>
        </w:rPr>
      </w:pPr>
    </w:p>
    <w:p w14:paraId="5ECDA835">
      <w:pPr>
        <w:tabs>
          <w:tab w:val="left" w:pos="3600"/>
          <w:tab w:val="left" w:pos="4480"/>
          <w:tab w:val="left" w:pos="5360"/>
        </w:tabs>
        <w:autoSpaceDE w:val="0"/>
        <w:autoSpaceDN w:val="0"/>
        <w:adjustRightInd w:val="0"/>
        <w:snapToGrid w:val="0"/>
        <w:spacing w:line="400" w:lineRule="exact"/>
        <w:ind w:firstLine="7478" w:firstLineChars="2671"/>
        <w:rPr>
          <w:rFonts w:ascii="宋体" w:hAnsi="宋体" w:cs="楷体"/>
          <w:b/>
          <w:color w:val="auto"/>
          <w:sz w:val="28"/>
          <w:highlight w:val="none"/>
          <w:u w:val="single"/>
        </w:rPr>
      </w:pPr>
    </w:p>
    <w:p w14:paraId="1C434C23">
      <w:pPr>
        <w:tabs>
          <w:tab w:val="left" w:pos="2580"/>
          <w:tab w:val="left" w:pos="5940"/>
        </w:tabs>
        <w:autoSpaceDE w:val="0"/>
        <w:autoSpaceDN w:val="0"/>
        <w:adjustRightInd w:val="0"/>
        <w:snapToGrid w:val="0"/>
        <w:spacing w:line="400" w:lineRule="exact"/>
        <w:ind w:left="0" w:leftChars="0" w:firstLine="0" w:firstLineChars="0"/>
        <w:jc w:val="center"/>
        <w:rPr>
          <w:rFonts w:ascii="宋体" w:hAnsi="宋体" w:cs="楷体"/>
          <w:color w:val="auto"/>
          <w:sz w:val="28"/>
          <w:highlight w:val="none"/>
          <w:u w:val="single"/>
        </w:rPr>
      </w:pPr>
      <w:r>
        <w:rPr>
          <w:rFonts w:hint="eastAsia" w:ascii="宋体" w:hAnsi="宋体" w:cs="楷体"/>
          <w:b/>
          <w:color w:val="auto"/>
          <w:sz w:val="28"/>
          <w:highlight w:val="none"/>
          <w:u w:val="single"/>
        </w:rPr>
        <w:t xml:space="preserve">                      （项目名称）</w:t>
      </w:r>
    </w:p>
    <w:p w14:paraId="76C3D766">
      <w:pPr>
        <w:tabs>
          <w:tab w:val="left" w:pos="2580"/>
          <w:tab w:val="left" w:pos="5940"/>
        </w:tabs>
        <w:autoSpaceDE w:val="0"/>
        <w:autoSpaceDN w:val="0"/>
        <w:adjustRightInd w:val="0"/>
        <w:snapToGrid w:val="0"/>
        <w:spacing w:line="400" w:lineRule="exact"/>
        <w:ind w:left="0" w:leftChars="0" w:firstLine="0" w:firstLineChars="0"/>
        <w:jc w:val="center"/>
        <w:rPr>
          <w:rFonts w:ascii="宋体" w:hAnsi="宋体" w:cs="楷体"/>
          <w:color w:val="auto"/>
          <w:sz w:val="28"/>
          <w:highlight w:val="none"/>
          <w:u w:val="single"/>
        </w:rPr>
      </w:pPr>
    </w:p>
    <w:p w14:paraId="6C492CE5">
      <w:pPr>
        <w:tabs>
          <w:tab w:val="left" w:pos="2580"/>
          <w:tab w:val="left" w:pos="5940"/>
        </w:tabs>
        <w:autoSpaceDE w:val="0"/>
        <w:autoSpaceDN w:val="0"/>
        <w:adjustRightInd w:val="0"/>
        <w:snapToGrid w:val="0"/>
        <w:spacing w:line="400" w:lineRule="exact"/>
        <w:ind w:left="0" w:leftChars="0" w:firstLine="0" w:firstLineChars="0"/>
        <w:jc w:val="center"/>
        <w:rPr>
          <w:rFonts w:ascii="宋体" w:hAnsi="宋体" w:cs="楷体"/>
          <w:color w:val="auto"/>
          <w:sz w:val="28"/>
          <w:highlight w:val="none"/>
          <w:u w:val="single"/>
        </w:rPr>
      </w:pPr>
    </w:p>
    <w:p w14:paraId="70FB3B2D">
      <w:pPr>
        <w:tabs>
          <w:tab w:val="left" w:pos="2580"/>
          <w:tab w:val="left" w:pos="5940"/>
        </w:tabs>
        <w:autoSpaceDE w:val="0"/>
        <w:autoSpaceDN w:val="0"/>
        <w:adjustRightInd w:val="0"/>
        <w:snapToGrid w:val="0"/>
        <w:spacing w:line="400" w:lineRule="exact"/>
        <w:ind w:left="0" w:leftChars="0" w:firstLine="0" w:firstLineChars="0"/>
        <w:jc w:val="center"/>
        <w:rPr>
          <w:rFonts w:ascii="宋体" w:hAnsi="宋体" w:cs="楷体"/>
          <w:color w:val="auto"/>
          <w:sz w:val="28"/>
          <w:highlight w:val="none"/>
          <w:u w:val="single"/>
        </w:rPr>
      </w:pPr>
    </w:p>
    <w:p w14:paraId="3F9AC003">
      <w:pPr>
        <w:tabs>
          <w:tab w:val="left" w:pos="2580"/>
          <w:tab w:val="left" w:pos="5940"/>
        </w:tabs>
        <w:autoSpaceDE w:val="0"/>
        <w:autoSpaceDN w:val="0"/>
        <w:adjustRightInd w:val="0"/>
        <w:snapToGrid w:val="0"/>
        <w:spacing w:line="400" w:lineRule="exact"/>
        <w:ind w:left="0" w:leftChars="0" w:firstLine="0" w:firstLineChars="0"/>
        <w:jc w:val="center"/>
        <w:rPr>
          <w:rFonts w:ascii="宋体" w:hAnsi="宋体" w:cs="楷体"/>
          <w:color w:val="auto"/>
          <w:sz w:val="28"/>
          <w:highlight w:val="none"/>
          <w:u w:val="single"/>
        </w:rPr>
      </w:pPr>
    </w:p>
    <w:p w14:paraId="22F33CD8">
      <w:pPr>
        <w:tabs>
          <w:tab w:val="left" w:pos="2580"/>
          <w:tab w:val="left" w:pos="5940"/>
        </w:tabs>
        <w:autoSpaceDE w:val="0"/>
        <w:autoSpaceDN w:val="0"/>
        <w:adjustRightInd w:val="0"/>
        <w:snapToGrid w:val="0"/>
        <w:spacing w:line="1200" w:lineRule="exact"/>
        <w:ind w:left="0" w:leftChars="0" w:firstLine="0" w:firstLineChars="0"/>
        <w:jc w:val="center"/>
        <w:rPr>
          <w:rFonts w:ascii="宋体" w:hAnsi="宋体" w:cs="楷体"/>
          <w:color w:val="auto"/>
          <w:sz w:val="28"/>
          <w:highlight w:val="none"/>
          <w:u w:val="single"/>
        </w:rPr>
      </w:pPr>
    </w:p>
    <w:p w14:paraId="0821011B">
      <w:pPr>
        <w:tabs>
          <w:tab w:val="left" w:pos="2580"/>
          <w:tab w:val="left" w:pos="5940"/>
        </w:tabs>
        <w:autoSpaceDE w:val="0"/>
        <w:autoSpaceDN w:val="0"/>
        <w:adjustRightInd w:val="0"/>
        <w:snapToGrid w:val="0"/>
        <w:spacing w:line="1200" w:lineRule="exact"/>
        <w:ind w:left="0" w:leftChars="0" w:firstLine="0" w:firstLineChars="0"/>
        <w:jc w:val="center"/>
        <w:rPr>
          <w:rFonts w:ascii="宋体" w:hAnsi="宋体" w:cs="楷体"/>
          <w:color w:val="auto"/>
          <w:sz w:val="28"/>
          <w:highlight w:val="none"/>
          <w:u w:val="single"/>
        </w:rPr>
      </w:pPr>
      <w:r>
        <w:rPr>
          <w:rFonts w:hint="eastAsia" w:ascii="宋体" w:hAnsi="宋体" w:cs="楷体"/>
          <w:b/>
          <w:color w:val="auto"/>
          <w:sz w:val="84"/>
          <w:highlight w:val="none"/>
        </w:rPr>
        <w:t>投  标  文  件</w:t>
      </w:r>
    </w:p>
    <w:p w14:paraId="36049F1C">
      <w:pPr>
        <w:autoSpaceDE w:val="0"/>
        <w:autoSpaceDN w:val="0"/>
        <w:adjustRightInd w:val="0"/>
        <w:snapToGrid w:val="0"/>
        <w:spacing w:line="1200" w:lineRule="exact"/>
        <w:ind w:left="0" w:leftChars="0" w:firstLine="0" w:firstLineChars="0"/>
        <w:rPr>
          <w:rFonts w:ascii="宋体" w:hAnsi="宋体" w:cs="楷体"/>
          <w:color w:val="auto"/>
          <w:sz w:val="16"/>
          <w:highlight w:val="none"/>
        </w:rPr>
      </w:pPr>
    </w:p>
    <w:p w14:paraId="1A7A17BD">
      <w:pPr>
        <w:autoSpaceDE w:val="0"/>
        <w:autoSpaceDN w:val="0"/>
        <w:adjustRightInd w:val="0"/>
        <w:snapToGrid w:val="0"/>
        <w:spacing w:line="400" w:lineRule="exact"/>
        <w:ind w:left="0" w:leftChars="0" w:firstLine="0" w:firstLineChars="0"/>
        <w:jc w:val="center"/>
        <w:rPr>
          <w:rFonts w:ascii="宋体" w:hAnsi="宋体" w:cs="楷体"/>
          <w:b/>
          <w:color w:val="auto"/>
          <w:sz w:val="36"/>
          <w:highlight w:val="none"/>
        </w:rPr>
      </w:pPr>
    </w:p>
    <w:p w14:paraId="0F3E42BB">
      <w:pPr>
        <w:autoSpaceDE w:val="0"/>
        <w:autoSpaceDN w:val="0"/>
        <w:adjustRightInd w:val="0"/>
        <w:snapToGrid w:val="0"/>
        <w:spacing w:line="400" w:lineRule="exact"/>
        <w:ind w:left="0" w:leftChars="0" w:firstLine="0" w:firstLineChars="0"/>
        <w:jc w:val="center"/>
        <w:rPr>
          <w:rFonts w:ascii="宋体" w:hAnsi="宋体" w:cs="楷体"/>
          <w:b/>
          <w:color w:val="auto"/>
          <w:sz w:val="36"/>
          <w:highlight w:val="none"/>
        </w:rPr>
      </w:pPr>
    </w:p>
    <w:p w14:paraId="10F68D10">
      <w:pPr>
        <w:autoSpaceDE w:val="0"/>
        <w:autoSpaceDN w:val="0"/>
        <w:adjustRightInd w:val="0"/>
        <w:snapToGrid w:val="0"/>
        <w:spacing w:line="400" w:lineRule="exact"/>
        <w:ind w:left="0" w:leftChars="0" w:firstLine="0" w:firstLineChars="0"/>
        <w:jc w:val="center"/>
        <w:rPr>
          <w:rFonts w:ascii="宋体" w:hAnsi="宋体" w:cs="楷体"/>
          <w:b/>
          <w:color w:val="auto"/>
          <w:sz w:val="36"/>
          <w:highlight w:val="none"/>
        </w:rPr>
      </w:pPr>
    </w:p>
    <w:p w14:paraId="2F055892">
      <w:pPr>
        <w:autoSpaceDE w:val="0"/>
        <w:autoSpaceDN w:val="0"/>
        <w:adjustRightInd w:val="0"/>
        <w:snapToGrid w:val="0"/>
        <w:spacing w:line="400" w:lineRule="exact"/>
        <w:ind w:left="0" w:leftChars="0" w:firstLine="0" w:firstLineChars="0"/>
        <w:jc w:val="center"/>
        <w:rPr>
          <w:rFonts w:ascii="宋体" w:hAnsi="宋体" w:cs="楷体"/>
          <w:color w:val="auto"/>
          <w:highlight w:val="none"/>
        </w:rPr>
      </w:pPr>
      <w:r>
        <w:rPr>
          <w:rFonts w:hint="eastAsia" w:ascii="宋体" w:hAnsi="宋体" w:cs="楷体"/>
          <w:b/>
          <w:color w:val="auto"/>
          <w:sz w:val="36"/>
          <w:highlight w:val="none"/>
        </w:rPr>
        <w:t>资格审查（含商务部分）</w:t>
      </w:r>
    </w:p>
    <w:p w14:paraId="7EEA8A7B">
      <w:pPr>
        <w:adjustRightInd w:val="0"/>
        <w:snapToGrid w:val="0"/>
        <w:spacing w:line="400" w:lineRule="exact"/>
        <w:ind w:left="0" w:leftChars="0" w:firstLine="0" w:firstLineChars="0"/>
        <w:rPr>
          <w:rFonts w:ascii="宋体" w:hAnsi="宋体" w:cs="楷体"/>
          <w:color w:val="auto"/>
          <w:highlight w:val="none"/>
        </w:rPr>
      </w:pPr>
    </w:p>
    <w:p w14:paraId="317375FA">
      <w:pPr>
        <w:autoSpaceDE w:val="0"/>
        <w:autoSpaceDN w:val="0"/>
        <w:adjustRightInd w:val="0"/>
        <w:snapToGrid w:val="0"/>
        <w:spacing w:line="400" w:lineRule="exact"/>
        <w:ind w:left="0" w:leftChars="0" w:firstLine="0" w:firstLineChars="0"/>
        <w:rPr>
          <w:rFonts w:ascii="宋体" w:hAnsi="宋体" w:cs="楷体"/>
          <w:color w:val="auto"/>
          <w:highlight w:val="none"/>
        </w:rPr>
      </w:pPr>
    </w:p>
    <w:p w14:paraId="5578A66D">
      <w:pPr>
        <w:autoSpaceDE w:val="0"/>
        <w:autoSpaceDN w:val="0"/>
        <w:adjustRightInd w:val="0"/>
        <w:snapToGrid w:val="0"/>
        <w:spacing w:line="400" w:lineRule="exact"/>
        <w:ind w:left="0" w:leftChars="0" w:firstLine="0" w:firstLineChars="0"/>
        <w:rPr>
          <w:rFonts w:ascii="宋体" w:hAnsi="宋体" w:cs="楷体"/>
          <w:color w:val="auto"/>
          <w:highlight w:val="none"/>
        </w:rPr>
      </w:pPr>
    </w:p>
    <w:p w14:paraId="30FCD54A">
      <w:pPr>
        <w:autoSpaceDE w:val="0"/>
        <w:autoSpaceDN w:val="0"/>
        <w:adjustRightInd w:val="0"/>
        <w:snapToGrid w:val="0"/>
        <w:spacing w:line="400" w:lineRule="exact"/>
        <w:ind w:left="0" w:leftChars="0" w:firstLine="0" w:firstLineChars="0"/>
        <w:rPr>
          <w:rFonts w:ascii="宋体" w:hAnsi="宋体" w:cs="楷体"/>
          <w:color w:val="auto"/>
          <w:highlight w:val="none"/>
        </w:rPr>
      </w:pPr>
    </w:p>
    <w:p w14:paraId="1541733B">
      <w:pPr>
        <w:autoSpaceDE w:val="0"/>
        <w:autoSpaceDN w:val="0"/>
        <w:adjustRightInd w:val="0"/>
        <w:snapToGrid w:val="0"/>
        <w:spacing w:line="400" w:lineRule="exact"/>
        <w:ind w:left="0" w:leftChars="0" w:firstLine="0" w:firstLineChars="0"/>
        <w:rPr>
          <w:rFonts w:ascii="宋体" w:hAnsi="宋体" w:cs="楷体"/>
          <w:color w:val="auto"/>
          <w:highlight w:val="none"/>
        </w:rPr>
      </w:pPr>
    </w:p>
    <w:p w14:paraId="140F8177">
      <w:pPr>
        <w:pStyle w:val="2"/>
        <w:ind w:left="0" w:leftChars="0" w:firstLine="0" w:firstLineChars="0"/>
        <w:rPr>
          <w:rFonts w:ascii="宋体" w:hAnsi="宋体" w:cs="楷体"/>
          <w:color w:val="auto"/>
          <w:highlight w:val="none"/>
        </w:rPr>
      </w:pPr>
    </w:p>
    <w:p w14:paraId="751315F1">
      <w:pPr>
        <w:ind w:left="0" w:leftChars="0" w:firstLine="0" w:firstLineChars="0"/>
        <w:rPr>
          <w:color w:val="auto"/>
          <w:highlight w:val="none"/>
        </w:rPr>
      </w:pPr>
    </w:p>
    <w:p w14:paraId="132DD256">
      <w:pPr>
        <w:autoSpaceDE w:val="0"/>
        <w:autoSpaceDN w:val="0"/>
        <w:adjustRightInd w:val="0"/>
        <w:snapToGrid w:val="0"/>
        <w:spacing w:line="400" w:lineRule="exact"/>
        <w:ind w:left="0" w:leftChars="0" w:firstLine="0" w:firstLineChars="0"/>
        <w:rPr>
          <w:rFonts w:ascii="宋体" w:hAnsi="宋体" w:cs="楷体"/>
          <w:color w:val="auto"/>
          <w:highlight w:val="none"/>
        </w:rPr>
      </w:pPr>
    </w:p>
    <w:p w14:paraId="017ED76B">
      <w:pPr>
        <w:tabs>
          <w:tab w:val="left" w:pos="6080"/>
          <w:tab w:val="left" w:pos="6640"/>
        </w:tabs>
        <w:autoSpaceDE w:val="0"/>
        <w:autoSpaceDN w:val="0"/>
        <w:adjustRightInd w:val="0"/>
        <w:snapToGrid w:val="0"/>
        <w:spacing w:line="500" w:lineRule="exact"/>
        <w:ind w:left="0" w:leftChars="0" w:firstLine="0" w:firstLineChars="0"/>
        <w:jc w:val="center"/>
        <w:rPr>
          <w:rFonts w:ascii="宋体" w:hAnsi="宋体" w:cs="楷体"/>
          <w:b/>
          <w:color w:val="auto"/>
          <w:sz w:val="28"/>
          <w:highlight w:val="none"/>
        </w:rPr>
      </w:pPr>
      <w:r>
        <w:rPr>
          <w:rFonts w:hint="eastAsia" w:ascii="宋体" w:hAnsi="宋体" w:cs="楷体"/>
          <w:b/>
          <w:color w:val="auto"/>
          <w:sz w:val="28"/>
          <w:highlight w:val="none"/>
        </w:rPr>
        <w:t>投</w:t>
      </w:r>
      <w:r>
        <w:rPr>
          <w:rFonts w:hint="eastAsia" w:ascii="宋体" w:hAnsi="宋体" w:cs="楷体"/>
          <w:b/>
          <w:color w:val="auto"/>
          <w:sz w:val="28"/>
          <w:highlight w:val="none"/>
          <w:lang w:val="en-US" w:eastAsia="zh-CN"/>
        </w:rPr>
        <w:t xml:space="preserve">  </w:t>
      </w:r>
      <w:r>
        <w:rPr>
          <w:rFonts w:hint="eastAsia" w:ascii="宋体" w:hAnsi="宋体" w:cs="楷体"/>
          <w:b/>
          <w:color w:val="auto"/>
          <w:sz w:val="28"/>
          <w:highlight w:val="none"/>
        </w:rPr>
        <w:t>标</w:t>
      </w:r>
      <w:r>
        <w:rPr>
          <w:rFonts w:hint="eastAsia" w:ascii="宋体" w:hAnsi="宋体" w:cs="楷体"/>
          <w:b/>
          <w:color w:val="auto"/>
          <w:sz w:val="28"/>
          <w:highlight w:val="none"/>
          <w:lang w:val="en-US" w:eastAsia="zh-CN"/>
        </w:rPr>
        <w:t xml:space="preserve">  </w:t>
      </w:r>
      <w:r>
        <w:rPr>
          <w:rFonts w:hint="eastAsia" w:ascii="宋体" w:hAnsi="宋体" w:cs="楷体"/>
          <w:b/>
          <w:color w:val="auto"/>
          <w:sz w:val="28"/>
          <w:highlight w:val="none"/>
        </w:rPr>
        <w:t>人</w:t>
      </w:r>
      <w:r>
        <w:rPr>
          <w:rFonts w:hint="eastAsia" w:ascii="宋体" w:hAnsi="宋体" w:cs="楷体"/>
          <w:b/>
          <w:color w:val="auto"/>
          <w:spacing w:val="1"/>
          <w:sz w:val="28"/>
          <w:highlight w:val="none"/>
        </w:rPr>
        <w:t>：</w:t>
      </w:r>
      <w:r>
        <w:rPr>
          <w:rFonts w:hint="eastAsia" w:ascii="宋体" w:hAnsi="宋体" w:cs="楷体"/>
          <w:b/>
          <w:color w:val="auto"/>
          <w:sz w:val="28"/>
          <w:highlight w:val="none"/>
          <w:u w:val="single"/>
        </w:rPr>
        <w:t xml:space="preserve"> 　　</w:t>
      </w:r>
      <w:r>
        <w:rPr>
          <w:rFonts w:hint="eastAsia" w:ascii="宋体" w:hAnsi="宋体" w:cs="楷体"/>
          <w:b/>
          <w:color w:val="auto"/>
          <w:sz w:val="28"/>
          <w:highlight w:val="none"/>
          <w:u w:val="single"/>
          <w:lang w:val="en-US" w:eastAsia="zh-CN"/>
        </w:rPr>
        <w:t xml:space="preserve">      </w:t>
      </w:r>
      <w:r>
        <w:rPr>
          <w:rFonts w:hint="eastAsia" w:ascii="宋体" w:hAnsi="宋体" w:cs="楷体"/>
          <w:b/>
          <w:color w:val="auto"/>
          <w:sz w:val="28"/>
          <w:highlight w:val="none"/>
          <w:u w:val="single"/>
        </w:rPr>
        <w:t>　　 　　</w:t>
      </w:r>
      <w:r>
        <w:rPr>
          <w:rFonts w:hint="eastAsia" w:ascii="宋体" w:hAnsi="宋体" w:cs="楷体"/>
          <w:b/>
          <w:color w:val="auto"/>
          <w:sz w:val="28"/>
          <w:highlight w:val="none"/>
        </w:rPr>
        <w:t>（盖单位法人章）</w:t>
      </w:r>
    </w:p>
    <w:p w14:paraId="52219F54">
      <w:pPr>
        <w:tabs>
          <w:tab w:val="left" w:pos="6080"/>
          <w:tab w:val="left" w:pos="6640"/>
        </w:tabs>
        <w:autoSpaceDE w:val="0"/>
        <w:autoSpaceDN w:val="0"/>
        <w:adjustRightInd w:val="0"/>
        <w:snapToGrid w:val="0"/>
        <w:spacing w:line="500" w:lineRule="exact"/>
        <w:ind w:left="0" w:leftChars="0" w:firstLine="0" w:firstLineChars="0"/>
        <w:jc w:val="center"/>
        <w:rPr>
          <w:rFonts w:ascii="宋体" w:hAnsi="宋体" w:cs="楷体"/>
          <w:b/>
          <w:color w:val="auto"/>
          <w:sz w:val="28"/>
          <w:highlight w:val="none"/>
        </w:rPr>
      </w:pPr>
      <w:r>
        <w:rPr>
          <w:rFonts w:hint="eastAsia" w:ascii="宋体" w:hAnsi="宋体" w:cs="楷体"/>
          <w:b/>
          <w:color w:val="auto"/>
          <w:sz w:val="28"/>
          <w:highlight w:val="none"/>
        </w:rPr>
        <w:t>法定代表人或其委托代理人：</w:t>
      </w:r>
      <w:r>
        <w:rPr>
          <w:rFonts w:hint="eastAsia" w:ascii="宋体" w:hAnsi="宋体" w:cs="楷体"/>
          <w:b/>
          <w:color w:val="auto"/>
          <w:sz w:val="28"/>
          <w:highlight w:val="none"/>
          <w:u w:val="single"/>
        </w:rPr>
        <w:t xml:space="preserve"> 　 　　</w:t>
      </w:r>
      <w:r>
        <w:rPr>
          <w:rFonts w:hint="eastAsia" w:ascii="宋体" w:hAnsi="宋体" w:cs="MingLiU"/>
          <w:b/>
          <w:color w:val="auto"/>
          <w:w w:val="99"/>
          <w:sz w:val="28"/>
          <w:szCs w:val="28"/>
          <w:highlight w:val="none"/>
        </w:rPr>
        <w:t>（签字或盖章）</w:t>
      </w:r>
    </w:p>
    <w:p w14:paraId="39120FBD">
      <w:pPr>
        <w:tabs>
          <w:tab w:val="left" w:pos="3280"/>
          <w:tab w:val="left" w:pos="4680"/>
          <w:tab w:val="left" w:pos="6080"/>
        </w:tabs>
        <w:autoSpaceDE w:val="0"/>
        <w:autoSpaceDN w:val="0"/>
        <w:adjustRightInd w:val="0"/>
        <w:snapToGrid w:val="0"/>
        <w:spacing w:line="500" w:lineRule="exact"/>
        <w:ind w:left="0" w:leftChars="0" w:firstLine="0" w:firstLineChars="0"/>
        <w:jc w:val="center"/>
        <w:rPr>
          <w:rFonts w:ascii="宋体" w:hAnsi="宋体" w:cs="楷体"/>
          <w:b/>
          <w:color w:val="auto"/>
          <w:sz w:val="28"/>
          <w:highlight w:val="none"/>
          <w:u w:val="single"/>
        </w:rPr>
      </w:pPr>
      <w:r>
        <w:rPr>
          <w:rFonts w:hint="eastAsia" w:ascii="宋体" w:hAnsi="宋体" w:cs="楷体"/>
          <w:b/>
          <w:color w:val="auto"/>
          <w:sz w:val="28"/>
          <w:highlight w:val="none"/>
          <w:u w:val="single"/>
        </w:rPr>
        <w:t xml:space="preserve">   </w:t>
      </w:r>
      <w:r>
        <w:rPr>
          <w:rFonts w:hint="eastAsia" w:ascii="宋体" w:hAnsi="宋体" w:cs="楷体"/>
          <w:b/>
          <w:color w:val="auto"/>
          <w:sz w:val="28"/>
          <w:highlight w:val="none"/>
        </w:rPr>
        <w:t>年</w:t>
      </w:r>
      <w:r>
        <w:rPr>
          <w:rFonts w:hint="eastAsia" w:ascii="宋体" w:hAnsi="宋体" w:cs="楷体"/>
          <w:b/>
          <w:color w:val="auto"/>
          <w:sz w:val="28"/>
          <w:highlight w:val="none"/>
          <w:u w:val="single"/>
        </w:rPr>
        <w:t xml:space="preserve">   </w:t>
      </w:r>
      <w:r>
        <w:rPr>
          <w:rFonts w:hint="eastAsia" w:ascii="宋体" w:hAnsi="宋体" w:cs="楷体"/>
          <w:b/>
          <w:color w:val="auto"/>
          <w:sz w:val="28"/>
          <w:highlight w:val="none"/>
        </w:rPr>
        <w:t>月</w:t>
      </w:r>
      <w:r>
        <w:rPr>
          <w:rFonts w:hint="eastAsia" w:ascii="宋体" w:hAnsi="宋体" w:cs="楷体"/>
          <w:b/>
          <w:color w:val="auto"/>
          <w:sz w:val="28"/>
          <w:highlight w:val="none"/>
          <w:u w:val="single"/>
        </w:rPr>
        <w:t xml:space="preserve">   </w:t>
      </w:r>
      <w:r>
        <w:rPr>
          <w:rFonts w:hint="eastAsia" w:ascii="宋体" w:hAnsi="宋体" w:cs="楷体"/>
          <w:b/>
          <w:color w:val="auto"/>
          <w:sz w:val="28"/>
          <w:highlight w:val="none"/>
        </w:rPr>
        <w:t>日</w:t>
      </w:r>
    </w:p>
    <w:p w14:paraId="57AC9606">
      <w:pPr>
        <w:spacing w:line="400" w:lineRule="exact"/>
        <w:ind w:firstLine="643"/>
        <w:rPr>
          <w:rFonts w:ascii="宋体" w:hAnsi="宋体" w:cs="楷体"/>
          <w:b/>
          <w:color w:val="auto"/>
          <w:sz w:val="32"/>
          <w:highlight w:val="none"/>
        </w:rPr>
      </w:pPr>
    </w:p>
    <w:p w14:paraId="27176CA0">
      <w:pPr>
        <w:spacing w:line="240" w:lineRule="auto"/>
        <w:ind w:firstLine="0" w:firstLineChars="0"/>
        <w:rPr>
          <w:rFonts w:ascii="宋体" w:hAnsi="宋体" w:cs="楷体"/>
          <w:b/>
          <w:bCs/>
          <w:color w:val="auto"/>
          <w:sz w:val="24"/>
          <w:highlight w:val="none"/>
        </w:rPr>
      </w:pPr>
      <w:r>
        <w:rPr>
          <w:rFonts w:ascii="宋体" w:hAnsi="宋体" w:cs="楷体"/>
          <w:b/>
          <w:bCs/>
          <w:color w:val="auto"/>
          <w:sz w:val="24"/>
          <w:highlight w:val="none"/>
        </w:rPr>
        <w:br w:type="page"/>
      </w:r>
    </w:p>
    <w:p w14:paraId="33590800">
      <w:pPr>
        <w:spacing w:line="400" w:lineRule="exact"/>
        <w:ind w:left="0" w:leftChars="0" w:firstLine="0" w:firstLineChars="0"/>
        <w:jc w:val="center"/>
        <w:rPr>
          <w:rFonts w:ascii="宋体" w:hAnsi="宋体" w:cs="楷体"/>
          <w:b/>
          <w:bCs/>
          <w:color w:val="auto"/>
          <w:sz w:val="28"/>
          <w:highlight w:val="none"/>
        </w:rPr>
      </w:pPr>
      <w:r>
        <w:rPr>
          <w:rFonts w:hint="eastAsia" w:ascii="宋体" w:hAnsi="宋体" w:cs="楷体"/>
          <w:b/>
          <w:bCs/>
          <w:color w:val="auto"/>
          <w:sz w:val="28"/>
          <w:highlight w:val="none"/>
        </w:rPr>
        <w:t>目    录</w:t>
      </w:r>
    </w:p>
    <w:p w14:paraId="3AF1ACD3">
      <w:pPr>
        <w:pStyle w:val="39"/>
        <w:tabs>
          <w:tab w:val="left" w:pos="525"/>
        </w:tabs>
        <w:spacing w:after="156" w:afterLines="50" w:line="400" w:lineRule="exact"/>
        <w:ind w:left="0" w:leftChars="0" w:firstLine="0" w:firstLineChars="0"/>
        <w:jc w:val="center"/>
        <w:rPr>
          <w:rFonts w:ascii="宋体" w:hAnsi="宋体"/>
          <w:bCs/>
          <w:color w:val="auto"/>
          <w:sz w:val="22"/>
          <w:highlight w:val="none"/>
        </w:rPr>
      </w:pPr>
      <w:bookmarkStart w:id="1015" w:name="_Toc505090276"/>
    </w:p>
    <w:p w14:paraId="7D3DAF27">
      <w:pPr>
        <w:pStyle w:val="39"/>
        <w:tabs>
          <w:tab w:val="left" w:pos="525"/>
        </w:tabs>
        <w:spacing w:after="156" w:afterLines="50"/>
        <w:ind w:left="0" w:leftChars="0" w:firstLine="0" w:firstLineChars="0"/>
        <w:jc w:val="center"/>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格式自拟</w:t>
      </w:r>
    </w:p>
    <w:p w14:paraId="0FA27DA9">
      <w:pPr>
        <w:spacing w:line="400" w:lineRule="exact"/>
        <w:ind w:left="0" w:leftChars="0" w:firstLine="0" w:firstLineChars="0"/>
        <w:rPr>
          <w:rFonts w:ascii="宋体" w:hAnsi="宋体" w:cs="宋体"/>
          <w:color w:val="auto"/>
          <w:szCs w:val="21"/>
          <w:highlight w:val="none"/>
        </w:rPr>
      </w:pPr>
    </w:p>
    <w:p w14:paraId="5F0A2D85">
      <w:pPr>
        <w:ind w:firstLine="562"/>
        <w:rPr>
          <w:rFonts w:ascii="宋体" w:hAnsi="宋体" w:cs="宋体"/>
          <w:b/>
          <w:bCs/>
          <w:color w:val="auto"/>
          <w:sz w:val="28"/>
          <w:szCs w:val="28"/>
          <w:highlight w:val="none"/>
          <w:lang w:bidi="ar"/>
        </w:rPr>
      </w:pPr>
    </w:p>
    <w:p w14:paraId="75C62878">
      <w:pPr>
        <w:ind w:firstLine="562"/>
        <w:rPr>
          <w:rFonts w:ascii="宋体" w:hAnsi="宋体" w:cs="宋体"/>
          <w:b/>
          <w:bCs/>
          <w:color w:val="auto"/>
          <w:sz w:val="28"/>
          <w:szCs w:val="28"/>
          <w:highlight w:val="none"/>
          <w:lang w:bidi="ar"/>
        </w:rPr>
      </w:pPr>
    </w:p>
    <w:p w14:paraId="316178EC">
      <w:pPr>
        <w:ind w:firstLine="562"/>
        <w:rPr>
          <w:rFonts w:ascii="宋体" w:hAnsi="宋体" w:cs="宋体"/>
          <w:b/>
          <w:bCs/>
          <w:color w:val="auto"/>
          <w:sz w:val="28"/>
          <w:szCs w:val="28"/>
          <w:highlight w:val="none"/>
          <w:lang w:bidi="ar"/>
        </w:rPr>
      </w:pPr>
    </w:p>
    <w:p w14:paraId="3CEE0DD4">
      <w:pPr>
        <w:ind w:firstLine="562"/>
        <w:rPr>
          <w:rFonts w:ascii="宋体" w:hAnsi="宋体" w:cs="宋体"/>
          <w:b/>
          <w:bCs/>
          <w:color w:val="auto"/>
          <w:sz w:val="28"/>
          <w:szCs w:val="28"/>
          <w:highlight w:val="none"/>
          <w:lang w:bidi="ar"/>
        </w:rPr>
      </w:pPr>
    </w:p>
    <w:p w14:paraId="01597B94">
      <w:pPr>
        <w:ind w:firstLine="562"/>
        <w:rPr>
          <w:rFonts w:ascii="宋体" w:hAnsi="宋体" w:cs="宋体"/>
          <w:b/>
          <w:bCs/>
          <w:color w:val="auto"/>
          <w:sz w:val="28"/>
          <w:szCs w:val="28"/>
          <w:highlight w:val="none"/>
          <w:lang w:bidi="ar"/>
        </w:rPr>
      </w:pPr>
    </w:p>
    <w:p w14:paraId="7928D1D1">
      <w:pPr>
        <w:ind w:firstLine="562"/>
        <w:rPr>
          <w:rFonts w:ascii="宋体" w:hAnsi="宋体" w:cs="宋体"/>
          <w:b/>
          <w:bCs/>
          <w:color w:val="auto"/>
          <w:sz w:val="28"/>
          <w:szCs w:val="28"/>
          <w:highlight w:val="none"/>
          <w:lang w:bidi="ar"/>
        </w:rPr>
      </w:pPr>
    </w:p>
    <w:p w14:paraId="6B53CF6E">
      <w:pPr>
        <w:ind w:firstLine="562"/>
        <w:rPr>
          <w:rFonts w:ascii="宋体" w:hAnsi="宋体" w:cs="宋体"/>
          <w:b/>
          <w:bCs/>
          <w:color w:val="auto"/>
          <w:sz w:val="28"/>
          <w:szCs w:val="28"/>
          <w:highlight w:val="none"/>
          <w:lang w:bidi="ar"/>
        </w:rPr>
      </w:pPr>
    </w:p>
    <w:p w14:paraId="0DE3E2FC">
      <w:pPr>
        <w:ind w:firstLine="562"/>
        <w:rPr>
          <w:rFonts w:ascii="宋体" w:hAnsi="宋体" w:cs="宋体"/>
          <w:b/>
          <w:bCs/>
          <w:color w:val="auto"/>
          <w:sz w:val="28"/>
          <w:szCs w:val="28"/>
          <w:highlight w:val="none"/>
          <w:lang w:bidi="ar"/>
        </w:rPr>
      </w:pPr>
    </w:p>
    <w:p w14:paraId="044AC012">
      <w:pPr>
        <w:ind w:firstLine="562"/>
        <w:rPr>
          <w:rFonts w:ascii="宋体" w:hAnsi="宋体" w:cs="宋体"/>
          <w:b/>
          <w:bCs/>
          <w:color w:val="auto"/>
          <w:sz w:val="28"/>
          <w:szCs w:val="28"/>
          <w:highlight w:val="none"/>
          <w:lang w:bidi="ar"/>
        </w:rPr>
      </w:pPr>
    </w:p>
    <w:p w14:paraId="22FFAA88">
      <w:pPr>
        <w:ind w:firstLine="562"/>
        <w:rPr>
          <w:rFonts w:ascii="宋体" w:hAnsi="宋体" w:cs="宋体"/>
          <w:b/>
          <w:bCs/>
          <w:color w:val="auto"/>
          <w:sz w:val="28"/>
          <w:szCs w:val="28"/>
          <w:highlight w:val="none"/>
          <w:lang w:bidi="ar"/>
        </w:rPr>
      </w:pPr>
    </w:p>
    <w:p w14:paraId="6985E06D">
      <w:pPr>
        <w:ind w:firstLine="562"/>
        <w:rPr>
          <w:rFonts w:ascii="宋体" w:hAnsi="宋体" w:cs="宋体"/>
          <w:b/>
          <w:bCs/>
          <w:color w:val="auto"/>
          <w:sz w:val="28"/>
          <w:szCs w:val="28"/>
          <w:highlight w:val="none"/>
          <w:lang w:bidi="ar"/>
        </w:rPr>
      </w:pPr>
    </w:p>
    <w:p w14:paraId="199B3CE6">
      <w:pPr>
        <w:ind w:firstLine="562"/>
        <w:rPr>
          <w:rFonts w:ascii="宋体" w:hAnsi="宋体" w:cs="宋体"/>
          <w:b/>
          <w:bCs/>
          <w:color w:val="auto"/>
          <w:sz w:val="28"/>
          <w:szCs w:val="28"/>
          <w:highlight w:val="none"/>
          <w:lang w:bidi="ar"/>
        </w:rPr>
      </w:pPr>
      <w:r>
        <w:rPr>
          <w:rFonts w:ascii="宋体" w:hAnsi="宋体" w:cs="宋体"/>
          <w:b/>
          <w:bCs/>
          <w:color w:val="auto"/>
          <w:sz w:val="28"/>
          <w:szCs w:val="28"/>
          <w:highlight w:val="none"/>
          <w:lang w:bidi="ar"/>
        </w:rPr>
        <w:br w:type="page"/>
      </w:r>
    </w:p>
    <w:p w14:paraId="3FDE7072">
      <w:pPr>
        <w:pStyle w:val="4"/>
        <w:spacing w:before="156" w:beforeLines="50" w:after="156" w:afterLines="50" w:line="400" w:lineRule="exact"/>
        <w:ind w:left="0" w:leftChars="0" w:firstLine="0" w:firstLineChars="0"/>
        <w:jc w:val="center"/>
        <w:rPr>
          <w:rFonts w:ascii="宋体" w:hAnsi="宋体" w:eastAsia="宋体"/>
          <w:color w:val="auto"/>
          <w:sz w:val="32"/>
          <w:szCs w:val="32"/>
          <w:highlight w:val="none"/>
        </w:rPr>
      </w:pPr>
      <w:r>
        <w:rPr>
          <w:rFonts w:hint="eastAsia" w:ascii="宋体" w:hAnsi="宋体" w:eastAsia="宋体"/>
          <w:color w:val="auto"/>
          <w:sz w:val="32"/>
          <w:szCs w:val="32"/>
          <w:highlight w:val="none"/>
        </w:rPr>
        <w:t>1</w:t>
      </w:r>
      <w:r>
        <w:rPr>
          <w:rFonts w:hint="eastAsia" w:ascii="宋体" w:hAnsi="宋体" w:eastAsia="宋体"/>
          <w:color w:val="auto"/>
          <w:sz w:val="32"/>
          <w:szCs w:val="32"/>
          <w:highlight w:val="none"/>
          <w:lang w:val="en-US" w:eastAsia="zh-CN"/>
        </w:rPr>
        <w:t>.</w:t>
      </w:r>
      <w:r>
        <w:rPr>
          <w:rFonts w:hint="eastAsia" w:asciiTheme="minorEastAsia" w:hAnsiTheme="minorEastAsia" w:eastAsiaTheme="minorEastAsia"/>
          <w:b/>
          <w:bCs/>
          <w:sz w:val="32"/>
          <w:szCs w:val="32"/>
        </w:rPr>
        <w:t>法定代表人身份证明或授权委托书</w:t>
      </w:r>
    </w:p>
    <w:p w14:paraId="1F7F3547">
      <w:pPr>
        <w:bidi w:val="0"/>
        <w:ind w:left="0" w:leftChars="0" w:firstLine="0" w:firstLineChars="0"/>
        <w:jc w:val="center"/>
        <w:rPr>
          <w:rFonts w:hint="eastAsia"/>
          <w:sz w:val="28"/>
          <w:szCs w:val="24"/>
        </w:rPr>
      </w:pPr>
      <w:r>
        <w:rPr>
          <w:rFonts w:hint="eastAsia"/>
          <w:sz w:val="28"/>
          <w:szCs w:val="24"/>
        </w:rPr>
        <w:t>1.</w:t>
      </w:r>
      <w:r>
        <w:rPr>
          <w:sz w:val="28"/>
          <w:szCs w:val="24"/>
        </w:rPr>
        <w:t>法定代表人身份证明</w:t>
      </w:r>
    </w:p>
    <w:p w14:paraId="7042DFEE">
      <w:pPr>
        <w:tabs>
          <w:tab w:val="left" w:pos="5565"/>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1F190A6">
      <w:pPr>
        <w:tabs>
          <w:tab w:val="left" w:pos="5475"/>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4806167">
      <w:pPr>
        <w:tabs>
          <w:tab w:val="left" w:pos="5475"/>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10F4062">
      <w:pPr>
        <w:tabs>
          <w:tab w:val="left" w:pos="2520"/>
          <w:tab w:val="left" w:pos="3836"/>
        </w:tabs>
        <w:autoSpaceDE w:val="0"/>
        <w:autoSpaceDN w:val="0"/>
        <w:adjustRightInd w:val="0"/>
        <w:snapToGrid w:val="0"/>
        <w:spacing w:line="360" w:lineRule="auto"/>
        <w:ind w:firstLine="390" w:firstLineChars="186"/>
        <w:jc w:val="left"/>
        <w:rPr>
          <w:rFonts w:hint="eastAsia" w:ascii="宋体" w:hAnsi="宋体"/>
          <w:kern w:val="0"/>
          <w:sz w:val="10"/>
          <w:szCs w:val="10"/>
        </w:rPr>
      </w:pPr>
      <w:r>
        <w:rPr>
          <w:rFonts w:ascii="宋体" w:hAnsi="宋体"/>
          <w:kern w:val="0"/>
          <w:szCs w:val="21"/>
        </w:rPr>
        <w:t>成立时间：</w:t>
      </w: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40C9734A">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w w:val="200"/>
          <w:kern w:val="0"/>
          <w:szCs w:val="21"/>
          <w:u w:val="single"/>
        </w:rPr>
      </w:pPr>
      <w:r>
        <w:rPr>
          <w:rFonts w:ascii="宋体" w:hAnsi="宋体"/>
          <w:kern w:val="0"/>
          <w:szCs w:val="21"/>
        </w:rPr>
        <w:t>姓</w:t>
      </w:r>
      <w:r>
        <w:rPr>
          <w:rFonts w:hint="eastAsia" w:ascii="宋体" w:hAnsi="宋体"/>
          <w:kern w:val="0"/>
          <w:szCs w:val="21"/>
        </w:rPr>
        <w:t xml:space="preserve">    </w:t>
      </w:r>
      <w:r>
        <w:rPr>
          <w:rFonts w:ascii="宋体" w:hAnsi="宋体"/>
          <w:kern w:val="0"/>
          <w:szCs w:val="21"/>
        </w:rPr>
        <w:t>名：</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w w:val="200"/>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w w:val="200"/>
          <w:kern w:val="0"/>
          <w:szCs w:val="21"/>
          <w:u w:val="single"/>
        </w:rPr>
        <w:t xml:space="preserve">    </w:t>
      </w:r>
      <w:r>
        <w:rPr>
          <w:rFonts w:ascii="宋体" w:hAnsi="宋体"/>
          <w:kern w:val="0"/>
          <w:szCs w:val="21"/>
        </w:rPr>
        <w:t>职务：</w:t>
      </w:r>
      <w:r>
        <w:rPr>
          <w:rFonts w:hint="eastAsia" w:ascii="宋体" w:hAnsi="宋体"/>
          <w:w w:val="200"/>
          <w:kern w:val="0"/>
          <w:szCs w:val="21"/>
          <w:u w:val="single"/>
        </w:rPr>
        <w:t xml:space="preserve">    </w:t>
      </w:r>
    </w:p>
    <w:p w14:paraId="154A3764">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61B09D9C">
      <w:pPr>
        <w:tabs>
          <w:tab w:val="left" w:pos="3360"/>
        </w:tabs>
        <w:autoSpaceDE w:val="0"/>
        <w:autoSpaceDN w:val="0"/>
        <w:adjustRightInd w:val="0"/>
        <w:snapToGrid w:val="0"/>
        <w:spacing w:line="360" w:lineRule="auto"/>
        <w:ind w:firstLine="390" w:firstLineChars="186"/>
        <w:jc w:val="left"/>
        <w:rPr>
          <w:rFonts w:hint="eastAsia" w:ascii="宋体" w:hAnsi="宋体"/>
          <w:kern w:val="0"/>
          <w:szCs w:val="21"/>
        </w:rPr>
      </w:pPr>
      <w:r>
        <w:rPr>
          <w:rFonts w:ascii="宋体" w:hAnsi="宋体"/>
          <w:kern w:val="0"/>
          <w:szCs w:val="21"/>
        </w:rPr>
        <w:t>特此证明。</w:t>
      </w:r>
    </w:p>
    <w:p w14:paraId="6C84CDA7">
      <w:pPr>
        <w:autoSpaceDE w:val="0"/>
        <w:autoSpaceDN w:val="0"/>
        <w:adjustRightInd w:val="0"/>
        <w:snapToGrid w:val="0"/>
        <w:spacing w:line="360" w:lineRule="auto"/>
        <w:ind w:firstLine="810" w:firstLineChars="386"/>
        <w:jc w:val="left"/>
        <w:rPr>
          <w:rFonts w:hint="eastAsia" w:ascii="宋体" w:hAnsi="宋体"/>
          <w:kern w:val="0"/>
          <w:szCs w:val="21"/>
        </w:rPr>
      </w:pPr>
      <w:r>
        <w:rPr>
          <w:rFonts w:hint="eastAsia" w:ascii="宋体" w:hAnsi="宋体"/>
          <w:kern w:val="0"/>
          <w:szCs w:val="21"/>
        </w:rPr>
        <w:t>附：法定代表人身份证明扫描件（双面）</w:t>
      </w:r>
    </w:p>
    <w:p w14:paraId="0C037BDC">
      <w:pPr>
        <w:autoSpaceDE w:val="0"/>
        <w:autoSpaceDN w:val="0"/>
        <w:adjustRightInd w:val="0"/>
        <w:snapToGrid w:val="0"/>
        <w:spacing w:line="360" w:lineRule="auto"/>
        <w:jc w:val="left"/>
        <w:rPr>
          <w:rFonts w:hint="eastAsia" w:ascii="宋体" w:hAnsi="宋体"/>
          <w:szCs w:val="21"/>
        </w:rPr>
      </w:pPr>
    </w:p>
    <w:p w14:paraId="382FD622">
      <w:pPr>
        <w:pStyle w:val="2"/>
        <w:spacing w:after="0" w:line="360" w:lineRule="auto"/>
        <w:rPr>
          <w:rFonts w:hint="eastAsia" w:ascii="宋体" w:hAnsi="宋体"/>
          <w:szCs w:val="21"/>
        </w:rPr>
      </w:pPr>
    </w:p>
    <w:p w14:paraId="3ECBAFC9">
      <w:pPr>
        <w:pStyle w:val="2"/>
        <w:spacing w:after="0" w:line="360" w:lineRule="auto"/>
        <w:rPr>
          <w:rFonts w:hint="eastAsia" w:ascii="宋体" w:hAnsi="宋体"/>
          <w:szCs w:val="21"/>
        </w:rPr>
      </w:pPr>
    </w:p>
    <w:p w14:paraId="2C751B0B">
      <w:pPr>
        <w:pStyle w:val="2"/>
        <w:spacing w:after="0" w:line="360" w:lineRule="auto"/>
        <w:rPr>
          <w:rFonts w:hint="eastAsia" w:ascii="宋体" w:hAnsi="宋体"/>
          <w:szCs w:val="21"/>
        </w:rPr>
      </w:pPr>
    </w:p>
    <w:p w14:paraId="71C0350A">
      <w:pPr>
        <w:pStyle w:val="2"/>
        <w:spacing w:after="0" w:line="360" w:lineRule="auto"/>
        <w:rPr>
          <w:rFonts w:hint="eastAsia" w:ascii="宋体" w:hAnsi="宋体"/>
          <w:szCs w:val="21"/>
        </w:rPr>
      </w:pPr>
    </w:p>
    <w:p w14:paraId="68D090CB">
      <w:pPr>
        <w:pStyle w:val="2"/>
        <w:spacing w:after="0" w:line="360" w:lineRule="auto"/>
        <w:rPr>
          <w:rFonts w:hint="eastAsia" w:ascii="宋体" w:hAnsi="宋体"/>
          <w:szCs w:val="21"/>
        </w:rPr>
      </w:pPr>
    </w:p>
    <w:p w14:paraId="1D4AABB6">
      <w:pPr>
        <w:pStyle w:val="2"/>
        <w:spacing w:after="0" w:line="360" w:lineRule="auto"/>
        <w:rPr>
          <w:rFonts w:hint="eastAsia" w:ascii="宋体" w:hAnsi="宋体"/>
          <w:szCs w:val="21"/>
        </w:rPr>
      </w:pPr>
    </w:p>
    <w:p w14:paraId="6AD95623">
      <w:pPr>
        <w:pStyle w:val="2"/>
        <w:spacing w:after="0" w:line="360" w:lineRule="auto"/>
        <w:rPr>
          <w:rFonts w:hint="eastAsia" w:ascii="宋体" w:hAnsi="宋体"/>
          <w:szCs w:val="21"/>
        </w:rPr>
      </w:pPr>
    </w:p>
    <w:p w14:paraId="11CC57E6">
      <w:pPr>
        <w:tabs>
          <w:tab w:val="left" w:pos="5460"/>
        </w:tabs>
        <w:autoSpaceDE w:val="0"/>
        <w:autoSpaceDN w:val="0"/>
        <w:adjustRightInd w:val="0"/>
        <w:snapToGrid w:val="0"/>
        <w:spacing w:line="360" w:lineRule="auto"/>
        <w:ind w:firstLine="2100"/>
        <w:jc w:val="right"/>
        <w:rPr>
          <w:rFonts w:hint="eastAsia" w:ascii="宋体" w:hAnsi="宋体"/>
          <w:kern w:val="0"/>
          <w:szCs w:val="21"/>
        </w:rPr>
      </w:pPr>
      <w:r>
        <w:rPr>
          <w:rFonts w:ascii="宋体" w:hAnsi="宋体"/>
          <w:snapToGrid w:val="0"/>
          <w:kern w:val="0"/>
          <w:szCs w:val="21"/>
        </w:rPr>
        <w:t>投标人：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7ED432ED">
      <w:pPr>
        <w:tabs>
          <w:tab w:val="left" w:pos="8300"/>
        </w:tabs>
        <w:autoSpaceDE w:val="0"/>
        <w:autoSpaceDN w:val="0"/>
        <w:adjustRightInd w:val="0"/>
        <w:spacing w:line="360" w:lineRule="auto"/>
        <w:ind w:firstLine="420" w:firstLineChars="200"/>
        <w:jc w:val="right"/>
        <w:rPr>
          <w:rFonts w:hint="eastAsia"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37E132EF">
      <w:pPr>
        <w:pStyle w:val="2"/>
        <w:spacing w:line="360" w:lineRule="auto"/>
      </w:pPr>
    </w:p>
    <w:p w14:paraId="23FA4013">
      <w:pPr>
        <w:spacing w:line="360" w:lineRule="auto"/>
        <w:ind w:firstLine="420" w:firstLineChars="200"/>
        <w:rPr>
          <w:rFonts w:hint="eastAsia" w:asciiTheme="minorEastAsia" w:hAnsiTheme="minorEastAsia" w:eastAsiaTheme="minorEastAsia"/>
          <w:sz w:val="20"/>
        </w:rPr>
      </w:pPr>
      <w:r>
        <w:rPr>
          <w:rFonts w:ascii="宋体" w:hAnsi="宋体"/>
        </w:rPr>
        <w:t>注：法定代表人身份证明需按上述格式填写完整，不可缺少内容。在此基础上增加内容的不影响其有效性。</w:t>
      </w:r>
    </w:p>
    <w:p w14:paraId="51556B92">
      <w:pPr>
        <w:spacing w:line="440" w:lineRule="exact"/>
        <w:jc w:val="center"/>
        <w:rPr>
          <w:rFonts w:hint="eastAsia" w:asciiTheme="minorEastAsia" w:hAnsiTheme="minorEastAsia" w:eastAsiaTheme="minorEastAsia"/>
          <w:sz w:val="20"/>
        </w:rPr>
      </w:pPr>
      <w:r>
        <w:rPr>
          <w:rFonts w:asciiTheme="minorEastAsia" w:hAnsiTheme="minorEastAsia" w:eastAsiaTheme="minorEastAsia"/>
          <w:sz w:val="20"/>
        </w:rPr>
        <w:br w:type="page"/>
      </w:r>
    </w:p>
    <w:p w14:paraId="58D08C33">
      <w:pPr>
        <w:bidi w:val="0"/>
        <w:ind w:left="0" w:leftChars="0" w:firstLine="0" w:firstLineChars="0"/>
        <w:jc w:val="center"/>
        <w:rPr>
          <w:rFonts w:hint="eastAsia" w:ascii="Times New Roman" w:hAnsi="Times New Roman" w:cs="Times New Roman"/>
          <w:sz w:val="28"/>
          <w:szCs w:val="24"/>
        </w:rPr>
      </w:pPr>
      <w:r>
        <w:rPr>
          <w:rFonts w:hint="eastAsia" w:ascii="Times New Roman" w:hAnsi="Times New Roman" w:cs="Times New Roman"/>
          <w:sz w:val="28"/>
          <w:szCs w:val="24"/>
        </w:rPr>
        <w:t>2.授权委托书</w:t>
      </w:r>
    </w:p>
    <w:p w14:paraId="4200EE5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rPr>
        <w:t>代表我方</w:t>
      </w:r>
      <w:r>
        <w:rPr>
          <w:rFonts w:ascii="宋体" w:hAnsi="宋体"/>
          <w:kern w:val="0"/>
          <w:szCs w:val="21"/>
        </w:rPr>
        <w:t>签署、澄清、说明、补正、递交、撤回、修改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hint="eastAsia" w:ascii="宋体" w:hAnsi="宋体"/>
          <w:kern w:val="0"/>
          <w:szCs w:val="21"/>
        </w:rPr>
        <w:t>，</w:t>
      </w:r>
      <w:r>
        <w:rPr>
          <w:rFonts w:ascii="宋体" w:hAnsi="宋体"/>
          <w:kern w:val="0"/>
          <w:szCs w:val="21"/>
        </w:rPr>
        <w:t>其法律后果由我方承担。</w:t>
      </w:r>
    </w:p>
    <w:p w14:paraId="7E0549B7">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5C1F3032">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 w:val="20"/>
          <w:szCs w:val="20"/>
        </w:rPr>
      </w:pPr>
      <w:r>
        <w:rPr>
          <w:rFonts w:ascii="宋体" w:hAnsi="宋体"/>
          <w:kern w:val="0"/>
          <w:szCs w:val="21"/>
        </w:rPr>
        <w:t>代理人无转委托权。</w:t>
      </w:r>
    </w:p>
    <w:p w14:paraId="3249F7BD">
      <w:pPr>
        <w:tabs>
          <w:tab w:val="left" w:pos="4200"/>
          <w:tab w:val="left" w:pos="462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snapToGrid w:val="0"/>
          <w:kern w:val="0"/>
          <w:szCs w:val="21"/>
        </w:rPr>
        <w:t>投标人：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19534CAE">
      <w:pPr>
        <w:tabs>
          <w:tab w:val="left" w:pos="630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28FAA10">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4F615C9">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03D5DA6C">
      <w:pPr>
        <w:tabs>
          <w:tab w:val="left" w:pos="6825"/>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BB104A0">
      <w:pPr>
        <w:tabs>
          <w:tab w:val="left" w:pos="6825"/>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C0E359F">
      <w:pPr>
        <w:tabs>
          <w:tab w:val="left" w:pos="6825"/>
        </w:tabs>
        <w:autoSpaceDE w:val="0"/>
        <w:autoSpaceDN w:val="0"/>
        <w:adjustRightInd w:val="0"/>
        <w:snapToGrid w:val="0"/>
        <w:spacing w:line="360" w:lineRule="auto"/>
        <w:ind w:firstLine="420" w:firstLineChars="200"/>
        <w:jc w:val="left"/>
        <w:rPr>
          <w:rFonts w:hint="eastAsia" w:ascii="宋体" w:hAnsi="宋体"/>
          <w:kern w:val="0"/>
          <w:sz w:val="20"/>
          <w:szCs w:val="20"/>
        </w:rPr>
      </w:pPr>
      <w:r>
        <w:rPr>
          <w:rFonts w:hint="eastAsia" w:ascii="宋体" w:hAnsi="宋体"/>
          <w:kern w:val="0"/>
          <w:szCs w:val="21"/>
        </w:rPr>
        <w:t>委托代理人电话（手机）：</w:t>
      </w:r>
      <w:r>
        <w:rPr>
          <w:rFonts w:hint="eastAsia" w:ascii="宋体" w:hAnsi="宋体"/>
          <w:kern w:val="0"/>
          <w:szCs w:val="21"/>
          <w:u w:val="single"/>
        </w:rPr>
        <w:t xml:space="preserve">                                          </w:t>
      </w:r>
    </w:p>
    <w:p w14:paraId="3A8618B9">
      <w:pPr>
        <w:autoSpaceDE w:val="0"/>
        <w:autoSpaceDN w:val="0"/>
        <w:adjustRightInd w:val="0"/>
        <w:snapToGrid w:val="0"/>
        <w:spacing w:line="360" w:lineRule="auto"/>
        <w:jc w:val="left"/>
        <w:rPr>
          <w:rFonts w:hint="eastAsia" w:ascii="宋体" w:hAnsi="宋体"/>
          <w:kern w:val="0"/>
          <w:sz w:val="20"/>
          <w:szCs w:val="20"/>
        </w:rPr>
      </w:pPr>
    </w:p>
    <w:p w14:paraId="4BD29026">
      <w:pPr>
        <w:autoSpaceDE w:val="0"/>
        <w:autoSpaceDN w:val="0"/>
        <w:adjustRightInd w:val="0"/>
        <w:snapToGrid w:val="0"/>
        <w:spacing w:line="360" w:lineRule="auto"/>
        <w:ind w:firstLine="810" w:firstLineChars="386"/>
        <w:jc w:val="left"/>
        <w:rPr>
          <w:rFonts w:hint="eastAsia" w:ascii="宋体" w:hAnsi="宋体"/>
          <w:kern w:val="0"/>
          <w:szCs w:val="21"/>
        </w:rPr>
      </w:pPr>
      <w:r>
        <w:rPr>
          <w:rFonts w:hint="eastAsia" w:ascii="宋体" w:hAnsi="宋体"/>
          <w:kern w:val="0"/>
          <w:szCs w:val="21"/>
        </w:rPr>
        <w:t>附：法定代表人和委托代理人身份证明扫描件（双面）</w:t>
      </w:r>
    </w:p>
    <w:p w14:paraId="7D6D86B4">
      <w:pPr>
        <w:autoSpaceDE w:val="0"/>
        <w:autoSpaceDN w:val="0"/>
        <w:adjustRightInd w:val="0"/>
        <w:snapToGrid w:val="0"/>
        <w:spacing w:line="360" w:lineRule="auto"/>
        <w:jc w:val="left"/>
        <w:rPr>
          <w:rFonts w:hint="eastAsia" w:ascii="宋体" w:hAnsi="宋体"/>
          <w:szCs w:val="21"/>
        </w:rPr>
      </w:pPr>
    </w:p>
    <w:p w14:paraId="692DD35E">
      <w:pPr>
        <w:pStyle w:val="2"/>
        <w:spacing w:after="0" w:line="360" w:lineRule="auto"/>
        <w:rPr>
          <w:rFonts w:hint="eastAsia" w:ascii="宋体" w:hAnsi="宋体"/>
          <w:szCs w:val="21"/>
        </w:rPr>
      </w:pPr>
    </w:p>
    <w:p w14:paraId="35C5F0AF">
      <w:pPr>
        <w:pStyle w:val="2"/>
        <w:spacing w:after="0" w:line="360" w:lineRule="auto"/>
        <w:rPr>
          <w:rFonts w:hint="eastAsia" w:ascii="宋体" w:hAnsi="宋体"/>
          <w:szCs w:val="21"/>
        </w:rPr>
      </w:pPr>
    </w:p>
    <w:p w14:paraId="4DD910AD">
      <w:pPr>
        <w:pStyle w:val="2"/>
        <w:spacing w:after="0" w:line="360" w:lineRule="auto"/>
        <w:rPr>
          <w:rFonts w:hint="eastAsia" w:ascii="宋体" w:hAnsi="宋体"/>
          <w:szCs w:val="21"/>
        </w:rPr>
      </w:pPr>
    </w:p>
    <w:p w14:paraId="2EF857D9">
      <w:pPr>
        <w:pStyle w:val="2"/>
        <w:spacing w:after="0" w:line="360" w:lineRule="auto"/>
        <w:rPr>
          <w:rFonts w:hint="eastAsia" w:ascii="宋体" w:hAnsi="宋体"/>
          <w:szCs w:val="21"/>
        </w:rPr>
      </w:pPr>
    </w:p>
    <w:p w14:paraId="4CF2AE5D">
      <w:pPr>
        <w:tabs>
          <w:tab w:val="left" w:pos="8300"/>
        </w:tabs>
        <w:autoSpaceDE w:val="0"/>
        <w:autoSpaceDN w:val="0"/>
        <w:adjustRightInd w:val="0"/>
        <w:spacing w:line="360" w:lineRule="auto"/>
        <w:ind w:firstLine="420" w:firstLineChars="200"/>
        <w:jc w:val="right"/>
        <w:rPr>
          <w:rFonts w:hint="eastAsia"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3899F56C">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rPr>
      </w:pPr>
    </w:p>
    <w:p w14:paraId="65982354">
      <w:pPr>
        <w:tabs>
          <w:tab w:val="left" w:pos="5760"/>
        </w:tabs>
        <w:autoSpaceDE w:val="0"/>
        <w:autoSpaceDN w:val="0"/>
        <w:adjustRightInd w:val="0"/>
        <w:spacing w:line="360" w:lineRule="auto"/>
        <w:ind w:firstLine="420" w:firstLineChars="200"/>
        <w:jc w:val="left"/>
        <w:rPr>
          <w:rFonts w:hint="eastAsia" w:ascii="宋体" w:hAnsi="宋体"/>
          <w:kern w:val="0"/>
          <w:szCs w:val="21"/>
        </w:rPr>
      </w:pPr>
    </w:p>
    <w:p w14:paraId="17305516">
      <w:pPr>
        <w:tabs>
          <w:tab w:val="left" w:pos="5760"/>
        </w:tabs>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注：</w:t>
      </w:r>
      <w:r>
        <w:rPr>
          <w:rFonts w:hint="eastAsia"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20F2685E">
      <w:pPr>
        <w:tabs>
          <w:tab w:val="left" w:pos="5760"/>
        </w:tabs>
        <w:autoSpaceDE w:val="0"/>
        <w:autoSpaceDN w:val="0"/>
        <w:adjustRightInd w:val="0"/>
        <w:spacing w:line="360" w:lineRule="auto"/>
        <w:ind w:firstLine="420" w:firstLineChars="200"/>
        <w:jc w:val="left"/>
        <w:rPr>
          <w:rFonts w:hint="eastAsia"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5AD824CC">
      <w:pPr>
        <w:widowControl/>
        <w:jc w:val="left"/>
      </w:pPr>
      <w:r>
        <w:br w:type="page"/>
      </w:r>
    </w:p>
    <w:p w14:paraId="2829F168">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2.营业执照</w:t>
      </w:r>
    </w:p>
    <w:p w14:paraId="42AC46D7">
      <w:pPr>
        <w:pStyle w:val="4"/>
        <w:spacing w:before="156" w:beforeLines="50" w:after="156" w:afterLines="50" w:line="400" w:lineRule="exact"/>
        <w:ind w:left="0" w:leftChars="0" w:firstLine="0" w:firstLineChars="0"/>
        <w:jc w:val="center"/>
        <w:rPr>
          <w:rFonts w:ascii="宋体" w:hAnsi="宋体" w:eastAsia="宋体"/>
          <w:color w:val="auto"/>
          <w:sz w:val="28"/>
          <w:szCs w:val="24"/>
          <w:highlight w:val="none"/>
        </w:rPr>
      </w:pPr>
    </w:p>
    <w:p w14:paraId="30E011DF">
      <w:pPr>
        <w:ind w:firstLine="480"/>
        <w:jc w:val="center"/>
        <w:rPr>
          <w:rFonts w:asciiTheme="minorEastAsia" w:hAnsiTheme="minorEastAsia" w:eastAsiaTheme="minorEastAsia"/>
          <w:bCs/>
          <w:color w:val="auto"/>
          <w:sz w:val="24"/>
          <w:szCs w:val="24"/>
          <w:highlight w:val="none"/>
        </w:rPr>
      </w:pPr>
    </w:p>
    <w:p w14:paraId="6D5334F0">
      <w:pPr>
        <w:ind w:firstLine="420"/>
        <w:jc w:val="center"/>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Cs w:val="24"/>
          <w:highlight w:val="none"/>
        </w:rPr>
        <w:t xml:space="preserve"> </w:t>
      </w:r>
      <w:r>
        <w:rPr>
          <w:rFonts w:asciiTheme="minorEastAsia" w:hAnsiTheme="minorEastAsia" w:eastAsiaTheme="minorEastAsia"/>
          <w:bCs/>
          <w:color w:val="auto"/>
          <w:sz w:val="24"/>
          <w:szCs w:val="24"/>
          <w:highlight w:val="none"/>
        </w:rPr>
        <w:br w:type="page"/>
      </w:r>
    </w:p>
    <w:p w14:paraId="4C58E0E9">
      <w:pPr>
        <w:pStyle w:val="4"/>
        <w:spacing w:before="156" w:beforeLines="50" w:after="156" w:afterLines="50" w:line="400" w:lineRule="exact"/>
        <w:ind w:left="0" w:leftChars="0" w:firstLine="0" w:firstLineChars="0"/>
        <w:jc w:val="center"/>
        <w:rPr>
          <w:rFonts w:hint="eastAsia"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3.ICP许可证、EDI许可证证明材料</w:t>
      </w:r>
    </w:p>
    <w:p w14:paraId="53599A14">
      <w:pPr>
        <w:pStyle w:val="4"/>
        <w:numPr>
          <w:ilvl w:val="0"/>
          <w:numId w:val="4"/>
        </w:numPr>
        <w:spacing w:before="156" w:beforeLines="50" w:after="156" w:afterLines="50" w:line="400" w:lineRule="exact"/>
        <w:ind w:left="0" w:leftChars="0" w:firstLine="0" w:firstLineChars="0"/>
        <w:jc w:val="center"/>
        <w:rPr>
          <w:rFonts w:asciiTheme="minorEastAsia" w:hAnsiTheme="minorEastAsia" w:eastAsiaTheme="minorEastAsia"/>
          <w:b/>
          <w:bCs/>
          <w:color w:val="auto"/>
          <w:highlight w:val="none"/>
        </w:rPr>
      </w:pPr>
      <w:r>
        <w:rPr>
          <w:rFonts w:asciiTheme="minorEastAsia" w:hAnsiTheme="minorEastAsia" w:eastAsiaTheme="minorEastAsia"/>
          <w:b/>
          <w:bCs/>
          <w:color w:val="auto"/>
          <w:highlight w:val="none"/>
        </w:rPr>
        <w:br w:type="page"/>
      </w:r>
    </w:p>
    <w:p w14:paraId="5294A8AC">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4.投标人基本情况</w:t>
      </w:r>
    </w:p>
    <w:tbl>
      <w:tblPr>
        <w:tblStyle w:val="27"/>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118"/>
        <w:gridCol w:w="2040"/>
        <w:gridCol w:w="1723"/>
        <w:gridCol w:w="2377"/>
      </w:tblGrid>
      <w:tr w14:paraId="3FEA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2" w:type="pct"/>
            <w:vAlign w:val="center"/>
          </w:tcPr>
          <w:p w14:paraId="776E52AC">
            <w:pPr>
              <w:ind w:left="0" w:leftChars="0" w:firstLine="0" w:firstLineChars="0"/>
              <w:jc w:val="center"/>
              <w:rPr>
                <w:highlight w:val="none"/>
              </w:rPr>
            </w:pPr>
            <w:r>
              <w:rPr>
                <w:rFonts w:hint="eastAsia" w:ascii="Times New Roman" w:hAnsi="Times New Roman" w:eastAsia="宋体" w:cs="Times New Roman"/>
                <w:bCs/>
                <w:color w:val="auto"/>
                <w:sz w:val="21"/>
                <w:szCs w:val="18"/>
                <w:highlight w:val="none"/>
                <w:lang w:val="en-US" w:eastAsia="zh-CN" w:bidi="ar-SA"/>
              </w:rPr>
              <w:t>投标人名称</w:t>
            </w:r>
          </w:p>
        </w:tc>
        <w:tc>
          <w:tcPr>
            <w:tcW w:w="3927" w:type="pct"/>
            <w:gridSpan w:val="4"/>
            <w:vAlign w:val="center"/>
          </w:tcPr>
          <w:p w14:paraId="2EE57F5F">
            <w:pPr>
              <w:pStyle w:val="53"/>
              <w:bidi w:val="0"/>
              <w:ind w:left="0" w:leftChars="0" w:right="0" w:rightChars="0" w:firstLine="0" w:firstLineChars="0"/>
              <w:jc w:val="center"/>
              <w:rPr>
                <w:highlight w:val="none"/>
              </w:rPr>
            </w:pPr>
          </w:p>
        </w:tc>
      </w:tr>
      <w:tr w14:paraId="0F3E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2" w:type="pct"/>
            <w:vAlign w:val="center"/>
          </w:tcPr>
          <w:p w14:paraId="457D08D3">
            <w:pPr>
              <w:pStyle w:val="53"/>
              <w:bidi w:val="0"/>
              <w:ind w:left="0" w:leftChars="0" w:right="0" w:rightChars="0" w:firstLine="0" w:firstLineChars="0"/>
              <w:jc w:val="center"/>
              <w:rPr>
                <w:highlight w:val="none"/>
              </w:rPr>
            </w:pPr>
            <w:r>
              <w:rPr>
                <w:rFonts w:hint="eastAsia"/>
                <w:highlight w:val="none"/>
              </w:rPr>
              <w:t>联系方式</w:t>
            </w:r>
          </w:p>
        </w:tc>
        <w:tc>
          <w:tcPr>
            <w:tcW w:w="605" w:type="pct"/>
            <w:tcBorders>
              <w:top w:val="single" w:color="auto" w:sz="4" w:space="0"/>
              <w:left w:val="single" w:color="auto" w:sz="4" w:space="0"/>
              <w:right w:val="single" w:color="auto" w:sz="4" w:space="0"/>
            </w:tcBorders>
            <w:vAlign w:val="center"/>
          </w:tcPr>
          <w:p w14:paraId="4169D70D">
            <w:pPr>
              <w:pStyle w:val="53"/>
              <w:bidi w:val="0"/>
              <w:ind w:left="0" w:leftChars="0" w:right="0" w:rightChars="0" w:firstLine="0" w:firstLineChars="0"/>
              <w:jc w:val="center"/>
              <w:rPr>
                <w:highlight w:val="none"/>
              </w:rPr>
            </w:pPr>
            <w:r>
              <w:rPr>
                <w:rFonts w:hint="eastAsia"/>
                <w:highlight w:val="none"/>
              </w:rPr>
              <w:t>联系人</w:t>
            </w:r>
          </w:p>
        </w:tc>
        <w:tc>
          <w:tcPr>
            <w:tcW w:w="1104" w:type="pct"/>
            <w:tcBorders>
              <w:top w:val="single" w:color="auto" w:sz="4" w:space="0"/>
              <w:left w:val="single" w:color="auto" w:sz="4" w:space="0"/>
              <w:right w:val="single" w:color="auto" w:sz="4" w:space="0"/>
            </w:tcBorders>
            <w:vAlign w:val="center"/>
          </w:tcPr>
          <w:p w14:paraId="4243071C">
            <w:pPr>
              <w:pStyle w:val="53"/>
              <w:bidi w:val="0"/>
              <w:ind w:left="0" w:leftChars="0" w:right="0" w:rightChars="0" w:firstLine="0" w:firstLineChars="0"/>
              <w:jc w:val="center"/>
              <w:rPr>
                <w:highlight w:val="none"/>
              </w:rPr>
            </w:pPr>
          </w:p>
        </w:tc>
        <w:tc>
          <w:tcPr>
            <w:tcW w:w="932" w:type="pct"/>
            <w:tcBorders>
              <w:top w:val="single" w:color="auto" w:sz="4" w:space="0"/>
              <w:left w:val="single" w:color="auto" w:sz="4" w:space="0"/>
              <w:right w:val="single" w:color="auto" w:sz="4" w:space="0"/>
            </w:tcBorders>
            <w:vAlign w:val="center"/>
          </w:tcPr>
          <w:p w14:paraId="17483D9C">
            <w:pPr>
              <w:pStyle w:val="53"/>
              <w:bidi w:val="0"/>
              <w:ind w:left="0" w:leftChars="0" w:right="0" w:rightChars="0" w:firstLine="0" w:firstLineChars="0"/>
              <w:jc w:val="center"/>
              <w:rPr>
                <w:highlight w:val="none"/>
              </w:rPr>
            </w:pPr>
            <w:r>
              <w:rPr>
                <w:rFonts w:hint="eastAsia"/>
                <w:highlight w:val="none"/>
              </w:rPr>
              <w:t>电话</w:t>
            </w:r>
          </w:p>
        </w:tc>
        <w:tc>
          <w:tcPr>
            <w:tcW w:w="1285" w:type="pct"/>
            <w:vAlign w:val="center"/>
          </w:tcPr>
          <w:p w14:paraId="45661240">
            <w:pPr>
              <w:pStyle w:val="53"/>
              <w:bidi w:val="0"/>
              <w:ind w:left="0" w:leftChars="0" w:right="0" w:rightChars="0" w:firstLine="0" w:firstLineChars="0"/>
              <w:jc w:val="center"/>
              <w:rPr>
                <w:highlight w:val="none"/>
              </w:rPr>
            </w:pPr>
          </w:p>
        </w:tc>
      </w:tr>
      <w:tr w14:paraId="28DE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2" w:type="pct"/>
            <w:vAlign w:val="center"/>
          </w:tcPr>
          <w:p w14:paraId="34F2DF96">
            <w:pPr>
              <w:pStyle w:val="53"/>
              <w:bidi w:val="0"/>
              <w:ind w:left="0" w:leftChars="0" w:right="0" w:rightChars="0" w:firstLine="0" w:firstLineChars="0"/>
              <w:jc w:val="center"/>
              <w:rPr>
                <w:rFonts w:hint="default" w:eastAsia="宋体"/>
                <w:highlight w:val="none"/>
                <w:lang w:val="en-US" w:eastAsia="zh-CN"/>
              </w:rPr>
            </w:pPr>
            <w:r>
              <w:rPr>
                <w:rFonts w:hint="eastAsia"/>
                <w:highlight w:val="none"/>
              </w:rPr>
              <w:t>法定代表人</w:t>
            </w:r>
          </w:p>
        </w:tc>
        <w:tc>
          <w:tcPr>
            <w:tcW w:w="605" w:type="pct"/>
            <w:tcBorders>
              <w:top w:val="single" w:color="auto" w:sz="4" w:space="0"/>
              <w:left w:val="single" w:color="auto" w:sz="4" w:space="0"/>
              <w:right w:val="single" w:color="auto" w:sz="4" w:space="0"/>
            </w:tcBorders>
            <w:vAlign w:val="center"/>
          </w:tcPr>
          <w:p w14:paraId="05C16EC3">
            <w:pPr>
              <w:pStyle w:val="53"/>
              <w:bidi w:val="0"/>
              <w:ind w:left="0" w:leftChars="0" w:right="0" w:rightChars="0" w:firstLine="0" w:firstLineChars="0"/>
              <w:jc w:val="center"/>
              <w:rPr>
                <w:highlight w:val="none"/>
              </w:rPr>
            </w:pPr>
            <w:r>
              <w:rPr>
                <w:rFonts w:hint="eastAsia"/>
                <w:highlight w:val="none"/>
              </w:rPr>
              <w:t>姓名</w:t>
            </w:r>
          </w:p>
        </w:tc>
        <w:tc>
          <w:tcPr>
            <w:tcW w:w="1104" w:type="pct"/>
            <w:tcBorders>
              <w:top w:val="single" w:color="auto" w:sz="4" w:space="0"/>
              <w:left w:val="single" w:color="auto" w:sz="4" w:space="0"/>
              <w:right w:val="single" w:color="auto" w:sz="4" w:space="0"/>
            </w:tcBorders>
            <w:vAlign w:val="center"/>
          </w:tcPr>
          <w:p w14:paraId="0301D1B7">
            <w:pPr>
              <w:pStyle w:val="53"/>
              <w:bidi w:val="0"/>
              <w:ind w:left="0" w:leftChars="0" w:right="0" w:rightChars="0" w:firstLine="0" w:firstLineChars="0"/>
              <w:jc w:val="center"/>
              <w:rPr>
                <w:highlight w:val="none"/>
              </w:rPr>
            </w:pPr>
          </w:p>
        </w:tc>
        <w:tc>
          <w:tcPr>
            <w:tcW w:w="932" w:type="pct"/>
            <w:tcBorders>
              <w:top w:val="single" w:color="auto" w:sz="4" w:space="0"/>
              <w:left w:val="single" w:color="auto" w:sz="4" w:space="0"/>
              <w:right w:val="single" w:color="auto" w:sz="4" w:space="0"/>
            </w:tcBorders>
            <w:shd w:val="clear" w:color="auto" w:fill="auto"/>
            <w:vAlign w:val="center"/>
          </w:tcPr>
          <w:p w14:paraId="1AADA9E4">
            <w:pPr>
              <w:pStyle w:val="53"/>
              <w:bidi w:val="0"/>
              <w:ind w:left="0" w:leftChars="0" w:right="0" w:rightChars="0"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1285" w:type="pct"/>
            <w:tcBorders>
              <w:top w:val="single" w:color="auto" w:sz="4" w:space="0"/>
              <w:left w:val="single" w:color="auto" w:sz="4" w:space="0"/>
            </w:tcBorders>
            <w:shd w:val="clear" w:color="auto" w:fill="auto"/>
            <w:vAlign w:val="center"/>
          </w:tcPr>
          <w:p w14:paraId="148320C0">
            <w:pPr>
              <w:pStyle w:val="53"/>
              <w:bidi w:val="0"/>
              <w:ind w:left="0" w:leftChars="0" w:right="0" w:rightChars="0" w:firstLine="0" w:firstLineChars="0"/>
              <w:jc w:val="center"/>
              <w:rPr>
                <w:highlight w:val="none"/>
              </w:rPr>
            </w:pPr>
          </w:p>
        </w:tc>
      </w:tr>
      <w:tr w14:paraId="5CA6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2" w:type="pct"/>
            <w:vAlign w:val="center"/>
          </w:tcPr>
          <w:p w14:paraId="4B7B7D27">
            <w:pPr>
              <w:pStyle w:val="53"/>
              <w:bidi w:val="0"/>
              <w:ind w:left="0" w:leftChars="0" w:right="0" w:rightChars="0" w:firstLine="0" w:firstLineChars="0"/>
              <w:jc w:val="center"/>
              <w:rPr>
                <w:highlight w:val="none"/>
              </w:rPr>
            </w:pPr>
            <w:r>
              <w:rPr>
                <w:rFonts w:hint="eastAsia"/>
                <w:highlight w:val="none"/>
              </w:rPr>
              <w:t>统一社会信用代码</w:t>
            </w:r>
          </w:p>
        </w:tc>
        <w:tc>
          <w:tcPr>
            <w:tcW w:w="3927" w:type="pct"/>
            <w:gridSpan w:val="4"/>
            <w:tcBorders>
              <w:top w:val="single" w:color="auto" w:sz="4" w:space="0"/>
              <w:left w:val="single" w:color="auto" w:sz="4" w:space="0"/>
            </w:tcBorders>
            <w:vAlign w:val="center"/>
          </w:tcPr>
          <w:p w14:paraId="7098EC4B">
            <w:pPr>
              <w:pStyle w:val="53"/>
              <w:bidi w:val="0"/>
              <w:ind w:left="0" w:leftChars="0" w:right="0" w:rightChars="0" w:firstLine="0" w:firstLineChars="0"/>
              <w:jc w:val="center"/>
              <w:rPr>
                <w:rFonts w:hint="eastAsia" w:eastAsia="宋体"/>
                <w:highlight w:val="none"/>
                <w:lang w:val="en-US" w:eastAsia="zh-CN"/>
              </w:rPr>
            </w:pPr>
          </w:p>
        </w:tc>
      </w:tr>
      <w:tr w14:paraId="12FA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2" w:type="pct"/>
            <w:vAlign w:val="center"/>
          </w:tcPr>
          <w:p w14:paraId="1DFF688C">
            <w:pPr>
              <w:pStyle w:val="53"/>
              <w:bidi w:val="0"/>
              <w:ind w:left="0" w:leftChars="0" w:right="0" w:rightChars="0" w:firstLine="0" w:firstLineChars="0"/>
              <w:jc w:val="center"/>
              <w:rPr>
                <w:highlight w:val="none"/>
              </w:rPr>
            </w:pPr>
            <w:r>
              <w:rPr>
                <w:rFonts w:hint="eastAsia"/>
                <w:highlight w:val="none"/>
              </w:rPr>
              <w:t>注册资金</w:t>
            </w:r>
          </w:p>
        </w:tc>
        <w:tc>
          <w:tcPr>
            <w:tcW w:w="3927" w:type="pct"/>
            <w:gridSpan w:val="4"/>
            <w:tcBorders>
              <w:top w:val="single" w:color="auto" w:sz="4" w:space="0"/>
              <w:left w:val="single" w:color="auto" w:sz="4" w:space="0"/>
            </w:tcBorders>
            <w:vAlign w:val="center"/>
          </w:tcPr>
          <w:p w14:paraId="55186699">
            <w:pPr>
              <w:pStyle w:val="53"/>
              <w:bidi w:val="0"/>
              <w:ind w:left="0" w:leftChars="0" w:right="0" w:rightChars="0" w:firstLine="0" w:firstLineChars="0"/>
              <w:jc w:val="center"/>
              <w:rPr>
                <w:highlight w:val="none"/>
              </w:rPr>
            </w:pPr>
          </w:p>
        </w:tc>
      </w:tr>
      <w:tr w14:paraId="1C1F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2" w:type="pct"/>
            <w:vAlign w:val="center"/>
          </w:tcPr>
          <w:p w14:paraId="0B55B3DF">
            <w:pPr>
              <w:pStyle w:val="53"/>
              <w:bidi w:val="0"/>
              <w:ind w:left="0" w:leftChars="0" w:right="0" w:rightChars="0" w:firstLine="0" w:firstLineChars="0"/>
              <w:jc w:val="center"/>
              <w:rPr>
                <w:highlight w:val="none"/>
              </w:rPr>
            </w:pPr>
            <w:r>
              <w:rPr>
                <w:rFonts w:hint="eastAsia"/>
                <w:highlight w:val="none"/>
              </w:rPr>
              <w:t>开户银行</w:t>
            </w:r>
          </w:p>
        </w:tc>
        <w:tc>
          <w:tcPr>
            <w:tcW w:w="3927" w:type="pct"/>
            <w:gridSpan w:val="4"/>
            <w:tcBorders>
              <w:top w:val="single" w:color="auto" w:sz="4" w:space="0"/>
              <w:left w:val="single" w:color="auto" w:sz="4" w:space="0"/>
            </w:tcBorders>
            <w:vAlign w:val="center"/>
          </w:tcPr>
          <w:p w14:paraId="31DEFAFF">
            <w:pPr>
              <w:pStyle w:val="53"/>
              <w:bidi w:val="0"/>
              <w:ind w:left="0" w:leftChars="0" w:right="0" w:rightChars="0" w:firstLine="0" w:firstLineChars="0"/>
              <w:jc w:val="center"/>
              <w:rPr>
                <w:highlight w:val="none"/>
              </w:rPr>
            </w:pPr>
          </w:p>
        </w:tc>
      </w:tr>
      <w:tr w14:paraId="66B6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2" w:type="pct"/>
            <w:vAlign w:val="center"/>
          </w:tcPr>
          <w:p w14:paraId="38CC7522">
            <w:pPr>
              <w:pStyle w:val="53"/>
              <w:bidi w:val="0"/>
              <w:ind w:left="0" w:leftChars="0" w:right="0" w:rightChars="0" w:firstLine="0" w:firstLineChars="0"/>
              <w:jc w:val="center"/>
              <w:rPr>
                <w:highlight w:val="none"/>
              </w:rPr>
            </w:pPr>
            <w:r>
              <w:rPr>
                <w:rFonts w:hint="eastAsia"/>
                <w:highlight w:val="none"/>
              </w:rPr>
              <w:t>账号</w:t>
            </w:r>
          </w:p>
        </w:tc>
        <w:tc>
          <w:tcPr>
            <w:tcW w:w="3927" w:type="pct"/>
            <w:gridSpan w:val="4"/>
            <w:tcBorders>
              <w:top w:val="single" w:color="auto" w:sz="4" w:space="0"/>
              <w:left w:val="single" w:color="auto" w:sz="4" w:space="0"/>
            </w:tcBorders>
            <w:vAlign w:val="center"/>
          </w:tcPr>
          <w:p w14:paraId="6BB5D490">
            <w:pPr>
              <w:pStyle w:val="53"/>
              <w:bidi w:val="0"/>
              <w:ind w:left="0" w:leftChars="0" w:right="0" w:rightChars="0" w:firstLine="0" w:firstLineChars="0"/>
              <w:jc w:val="center"/>
              <w:rPr>
                <w:highlight w:val="none"/>
              </w:rPr>
            </w:pPr>
          </w:p>
        </w:tc>
      </w:tr>
      <w:tr w14:paraId="6D95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072" w:type="pct"/>
            <w:vAlign w:val="center"/>
          </w:tcPr>
          <w:p w14:paraId="26B7FA84">
            <w:pPr>
              <w:pStyle w:val="53"/>
              <w:bidi w:val="0"/>
              <w:ind w:left="0" w:leftChars="0" w:right="0" w:rightChars="0" w:firstLine="0" w:firstLineChars="0"/>
              <w:jc w:val="center"/>
              <w:rPr>
                <w:highlight w:val="none"/>
              </w:rPr>
            </w:pPr>
            <w:r>
              <w:rPr>
                <w:rFonts w:hint="eastAsia"/>
                <w:highlight w:val="none"/>
              </w:rPr>
              <w:t>备注</w:t>
            </w:r>
          </w:p>
        </w:tc>
        <w:tc>
          <w:tcPr>
            <w:tcW w:w="3927" w:type="pct"/>
            <w:gridSpan w:val="4"/>
            <w:vAlign w:val="center"/>
          </w:tcPr>
          <w:p w14:paraId="174A7561">
            <w:pPr>
              <w:pStyle w:val="53"/>
              <w:bidi w:val="0"/>
              <w:ind w:left="0" w:leftChars="0" w:right="0" w:rightChars="0" w:firstLine="0" w:firstLineChars="0"/>
              <w:jc w:val="center"/>
              <w:rPr>
                <w:highlight w:val="none"/>
              </w:rPr>
            </w:pPr>
          </w:p>
        </w:tc>
      </w:tr>
    </w:tbl>
    <w:p w14:paraId="20EA7256">
      <w:pPr>
        <w:rPr>
          <w:rFonts w:hint="eastAsia" w:ascii="宋体" w:hAnsi="宋体" w:eastAsia="宋体"/>
          <w:color w:val="auto"/>
          <w:sz w:val="28"/>
          <w:szCs w:val="24"/>
          <w:highlight w:val="none"/>
          <w:lang w:val="en-US" w:eastAsia="zh-CN"/>
        </w:rPr>
      </w:pPr>
      <w:r>
        <w:rPr>
          <w:rFonts w:hint="eastAsia" w:ascii="宋体" w:hAnsi="宋体" w:eastAsia="宋体"/>
          <w:color w:val="auto"/>
          <w:sz w:val="28"/>
          <w:szCs w:val="24"/>
          <w:highlight w:val="none"/>
          <w:lang w:val="en-US" w:eastAsia="zh-CN"/>
        </w:rPr>
        <w:br w:type="page"/>
      </w:r>
    </w:p>
    <w:p w14:paraId="2D8B448B">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5.书面声明</w:t>
      </w:r>
    </w:p>
    <w:p w14:paraId="798CC70A">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重庆三峡银行积分商城商品权益供应入围项目</w:t>
      </w:r>
    </w:p>
    <w:p w14:paraId="7B26F17E">
      <w:pPr>
        <w:tabs>
          <w:tab w:val="left" w:pos="6300"/>
        </w:tabs>
        <w:snapToGrid w:val="0"/>
        <w:spacing w:line="360" w:lineRule="auto"/>
        <w:ind w:firstLine="570"/>
        <w:rPr>
          <w:rFonts w:ascii="宋体"/>
          <w:color w:val="auto"/>
          <w:sz w:val="24"/>
          <w:highlight w:val="none"/>
        </w:rPr>
      </w:pPr>
    </w:p>
    <w:p w14:paraId="32931A65">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304DD4B2">
      <w:pPr>
        <w:tabs>
          <w:tab w:val="left" w:pos="6300"/>
        </w:tabs>
        <w:snapToGrid w:val="0"/>
        <w:spacing w:line="360" w:lineRule="auto"/>
        <w:ind w:firstLine="570"/>
        <w:rPr>
          <w:rFonts w:ascii="宋体"/>
          <w:color w:val="auto"/>
          <w:sz w:val="24"/>
          <w:highlight w:val="none"/>
        </w:rPr>
      </w:pP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val="en-US" w:eastAsia="zh-CN"/>
        </w:rPr>
        <w:t>投标人</w:t>
      </w:r>
      <w:r>
        <w:rPr>
          <w:rFonts w:hint="eastAsia" w:ascii="宋体"/>
          <w:color w:val="auto"/>
          <w:sz w:val="24"/>
          <w:highlight w:val="none"/>
        </w:rPr>
        <w:t>名称）郑重声明，我公司未被有关行政部门暂停投标资格或被有关行政部门暂停投标资格期限已满，也无行贿犯罪记录</w:t>
      </w:r>
      <w:r>
        <w:rPr>
          <w:rFonts w:hint="eastAsia" w:ascii="宋体"/>
          <w:color w:val="auto"/>
          <w:sz w:val="24"/>
          <w:highlight w:val="none"/>
          <w:lang w:eastAsia="zh-CN"/>
        </w:rPr>
        <w:t>，</w:t>
      </w:r>
      <w:r>
        <w:rPr>
          <w:rFonts w:hint="eastAsia" w:ascii="宋体"/>
          <w:color w:val="auto"/>
          <w:sz w:val="24"/>
          <w:highlight w:val="none"/>
        </w:rPr>
        <w:t>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有依法缴纳税收和社会保障金的良好记录，在合同签订前后随时愿意提供相关证明材料；我公司还同时声明参加本项目</w:t>
      </w:r>
      <w:r>
        <w:rPr>
          <w:rFonts w:hint="eastAsia" w:ascii="宋体"/>
          <w:color w:val="auto"/>
          <w:sz w:val="24"/>
          <w:highlight w:val="none"/>
          <w:lang w:eastAsia="zh-CN"/>
        </w:rPr>
        <w:t>询比</w:t>
      </w:r>
      <w:r>
        <w:rPr>
          <w:rFonts w:hint="eastAsia" w:ascii="宋体"/>
          <w:color w:val="auto"/>
          <w:sz w:val="24"/>
          <w:highlight w:val="none"/>
        </w:rPr>
        <w:t>活动前三年内无重大违法活动记录，符合法律法规规定的</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hAnsi="宋体" w:cs="Cambria"/>
          <w:color w:val="auto"/>
          <w:sz w:val="24"/>
          <w:szCs w:val="24"/>
          <w:highlight w:val="none"/>
          <w:lang w:val="en-US" w:eastAsia="zh-CN"/>
        </w:rPr>
        <w:t>我公司本次如若成交，成交后不会对项目进行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5C827870">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23ED4A4B">
      <w:pPr>
        <w:tabs>
          <w:tab w:val="left" w:pos="6300"/>
        </w:tabs>
        <w:snapToGrid w:val="0"/>
        <w:spacing w:line="360" w:lineRule="auto"/>
        <w:ind w:firstLine="570"/>
        <w:rPr>
          <w:rFonts w:hint="default" w:ascii="宋体" w:eastAsia="宋体"/>
          <w:color w:val="auto"/>
          <w:sz w:val="24"/>
          <w:highlight w:val="none"/>
          <w:lang w:val="en-US" w:eastAsia="zh-CN"/>
        </w:rPr>
      </w:pPr>
    </w:p>
    <w:p w14:paraId="418F78FE">
      <w:pPr>
        <w:tabs>
          <w:tab w:val="left" w:pos="6300"/>
        </w:tabs>
        <w:snapToGrid w:val="0"/>
        <w:spacing w:line="360" w:lineRule="auto"/>
        <w:ind w:firstLine="570"/>
        <w:rPr>
          <w:rFonts w:ascii="宋体"/>
          <w:color w:val="auto"/>
          <w:sz w:val="24"/>
          <w:highlight w:val="none"/>
        </w:rPr>
      </w:pPr>
    </w:p>
    <w:p w14:paraId="100C2EA1">
      <w:pPr>
        <w:tabs>
          <w:tab w:val="left" w:pos="6300"/>
        </w:tabs>
        <w:snapToGrid w:val="0"/>
        <w:spacing w:line="360" w:lineRule="auto"/>
        <w:ind w:firstLine="570"/>
        <w:rPr>
          <w:rFonts w:ascii="宋体"/>
          <w:color w:val="auto"/>
          <w:sz w:val="24"/>
          <w:highlight w:val="none"/>
        </w:rPr>
      </w:pPr>
    </w:p>
    <w:p w14:paraId="43D0C686">
      <w:pPr>
        <w:tabs>
          <w:tab w:val="left" w:pos="6300"/>
        </w:tabs>
        <w:snapToGrid w:val="0"/>
        <w:spacing w:line="360" w:lineRule="auto"/>
        <w:ind w:right="424" w:firstLine="570"/>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val="en-US" w:eastAsia="zh-CN"/>
        </w:rPr>
        <w:t>投标人</w:t>
      </w:r>
      <w:r>
        <w:rPr>
          <w:rFonts w:hint="eastAsia" w:ascii="宋体"/>
          <w:color w:val="auto"/>
          <w:sz w:val="24"/>
          <w:highlight w:val="none"/>
        </w:rPr>
        <w:t>公章）</w:t>
      </w:r>
    </w:p>
    <w:p w14:paraId="0C1A8D07">
      <w:pPr>
        <w:tabs>
          <w:tab w:val="left" w:pos="8300"/>
        </w:tabs>
        <w:autoSpaceDE w:val="0"/>
        <w:autoSpaceDN w:val="0"/>
        <w:adjustRightInd w:val="0"/>
        <w:spacing w:line="360" w:lineRule="auto"/>
        <w:ind w:firstLine="420" w:firstLineChars="200"/>
        <w:jc w:val="right"/>
        <w:rPr>
          <w:rFonts w:hint="eastAsia"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D900955">
      <w:pPr>
        <w:rPr>
          <w:rFonts w:ascii="宋体" w:cs="等线 Light"/>
          <w:snapToGrid w:val="0"/>
          <w:color w:val="auto"/>
          <w:kern w:val="0"/>
          <w:sz w:val="24"/>
          <w:szCs w:val="24"/>
          <w:highlight w:val="none"/>
        </w:rPr>
      </w:pPr>
      <w:r>
        <w:rPr>
          <w:rFonts w:ascii="宋体" w:cs="等线 Light"/>
          <w:snapToGrid w:val="0"/>
          <w:color w:val="auto"/>
          <w:kern w:val="0"/>
          <w:sz w:val="24"/>
          <w:szCs w:val="24"/>
          <w:highlight w:val="none"/>
        </w:rPr>
        <w:br w:type="page"/>
      </w:r>
    </w:p>
    <w:p w14:paraId="361835B8">
      <w:pPr>
        <w:pStyle w:val="4"/>
        <w:spacing w:before="156" w:beforeLines="50" w:after="156" w:afterLines="50" w:line="400" w:lineRule="exact"/>
        <w:ind w:left="0" w:leftChars="0" w:firstLine="0" w:firstLineChars="0"/>
        <w:jc w:val="center"/>
        <w:rPr>
          <w:rFonts w:hint="eastAsia"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6.信用中国、国家企业信用信息公示系统、中国执行信息公开网截图</w:t>
      </w:r>
    </w:p>
    <w:p w14:paraId="2884A10A">
      <w:pPr>
        <w:rPr>
          <w:rFonts w:hint="eastAsia" w:ascii="宋体" w:hAnsi="宋体" w:eastAsia="宋体" w:cs="Times New Roman"/>
          <w:color w:val="auto"/>
          <w:sz w:val="28"/>
          <w:szCs w:val="24"/>
          <w:highlight w:val="none"/>
          <w:lang w:val="en-US" w:eastAsia="zh-CN"/>
        </w:rPr>
      </w:pPr>
      <w:r>
        <w:rPr>
          <w:rFonts w:hint="eastAsia" w:ascii="宋体" w:hAnsi="宋体" w:eastAsia="宋体" w:cs="Times New Roman"/>
          <w:color w:val="auto"/>
          <w:sz w:val="28"/>
          <w:szCs w:val="24"/>
          <w:highlight w:val="none"/>
          <w:lang w:val="en-US" w:eastAsia="zh-CN"/>
        </w:rPr>
        <w:br w:type="page"/>
      </w:r>
    </w:p>
    <w:p w14:paraId="7994315B">
      <w:pPr>
        <w:pStyle w:val="4"/>
        <w:spacing w:before="156" w:beforeLines="50" w:after="156" w:afterLines="50" w:line="400" w:lineRule="exact"/>
        <w:ind w:left="0" w:leftChars="0" w:firstLine="0" w:firstLineChars="0"/>
        <w:jc w:val="center"/>
        <w:rPr>
          <w:rFonts w:hint="eastAsia"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7.</w:t>
      </w:r>
      <w:r>
        <w:rPr>
          <w:rFonts w:hint="eastAsia" w:ascii="宋体" w:hAnsi="宋体" w:eastAsia="宋体" w:cs="Times New Roman"/>
          <w:color w:val="auto"/>
          <w:sz w:val="32"/>
          <w:szCs w:val="32"/>
          <w:highlight w:val="none"/>
          <w:lang w:val="zh-CN" w:eastAsia="zh-CN"/>
        </w:rPr>
        <w:t>银行</w:t>
      </w:r>
      <w:r>
        <w:rPr>
          <w:rFonts w:hint="eastAsia" w:ascii="宋体" w:hAnsi="宋体" w:eastAsia="宋体" w:cs="Times New Roman"/>
          <w:color w:val="auto"/>
          <w:sz w:val="32"/>
          <w:szCs w:val="32"/>
          <w:highlight w:val="none"/>
          <w:lang w:val="en-US" w:eastAsia="zh-CN"/>
        </w:rPr>
        <w:t>积分</w:t>
      </w:r>
      <w:r>
        <w:rPr>
          <w:rFonts w:hint="eastAsia" w:ascii="宋体" w:hAnsi="宋体" w:eastAsia="宋体" w:cs="Times New Roman"/>
          <w:color w:val="auto"/>
          <w:sz w:val="32"/>
          <w:szCs w:val="32"/>
          <w:highlight w:val="none"/>
          <w:lang w:val="zh-CN" w:eastAsia="zh-CN"/>
        </w:rPr>
        <w:t>商城、电子商城供货项目案例</w:t>
      </w:r>
      <w:r>
        <w:rPr>
          <w:rFonts w:hint="eastAsia" w:ascii="宋体" w:hAnsi="宋体" w:eastAsia="宋体" w:cs="Times New Roman"/>
          <w:color w:val="auto"/>
          <w:sz w:val="32"/>
          <w:szCs w:val="32"/>
          <w:highlight w:val="none"/>
          <w:lang w:val="en-US" w:eastAsia="zh-CN"/>
        </w:rPr>
        <w:t>和业绩证明文件</w:t>
      </w:r>
    </w:p>
    <w:p w14:paraId="2D11BF0A">
      <w:pPr>
        <w:rPr>
          <w:rFonts w:hint="eastAsia" w:ascii="宋体" w:hAnsi="宋体" w:eastAsia="宋体" w:cs="Times New Roman"/>
          <w:color w:val="auto"/>
          <w:sz w:val="28"/>
          <w:szCs w:val="24"/>
          <w:highlight w:val="none"/>
          <w:lang w:val="en-US" w:eastAsia="zh-CN"/>
        </w:rPr>
      </w:pPr>
      <w:r>
        <w:rPr>
          <w:rFonts w:hint="eastAsia" w:ascii="宋体" w:hAnsi="宋体" w:eastAsia="宋体" w:cs="Times New Roman"/>
          <w:color w:val="auto"/>
          <w:sz w:val="28"/>
          <w:szCs w:val="24"/>
          <w:highlight w:val="none"/>
          <w:lang w:val="en-US" w:eastAsia="zh-CN"/>
        </w:rPr>
        <w:br w:type="page"/>
      </w:r>
    </w:p>
    <w:p w14:paraId="2653A961">
      <w:pPr>
        <w:pStyle w:val="4"/>
        <w:spacing w:before="156" w:beforeLines="50" w:after="156" w:afterLines="50" w:line="400" w:lineRule="exact"/>
        <w:ind w:left="0" w:leftChars="0" w:firstLine="0" w:firstLineChars="0"/>
        <w:jc w:val="center"/>
        <w:rPr>
          <w:rFonts w:hint="eastAsia"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8.承诺函</w:t>
      </w:r>
    </w:p>
    <w:p w14:paraId="7772F26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eastAsia" w:ascii="宋体" w:hAnsi="宋体" w:eastAsia="宋体" w:cs="宋体"/>
          <w:color w:val="000000"/>
          <w:kern w:val="2"/>
          <w:sz w:val="21"/>
          <w:szCs w:val="21"/>
          <w:vertAlign w:val="baseline"/>
        </w:rPr>
      </w:pPr>
      <w:r>
        <w:rPr>
          <w:rFonts w:hint="eastAsia" w:ascii="宋体" w:hAnsi="宋体" w:eastAsia="宋体" w:cs="宋体"/>
          <w:color w:val="000000"/>
          <w:kern w:val="2"/>
          <w:sz w:val="21"/>
          <w:szCs w:val="21"/>
          <w:u w:val="single"/>
          <w:vertAlign w:val="baseline"/>
          <w:lang w:val="en-US" w:eastAsia="zh-CN" w:bidi="ar"/>
        </w:rPr>
        <w:t>重庆三峡银行股份有限公司</w:t>
      </w:r>
      <w:r>
        <w:rPr>
          <w:rFonts w:hint="eastAsia" w:ascii="宋体" w:hAnsi="宋体" w:eastAsia="宋体" w:cs="宋体"/>
          <w:color w:val="000000"/>
          <w:kern w:val="2"/>
          <w:sz w:val="21"/>
          <w:szCs w:val="21"/>
          <w:vertAlign w:val="baseline"/>
          <w:lang w:val="en-US" w:eastAsia="zh-CN" w:bidi="ar"/>
        </w:rPr>
        <w:t>：</w:t>
      </w:r>
    </w:p>
    <w:p w14:paraId="37A947D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eastAsia" w:ascii="宋体" w:hAnsi="宋体" w:eastAsia="宋体" w:cs="宋体"/>
          <w:color w:val="000000"/>
          <w:kern w:val="2"/>
          <w:sz w:val="21"/>
          <w:szCs w:val="21"/>
          <w:vertAlign w:val="baseline"/>
        </w:rPr>
      </w:pPr>
      <w:r>
        <w:rPr>
          <w:rFonts w:hint="eastAsia" w:ascii="宋体" w:hAnsi="宋体" w:eastAsia="宋体" w:cs="宋体"/>
          <w:color w:val="000000"/>
          <w:kern w:val="2"/>
          <w:sz w:val="21"/>
          <w:szCs w:val="21"/>
          <w:vertAlign w:val="baseline"/>
          <w:lang w:val="en-US" w:eastAsia="zh-CN" w:bidi="ar"/>
        </w:rPr>
        <w:t>我公司参加贵单位</w:t>
      </w:r>
      <w:r>
        <w:rPr>
          <w:rFonts w:hint="eastAsia" w:ascii="宋体" w:hAnsi="宋体" w:eastAsia="宋体" w:cs="宋体"/>
          <w:b w:val="0"/>
          <w:bCs w:val="0"/>
          <w:color w:val="000000"/>
          <w:kern w:val="2"/>
          <w:sz w:val="21"/>
          <w:szCs w:val="21"/>
          <w:u w:val="single"/>
          <w:vertAlign w:val="baseline"/>
          <w:lang w:val="en-US" w:eastAsia="zh-CN" w:bidi="ar"/>
        </w:rPr>
        <w:t>重庆三峡银行积分商城商品权益供应入围项目</w:t>
      </w:r>
      <w:r>
        <w:rPr>
          <w:rFonts w:hint="eastAsia" w:ascii="宋体" w:hAnsi="宋体" w:eastAsia="宋体" w:cs="宋体"/>
          <w:color w:val="000000"/>
          <w:kern w:val="2"/>
          <w:sz w:val="21"/>
          <w:szCs w:val="21"/>
          <w:vertAlign w:val="baseline"/>
          <w:lang w:val="en-US" w:eastAsia="zh-CN" w:bidi="ar"/>
        </w:rPr>
        <w:t xml:space="preserve">，自愿作出以下承诺： </w:t>
      </w:r>
    </w:p>
    <w:p w14:paraId="37FD469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color w:val="000000"/>
          <w:kern w:val="2"/>
          <w:sz w:val="21"/>
          <w:szCs w:val="21"/>
          <w:vertAlign w:val="baseline"/>
        </w:rPr>
      </w:pPr>
      <w:r>
        <w:rPr>
          <w:rFonts w:hint="eastAsia" w:ascii="宋体" w:hAnsi="宋体" w:eastAsia="宋体" w:cs="宋体"/>
          <w:color w:val="000000"/>
          <w:kern w:val="2"/>
          <w:sz w:val="21"/>
          <w:szCs w:val="21"/>
          <w:vertAlign w:val="baseline"/>
          <w:lang w:val="en-US" w:eastAsia="zh-CN" w:bidi="ar"/>
        </w:rPr>
        <w:t>1.我公司承诺</w:t>
      </w:r>
      <w:r>
        <w:rPr>
          <w:rFonts w:hint="eastAsia" w:ascii="宋体" w:hAnsi="宋体" w:cs="宋体"/>
          <w:color w:val="000000"/>
          <w:kern w:val="2"/>
          <w:sz w:val="21"/>
          <w:szCs w:val="21"/>
          <w:vertAlign w:val="baseline"/>
          <w:lang w:val="en-US" w:eastAsia="zh-CN" w:bidi="ar"/>
        </w:rPr>
        <w:t>具有</w:t>
      </w:r>
      <w:r>
        <w:rPr>
          <w:rFonts w:hint="eastAsia" w:ascii="宋体" w:hAnsi="宋体" w:eastAsia="宋体" w:cs="宋体"/>
          <w:color w:val="000000"/>
          <w:kern w:val="2"/>
          <w:sz w:val="21"/>
          <w:szCs w:val="21"/>
          <w:vertAlign w:val="baseline"/>
          <w:lang w:val="en-US" w:eastAsia="zh-CN" w:bidi="ar"/>
        </w:rPr>
        <w:t>招标人要求提供的实物商品、虚拟商品经营资质，承诺提供的所有商品渠道来源合法合规，有正规授权（授权内容包括但不限于销售、宣传、商标使用等）的代理资格，确保商品授权真实有效、完整。</w:t>
      </w:r>
    </w:p>
    <w:p w14:paraId="2821904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eastAsia" w:ascii="宋体" w:hAnsi="宋体" w:eastAsia="宋体" w:cs="宋体"/>
          <w:color w:val="000000"/>
          <w:kern w:val="2"/>
          <w:sz w:val="21"/>
          <w:szCs w:val="21"/>
          <w:vertAlign w:val="baseline"/>
        </w:rPr>
      </w:pPr>
      <w:r>
        <w:rPr>
          <w:rFonts w:hint="eastAsia" w:ascii="宋体" w:hAnsi="宋体" w:eastAsia="宋体" w:cs="宋体"/>
          <w:color w:val="000000"/>
          <w:kern w:val="2"/>
          <w:sz w:val="21"/>
          <w:szCs w:val="21"/>
          <w:vertAlign w:val="baseline"/>
          <w:lang w:val="en-US" w:eastAsia="zh-CN" w:bidi="ar"/>
        </w:rPr>
        <w:t>2.我公司承诺建立有效的库存监控与预警机制，确保上架商品供应充足。如遇库存即将耗尽或补货困难的情况，应在24小时内通知招标人。</w:t>
      </w:r>
    </w:p>
    <w:p w14:paraId="3F0F251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eastAsia" w:ascii="宋体" w:hAnsi="宋体" w:eastAsia="宋体" w:cs="宋体"/>
          <w:color w:val="000000"/>
          <w:kern w:val="2"/>
          <w:sz w:val="21"/>
          <w:szCs w:val="21"/>
          <w:vertAlign w:val="baseline"/>
        </w:rPr>
      </w:pPr>
      <w:r>
        <w:rPr>
          <w:rFonts w:hint="eastAsia" w:ascii="宋体" w:hAnsi="宋体" w:eastAsia="宋体" w:cs="宋体"/>
          <w:color w:val="000000"/>
          <w:kern w:val="2"/>
          <w:sz w:val="21"/>
          <w:szCs w:val="21"/>
          <w:vertAlign w:val="baseline"/>
          <w:lang w:val="en-US" w:eastAsia="zh-CN" w:bidi="ar"/>
        </w:rPr>
        <w:t>3.我公司承诺有不断开发商品及知名品牌的能力，商品品类及知名品牌丰富，具有在同业中相对优势的商品及知名品牌开发资源。</w:t>
      </w:r>
    </w:p>
    <w:p w14:paraId="43B36E6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eastAsia" w:ascii="宋体" w:hAnsi="宋体" w:eastAsia="宋体" w:cs="宋体"/>
          <w:color w:val="000000"/>
          <w:kern w:val="2"/>
          <w:sz w:val="21"/>
          <w:szCs w:val="21"/>
          <w:vertAlign w:val="baseline"/>
        </w:rPr>
      </w:pPr>
      <w:r>
        <w:rPr>
          <w:rFonts w:hint="eastAsia" w:ascii="宋体" w:hAnsi="宋体" w:cs="宋体"/>
          <w:color w:val="000000"/>
          <w:kern w:val="2"/>
          <w:sz w:val="21"/>
          <w:szCs w:val="21"/>
          <w:vertAlign w:val="baseline"/>
          <w:lang w:val="en-US" w:eastAsia="zh-CN" w:bidi="ar"/>
        </w:rPr>
        <w:t>4.我公司承诺</w:t>
      </w:r>
      <w:r>
        <w:rPr>
          <w:rFonts w:hint="eastAsia" w:ascii="宋体" w:hAnsi="宋体" w:cs="宋体"/>
          <w:bCs/>
          <w:color w:val="auto"/>
          <w:szCs w:val="21"/>
          <w:highlight w:val="none"/>
        </w:rPr>
        <w:t>免费提供标准API接口，完成与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商城系统、个人客户权益系统及手机银行等系统的对接工作，按</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要求通过接口传输商品、订单、物流等相关数据。由此产生的所有接口改造费用，均由</w:t>
      </w:r>
      <w:r>
        <w:rPr>
          <w:rFonts w:hint="eastAsia" w:ascii="宋体" w:hAnsi="宋体" w:cs="宋体"/>
          <w:bCs/>
          <w:color w:val="auto"/>
          <w:szCs w:val="21"/>
          <w:highlight w:val="none"/>
          <w:lang w:val="en-US" w:eastAsia="zh-CN"/>
        </w:rPr>
        <w:t>我公司</w:t>
      </w:r>
      <w:r>
        <w:rPr>
          <w:rFonts w:hint="eastAsia" w:ascii="宋体" w:hAnsi="宋体" w:cs="宋体"/>
          <w:bCs/>
          <w:color w:val="auto"/>
          <w:szCs w:val="21"/>
          <w:highlight w:val="none"/>
        </w:rPr>
        <w:t>承担</w:t>
      </w:r>
      <w:r>
        <w:rPr>
          <w:rFonts w:hint="eastAsia" w:ascii="宋体" w:hAnsi="宋体" w:eastAsia="宋体" w:cs="宋体"/>
          <w:color w:val="000000"/>
          <w:kern w:val="2"/>
          <w:sz w:val="21"/>
          <w:szCs w:val="21"/>
          <w:vertAlign w:val="baseline"/>
          <w:lang w:val="en-US" w:eastAsia="zh-CN" w:bidi="ar"/>
        </w:rPr>
        <w:t>。</w:t>
      </w:r>
    </w:p>
    <w:p w14:paraId="7F46404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eastAsia" w:ascii="宋体" w:hAnsi="宋体" w:eastAsia="宋体" w:cs="宋体"/>
          <w:color w:val="000000"/>
          <w:kern w:val="2"/>
          <w:sz w:val="21"/>
          <w:szCs w:val="21"/>
          <w:vertAlign w:val="baseline"/>
        </w:rPr>
      </w:pPr>
      <w:r>
        <w:rPr>
          <w:rFonts w:hint="eastAsia" w:ascii="宋体" w:hAnsi="宋体" w:cs="宋体"/>
          <w:color w:val="000000"/>
          <w:kern w:val="2"/>
          <w:sz w:val="21"/>
          <w:szCs w:val="21"/>
          <w:vertAlign w:val="baseline"/>
          <w:lang w:val="en-US" w:eastAsia="zh-CN" w:bidi="ar"/>
        </w:rPr>
        <w:t>5</w:t>
      </w:r>
      <w:r>
        <w:rPr>
          <w:rFonts w:hint="eastAsia" w:ascii="宋体" w:hAnsi="宋体" w:eastAsia="宋体" w:cs="宋体"/>
          <w:color w:val="000000"/>
          <w:kern w:val="2"/>
          <w:sz w:val="21"/>
          <w:szCs w:val="21"/>
          <w:vertAlign w:val="baseline"/>
          <w:lang w:val="en-US" w:eastAsia="zh-CN" w:bidi="ar"/>
        </w:rPr>
        <w:t>.我公司承诺</w:t>
      </w:r>
      <w:r>
        <w:rPr>
          <w:rFonts w:hint="eastAsia" w:ascii="宋体" w:hAnsi="宋体" w:cs="宋体"/>
          <w:bCs/>
          <w:color w:val="auto"/>
          <w:szCs w:val="21"/>
          <w:highlight w:val="none"/>
        </w:rPr>
        <w:t>积极响应</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的各项积分及个人客户权益相关营销活动要求，免费提供从活动策划、H5与海报设计到活动系统开发的全流程支持，服务范围涵盖日常营销、节日专题、有奖调查等多种类型线上线下营销活动，并对活动提供商品权益供应</w:t>
      </w:r>
      <w:r>
        <w:rPr>
          <w:rFonts w:hint="eastAsia" w:ascii="宋体" w:hAnsi="宋体" w:eastAsia="宋体" w:cs="宋体"/>
          <w:color w:val="000000"/>
          <w:kern w:val="2"/>
          <w:sz w:val="21"/>
          <w:szCs w:val="21"/>
          <w:vertAlign w:val="baseline"/>
          <w:lang w:val="en-US" w:eastAsia="zh-CN" w:bidi="ar"/>
        </w:rPr>
        <w:t>。</w:t>
      </w:r>
    </w:p>
    <w:p w14:paraId="29F127E9">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color w:val="000000"/>
          <w:kern w:val="2"/>
          <w:sz w:val="21"/>
          <w:szCs w:val="21"/>
          <w:vertAlign w:val="baseline"/>
          <w:lang w:val="en-US" w:eastAsia="zh-CN" w:bidi="ar"/>
        </w:rPr>
        <w:t>6.我公司承诺</w:t>
      </w:r>
      <w:r>
        <w:rPr>
          <w:rFonts w:hint="eastAsia" w:ascii="宋体" w:hAnsi="宋体" w:cs="宋体"/>
          <w:bCs/>
          <w:color w:val="auto"/>
          <w:szCs w:val="21"/>
          <w:highlight w:val="none"/>
        </w:rPr>
        <w:t>实物商品交付以点对点上门配送为主，</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及</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客户订单生成后T+2个工作日内完成发货（发货以快递单号上传至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相关系统为准），将商品送至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客户指定地址。</w:t>
      </w:r>
      <w:r>
        <w:rPr>
          <w:rFonts w:hint="eastAsia" w:ascii="宋体" w:hAnsi="宋体" w:cs="宋体"/>
          <w:color w:val="000000"/>
          <w:kern w:val="2"/>
          <w:sz w:val="21"/>
          <w:szCs w:val="21"/>
          <w:vertAlign w:val="baseline"/>
          <w:lang w:val="en-US" w:eastAsia="zh-CN" w:bidi="ar"/>
        </w:rPr>
        <w:t>我公司会</w:t>
      </w:r>
      <w:r>
        <w:rPr>
          <w:rFonts w:hint="eastAsia" w:ascii="宋体" w:hAnsi="宋体" w:cs="宋体"/>
          <w:bCs/>
          <w:color w:val="auto"/>
          <w:szCs w:val="21"/>
          <w:highlight w:val="none"/>
        </w:rPr>
        <w:t>要求合作快递送货当天按订单收件人联系方式致电收件人，确认配送地址及配送时间。</w:t>
      </w:r>
    </w:p>
    <w:p w14:paraId="312106E1">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color w:val="000000"/>
          <w:kern w:val="2"/>
          <w:sz w:val="21"/>
          <w:szCs w:val="21"/>
          <w:vertAlign w:val="baseline"/>
          <w:lang w:val="en-US" w:eastAsia="zh-CN" w:bidi="ar"/>
        </w:rPr>
        <w:t>7.我公司承诺</w:t>
      </w:r>
      <w:r>
        <w:rPr>
          <w:rFonts w:hint="eastAsia" w:ascii="宋体" w:hAnsi="宋体" w:cs="宋体"/>
          <w:bCs/>
          <w:color w:val="auto"/>
          <w:szCs w:val="21"/>
          <w:highlight w:val="none"/>
        </w:rPr>
        <w:t>交付的商品应具有适于运输方式的坚固包装，应根据商品的不同特性和要求采取防潮、防雨、防锈、防震、防磁等保护措施，以确保安全无损交付。</w:t>
      </w:r>
    </w:p>
    <w:p w14:paraId="74AE7A1F">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color w:val="000000"/>
          <w:kern w:val="2"/>
          <w:sz w:val="21"/>
          <w:szCs w:val="21"/>
          <w:vertAlign w:val="baseline"/>
          <w:lang w:val="en-US" w:eastAsia="zh-CN" w:bidi="ar"/>
        </w:rPr>
        <w:t>8.我公司承诺</w:t>
      </w:r>
      <w:r>
        <w:rPr>
          <w:rFonts w:hint="eastAsia" w:ascii="宋体" w:hAnsi="宋体" w:cs="宋体"/>
          <w:bCs/>
          <w:color w:val="auto"/>
          <w:szCs w:val="21"/>
          <w:highlight w:val="none"/>
        </w:rPr>
        <w:t>商品发货后，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及</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客户可以通过商城系统、商城前端页面查询到商品物流单号，并显示物流信息、预计到达时间。</w:t>
      </w:r>
      <w:r>
        <w:rPr>
          <w:rFonts w:hint="eastAsia" w:ascii="宋体" w:hAnsi="宋体" w:cs="宋体"/>
          <w:bCs/>
          <w:color w:val="auto"/>
          <w:szCs w:val="21"/>
          <w:highlight w:val="none"/>
          <w:lang w:val="en-US" w:eastAsia="zh-CN"/>
        </w:rPr>
        <w:t>并承诺</w:t>
      </w:r>
      <w:r>
        <w:rPr>
          <w:rFonts w:hint="eastAsia" w:ascii="宋体" w:hAnsi="宋体" w:cs="宋体"/>
          <w:bCs/>
          <w:color w:val="auto"/>
          <w:szCs w:val="21"/>
          <w:highlight w:val="none"/>
        </w:rPr>
        <w:t>重庆本地区域物流配送时限在3个自然日（含）内，特殊地区（新疆、青海、西藏、云南、海南地区）配送时限在7个自然日（含）内，其余地区配送时限在5个自然日（含）内。配送时限指订单发货之日至客户签收之日的时间。因不可抗拒力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客户提供信息有误导致的延迟配送情况不在配送时限要求范围内。</w:t>
      </w:r>
    </w:p>
    <w:p w14:paraId="01446196">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color w:val="000000"/>
          <w:kern w:val="2"/>
          <w:sz w:val="21"/>
          <w:szCs w:val="21"/>
          <w:vertAlign w:val="baseline"/>
          <w:lang w:val="en-US" w:eastAsia="zh-CN" w:bidi="ar"/>
        </w:rPr>
        <w:t>9.我公司承诺</w:t>
      </w:r>
      <w:r>
        <w:rPr>
          <w:rFonts w:hint="eastAsia" w:ascii="宋体" w:hAnsi="宋体" w:cs="宋体"/>
          <w:bCs/>
          <w:color w:val="auto"/>
          <w:szCs w:val="21"/>
          <w:highlight w:val="none"/>
        </w:rPr>
        <w:t>虚拟商品交付以线上电子方式实现。如采用直充方式交付，订单生成后48小时内完成充值（以将完成状态上传至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相关系统为准）；如采用卡密、兑换码、兑换链接等方式交付，订单生成后1分钟内，将卡密、兑换码、兑换链接等信息上传至</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商城系统，并显示给客户。</w:t>
      </w:r>
    </w:p>
    <w:p w14:paraId="4DD369B5">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color w:val="000000"/>
          <w:kern w:val="2"/>
          <w:sz w:val="21"/>
          <w:szCs w:val="21"/>
          <w:vertAlign w:val="baseline"/>
          <w:lang w:val="en-US" w:eastAsia="zh-CN" w:bidi="ar"/>
        </w:rPr>
        <w:t>10.我公司承诺</w:t>
      </w:r>
      <w:r>
        <w:rPr>
          <w:rFonts w:hint="eastAsia" w:ascii="宋体" w:hAnsi="宋体" w:cs="宋体"/>
          <w:bCs/>
          <w:color w:val="auto"/>
          <w:szCs w:val="21"/>
          <w:highlight w:val="none"/>
        </w:rPr>
        <w:t>交付的虚拟商品必须确保其有效性、合法性与唯一性，不设置未向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明示的额外使用限制。对于需要客户自行兑换的卡密、兑换码、兑换链接，</w:t>
      </w:r>
      <w:r>
        <w:rPr>
          <w:rFonts w:hint="eastAsia" w:ascii="宋体" w:hAnsi="宋体" w:cs="宋体"/>
          <w:bCs/>
          <w:color w:val="auto"/>
          <w:szCs w:val="21"/>
          <w:highlight w:val="none"/>
          <w:lang w:val="en-US" w:eastAsia="zh-CN"/>
        </w:rPr>
        <w:t>会</w:t>
      </w:r>
      <w:r>
        <w:rPr>
          <w:rFonts w:hint="eastAsia" w:ascii="宋体" w:hAnsi="宋体" w:cs="宋体"/>
          <w:bCs/>
          <w:color w:val="auto"/>
          <w:szCs w:val="21"/>
          <w:highlight w:val="none"/>
        </w:rPr>
        <w:t>提供清晰、即时的兑换指引与客服支持。</w:t>
      </w:r>
    </w:p>
    <w:p w14:paraId="526B4CB2">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11.我公司承诺所提供商品均为面向广大消费者、在线上线下公开渠道常规销售的标准产品（即“常规市场流通品”），而非任何形式的“电商专供款”、“线上专供款”或定制化产品。</w:t>
      </w:r>
    </w:p>
    <w:p w14:paraId="43D61572">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12.我公司承诺提供的商品符合国家对该类商品类别制定的质量标准，商品应为外包装完整、全新、无破损、未使用过的产品；产品内附质量说明或使用说明的，说明书应完整、清晰、准确无误，确保产品能够按照说明书正常使用。</w:t>
      </w:r>
    </w:p>
    <w:p w14:paraId="4E94A29A">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13.我公司承诺不以次充好或提供假冒伪劣商品、不提供过期或临期产品；若产品为普通食品，发货时，保质期剩余时长应大于等于保质期1/2的时长。</w:t>
      </w:r>
    </w:p>
    <w:p w14:paraId="2825DCF6">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14.我公司承诺商品退换货服务至少应达到国家规定、行业规定和知名品牌方规定的水平。有效退换货期不少于7个自然日（含），退换货处理时效应为T+1个工作日内（含）。并承诺因我公司原因造成的退换货（包括但不限于产品质量问题、配送错误等），来回退换货费用均由我公司承担。</w:t>
      </w:r>
    </w:p>
    <w:p w14:paraId="401A9EDA">
      <w:pPr>
        <w:keepNext w:val="0"/>
        <w:keepLines w:val="0"/>
        <w:pageBreakBefore w:val="0"/>
        <w:wordWrap/>
        <w:overflowPunct/>
        <w:topLinePunct w:val="0"/>
        <w:autoSpaceDE w:val="0"/>
        <w:autoSpaceDN w:val="0"/>
        <w:bidi w:val="0"/>
        <w:adjustRightInd w:val="0"/>
        <w:snapToGrid w:val="0"/>
        <w:spacing w:line="400" w:lineRule="exact"/>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15.我公司承诺月不良投诉率在0.2%以内，月不良投诉率＝本月不良投诉量÷本月订单总量。因招标人、招标人客户自身原因或不可抗力造成的投诉除外。</w:t>
      </w:r>
    </w:p>
    <w:p w14:paraId="0077B3DF">
      <w:pPr>
        <w:keepNext w:val="0"/>
        <w:keepLines w:val="0"/>
        <w:pageBreakBefore w:val="0"/>
        <w:wordWrap/>
        <w:overflowPunct/>
        <w:topLinePunct w:val="0"/>
        <w:autoSpaceDE w:val="0"/>
        <w:autoSpaceDN w:val="0"/>
        <w:bidi w:val="0"/>
        <w:adjustRightInd w:val="0"/>
        <w:snapToGrid w:val="0"/>
        <w:spacing w:line="400" w:lineRule="exact"/>
        <w:ind w:firstLine="42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16.我公司承诺如因我公司提供的商品或服务存在任何缺陷、瑕疵，或涉及虚假宣传、侵权（包括但不限于知识产权侵权）及其他任何违法行为，导致招标人（包括其客户、员工及关联方）遭受任何经济损失、商誉损害或面临任何第三方索赔、行政处罚或法律诉讼的，我公司会承担全部法律责任，承担由此产生的全部赔偿责任（包括但不限于直接经济损失、间接损失、银行为处理此事支付的律师费、诉讼费等），并负责处理相关争议与索赔的处理，全力消除对招标人声誉的负面影响。</w:t>
      </w:r>
    </w:p>
    <w:p w14:paraId="3A0E7FB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default" w:ascii="宋体" w:hAnsi="宋体" w:eastAsia="宋体" w:cs="宋体"/>
          <w:color w:val="000000"/>
          <w:kern w:val="2"/>
          <w:sz w:val="21"/>
          <w:szCs w:val="21"/>
          <w:vertAlign w:val="baseline"/>
          <w:lang w:val="en-US" w:eastAsia="zh-CN" w:bidi="ar"/>
        </w:rPr>
      </w:pPr>
      <w:r>
        <w:rPr>
          <w:rFonts w:hint="eastAsia" w:ascii="宋体" w:hAnsi="宋体" w:cs="宋体"/>
          <w:color w:val="000000"/>
          <w:kern w:val="2"/>
          <w:sz w:val="21"/>
          <w:szCs w:val="21"/>
          <w:vertAlign w:val="baseline"/>
          <w:lang w:val="en-US" w:eastAsia="zh-CN" w:bidi="ar"/>
        </w:rPr>
        <w:t>17.</w:t>
      </w:r>
      <w:r>
        <w:rPr>
          <w:rFonts w:hint="eastAsia" w:ascii="宋体" w:hAnsi="宋体" w:cs="宋体"/>
          <w:bCs/>
          <w:color w:val="auto"/>
          <w:szCs w:val="21"/>
          <w:highlight w:val="none"/>
          <w:lang w:val="en-US" w:eastAsia="zh-CN"/>
        </w:rPr>
        <w:t>我公司承诺</w:t>
      </w:r>
      <w:r>
        <w:rPr>
          <w:rFonts w:hint="default" w:ascii="宋体" w:hAnsi="宋体" w:eastAsia="宋体" w:cs="宋体"/>
          <w:color w:val="000000"/>
          <w:kern w:val="2"/>
          <w:sz w:val="21"/>
          <w:szCs w:val="21"/>
          <w:vertAlign w:val="baseline"/>
          <w:lang w:val="en-US" w:eastAsia="zh-CN" w:bidi="ar"/>
        </w:rPr>
        <w:t>提供完善的客户服务团队，设有专属客服热线，提供客服联动响应机制，客服热线接通率应在90%以上。</w:t>
      </w:r>
      <w:r>
        <w:rPr>
          <w:rFonts w:hint="eastAsia" w:ascii="宋体" w:hAnsi="宋体" w:cs="宋体"/>
          <w:bCs/>
          <w:color w:val="auto"/>
          <w:szCs w:val="21"/>
          <w:highlight w:val="none"/>
          <w:lang w:val="en-US" w:eastAsia="zh-CN"/>
        </w:rPr>
        <w:t>我公司</w:t>
      </w:r>
      <w:r>
        <w:rPr>
          <w:rFonts w:hint="default" w:ascii="宋体" w:hAnsi="宋体" w:eastAsia="宋体" w:cs="宋体"/>
          <w:color w:val="000000"/>
          <w:kern w:val="2"/>
          <w:sz w:val="21"/>
          <w:szCs w:val="21"/>
          <w:vertAlign w:val="baseline"/>
          <w:lang w:val="en-US" w:eastAsia="zh-CN" w:bidi="ar"/>
        </w:rPr>
        <w:t>客服面向招标人的服务时间应不得少于7X12小时（含法定节假日）；</w:t>
      </w:r>
      <w:r>
        <w:rPr>
          <w:rFonts w:hint="eastAsia" w:ascii="宋体" w:hAnsi="宋体" w:cs="宋体"/>
          <w:bCs/>
          <w:color w:val="auto"/>
          <w:szCs w:val="21"/>
          <w:highlight w:val="none"/>
          <w:lang w:val="en-US" w:eastAsia="zh-CN"/>
        </w:rPr>
        <w:t>我公司</w:t>
      </w:r>
      <w:r>
        <w:rPr>
          <w:rFonts w:hint="default" w:ascii="宋体" w:hAnsi="宋体" w:eastAsia="宋体" w:cs="宋体"/>
          <w:color w:val="000000"/>
          <w:kern w:val="2"/>
          <w:sz w:val="21"/>
          <w:szCs w:val="21"/>
          <w:vertAlign w:val="baseline"/>
          <w:lang w:val="en-US" w:eastAsia="zh-CN" w:bidi="ar"/>
        </w:rPr>
        <w:t>客服面向招标人客户的服务时间应不得少于7X24小时（含法定节假日）；售后问题须在1个工作日内响应并妥善处理，如遇情节严重的投诉（如招标人客户提出要投诉至12315、监管、工商等机关部门），须在0.5小时内反馈给招标人，并在1小时内提出有效解决方案。如限时内无法解决，应及时向招标人反馈，与招标人协商处理。</w:t>
      </w:r>
    </w:p>
    <w:p w14:paraId="0B609B6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default" w:ascii="宋体" w:hAnsi="宋体" w:eastAsia="宋体" w:cs="宋体"/>
          <w:color w:val="000000"/>
          <w:kern w:val="2"/>
          <w:sz w:val="21"/>
          <w:szCs w:val="21"/>
          <w:vertAlign w:val="baseline"/>
          <w:lang w:val="en-US" w:eastAsia="zh-CN" w:bidi="ar"/>
        </w:rPr>
      </w:pPr>
      <w:r>
        <w:rPr>
          <w:rFonts w:hint="eastAsia" w:ascii="宋体" w:hAnsi="宋体" w:cs="宋体"/>
          <w:color w:val="000000"/>
          <w:kern w:val="2"/>
          <w:sz w:val="21"/>
          <w:szCs w:val="21"/>
          <w:vertAlign w:val="baseline"/>
          <w:lang w:val="en-US" w:eastAsia="zh-CN" w:bidi="ar"/>
        </w:rPr>
        <w:t>18.</w:t>
      </w:r>
      <w:r>
        <w:rPr>
          <w:rFonts w:hint="eastAsia" w:ascii="宋体" w:hAnsi="宋体" w:cs="宋体"/>
          <w:bCs/>
          <w:color w:val="auto"/>
          <w:szCs w:val="21"/>
          <w:highlight w:val="none"/>
          <w:lang w:val="en-US" w:eastAsia="zh-CN"/>
        </w:rPr>
        <w:t>我公司承诺</w:t>
      </w:r>
      <w:r>
        <w:rPr>
          <w:rFonts w:hint="default" w:ascii="宋体" w:hAnsi="宋体" w:eastAsia="宋体" w:cs="宋体"/>
          <w:color w:val="000000"/>
          <w:kern w:val="2"/>
          <w:sz w:val="21"/>
          <w:szCs w:val="21"/>
          <w:vertAlign w:val="baseline"/>
          <w:lang w:val="en-US" w:eastAsia="zh-CN" w:bidi="ar"/>
        </w:rPr>
        <w:t>具备丰富的银行积分商城运营经验，配合招标人制定商城经营性计划及策略，免费提供积分及个人客户权益相关营销活动策划、设计、开发，并承诺按月提交两项核心报告：一是商品价格监测报告，须将投标人上架商品结算价与京东、天猫自营店同款进行比价；二是运营分析报告，须综合分析商品、权益兑换核销情况与售后问题，并结合比价结果对项目运营提出具体建议。</w:t>
      </w:r>
    </w:p>
    <w:p w14:paraId="101CEA1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default" w:ascii="宋体" w:hAnsi="宋体" w:eastAsia="宋体" w:cs="宋体"/>
          <w:color w:val="000000"/>
          <w:kern w:val="2"/>
          <w:sz w:val="21"/>
          <w:szCs w:val="21"/>
          <w:vertAlign w:val="baseline"/>
          <w:lang w:val="en-US" w:eastAsia="zh-CN" w:bidi="ar"/>
        </w:rPr>
      </w:pPr>
      <w:r>
        <w:rPr>
          <w:rFonts w:hint="eastAsia" w:ascii="宋体" w:hAnsi="宋体" w:cs="宋体"/>
          <w:color w:val="000000"/>
          <w:kern w:val="2"/>
          <w:sz w:val="21"/>
          <w:szCs w:val="21"/>
          <w:vertAlign w:val="baseline"/>
          <w:lang w:val="en-US" w:eastAsia="zh-CN" w:bidi="ar"/>
        </w:rPr>
        <w:t>19.</w:t>
      </w:r>
      <w:r>
        <w:rPr>
          <w:rFonts w:hint="eastAsia" w:ascii="宋体" w:hAnsi="宋体" w:cs="宋体"/>
          <w:bCs/>
          <w:color w:val="auto"/>
          <w:szCs w:val="21"/>
          <w:highlight w:val="none"/>
          <w:lang w:val="en-US" w:eastAsia="zh-CN"/>
        </w:rPr>
        <w:t>我公司承诺</w:t>
      </w:r>
      <w:r>
        <w:rPr>
          <w:rFonts w:hint="default" w:ascii="宋体" w:hAnsi="宋体" w:eastAsia="宋体" w:cs="宋体"/>
          <w:color w:val="000000"/>
          <w:kern w:val="2"/>
          <w:sz w:val="21"/>
          <w:szCs w:val="21"/>
          <w:vertAlign w:val="baseline"/>
          <w:lang w:val="en-US" w:eastAsia="zh-CN" w:bidi="ar"/>
        </w:rPr>
        <w:t>系统服务响应时间不超过20分钟，若出现生产业务中断或可能中断的生产事件，必须在30分钟内提供解决方案，或4小时内到达现场解决。其他没有导致招标人生产中断的情况，可以通过电话、邮件形式，在24小时内提供解决方案或现场解决。</w:t>
      </w:r>
    </w:p>
    <w:p w14:paraId="3A57FDC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default" w:ascii="宋体" w:hAnsi="宋体" w:eastAsia="宋体" w:cs="宋体"/>
          <w:color w:val="000000"/>
          <w:kern w:val="2"/>
          <w:sz w:val="21"/>
          <w:szCs w:val="21"/>
          <w:vertAlign w:val="baseline"/>
          <w:lang w:val="en-US" w:eastAsia="zh-CN" w:bidi="ar"/>
        </w:rPr>
      </w:pPr>
      <w:r>
        <w:rPr>
          <w:rFonts w:hint="eastAsia" w:ascii="宋体" w:hAnsi="宋体" w:cs="宋体"/>
          <w:color w:val="000000"/>
          <w:kern w:val="2"/>
          <w:sz w:val="21"/>
          <w:szCs w:val="21"/>
          <w:vertAlign w:val="baseline"/>
          <w:lang w:val="en-US" w:eastAsia="zh-CN" w:bidi="ar"/>
        </w:rPr>
        <w:t>20.</w:t>
      </w:r>
      <w:r>
        <w:rPr>
          <w:rFonts w:hint="eastAsia" w:ascii="宋体" w:hAnsi="宋体" w:cs="宋体"/>
          <w:bCs/>
          <w:color w:val="auto"/>
          <w:szCs w:val="21"/>
          <w:highlight w:val="none"/>
          <w:lang w:val="en-US" w:eastAsia="zh-CN"/>
        </w:rPr>
        <w:t>我公司承诺</w:t>
      </w:r>
      <w:r>
        <w:rPr>
          <w:rFonts w:hint="default" w:ascii="宋体" w:hAnsi="宋体" w:eastAsia="宋体" w:cs="宋体"/>
          <w:color w:val="000000"/>
          <w:kern w:val="2"/>
          <w:sz w:val="21"/>
          <w:szCs w:val="21"/>
          <w:vertAlign w:val="baseline"/>
          <w:lang w:val="en-US" w:eastAsia="zh-CN" w:bidi="ar"/>
        </w:rPr>
        <w:t>入围后在重庆具有独立办公地点或分公司，并为招标人在重庆配置专职执行团队，团队成员（项目经理、产品经理、开发人员、客服经理等）均为投标人公司正式员工，并可保证在工作日1小时内抵达招标人办公地点。</w:t>
      </w:r>
    </w:p>
    <w:p w14:paraId="2F1731E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default" w:ascii="宋体" w:hAnsi="宋体" w:eastAsia="宋体" w:cs="宋体"/>
          <w:color w:val="000000"/>
          <w:kern w:val="2"/>
          <w:sz w:val="21"/>
          <w:szCs w:val="21"/>
          <w:vertAlign w:val="baseline"/>
          <w:lang w:val="en-US" w:eastAsia="zh-CN" w:bidi="ar"/>
        </w:rPr>
      </w:pPr>
      <w:r>
        <w:rPr>
          <w:rFonts w:hint="eastAsia" w:ascii="宋体" w:hAnsi="宋体" w:cs="宋体"/>
          <w:color w:val="000000"/>
          <w:kern w:val="2"/>
          <w:sz w:val="21"/>
          <w:szCs w:val="21"/>
          <w:vertAlign w:val="baseline"/>
          <w:lang w:val="en-US" w:eastAsia="zh-CN" w:bidi="ar"/>
        </w:rPr>
        <w:t>21.</w:t>
      </w:r>
      <w:r>
        <w:rPr>
          <w:rFonts w:hint="eastAsia" w:ascii="宋体" w:hAnsi="宋体" w:cs="宋体"/>
          <w:bCs/>
          <w:color w:val="auto"/>
          <w:szCs w:val="21"/>
          <w:highlight w:val="none"/>
          <w:lang w:val="en-US" w:eastAsia="zh-CN"/>
        </w:rPr>
        <w:t>我公司承诺</w:t>
      </w:r>
      <w:r>
        <w:rPr>
          <w:rFonts w:hint="default" w:ascii="宋体" w:hAnsi="宋体" w:eastAsia="宋体" w:cs="宋体"/>
          <w:color w:val="000000"/>
          <w:kern w:val="2"/>
          <w:sz w:val="21"/>
          <w:szCs w:val="21"/>
          <w:vertAlign w:val="baseline"/>
          <w:lang w:val="en-US" w:eastAsia="zh-CN" w:bidi="ar"/>
        </w:rPr>
        <w:t>免费为招标人推荐的商户提供完整的供应商配套服务，包括但不限于：负责该商户的准入、考核及与投标人的签约、结算，并向商户提供一套成熟的可由其自己操作的商城供应商管理系统（含商户账号管理、新增商品管理、商品订单管理、售后订单管理、物流配送、财务订单管理等核心功能）。以上所有服务内容，均不向招标人或商户收取任何形式费用。</w:t>
      </w:r>
    </w:p>
    <w:p w14:paraId="784DED9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default" w:ascii="宋体" w:hAnsi="宋体" w:eastAsia="宋体" w:cs="宋体"/>
          <w:color w:val="000000"/>
          <w:kern w:val="2"/>
          <w:sz w:val="21"/>
          <w:szCs w:val="21"/>
          <w:vertAlign w:val="baseline"/>
          <w:lang w:val="en-US" w:eastAsia="zh-CN" w:bidi="ar"/>
        </w:rPr>
      </w:pPr>
      <w:r>
        <w:rPr>
          <w:rFonts w:hint="eastAsia" w:ascii="宋体" w:hAnsi="宋体" w:cs="宋体"/>
          <w:color w:val="000000"/>
          <w:kern w:val="2"/>
          <w:sz w:val="21"/>
          <w:szCs w:val="21"/>
          <w:vertAlign w:val="baseline"/>
          <w:lang w:val="en-US" w:eastAsia="zh-CN" w:bidi="ar"/>
        </w:rPr>
        <w:t>22.</w:t>
      </w:r>
      <w:r>
        <w:rPr>
          <w:rFonts w:hint="eastAsia" w:ascii="宋体" w:hAnsi="宋体" w:cs="宋体"/>
          <w:bCs/>
          <w:color w:val="auto"/>
          <w:szCs w:val="21"/>
          <w:highlight w:val="none"/>
          <w:lang w:val="en-US" w:eastAsia="zh-CN"/>
        </w:rPr>
        <w:t>我公司承诺</w:t>
      </w:r>
      <w:r>
        <w:rPr>
          <w:rFonts w:hint="default" w:ascii="宋体" w:hAnsi="宋体" w:eastAsia="宋体" w:cs="宋体"/>
          <w:color w:val="000000"/>
          <w:kern w:val="2"/>
          <w:sz w:val="21"/>
          <w:szCs w:val="21"/>
          <w:vertAlign w:val="baseline"/>
          <w:lang w:val="en-US" w:eastAsia="zh-CN" w:bidi="ar"/>
        </w:rPr>
        <w:t>向本项目相关人员进行专业培训，培训须有全面的客户服务培训计划和记录，经专业培训及测试通过的人员方可上岗作业。</w:t>
      </w:r>
    </w:p>
    <w:p w14:paraId="110D6E8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default" w:ascii="宋体" w:hAnsi="宋体" w:eastAsia="宋体" w:cs="宋体"/>
          <w:color w:val="000000"/>
          <w:kern w:val="2"/>
          <w:sz w:val="21"/>
          <w:szCs w:val="21"/>
          <w:vertAlign w:val="baseline"/>
          <w:lang w:val="en-US" w:eastAsia="zh-CN" w:bidi="ar"/>
        </w:rPr>
      </w:pPr>
      <w:r>
        <w:rPr>
          <w:rFonts w:hint="eastAsia" w:ascii="宋体" w:hAnsi="宋体" w:cs="宋体"/>
          <w:bCs/>
          <w:color w:val="auto"/>
          <w:szCs w:val="21"/>
          <w:highlight w:val="none"/>
          <w:lang w:val="en-US" w:eastAsia="zh-CN"/>
        </w:rPr>
        <w:t>23.我公司承诺</w:t>
      </w:r>
      <w:r>
        <w:rPr>
          <w:rFonts w:hint="default" w:ascii="宋体" w:hAnsi="宋体" w:eastAsia="宋体" w:cs="宋体"/>
          <w:color w:val="000000"/>
          <w:kern w:val="2"/>
          <w:sz w:val="21"/>
          <w:szCs w:val="21"/>
          <w:vertAlign w:val="baseline"/>
          <w:lang w:val="en-US" w:eastAsia="zh-CN" w:bidi="ar"/>
        </w:rPr>
        <w:t>建立严格的保密机制，防止信息泄露。在入围后与招标人签订保密相关协议，确保招标人及招标人客户信息数据的安全性。</w:t>
      </w:r>
    </w:p>
    <w:p w14:paraId="76F9A86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default" w:ascii="宋体" w:hAnsi="宋体" w:eastAsia="宋体" w:cs="宋体"/>
          <w:color w:val="000000"/>
          <w:kern w:val="2"/>
          <w:sz w:val="21"/>
          <w:szCs w:val="21"/>
          <w:vertAlign w:val="baseline"/>
          <w:lang w:val="en-US" w:eastAsia="zh-CN" w:bidi="ar"/>
        </w:rPr>
      </w:pPr>
      <w:r>
        <w:rPr>
          <w:rFonts w:hint="eastAsia" w:ascii="宋体" w:hAnsi="宋体" w:cs="宋体"/>
          <w:color w:val="000000"/>
          <w:kern w:val="2"/>
          <w:sz w:val="21"/>
          <w:szCs w:val="21"/>
          <w:vertAlign w:val="baseline"/>
          <w:lang w:val="en-US" w:eastAsia="zh-CN" w:bidi="ar"/>
        </w:rPr>
        <w:t>24.</w:t>
      </w:r>
      <w:r>
        <w:rPr>
          <w:rFonts w:hint="eastAsia" w:ascii="宋体" w:hAnsi="宋体" w:cs="宋体"/>
          <w:bCs/>
          <w:color w:val="auto"/>
          <w:szCs w:val="21"/>
          <w:highlight w:val="none"/>
          <w:lang w:val="en-US" w:eastAsia="zh-CN"/>
        </w:rPr>
        <w:t>我公司承诺</w:t>
      </w:r>
      <w:r>
        <w:rPr>
          <w:rFonts w:hint="default" w:ascii="宋体" w:hAnsi="宋体" w:eastAsia="宋体" w:cs="宋体"/>
          <w:color w:val="000000"/>
          <w:kern w:val="2"/>
          <w:sz w:val="21"/>
          <w:szCs w:val="21"/>
          <w:vertAlign w:val="baseline"/>
          <w:lang w:val="en-US" w:eastAsia="zh-CN" w:bidi="ar"/>
        </w:rPr>
        <w:t>具备处理招标人数据的作业流程，确保仅有工作需要的</w:t>
      </w:r>
      <w:r>
        <w:rPr>
          <w:rFonts w:hint="eastAsia" w:ascii="宋体" w:hAnsi="宋体" w:cs="宋体"/>
          <w:color w:val="000000"/>
          <w:kern w:val="2"/>
          <w:sz w:val="21"/>
          <w:szCs w:val="21"/>
          <w:vertAlign w:val="baseline"/>
          <w:lang w:val="en-US" w:eastAsia="zh-CN" w:bidi="ar"/>
        </w:rPr>
        <w:t>我司</w:t>
      </w:r>
      <w:r>
        <w:rPr>
          <w:rFonts w:hint="default" w:ascii="宋体" w:hAnsi="宋体" w:eastAsia="宋体" w:cs="宋体"/>
          <w:color w:val="000000"/>
          <w:kern w:val="2"/>
          <w:sz w:val="21"/>
          <w:szCs w:val="21"/>
          <w:vertAlign w:val="baseline"/>
          <w:lang w:val="en-US" w:eastAsia="zh-CN" w:bidi="ar"/>
        </w:rPr>
        <w:t>员工才能接触或处理招标人的数据信息，且只可为相关人员配置其开展工作或服务所需的数据访问权限，未经招标人授权不得向第三方透露、传输招标人数据和与招标人相关的任何信息。</w:t>
      </w:r>
    </w:p>
    <w:p w14:paraId="26FF305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baseline"/>
        <w:rPr>
          <w:rFonts w:hint="eastAsia" w:ascii="宋体" w:hAnsi="宋体" w:eastAsia="宋体" w:cs="宋体"/>
          <w:color w:val="000000"/>
          <w:kern w:val="2"/>
          <w:sz w:val="21"/>
          <w:szCs w:val="21"/>
          <w:vertAlign w:val="baseline"/>
          <w:lang w:val="en-US" w:eastAsia="zh-CN" w:bidi="ar"/>
        </w:rPr>
      </w:pPr>
    </w:p>
    <w:p w14:paraId="44BEC3D0">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color w:val="000000"/>
          <w:kern w:val="2"/>
          <w:sz w:val="24"/>
          <w:szCs w:val="24"/>
          <w:vertAlign w:val="baseline"/>
        </w:rPr>
      </w:pPr>
      <w:r>
        <w:rPr>
          <w:rFonts w:hint="eastAsia" w:ascii="宋体" w:hAnsi="宋体" w:eastAsia="宋体" w:cs="宋体"/>
          <w:color w:val="000000"/>
          <w:kern w:val="2"/>
          <w:sz w:val="24"/>
          <w:szCs w:val="24"/>
          <w:vertAlign w:val="baseline"/>
          <w:lang w:val="en-US" w:eastAsia="zh-CN" w:bidi="ar"/>
        </w:rPr>
        <w:t xml:space="preserve"> </w:t>
      </w:r>
    </w:p>
    <w:p w14:paraId="39471CFC">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color w:val="000000"/>
          <w:kern w:val="2"/>
          <w:sz w:val="24"/>
          <w:szCs w:val="24"/>
          <w:vertAlign w:val="baseline"/>
        </w:rPr>
      </w:pPr>
      <w:r>
        <w:rPr>
          <w:rFonts w:hint="eastAsia" w:ascii="宋体" w:hAnsi="宋体" w:eastAsia="宋体" w:cs="宋体"/>
          <w:color w:val="000000"/>
          <w:kern w:val="2"/>
          <w:sz w:val="24"/>
          <w:szCs w:val="24"/>
          <w:vertAlign w:val="baseline"/>
          <w:lang w:val="en-US" w:eastAsia="zh-CN" w:bidi="ar"/>
        </w:rPr>
        <w:t xml:space="preserve"> </w:t>
      </w:r>
    </w:p>
    <w:p w14:paraId="08E3A7B7">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color w:val="000000"/>
          <w:kern w:val="2"/>
          <w:sz w:val="24"/>
          <w:szCs w:val="24"/>
          <w:vertAlign w:val="baseline"/>
        </w:rPr>
      </w:pPr>
      <w:r>
        <w:rPr>
          <w:rFonts w:hint="eastAsia" w:ascii="宋体" w:hAnsi="宋体" w:eastAsia="宋体" w:cs="宋体"/>
          <w:color w:val="000000"/>
          <w:kern w:val="2"/>
          <w:sz w:val="24"/>
          <w:szCs w:val="24"/>
          <w:vertAlign w:val="baseline"/>
          <w:lang w:val="en-US" w:eastAsia="zh-CN" w:bidi="ar"/>
        </w:rPr>
        <w:t>投标人：</w:t>
      </w:r>
      <w:r>
        <w:rPr>
          <w:rFonts w:hint="eastAsia" w:ascii="宋体" w:hAnsi="宋体" w:eastAsia="宋体" w:cs="宋体"/>
          <w:color w:val="000000"/>
          <w:kern w:val="2"/>
          <w:sz w:val="24"/>
          <w:szCs w:val="24"/>
          <w:u w:val="single"/>
          <w:vertAlign w:val="baseline"/>
          <w:lang w:val="en-US" w:eastAsia="zh-CN" w:bidi="ar"/>
        </w:rPr>
        <w:t xml:space="preserve">               </w:t>
      </w:r>
      <w:r>
        <w:rPr>
          <w:rFonts w:hint="eastAsia" w:ascii="宋体" w:hAnsi="宋体" w:eastAsia="宋体" w:cs="宋体"/>
          <w:color w:val="000000"/>
          <w:kern w:val="2"/>
          <w:sz w:val="24"/>
          <w:szCs w:val="24"/>
          <w:vertAlign w:val="baseline"/>
          <w:lang w:val="en-US" w:eastAsia="zh-CN" w:bidi="ar"/>
        </w:rPr>
        <w:t xml:space="preserve"> （投标人公章）</w:t>
      </w:r>
    </w:p>
    <w:p w14:paraId="2E5CFACB">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color w:val="000000"/>
          <w:kern w:val="2"/>
          <w:sz w:val="24"/>
          <w:szCs w:val="24"/>
          <w:vertAlign w:val="baseline"/>
        </w:rPr>
      </w:pPr>
      <w:r>
        <w:rPr>
          <w:rFonts w:hint="eastAsia" w:ascii="宋体" w:hAnsi="宋体" w:eastAsia="宋体" w:cs="宋体"/>
          <w:color w:val="000000"/>
          <w:kern w:val="2"/>
          <w:sz w:val="24"/>
          <w:szCs w:val="24"/>
          <w:vertAlign w:val="baseline"/>
          <w:lang w:val="en-US" w:eastAsia="zh-CN" w:bidi="ar"/>
        </w:rPr>
        <w:t xml:space="preserve"> </w:t>
      </w:r>
    </w:p>
    <w:p w14:paraId="40729673">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color w:val="000000"/>
          <w:kern w:val="2"/>
          <w:sz w:val="24"/>
          <w:szCs w:val="24"/>
          <w:u w:val="single"/>
          <w:vertAlign w:val="baseline"/>
          <w:lang w:val="en-US" w:eastAsia="zh-CN" w:bidi="ar"/>
        </w:rPr>
        <w:t xml:space="preserve"> </w:t>
      </w:r>
      <w:r>
        <w:rPr>
          <w:rFonts w:hint="eastAsia" w:ascii="宋体" w:hAnsi="宋体" w:cs="宋体"/>
          <w:color w:val="000000"/>
          <w:kern w:val="2"/>
          <w:sz w:val="24"/>
          <w:szCs w:val="24"/>
          <w:u w:val="single"/>
          <w:vertAlign w:val="baseline"/>
          <w:lang w:val="en-US" w:eastAsia="zh-CN" w:bidi="ar"/>
        </w:rPr>
        <w:t xml:space="preserve">  </w:t>
      </w:r>
      <w:r>
        <w:rPr>
          <w:rFonts w:hint="eastAsia" w:ascii="宋体" w:hAnsi="宋体" w:eastAsia="宋体" w:cs="宋体"/>
          <w:color w:val="000000"/>
          <w:kern w:val="2"/>
          <w:sz w:val="24"/>
          <w:szCs w:val="24"/>
          <w:u w:val="single"/>
          <w:vertAlign w:val="baseline"/>
          <w:lang w:val="en-US" w:eastAsia="zh-CN" w:bidi="ar"/>
        </w:rPr>
        <w:t xml:space="preserve"> </w:t>
      </w:r>
      <w:r>
        <w:rPr>
          <w:rFonts w:hint="eastAsia" w:ascii="宋体" w:hAnsi="宋体" w:eastAsia="宋体" w:cs="宋体"/>
          <w:color w:val="000000"/>
          <w:kern w:val="2"/>
          <w:sz w:val="24"/>
          <w:szCs w:val="24"/>
          <w:vertAlign w:val="baseline"/>
          <w:lang w:val="en-US" w:eastAsia="zh-CN" w:bidi="ar"/>
        </w:rPr>
        <w:t>年</w:t>
      </w:r>
      <w:r>
        <w:rPr>
          <w:rFonts w:hint="eastAsia" w:ascii="宋体" w:hAnsi="宋体" w:eastAsia="宋体" w:cs="宋体"/>
          <w:color w:val="000000"/>
          <w:kern w:val="2"/>
          <w:sz w:val="24"/>
          <w:szCs w:val="24"/>
          <w:u w:val="single"/>
          <w:vertAlign w:val="baseline"/>
          <w:lang w:val="en-US" w:eastAsia="zh-CN" w:bidi="ar"/>
        </w:rPr>
        <w:t xml:space="preserve">   </w:t>
      </w:r>
      <w:r>
        <w:rPr>
          <w:rFonts w:hint="eastAsia" w:ascii="宋体" w:hAnsi="宋体" w:eastAsia="宋体" w:cs="宋体"/>
          <w:color w:val="000000"/>
          <w:kern w:val="2"/>
          <w:sz w:val="24"/>
          <w:szCs w:val="24"/>
          <w:vertAlign w:val="baseline"/>
          <w:lang w:val="en-US" w:eastAsia="zh-CN" w:bidi="ar"/>
        </w:rPr>
        <w:t>月</w:t>
      </w:r>
      <w:r>
        <w:rPr>
          <w:rFonts w:hint="eastAsia" w:ascii="宋体" w:hAnsi="宋体" w:eastAsia="宋体" w:cs="宋体"/>
          <w:color w:val="000000"/>
          <w:kern w:val="2"/>
          <w:sz w:val="24"/>
          <w:szCs w:val="24"/>
          <w:u w:val="single"/>
          <w:vertAlign w:val="baseline"/>
          <w:lang w:val="en-US" w:eastAsia="zh-CN" w:bidi="ar"/>
        </w:rPr>
        <w:t xml:space="preserve">    </w:t>
      </w:r>
      <w:r>
        <w:rPr>
          <w:rFonts w:hint="eastAsia" w:ascii="宋体" w:hAnsi="宋体" w:eastAsia="宋体" w:cs="宋体"/>
          <w:color w:val="000000"/>
          <w:kern w:val="2"/>
          <w:sz w:val="24"/>
          <w:szCs w:val="24"/>
          <w:vertAlign w:val="baseline"/>
          <w:lang w:val="en-US" w:eastAsia="zh-CN" w:bidi="ar"/>
        </w:rPr>
        <w:t>日</w:t>
      </w:r>
    </w:p>
    <w:p w14:paraId="1967E2D4">
      <w:pP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color w:val="000000"/>
          <w:kern w:val="2"/>
          <w:sz w:val="24"/>
          <w:szCs w:val="24"/>
          <w:vertAlign w:val="baseline"/>
          <w:lang w:val="en-US" w:eastAsia="zh-CN" w:bidi="ar"/>
        </w:rPr>
        <w:br w:type="page"/>
      </w:r>
    </w:p>
    <w:p w14:paraId="24021A70">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8.其他资料</w:t>
      </w:r>
    </w:p>
    <w:p w14:paraId="1457B5E4">
      <w:pPr>
        <w:pStyle w:val="2"/>
        <w:ind w:firstLine="420"/>
        <w:rPr>
          <w:rFonts w:ascii="宋体" w:hAnsi="宋体" w:cs="宋体"/>
          <w:color w:val="auto"/>
          <w:sz w:val="21"/>
          <w:szCs w:val="21"/>
          <w:highlight w:val="none"/>
        </w:rPr>
      </w:pPr>
      <w:r>
        <w:rPr>
          <w:rFonts w:hint="eastAsia" w:ascii="宋体" w:hAnsi="宋体" w:cs="宋体"/>
          <w:color w:val="auto"/>
          <w:sz w:val="21"/>
          <w:szCs w:val="21"/>
          <w:highlight w:val="none"/>
        </w:rPr>
        <w:t>1. 投标保证金</w:t>
      </w:r>
    </w:p>
    <w:p w14:paraId="613FA380">
      <w:pPr>
        <w:pStyle w:val="2"/>
        <w:ind w:firstLine="420"/>
        <w:rPr>
          <w:rFonts w:ascii="宋体" w:hAnsi="宋体" w:cs="宋体"/>
          <w:color w:val="auto"/>
          <w:sz w:val="21"/>
          <w:szCs w:val="21"/>
          <w:highlight w:val="none"/>
        </w:rPr>
      </w:pPr>
      <w:r>
        <w:rPr>
          <w:rFonts w:hint="eastAsia" w:ascii="宋体" w:hAnsi="宋体" w:cs="宋体"/>
          <w:color w:val="auto"/>
          <w:sz w:val="21"/>
          <w:szCs w:val="21"/>
          <w:highlight w:val="none"/>
        </w:rPr>
        <w:t>（1）投标保证金付款凭证及企业基本账户开户证明文件。</w:t>
      </w:r>
    </w:p>
    <w:p w14:paraId="4464C01F">
      <w:pPr>
        <w:pStyle w:val="2"/>
        <w:ind w:firstLine="420"/>
        <w:rPr>
          <w:rFonts w:ascii="宋体" w:hAnsi="宋体" w:cs="宋体"/>
          <w:color w:val="auto"/>
          <w:sz w:val="21"/>
          <w:szCs w:val="21"/>
          <w:highlight w:val="none"/>
        </w:rPr>
      </w:pPr>
    </w:p>
    <w:p w14:paraId="3520936C">
      <w:pPr>
        <w:pStyle w:val="2"/>
        <w:ind w:firstLine="420"/>
        <w:rPr>
          <w:rFonts w:ascii="宋体" w:hAnsi="宋体" w:cs="宋体"/>
          <w:color w:val="auto"/>
          <w:sz w:val="21"/>
          <w:szCs w:val="21"/>
          <w:highlight w:val="none"/>
        </w:rPr>
      </w:pPr>
    </w:p>
    <w:p w14:paraId="4D9E30FF">
      <w:pPr>
        <w:pStyle w:val="2"/>
        <w:ind w:firstLine="420"/>
        <w:rPr>
          <w:rFonts w:ascii="宋体" w:hAnsi="宋体" w:cs="宋体"/>
          <w:color w:val="auto"/>
          <w:sz w:val="21"/>
          <w:szCs w:val="21"/>
          <w:highlight w:val="none"/>
        </w:rPr>
      </w:pPr>
    </w:p>
    <w:p w14:paraId="156903F7">
      <w:pPr>
        <w:pStyle w:val="2"/>
        <w:ind w:firstLine="420"/>
        <w:rPr>
          <w:rFonts w:ascii="宋体" w:hAnsi="宋体" w:cs="宋体"/>
          <w:color w:val="auto"/>
          <w:sz w:val="21"/>
          <w:szCs w:val="21"/>
          <w:highlight w:val="none"/>
        </w:rPr>
      </w:pPr>
    </w:p>
    <w:p w14:paraId="77D3BFB1">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7B46B259">
      <w:pPr>
        <w:pStyle w:val="2"/>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 ……</w:t>
      </w:r>
    </w:p>
    <w:p w14:paraId="357A6BEA">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3B47CB71">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9.实物商品证明材料</w:t>
      </w:r>
    </w:p>
    <w:p w14:paraId="2ADA3191">
      <w:r>
        <w:br w:type="page"/>
      </w:r>
    </w:p>
    <w:p w14:paraId="1C6AEAA5">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10.虚拟商品证明材料</w:t>
      </w:r>
    </w:p>
    <w:p w14:paraId="48F371EC">
      <w:pPr>
        <w:pStyle w:val="2"/>
      </w:pPr>
    </w:p>
    <w:p w14:paraId="4A5BDB12">
      <w:pPr>
        <w:rPr>
          <w:rFonts w:ascii="宋体" w:hAnsi="宋体" w:cs="宋体"/>
          <w:color w:val="auto"/>
          <w:szCs w:val="24"/>
          <w:highlight w:val="none"/>
        </w:rPr>
      </w:pPr>
      <w:r>
        <w:rPr>
          <w:rFonts w:ascii="宋体" w:hAnsi="宋体" w:cs="宋体"/>
          <w:color w:val="auto"/>
          <w:szCs w:val="24"/>
          <w:highlight w:val="none"/>
        </w:rPr>
        <w:br w:type="page"/>
      </w:r>
    </w:p>
    <w:p w14:paraId="180AB792">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11.公司资质证明材料</w:t>
      </w:r>
    </w:p>
    <w:p w14:paraId="4EAB73BE"/>
    <w:p w14:paraId="44E55F27">
      <w:pPr>
        <w:rPr>
          <w:rFonts w:ascii="宋体" w:hAnsi="宋体"/>
          <w:bCs/>
          <w:color w:val="auto"/>
          <w:sz w:val="24"/>
          <w:szCs w:val="24"/>
          <w:highlight w:val="none"/>
        </w:rPr>
      </w:pPr>
      <w:r>
        <w:rPr>
          <w:rFonts w:ascii="宋体" w:hAnsi="宋体"/>
          <w:bCs/>
          <w:color w:val="auto"/>
          <w:sz w:val="24"/>
          <w:szCs w:val="24"/>
          <w:highlight w:val="none"/>
        </w:rPr>
        <w:br w:type="page"/>
      </w:r>
    </w:p>
    <w:p w14:paraId="538E36C8">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12.同业商品权益供应案例证明材料</w:t>
      </w:r>
    </w:p>
    <w:p w14:paraId="4CAEF6AF">
      <w:r>
        <w:br w:type="page"/>
      </w:r>
    </w:p>
    <w:p w14:paraId="6C116BDA">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13.同业API接口对接案例证明材料</w:t>
      </w:r>
    </w:p>
    <w:p w14:paraId="16EB1F11"/>
    <w:p w14:paraId="3EB56DB3">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ascii="宋体" w:hAnsi="宋体"/>
          <w:b/>
          <w:color w:val="auto"/>
          <w:sz w:val="28"/>
          <w:szCs w:val="28"/>
          <w:highlight w:val="none"/>
        </w:rPr>
        <w:br w:type="page"/>
      </w:r>
      <w:r>
        <w:rPr>
          <w:rFonts w:hint="eastAsia" w:ascii="宋体" w:hAnsi="宋体" w:eastAsia="宋体" w:cs="Times New Roman"/>
          <w:color w:val="auto"/>
          <w:sz w:val="32"/>
          <w:szCs w:val="32"/>
          <w:highlight w:val="none"/>
          <w:lang w:val="en-US" w:eastAsia="zh-CN"/>
        </w:rPr>
        <w:t>14.本地仓储证明材料</w:t>
      </w:r>
    </w:p>
    <w:p w14:paraId="165907D5">
      <w:pPr>
        <w:pStyle w:val="4"/>
        <w:spacing w:before="156" w:beforeLines="50" w:after="156" w:afterLines="50" w:line="400" w:lineRule="exact"/>
        <w:ind w:left="0" w:leftChars="0" w:firstLine="0" w:firstLineChars="0"/>
        <w:jc w:val="center"/>
        <w:rPr>
          <w:rFonts w:hint="default" w:ascii="宋体" w:hAnsi="宋体" w:eastAsia="宋体" w:cs="Times New Roman"/>
          <w:color w:val="auto"/>
          <w:sz w:val="32"/>
          <w:szCs w:val="32"/>
          <w:highlight w:val="none"/>
          <w:lang w:val="en-US" w:eastAsia="zh-CN"/>
        </w:rPr>
      </w:pPr>
      <w:r>
        <w:rPr>
          <w:rFonts w:ascii="宋体" w:hAnsi="宋体"/>
          <w:b/>
          <w:color w:val="auto"/>
          <w:sz w:val="28"/>
          <w:szCs w:val="28"/>
          <w:highlight w:val="none"/>
        </w:rPr>
        <w:br w:type="page"/>
      </w:r>
      <w:r>
        <w:rPr>
          <w:rFonts w:hint="eastAsia" w:ascii="宋体" w:hAnsi="宋体" w:eastAsia="宋体" w:cs="Times New Roman"/>
          <w:color w:val="auto"/>
          <w:sz w:val="32"/>
          <w:szCs w:val="32"/>
          <w:highlight w:val="none"/>
          <w:lang w:val="en-US" w:eastAsia="zh-CN"/>
        </w:rPr>
        <w:t>15.物流公司证明材料</w:t>
      </w:r>
    </w:p>
    <w:p w14:paraId="5EFAC497">
      <w:pPr>
        <w:ind w:left="0" w:leftChars="0" w:firstLine="0" w:firstLineChars="0"/>
        <w:jc w:val="center"/>
        <w:rPr>
          <w:rFonts w:hint="eastAsia" w:ascii="宋体" w:hAnsi="宋体" w:cs="Times New Roman"/>
          <w:b/>
          <w:color w:val="auto"/>
          <w:sz w:val="32"/>
          <w:szCs w:val="32"/>
          <w:highlight w:val="none"/>
          <w:lang w:val="en-US" w:eastAsia="zh-CN" w:bidi="ar-SA"/>
        </w:rPr>
      </w:pPr>
      <w:r>
        <w:br w:type="page"/>
      </w:r>
      <w:r>
        <w:rPr>
          <w:rFonts w:hint="eastAsia" w:ascii="宋体" w:hAnsi="宋体" w:eastAsia="宋体" w:cs="Times New Roman"/>
          <w:b/>
          <w:color w:val="auto"/>
          <w:sz w:val="32"/>
          <w:szCs w:val="32"/>
          <w:highlight w:val="none"/>
          <w:lang w:val="en-US" w:eastAsia="zh-CN" w:bidi="ar-SA"/>
        </w:rPr>
        <w:t>1</w:t>
      </w:r>
      <w:r>
        <w:rPr>
          <w:rFonts w:hint="eastAsia" w:ascii="宋体" w:hAnsi="宋体" w:cs="Times New Roman"/>
          <w:b/>
          <w:color w:val="auto"/>
          <w:sz w:val="32"/>
          <w:szCs w:val="32"/>
          <w:highlight w:val="none"/>
          <w:lang w:val="en-US" w:eastAsia="zh-CN" w:bidi="ar-SA"/>
        </w:rPr>
        <w:t>6</w:t>
      </w:r>
      <w:r>
        <w:rPr>
          <w:rFonts w:hint="eastAsia" w:ascii="宋体" w:hAnsi="宋体" w:eastAsia="宋体" w:cs="Times New Roman"/>
          <w:b/>
          <w:color w:val="auto"/>
          <w:sz w:val="32"/>
          <w:szCs w:val="32"/>
          <w:highlight w:val="none"/>
          <w:lang w:val="en-US" w:eastAsia="zh-CN" w:bidi="ar-SA"/>
        </w:rPr>
        <w:t>.配送时效</w:t>
      </w:r>
      <w:r>
        <w:rPr>
          <w:rFonts w:hint="eastAsia" w:ascii="宋体" w:hAnsi="宋体" w:cs="Times New Roman"/>
          <w:b/>
          <w:color w:val="auto"/>
          <w:sz w:val="32"/>
          <w:szCs w:val="32"/>
          <w:highlight w:val="none"/>
          <w:lang w:val="en-US" w:eastAsia="zh-CN" w:bidi="ar-SA"/>
        </w:rPr>
        <w:t>承诺函</w:t>
      </w:r>
    </w:p>
    <w:p w14:paraId="662C64C6">
      <w:pPr>
        <w:ind w:left="0" w:leftChars="0" w:firstLine="0" w:firstLineChars="0"/>
        <w:jc w:val="center"/>
        <w:rPr>
          <w:rFonts w:hint="eastAsia" w:ascii="宋体" w:hAnsi="宋体" w:cs="Times New Roman"/>
          <w:b/>
          <w:color w:val="auto"/>
          <w:sz w:val="32"/>
          <w:szCs w:val="32"/>
          <w:highlight w:val="none"/>
          <w:lang w:val="en-US" w:eastAsia="zh-CN" w:bidi="ar-SA"/>
        </w:rPr>
      </w:pPr>
      <w:r>
        <w:rPr>
          <w:rFonts w:hint="eastAsia" w:ascii="宋体" w:hAnsi="宋体" w:cs="Times New Roman"/>
          <w:b w:val="0"/>
          <w:bCs/>
          <w:color w:val="auto"/>
          <w:sz w:val="22"/>
          <w:szCs w:val="22"/>
          <w:highlight w:val="none"/>
          <w:lang w:val="en-US" w:eastAsia="zh-CN" w:bidi="ar-SA"/>
        </w:rPr>
        <w:t>（格式自拟）</w:t>
      </w:r>
      <w:r>
        <w:br w:type="page"/>
      </w:r>
      <w:r>
        <w:rPr>
          <w:rFonts w:hint="eastAsia" w:ascii="宋体" w:hAnsi="宋体" w:eastAsia="宋体" w:cs="Times New Roman"/>
          <w:b/>
          <w:color w:val="auto"/>
          <w:sz w:val="32"/>
          <w:szCs w:val="32"/>
          <w:highlight w:val="none"/>
          <w:lang w:val="en-US" w:eastAsia="zh-CN" w:bidi="ar-SA"/>
        </w:rPr>
        <w:t>1</w:t>
      </w:r>
      <w:r>
        <w:rPr>
          <w:rFonts w:hint="eastAsia" w:ascii="宋体" w:hAnsi="宋体" w:cs="Times New Roman"/>
          <w:b/>
          <w:color w:val="auto"/>
          <w:sz w:val="32"/>
          <w:szCs w:val="32"/>
          <w:highlight w:val="none"/>
          <w:lang w:val="en-US" w:eastAsia="zh-CN" w:bidi="ar-SA"/>
        </w:rPr>
        <w:t>7</w:t>
      </w:r>
      <w:r>
        <w:rPr>
          <w:rFonts w:hint="eastAsia" w:ascii="宋体" w:hAnsi="宋体" w:eastAsia="宋体" w:cs="Times New Roman"/>
          <w:b/>
          <w:color w:val="auto"/>
          <w:sz w:val="32"/>
          <w:szCs w:val="32"/>
          <w:highlight w:val="none"/>
          <w:lang w:val="en-US" w:eastAsia="zh-CN" w:bidi="ar-SA"/>
        </w:rPr>
        <w:t>.售后热线</w:t>
      </w:r>
      <w:r>
        <w:rPr>
          <w:rFonts w:hint="eastAsia" w:ascii="宋体" w:hAnsi="宋体" w:cs="Times New Roman"/>
          <w:b/>
          <w:color w:val="auto"/>
          <w:sz w:val="32"/>
          <w:szCs w:val="32"/>
          <w:highlight w:val="none"/>
          <w:lang w:val="en-US" w:eastAsia="zh-CN" w:bidi="ar-SA"/>
        </w:rPr>
        <w:t>承诺函</w:t>
      </w:r>
    </w:p>
    <w:p w14:paraId="00B2BD8C">
      <w:pPr>
        <w:pStyle w:val="2"/>
        <w:ind w:left="0" w:leftChars="0" w:firstLine="0" w:firstLineChars="0"/>
        <w:jc w:val="center"/>
        <w:rPr>
          <w:rFonts w:hint="default"/>
          <w:lang w:val="en-US"/>
        </w:rPr>
      </w:pPr>
      <w:r>
        <w:rPr>
          <w:rFonts w:hint="eastAsia" w:ascii="宋体" w:hAnsi="宋体" w:cs="Times New Roman"/>
          <w:b w:val="0"/>
          <w:bCs/>
          <w:color w:val="auto"/>
          <w:sz w:val="22"/>
          <w:szCs w:val="22"/>
          <w:highlight w:val="none"/>
          <w:lang w:val="en-US" w:eastAsia="zh-CN" w:bidi="ar-SA"/>
        </w:rPr>
        <w:t>（格式自拟）</w:t>
      </w:r>
    </w:p>
    <w:p w14:paraId="41AD31EA">
      <w:pPr>
        <w:rPr>
          <w:rFonts w:hint="eastAsia"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br w:type="page"/>
      </w:r>
    </w:p>
    <w:p w14:paraId="7863596E">
      <w:pPr>
        <w:pStyle w:val="2"/>
        <w:ind w:left="0" w:leftChars="0" w:firstLine="0" w:firstLineChars="0"/>
        <w:jc w:val="center"/>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en-US" w:eastAsia="zh-CN" w:bidi="ar-SA"/>
        </w:rPr>
        <w:t>1</w:t>
      </w:r>
      <w:r>
        <w:rPr>
          <w:rFonts w:hint="eastAsia" w:ascii="宋体" w:hAnsi="宋体" w:cs="Times New Roman"/>
          <w:b/>
          <w:color w:val="auto"/>
          <w:kern w:val="0"/>
          <w:sz w:val="32"/>
          <w:szCs w:val="32"/>
          <w:highlight w:val="none"/>
          <w:lang w:val="en-US" w:eastAsia="zh-CN" w:bidi="ar-SA"/>
        </w:rPr>
        <w:t>8</w:t>
      </w:r>
      <w:r>
        <w:rPr>
          <w:rFonts w:hint="eastAsia" w:ascii="宋体" w:hAnsi="宋体" w:eastAsia="宋体" w:cs="Times New Roman"/>
          <w:b/>
          <w:color w:val="auto"/>
          <w:kern w:val="0"/>
          <w:sz w:val="32"/>
          <w:szCs w:val="32"/>
          <w:highlight w:val="none"/>
          <w:lang w:val="en-US" w:eastAsia="zh-CN" w:bidi="ar-SA"/>
        </w:rPr>
        <w:t>.团队人员证明材料</w:t>
      </w:r>
    </w:p>
    <w:p w14:paraId="6A959E62">
      <w:pPr>
        <w:rPr>
          <w:rFonts w:hint="eastAsia"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br w:type="page"/>
      </w:r>
    </w:p>
    <w:p w14:paraId="3E8C5BBD">
      <w:pPr>
        <w:pStyle w:val="2"/>
        <w:ind w:left="0" w:leftChars="0" w:firstLine="0" w:firstLineChars="0"/>
        <w:jc w:val="center"/>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en-US" w:eastAsia="zh-CN" w:bidi="ar-SA"/>
        </w:rPr>
        <w:t>1</w:t>
      </w:r>
      <w:r>
        <w:rPr>
          <w:rFonts w:hint="eastAsia" w:ascii="宋体" w:hAnsi="宋体" w:cs="Times New Roman"/>
          <w:b/>
          <w:color w:val="auto"/>
          <w:kern w:val="0"/>
          <w:sz w:val="32"/>
          <w:szCs w:val="32"/>
          <w:highlight w:val="none"/>
          <w:lang w:val="en-US" w:eastAsia="zh-CN" w:bidi="ar-SA"/>
        </w:rPr>
        <w:t>9</w:t>
      </w:r>
      <w:r>
        <w:rPr>
          <w:rFonts w:hint="eastAsia" w:ascii="宋体" w:hAnsi="宋体" w:eastAsia="宋体" w:cs="Times New Roman"/>
          <w:b/>
          <w:color w:val="auto"/>
          <w:kern w:val="0"/>
          <w:sz w:val="32"/>
          <w:szCs w:val="32"/>
          <w:highlight w:val="none"/>
          <w:lang w:val="en-US" w:eastAsia="zh-CN" w:bidi="ar-SA"/>
        </w:rPr>
        <w:t>.银企合作证明材料</w:t>
      </w:r>
    </w:p>
    <w:p w14:paraId="1B0C1E4C">
      <w:pPr>
        <w:tabs>
          <w:tab w:val="center" w:pos="4706"/>
        </w:tabs>
        <w:rPr>
          <w:rFonts w:hint="eastAsia"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br w:type="page"/>
      </w:r>
      <w:r>
        <w:rPr>
          <w:rFonts w:hint="eastAsia" w:ascii="宋体" w:hAnsi="宋体" w:cs="Times New Roman"/>
          <w:color w:val="auto"/>
          <w:sz w:val="32"/>
          <w:szCs w:val="32"/>
          <w:highlight w:val="none"/>
          <w:lang w:val="en-US" w:eastAsia="zh-CN"/>
        </w:rPr>
        <w:tab/>
      </w:r>
    </w:p>
    <w:p w14:paraId="3A6F67AD">
      <w:pPr>
        <w:pStyle w:val="4"/>
        <w:spacing w:line="360" w:lineRule="auto"/>
        <w:ind w:left="0" w:leftChars="0" w:firstLine="0" w:firstLineChars="0"/>
        <w:jc w:val="center"/>
        <w:rPr>
          <w:b w:val="0"/>
          <w:color w:val="auto"/>
          <w:highlight w:val="none"/>
        </w:rPr>
      </w:pPr>
      <w:r>
        <w:rPr>
          <w:rFonts w:hint="eastAsia"/>
          <w:color w:val="auto"/>
          <w:highlight w:val="none"/>
        </w:rPr>
        <w:t>三、技术部分</w:t>
      </w:r>
      <w:bookmarkEnd w:id="1015"/>
    </w:p>
    <w:p w14:paraId="08BB4382">
      <w:pPr>
        <w:spacing w:line="240" w:lineRule="auto"/>
        <w:ind w:firstLine="0" w:firstLineChars="0"/>
        <w:rPr>
          <w:rFonts w:ascii="宋体" w:hAnsi="宋体"/>
          <w:b/>
          <w:bCs/>
          <w:color w:val="auto"/>
          <w:sz w:val="40"/>
          <w:szCs w:val="40"/>
          <w:highlight w:val="none"/>
        </w:rPr>
      </w:pPr>
      <w:r>
        <w:rPr>
          <w:rFonts w:ascii="宋体" w:hAnsi="宋体"/>
          <w:b/>
          <w:bCs/>
          <w:color w:val="auto"/>
          <w:sz w:val="40"/>
          <w:szCs w:val="40"/>
          <w:highlight w:val="none"/>
        </w:rPr>
        <w:br w:type="page"/>
      </w:r>
    </w:p>
    <w:p w14:paraId="1B02D946">
      <w:pPr>
        <w:pStyle w:val="39"/>
        <w:tabs>
          <w:tab w:val="left" w:pos="525"/>
        </w:tabs>
        <w:spacing w:after="156" w:afterLines="50" w:line="400" w:lineRule="exact"/>
        <w:ind w:firstLine="803"/>
        <w:jc w:val="center"/>
        <w:rPr>
          <w:rFonts w:ascii="宋体" w:hAnsi="宋体"/>
          <w:b/>
          <w:bCs/>
          <w:color w:val="auto"/>
          <w:sz w:val="40"/>
          <w:szCs w:val="40"/>
          <w:highlight w:val="none"/>
        </w:rPr>
      </w:pPr>
    </w:p>
    <w:p w14:paraId="16736683">
      <w:pPr>
        <w:tabs>
          <w:tab w:val="left" w:pos="2580"/>
          <w:tab w:val="left" w:pos="5940"/>
        </w:tabs>
        <w:autoSpaceDE w:val="0"/>
        <w:autoSpaceDN w:val="0"/>
        <w:adjustRightInd w:val="0"/>
        <w:snapToGrid w:val="0"/>
        <w:spacing w:line="400" w:lineRule="exact"/>
        <w:ind w:left="0" w:leftChars="0" w:firstLine="0" w:firstLineChars="0"/>
        <w:jc w:val="center"/>
        <w:rPr>
          <w:rFonts w:ascii="宋体" w:hAnsi="宋体" w:cs="楷体"/>
          <w:color w:val="auto"/>
          <w:sz w:val="28"/>
          <w:highlight w:val="none"/>
        </w:rPr>
      </w:pPr>
      <w:bookmarkStart w:id="1016" w:name="OLE_LINK2"/>
      <w:r>
        <w:rPr>
          <w:rFonts w:hint="eastAsia" w:ascii="宋体" w:hAnsi="宋体" w:cs="楷体"/>
          <w:b/>
          <w:color w:val="auto"/>
          <w:sz w:val="28"/>
          <w:highlight w:val="none"/>
          <w:u w:val="single"/>
        </w:rPr>
        <w:t xml:space="preserve">                              </w:t>
      </w:r>
      <w:r>
        <w:rPr>
          <w:rFonts w:hint="eastAsia" w:ascii="宋体" w:hAnsi="宋体" w:cs="楷体"/>
          <w:b/>
          <w:color w:val="auto"/>
          <w:sz w:val="28"/>
          <w:highlight w:val="none"/>
        </w:rPr>
        <w:t>（项目名称）</w:t>
      </w:r>
    </w:p>
    <w:bookmarkEnd w:id="1016"/>
    <w:p w14:paraId="3361A8D5">
      <w:pPr>
        <w:tabs>
          <w:tab w:val="left" w:pos="2580"/>
          <w:tab w:val="left" w:pos="5940"/>
        </w:tabs>
        <w:autoSpaceDE w:val="0"/>
        <w:autoSpaceDN w:val="0"/>
        <w:adjustRightInd w:val="0"/>
        <w:snapToGrid w:val="0"/>
        <w:spacing w:line="400" w:lineRule="exact"/>
        <w:ind w:left="0" w:leftChars="0" w:firstLine="0" w:firstLineChars="0"/>
        <w:jc w:val="center"/>
        <w:rPr>
          <w:rFonts w:ascii="宋体" w:hAnsi="宋体" w:cs="楷体"/>
          <w:color w:val="auto"/>
          <w:sz w:val="28"/>
          <w:highlight w:val="none"/>
          <w:u w:val="single"/>
        </w:rPr>
      </w:pPr>
    </w:p>
    <w:p w14:paraId="4A33A65C">
      <w:pPr>
        <w:tabs>
          <w:tab w:val="left" w:pos="3600"/>
          <w:tab w:val="left" w:pos="4480"/>
          <w:tab w:val="left" w:pos="5360"/>
        </w:tabs>
        <w:autoSpaceDE w:val="0"/>
        <w:autoSpaceDN w:val="0"/>
        <w:adjustRightInd w:val="0"/>
        <w:snapToGrid w:val="0"/>
        <w:spacing w:line="400" w:lineRule="exact"/>
        <w:ind w:left="0" w:leftChars="0" w:firstLine="0" w:firstLineChars="0"/>
        <w:rPr>
          <w:rFonts w:ascii="宋体" w:hAnsi="宋体" w:cs="MingLiU"/>
          <w:color w:val="auto"/>
          <w:sz w:val="44"/>
          <w:szCs w:val="44"/>
          <w:highlight w:val="none"/>
        </w:rPr>
      </w:pPr>
    </w:p>
    <w:p w14:paraId="02A6C0AD">
      <w:pPr>
        <w:tabs>
          <w:tab w:val="left" w:pos="3600"/>
          <w:tab w:val="left" w:pos="4480"/>
          <w:tab w:val="left" w:pos="5360"/>
        </w:tabs>
        <w:autoSpaceDE w:val="0"/>
        <w:autoSpaceDN w:val="0"/>
        <w:adjustRightInd w:val="0"/>
        <w:snapToGrid w:val="0"/>
        <w:spacing w:line="1200" w:lineRule="exact"/>
        <w:ind w:left="0" w:leftChars="0" w:firstLine="0" w:firstLineChars="0"/>
        <w:rPr>
          <w:rFonts w:ascii="宋体" w:hAnsi="宋体" w:cs="MingLiU"/>
          <w:color w:val="auto"/>
          <w:sz w:val="44"/>
          <w:szCs w:val="44"/>
          <w:highlight w:val="none"/>
        </w:rPr>
      </w:pPr>
    </w:p>
    <w:p w14:paraId="7C8A8547">
      <w:pPr>
        <w:tabs>
          <w:tab w:val="left" w:pos="3600"/>
          <w:tab w:val="left" w:pos="4480"/>
          <w:tab w:val="left" w:pos="5360"/>
        </w:tabs>
        <w:autoSpaceDE w:val="0"/>
        <w:autoSpaceDN w:val="0"/>
        <w:adjustRightInd w:val="0"/>
        <w:snapToGrid w:val="0"/>
        <w:spacing w:line="1200" w:lineRule="exact"/>
        <w:ind w:left="0" w:leftChars="0" w:firstLine="0" w:firstLineChars="0"/>
        <w:rPr>
          <w:rFonts w:ascii="宋体" w:hAnsi="宋体" w:cs="MingLiU"/>
          <w:color w:val="auto"/>
          <w:sz w:val="44"/>
          <w:szCs w:val="44"/>
          <w:highlight w:val="none"/>
        </w:rPr>
      </w:pPr>
    </w:p>
    <w:p w14:paraId="67999C6A">
      <w:pPr>
        <w:tabs>
          <w:tab w:val="left" w:pos="3600"/>
          <w:tab w:val="left" w:pos="4480"/>
          <w:tab w:val="left" w:pos="5360"/>
        </w:tabs>
        <w:autoSpaceDE w:val="0"/>
        <w:autoSpaceDN w:val="0"/>
        <w:adjustRightInd w:val="0"/>
        <w:snapToGrid w:val="0"/>
        <w:spacing w:line="1200" w:lineRule="exact"/>
        <w:ind w:left="0" w:leftChars="0" w:firstLine="0" w:firstLineChars="0"/>
        <w:jc w:val="center"/>
        <w:rPr>
          <w:rFonts w:ascii="宋体" w:hAnsi="宋体" w:cs="MingLiU"/>
          <w:b/>
          <w:color w:val="auto"/>
          <w:sz w:val="84"/>
          <w:szCs w:val="84"/>
          <w:highlight w:val="none"/>
        </w:rPr>
      </w:pPr>
      <w:r>
        <w:rPr>
          <w:rFonts w:hint="eastAsia" w:ascii="宋体" w:hAnsi="宋体" w:cs="MingLiU"/>
          <w:b/>
          <w:color w:val="auto"/>
          <w:sz w:val="84"/>
          <w:szCs w:val="84"/>
          <w:highlight w:val="none"/>
        </w:rPr>
        <w:t>投  标  文  件</w:t>
      </w:r>
    </w:p>
    <w:p w14:paraId="1A88216F">
      <w:pPr>
        <w:autoSpaceDE w:val="0"/>
        <w:autoSpaceDN w:val="0"/>
        <w:adjustRightInd w:val="0"/>
        <w:snapToGrid w:val="0"/>
        <w:spacing w:line="1200" w:lineRule="exact"/>
        <w:ind w:left="0" w:leftChars="0" w:firstLine="0" w:firstLineChars="0"/>
        <w:rPr>
          <w:rFonts w:ascii="宋体" w:hAnsi="宋体" w:cs="MingLiU"/>
          <w:color w:val="auto"/>
          <w:sz w:val="16"/>
          <w:szCs w:val="16"/>
          <w:highlight w:val="none"/>
        </w:rPr>
      </w:pPr>
    </w:p>
    <w:p w14:paraId="77BEE066">
      <w:pPr>
        <w:autoSpaceDE w:val="0"/>
        <w:autoSpaceDN w:val="0"/>
        <w:adjustRightInd w:val="0"/>
        <w:snapToGrid w:val="0"/>
        <w:spacing w:line="1200" w:lineRule="exact"/>
        <w:ind w:left="0" w:leftChars="0" w:firstLine="0" w:firstLineChars="0"/>
        <w:jc w:val="center"/>
        <w:rPr>
          <w:rFonts w:ascii="宋体" w:hAnsi="宋体" w:cs="MingLiU"/>
          <w:b/>
          <w:color w:val="auto"/>
          <w:sz w:val="32"/>
          <w:szCs w:val="32"/>
          <w:highlight w:val="none"/>
        </w:rPr>
      </w:pPr>
      <w:r>
        <w:rPr>
          <w:rFonts w:hint="eastAsia" w:ascii="宋体" w:hAnsi="宋体" w:cs="MingLiU"/>
          <w:b/>
          <w:color w:val="auto"/>
          <w:sz w:val="32"/>
          <w:szCs w:val="32"/>
          <w:highlight w:val="none"/>
        </w:rPr>
        <w:t>技 术 部 分</w:t>
      </w:r>
    </w:p>
    <w:p w14:paraId="06E65BB4">
      <w:pPr>
        <w:autoSpaceDE w:val="0"/>
        <w:autoSpaceDN w:val="0"/>
        <w:adjustRightInd w:val="0"/>
        <w:snapToGrid w:val="0"/>
        <w:spacing w:line="400" w:lineRule="exact"/>
        <w:ind w:left="0" w:leftChars="0" w:firstLine="0" w:firstLineChars="0"/>
        <w:rPr>
          <w:rFonts w:ascii="宋体" w:hAnsi="宋体" w:cs="MingLiU"/>
          <w:b/>
          <w:color w:val="auto"/>
          <w:highlight w:val="none"/>
        </w:rPr>
      </w:pPr>
    </w:p>
    <w:p w14:paraId="684FB7BB">
      <w:pPr>
        <w:autoSpaceDE w:val="0"/>
        <w:autoSpaceDN w:val="0"/>
        <w:adjustRightInd w:val="0"/>
        <w:snapToGrid w:val="0"/>
        <w:spacing w:line="400" w:lineRule="exact"/>
        <w:ind w:left="0" w:leftChars="0" w:firstLine="0" w:firstLineChars="0"/>
        <w:rPr>
          <w:rFonts w:ascii="宋体" w:hAnsi="宋体" w:cs="MingLiU"/>
          <w:b/>
          <w:color w:val="auto"/>
          <w:highlight w:val="none"/>
        </w:rPr>
      </w:pPr>
    </w:p>
    <w:p w14:paraId="0B6F2DAD">
      <w:pPr>
        <w:autoSpaceDE w:val="0"/>
        <w:autoSpaceDN w:val="0"/>
        <w:adjustRightInd w:val="0"/>
        <w:snapToGrid w:val="0"/>
        <w:spacing w:line="400" w:lineRule="exact"/>
        <w:ind w:left="0" w:leftChars="0" w:firstLine="0" w:firstLineChars="0"/>
        <w:rPr>
          <w:rFonts w:ascii="宋体" w:hAnsi="宋体" w:cs="MingLiU"/>
          <w:b/>
          <w:color w:val="auto"/>
          <w:highlight w:val="none"/>
        </w:rPr>
      </w:pPr>
    </w:p>
    <w:p w14:paraId="41D5FFF5">
      <w:pPr>
        <w:autoSpaceDE w:val="0"/>
        <w:autoSpaceDN w:val="0"/>
        <w:adjustRightInd w:val="0"/>
        <w:snapToGrid w:val="0"/>
        <w:spacing w:line="400" w:lineRule="exact"/>
        <w:ind w:left="0" w:leftChars="0" w:firstLine="0" w:firstLineChars="0"/>
        <w:rPr>
          <w:rFonts w:ascii="宋体" w:hAnsi="宋体" w:cs="MingLiU"/>
          <w:b/>
          <w:color w:val="auto"/>
          <w:highlight w:val="none"/>
        </w:rPr>
      </w:pPr>
    </w:p>
    <w:p w14:paraId="54E078BE">
      <w:pPr>
        <w:autoSpaceDE w:val="0"/>
        <w:autoSpaceDN w:val="0"/>
        <w:adjustRightInd w:val="0"/>
        <w:snapToGrid w:val="0"/>
        <w:spacing w:line="400" w:lineRule="exact"/>
        <w:ind w:left="0" w:leftChars="0" w:firstLine="0" w:firstLineChars="0"/>
        <w:rPr>
          <w:rFonts w:ascii="宋体" w:hAnsi="宋体" w:cs="MingLiU"/>
          <w:b/>
          <w:color w:val="auto"/>
          <w:highlight w:val="none"/>
        </w:rPr>
      </w:pPr>
    </w:p>
    <w:p w14:paraId="231940EF">
      <w:pPr>
        <w:autoSpaceDE w:val="0"/>
        <w:autoSpaceDN w:val="0"/>
        <w:adjustRightInd w:val="0"/>
        <w:snapToGrid w:val="0"/>
        <w:spacing w:line="400" w:lineRule="exact"/>
        <w:ind w:left="0" w:leftChars="0" w:firstLine="0" w:firstLineChars="0"/>
        <w:rPr>
          <w:rFonts w:ascii="宋体" w:hAnsi="宋体" w:cs="MingLiU"/>
          <w:b/>
          <w:color w:val="auto"/>
          <w:highlight w:val="none"/>
        </w:rPr>
      </w:pPr>
    </w:p>
    <w:p w14:paraId="128C03E4">
      <w:pPr>
        <w:tabs>
          <w:tab w:val="left" w:pos="6080"/>
          <w:tab w:val="left" w:pos="6640"/>
        </w:tabs>
        <w:autoSpaceDE w:val="0"/>
        <w:autoSpaceDN w:val="0"/>
        <w:adjustRightInd w:val="0"/>
        <w:snapToGrid w:val="0"/>
        <w:spacing w:line="500" w:lineRule="exact"/>
        <w:ind w:left="0" w:leftChars="0" w:firstLine="0" w:firstLineChars="0"/>
        <w:jc w:val="center"/>
        <w:rPr>
          <w:rFonts w:ascii="宋体" w:hAnsi="宋体"/>
          <w:b/>
          <w:color w:val="auto"/>
          <w:w w:val="99"/>
          <w:sz w:val="28"/>
          <w:szCs w:val="28"/>
          <w:highlight w:val="none"/>
        </w:rPr>
      </w:pPr>
      <w:r>
        <w:rPr>
          <w:rFonts w:hint="eastAsia" w:ascii="宋体" w:hAnsi="宋体" w:cs="MingLiU"/>
          <w:b/>
          <w:color w:val="auto"/>
          <w:w w:val="99"/>
          <w:sz w:val="28"/>
          <w:szCs w:val="28"/>
          <w:highlight w:val="none"/>
        </w:rPr>
        <w:t>投</w:t>
      </w:r>
      <w:r>
        <w:rPr>
          <w:rFonts w:hint="eastAsia" w:ascii="宋体" w:hAnsi="宋体" w:cs="MingLiU"/>
          <w:b/>
          <w:color w:val="auto"/>
          <w:w w:val="99"/>
          <w:sz w:val="28"/>
          <w:szCs w:val="28"/>
          <w:highlight w:val="none"/>
          <w:lang w:val="en-US" w:eastAsia="zh-CN"/>
        </w:rPr>
        <w:t xml:space="preserve">  </w:t>
      </w:r>
      <w:r>
        <w:rPr>
          <w:rFonts w:hint="eastAsia" w:ascii="宋体" w:hAnsi="宋体" w:cs="MingLiU"/>
          <w:b/>
          <w:color w:val="auto"/>
          <w:w w:val="99"/>
          <w:sz w:val="28"/>
          <w:szCs w:val="28"/>
          <w:highlight w:val="none"/>
        </w:rPr>
        <w:t>标</w:t>
      </w:r>
      <w:r>
        <w:rPr>
          <w:rFonts w:hint="eastAsia" w:ascii="宋体" w:hAnsi="宋体" w:cs="MingLiU"/>
          <w:b/>
          <w:color w:val="auto"/>
          <w:w w:val="99"/>
          <w:sz w:val="28"/>
          <w:szCs w:val="28"/>
          <w:highlight w:val="none"/>
          <w:lang w:val="en-US" w:eastAsia="zh-CN"/>
        </w:rPr>
        <w:t xml:space="preserve">  </w:t>
      </w:r>
      <w:r>
        <w:rPr>
          <w:rFonts w:hint="eastAsia" w:ascii="宋体" w:hAnsi="宋体" w:cs="MingLiU"/>
          <w:b/>
          <w:color w:val="auto"/>
          <w:w w:val="99"/>
          <w:sz w:val="28"/>
          <w:szCs w:val="28"/>
          <w:highlight w:val="none"/>
        </w:rPr>
        <w:t>人</w:t>
      </w:r>
      <w:r>
        <w:rPr>
          <w:rFonts w:hint="eastAsia" w:ascii="宋体" w:hAnsi="宋体" w:cs="MingLiU"/>
          <w:b/>
          <w:color w:val="auto"/>
          <w:spacing w:val="1"/>
          <w:w w:val="99"/>
          <w:sz w:val="28"/>
          <w:szCs w:val="28"/>
          <w:highlight w:val="none"/>
        </w:rPr>
        <w:t>：</w:t>
      </w:r>
      <w:r>
        <w:rPr>
          <w:rFonts w:hint="eastAsia" w:ascii="宋体" w:hAnsi="宋体" w:cs="MingLiU"/>
          <w:b/>
          <w:color w:val="auto"/>
          <w:w w:val="198"/>
          <w:sz w:val="28"/>
          <w:szCs w:val="28"/>
          <w:highlight w:val="none"/>
          <w:u w:val="single"/>
        </w:rPr>
        <w:t xml:space="preserve"> 　　　　 　　</w:t>
      </w:r>
      <w:r>
        <w:rPr>
          <w:rFonts w:hint="eastAsia" w:ascii="宋体" w:hAnsi="宋体" w:cs="MingLiU"/>
          <w:b/>
          <w:color w:val="auto"/>
          <w:w w:val="99"/>
          <w:sz w:val="28"/>
          <w:szCs w:val="28"/>
          <w:highlight w:val="none"/>
        </w:rPr>
        <w:t>（盖单位法人章）</w:t>
      </w:r>
    </w:p>
    <w:p w14:paraId="4FD4128D">
      <w:pPr>
        <w:tabs>
          <w:tab w:val="left" w:pos="6080"/>
          <w:tab w:val="left" w:pos="6640"/>
        </w:tabs>
        <w:autoSpaceDE w:val="0"/>
        <w:autoSpaceDN w:val="0"/>
        <w:adjustRightInd w:val="0"/>
        <w:snapToGrid w:val="0"/>
        <w:spacing w:line="500" w:lineRule="exact"/>
        <w:ind w:left="0" w:leftChars="0" w:firstLine="0" w:firstLineChars="0"/>
        <w:jc w:val="center"/>
        <w:rPr>
          <w:rFonts w:ascii="宋体" w:hAnsi="宋体" w:cs="MingLiU"/>
          <w:b/>
          <w:color w:val="auto"/>
          <w:sz w:val="28"/>
          <w:szCs w:val="28"/>
          <w:highlight w:val="none"/>
        </w:rPr>
      </w:pPr>
      <w:r>
        <w:rPr>
          <w:rFonts w:hint="eastAsia" w:ascii="宋体" w:hAnsi="宋体" w:cs="MingLiU"/>
          <w:b/>
          <w:color w:val="auto"/>
          <w:w w:val="99"/>
          <w:sz w:val="28"/>
          <w:szCs w:val="28"/>
          <w:highlight w:val="none"/>
        </w:rPr>
        <w:t>法定代表人或其委托代理人：</w:t>
      </w:r>
      <w:r>
        <w:rPr>
          <w:rFonts w:hint="eastAsia" w:ascii="宋体" w:hAnsi="宋体" w:cs="MingLiU"/>
          <w:b/>
          <w:color w:val="auto"/>
          <w:w w:val="198"/>
          <w:sz w:val="28"/>
          <w:szCs w:val="28"/>
          <w:highlight w:val="none"/>
          <w:u w:val="single"/>
        </w:rPr>
        <w:t xml:space="preserve">  　　　</w:t>
      </w:r>
      <w:r>
        <w:rPr>
          <w:rFonts w:hint="eastAsia" w:ascii="宋体" w:hAnsi="宋体" w:cs="MingLiU"/>
          <w:b/>
          <w:color w:val="auto"/>
          <w:w w:val="99"/>
          <w:sz w:val="28"/>
          <w:szCs w:val="28"/>
          <w:highlight w:val="none"/>
        </w:rPr>
        <w:t>（签字或盖章）</w:t>
      </w:r>
    </w:p>
    <w:p w14:paraId="10FBCCEA">
      <w:pPr>
        <w:tabs>
          <w:tab w:val="left" w:pos="3280"/>
          <w:tab w:val="left" w:pos="4680"/>
          <w:tab w:val="left" w:pos="6080"/>
        </w:tabs>
        <w:autoSpaceDE w:val="0"/>
        <w:autoSpaceDN w:val="0"/>
        <w:adjustRightInd w:val="0"/>
        <w:snapToGrid w:val="0"/>
        <w:spacing w:line="500" w:lineRule="exact"/>
        <w:ind w:left="0" w:leftChars="0" w:firstLine="0" w:firstLineChars="0"/>
        <w:jc w:val="center"/>
        <w:rPr>
          <w:rFonts w:ascii="宋体" w:hAnsi="宋体" w:cs="MingLiU"/>
          <w:b/>
          <w:color w:val="auto"/>
          <w:w w:val="99"/>
          <w:sz w:val="28"/>
          <w:szCs w:val="28"/>
          <w:highlight w:val="none"/>
        </w:rPr>
      </w:pPr>
      <w:r>
        <w:rPr>
          <w:rFonts w:hint="eastAsia" w:ascii="宋体" w:hAnsi="宋体" w:cs="MingLiU"/>
          <w:b/>
          <w:color w:val="auto"/>
          <w:w w:val="99"/>
          <w:sz w:val="28"/>
          <w:szCs w:val="28"/>
          <w:highlight w:val="none"/>
          <w:u w:val="single"/>
        </w:rPr>
        <w:t xml:space="preserve">     </w:t>
      </w:r>
      <w:r>
        <w:rPr>
          <w:rFonts w:hint="eastAsia" w:ascii="宋体" w:hAnsi="宋体" w:cs="MingLiU"/>
          <w:b/>
          <w:color w:val="auto"/>
          <w:w w:val="99"/>
          <w:sz w:val="28"/>
          <w:szCs w:val="28"/>
          <w:highlight w:val="none"/>
        </w:rPr>
        <w:t>年</w:t>
      </w:r>
      <w:r>
        <w:rPr>
          <w:rFonts w:hint="eastAsia" w:ascii="宋体" w:hAnsi="宋体" w:cs="MingLiU"/>
          <w:b/>
          <w:color w:val="auto"/>
          <w:w w:val="99"/>
          <w:sz w:val="28"/>
          <w:szCs w:val="28"/>
          <w:highlight w:val="none"/>
          <w:u w:val="single"/>
        </w:rPr>
        <w:t xml:space="preserve">    </w:t>
      </w:r>
      <w:r>
        <w:rPr>
          <w:rFonts w:hint="eastAsia" w:ascii="宋体" w:hAnsi="宋体" w:cs="MingLiU"/>
          <w:b/>
          <w:color w:val="auto"/>
          <w:w w:val="99"/>
          <w:sz w:val="28"/>
          <w:szCs w:val="28"/>
          <w:highlight w:val="none"/>
        </w:rPr>
        <w:t>月</w:t>
      </w:r>
      <w:r>
        <w:rPr>
          <w:rFonts w:hint="eastAsia" w:ascii="宋体" w:hAnsi="宋体" w:cs="MingLiU"/>
          <w:b/>
          <w:color w:val="auto"/>
          <w:w w:val="99"/>
          <w:sz w:val="28"/>
          <w:szCs w:val="28"/>
          <w:highlight w:val="none"/>
          <w:u w:val="single"/>
        </w:rPr>
        <w:t xml:space="preserve">   </w:t>
      </w:r>
      <w:r>
        <w:rPr>
          <w:rFonts w:hint="eastAsia" w:ascii="宋体" w:hAnsi="宋体" w:cs="MingLiU"/>
          <w:b/>
          <w:color w:val="auto"/>
          <w:w w:val="99"/>
          <w:sz w:val="28"/>
          <w:szCs w:val="28"/>
          <w:highlight w:val="none"/>
        </w:rPr>
        <w:t>日</w:t>
      </w:r>
    </w:p>
    <w:p w14:paraId="5AB21362">
      <w:pPr>
        <w:pStyle w:val="39"/>
        <w:tabs>
          <w:tab w:val="left" w:pos="525"/>
        </w:tabs>
        <w:spacing w:after="156" w:afterLines="50" w:line="400" w:lineRule="exact"/>
        <w:ind w:firstLine="562"/>
        <w:jc w:val="center"/>
        <w:rPr>
          <w:rFonts w:ascii="宋体" w:hAnsi="宋体"/>
          <w:b/>
          <w:bCs/>
          <w:color w:val="auto"/>
          <w:highlight w:val="none"/>
        </w:rPr>
      </w:pPr>
      <w:r>
        <w:rPr>
          <w:rFonts w:ascii="宋体" w:hAnsi="宋体"/>
          <w:b/>
          <w:bCs/>
          <w:color w:val="auto"/>
          <w:highlight w:val="none"/>
        </w:rPr>
        <w:br w:type="page"/>
      </w:r>
    </w:p>
    <w:p w14:paraId="46E150DE">
      <w:pPr>
        <w:ind w:firstLine="562"/>
        <w:rPr>
          <w:rFonts w:ascii="宋体" w:hAnsi="宋体" w:cs="宋体"/>
          <w:b/>
          <w:color w:val="auto"/>
          <w:sz w:val="28"/>
          <w:szCs w:val="28"/>
          <w:highlight w:val="none"/>
        </w:rPr>
      </w:pPr>
    </w:p>
    <w:p w14:paraId="0DA586E0">
      <w:pPr>
        <w:ind w:firstLine="442"/>
        <w:jc w:val="center"/>
        <w:rPr>
          <w:rFonts w:ascii="宋体" w:hAnsi="宋体" w:cs="宋体"/>
          <w:b/>
          <w:color w:val="auto"/>
          <w:sz w:val="22"/>
          <w:szCs w:val="28"/>
          <w:highlight w:val="none"/>
        </w:rPr>
      </w:pPr>
      <w:r>
        <w:rPr>
          <w:rFonts w:hint="eastAsia" w:ascii="宋体" w:hAnsi="宋体" w:cs="宋体"/>
          <w:b/>
          <w:color w:val="auto"/>
          <w:sz w:val="22"/>
          <w:szCs w:val="28"/>
          <w:highlight w:val="none"/>
        </w:rPr>
        <w:t>投标人自拟提供</w:t>
      </w:r>
    </w:p>
    <w:p w14:paraId="07128D29">
      <w:pPr>
        <w:spacing w:line="400" w:lineRule="exact"/>
        <w:ind w:firstLine="480"/>
        <w:rPr>
          <w:rFonts w:ascii="宋体" w:hAnsi="宋体"/>
          <w:bCs/>
          <w:color w:val="auto"/>
          <w:sz w:val="24"/>
          <w:szCs w:val="24"/>
          <w:highlight w:val="none"/>
        </w:rPr>
      </w:pPr>
    </w:p>
    <w:p w14:paraId="6B8CD7DE">
      <w:pPr>
        <w:spacing w:line="400" w:lineRule="exact"/>
        <w:ind w:firstLine="480"/>
        <w:rPr>
          <w:rFonts w:ascii="宋体" w:hAnsi="宋体"/>
          <w:bCs/>
          <w:color w:val="auto"/>
          <w:sz w:val="24"/>
          <w:szCs w:val="24"/>
          <w:highlight w:val="none"/>
        </w:rPr>
      </w:pPr>
    </w:p>
    <w:p w14:paraId="60B8911C">
      <w:pPr>
        <w:spacing w:line="400" w:lineRule="exact"/>
        <w:ind w:firstLine="480"/>
        <w:rPr>
          <w:rFonts w:ascii="宋体" w:hAnsi="宋体"/>
          <w:bCs/>
          <w:color w:val="auto"/>
          <w:sz w:val="24"/>
          <w:szCs w:val="24"/>
          <w:highlight w:val="none"/>
        </w:rPr>
      </w:pPr>
    </w:p>
    <w:p w14:paraId="03ADA9D1">
      <w:pPr>
        <w:pStyle w:val="2"/>
        <w:ind w:firstLine="480"/>
        <w:rPr>
          <w:rFonts w:ascii="宋体" w:hAnsi="宋体"/>
          <w:bCs/>
          <w:color w:val="auto"/>
          <w:szCs w:val="24"/>
          <w:highlight w:val="none"/>
        </w:rPr>
      </w:pPr>
    </w:p>
    <w:p w14:paraId="1F6E684B">
      <w:pPr>
        <w:ind w:firstLine="480"/>
        <w:rPr>
          <w:rFonts w:ascii="宋体" w:hAnsi="宋体"/>
          <w:bCs/>
          <w:color w:val="auto"/>
          <w:sz w:val="24"/>
          <w:szCs w:val="24"/>
          <w:highlight w:val="none"/>
        </w:rPr>
      </w:pPr>
    </w:p>
    <w:p w14:paraId="59733248">
      <w:pPr>
        <w:pStyle w:val="2"/>
        <w:ind w:firstLine="480"/>
        <w:rPr>
          <w:rFonts w:ascii="宋体" w:hAnsi="宋体"/>
          <w:bCs/>
          <w:color w:val="auto"/>
          <w:szCs w:val="24"/>
          <w:highlight w:val="none"/>
        </w:rPr>
      </w:pPr>
    </w:p>
    <w:p w14:paraId="4AE663F4">
      <w:pPr>
        <w:ind w:firstLine="480"/>
        <w:rPr>
          <w:rFonts w:ascii="宋体" w:hAnsi="宋体"/>
          <w:bCs/>
          <w:color w:val="auto"/>
          <w:sz w:val="24"/>
          <w:szCs w:val="24"/>
          <w:highlight w:val="none"/>
        </w:rPr>
      </w:pPr>
    </w:p>
    <w:p w14:paraId="6E29E402">
      <w:pPr>
        <w:pStyle w:val="2"/>
        <w:ind w:firstLine="480"/>
        <w:rPr>
          <w:rFonts w:ascii="宋体" w:hAnsi="宋体"/>
          <w:bCs/>
          <w:color w:val="auto"/>
          <w:szCs w:val="24"/>
          <w:highlight w:val="none"/>
        </w:rPr>
      </w:pPr>
    </w:p>
    <w:p w14:paraId="4E848632">
      <w:pPr>
        <w:ind w:firstLine="480"/>
        <w:rPr>
          <w:rFonts w:ascii="宋体" w:hAnsi="宋体"/>
          <w:bCs/>
          <w:color w:val="auto"/>
          <w:sz w:val="24"/>
          <w:szCs w:val="24"/>
          <w:highlight w:val="none"/>
        </w:rPr>
      </w:pPr>
    </w:p>
    <w:p w14:paraId="36808F01">
      <w:pPr>
        <w:spacing w:line="240" w:lineRule="auto"/>
        <w:ind w:firstLine="0" w:firstLineChars="0"/>
        <w:rPr>
          <w:rFonts w:ascii="宋体" w:hAnsi="宋体"/>
          <w:bCs/>
          <w:color w:val="auto"/>
          <w:kern w:val="2"/>
          <w:sz w:val="24"/>
          <w:szCs w:val="24"/>
          <w:highlight w:val="none"/>
        </w:rPr>
      </w:pPr>
      <w:r>
        <w:rPr>
          <w:rFonts w:ascii="宋体" w:hAnsi="宋体"/>
          <w:bCs/>
          <w:color w:val="auto"/>
          <w:szCs w:val="24"/>
          <w:highlight w:val="none"/>
        </w:rPr>
        <w:br w:type="page"/>
      </w:r>
    </w:p>
    <w:p w14:paraId="6D72F341">
      <w:pPr>
        <w:pStyle w:val="2"/>
        <w:ind w:firstLine="480"/>
        <w:rPr>
          <w:rFonts w:ascii="宋体" w:hAnsi="宋体"/>
          <w:bCs/>
          <w:color w:val="auto"/>
          <w:szCs w:val="24"/>
          <w:highlight w:val="none"/>
        </w:rPr>
      </w:pPr>
    </w:p>
    <w:p w14:paraId="16032F14">
      <w:pPr>
        <w:ind w:firstLine="420"/>
        <w:rPr>
          <w:color w:val="auto"/>
          <w:highlight w:val="none"/>
        </w:rPr>
      </w:pPr>
    </w:p>
    <w:p w14:paraId="2CE9AEC7">
      <w:pPr>
        <w:spacing w:line="400" w:lineRule="exact"/>
        <w:ind w:firstLine="480"/>
        <w:rPr>
          <w:rFonts w:ascii="宋体" w:hAnsi="宋体"/>
          <w:bCs/>
          <w:color w:val="auto"/>
          <w:sz w:val="24"/>
          <w:szCs w:val="24"/>
          <w:highlight w:val="none"/>
        </w:rPr>
      </w:pPr>
    </w:p>
    <w:p w14:paraId="043D495F">
      <w:pPr>
        <w:spacing w:line="400" w:lineRule="exact"/>
        <w:ind w:firstLine="482"/>
        <w:jc w:val="center"/>
        <w:rPr>
          <w:rFonts w:ascii="宋体" w:hAnsi="宋体"/>
          <w:b/>
          <w:bCs/>
          <w:color w:val="auto"/>
          <w:sz w:val="24"/>
          <w:szCs w:val="24"/>
          <w:highlight w:val="none"/>
        </w:rPr>
      </w:pPr>
      <w:r>
        <w:rPr>
          <w:rFonts w:hint="eastAsia" w:ascii="宋体" w:hAnsi="宋体"/>
          <w:b/>
          <w:bCs/>
          <w:color w:val="auto"/>
          <w:sz w:val="24"/>
          <w:szCs w:val="24"/>
          <w:highlight w:val="none"/>
        </w:rPr>
        <w:t>（完）</w:t>
      </w:r>
    </w:p>
    <w:p w14:paraId="4AD88524">
      <w:pPr>
        <w:spacing w:line="400" w:lineRule="exact"/>
        <w:ind w:firstLine="480"/>
        <w:rPr>
          <w:rFonts w:ascii="宋体" w:hAnsi="宋体"/>
          <w:bCs/>
          <w:color w:val="auto"/>
          <w:sz w:val="24"/>
          <w:szCs w:val="24"/>
          <w:highlight w:val="none"/>
        </w:rPr>
      </w:pPr>
    </w:p>
    <w:p w14:paraId="51E4A8B4">
      <w:pPr>
        <w:spacing w:line="400" w:lineRule="exact"/>
        <w:ind w:firstLine="480"/>
        <w:rPr>
          <w:rFonts w:ascii="宋体" w:hAnsi="宋体" w:cs="Arial"/>
          <w:color w:val="auto"/>
          <w:sz w:val="24"/>
          <w:szCs w:val="24"/>
          <w:highlight w:val="none"/>
        </w:rPr>
      </w:pPr>
    </w:p>
    <w:p w14:paraId="2B4558F7">
      <w:pPr>
        <w:ind w:firstLine="420"/>
        <w:rPr>
          <w:color w:val="auto"/>
          <w:highlight w:val="none"/>
        </w:rPr>
      </w:pPr>
    </w:p>
    <w:p w14:paraId="0B27A6F6">
      <w:pPr>
        <w:ind w:firstLine="420"/>
        <w:rPr>
          <w:color w:val="auto"/>
          <w:highlight w:val="none"/>
        </w:rPr>
      </w:pPr>
    </w:p>
    <w:p w14:paraId="30E2A001">
      <w:pPr>
        <w:ind w:firstLine="420"/>
        <w:rPr>
          <w:color w:val="auto"/>
          <w:highlight w:val="none"/>
        </w:rPr>
      </w:pPr>
    </w:p>
    <w:sectPr>
      <w:headerReference r:id="rId21" w:type="default"/>
      <w:footerReference r:id="rId22" w:type="default"/>
      <w:pgSz w:w="11906" w:h="16838"/>
      <w:pgMar w:top="1418" w:right="1133" w:bottom="1361" w:left="1361" w:header="737" w:footer="737"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612FF8-CB0E-492F-9619-F337C145CD4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25C29A05-EBA1-4C13-80E4-898D865FEBA8}"/>
  </w:font>
  <w:font w:name="仿宋">
    <w:panose1 w:val="02010609060101010101"/>
    <w:charset w:val="86"/>
    <w:family w:val="modern"/>
    <w:pitch w:val="default"/>
    <w:sig w:usb0="800002BF" w:usb1="38CF7CFA" w:usb2="00000016" w:usb3="00000000" w:csb0="00040001" w:csb1="00000000"/>
    <w:embedRegular r:id="rId3" w:fontKey="{18519BBE-122F-4647-A2AB-7FF194A5B536}"/>
  </w:font>
  <w:font w:name="方正仿宋_GBK">
    <w:panose1 w:val="03000509000000000000"/>
    <w:charset w:val="86"/>
    <w:family w:val="script"/>
    <w:pitch w:val="default"/>
    <w:sig w:usb0="00000001" w:usb1="080E0000" w:usb2="00000000" w:usb3="00000000" w:csb0="00040000" w:csb1="00000000"/>
    <w:embedRegular r:id="rId4" w:fontKey="{1A4AEEEA-5111-4ADF-B6C2-7488CF2E225F}"/>
  </w:font>
  <w:font w:name="Cambria Math">
    <w:panose1 w:val="02040503050406030204"/>
    <w:charset w:val="00"/>
    <w:family w:val="roman"/>
    <w:pitch w:val="default"/>
    <w:sig w:usb0="E00006FF" w:usb1="420024FF" w:usb2="02000000" w:usb3="00000000" w:csb0="2000019F" w:csb1="00000000"/>
    <w:embedRegular r:id="rId5" w:fontKey="{B6AD433F-B8A6-4B95-99E6-2480D6285004}"/>
  </w:font>
  <w:font w:name="MingLiU">
    <w:altName w:val="PMingLiU-ExtB"/>
    <w:panose1 w:val="02020509000000000000"/>
    <w:charset w:val="88"/>
    <w:family w:val="modern"/>
    <w:pitch w:val="default"/>
    <w:sig w:usb0="00000000" w:usb1="00000000" w:usb2="00000016" w:usb3="00000000" w:csb0="00100001" w:csb1="00000000"/>
    <w:embedRegular r:id="rId6" w:fontKey="{1C3CD0D9-0419-45B5-95C4-F5A97498AC1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embedRegular r:id="rId7" w:fontKey="{82E1EEE6-F1C3-4312-B27D-68BB912E8A9F}"/>
  </w:font>
  <w:font w:name="Cambria">
    <w:panose1 w:val="02040503050406030204"/>
    <w:charset w:val="00"/>
    <w:family w:val="roman"/>
    <w:pitch w:val="default"/>
    <w:sig w:usb0="E00006FF" w:usb1="420024FF" w:usb2="02000000" w:usb3="00000000" w:csb0="2000019F" w:csb1="00000000"/>
    <w:embedRegular r:id="rId8" w:fontKey="{5ABB5F8A-DCB9-4C42-8B2E-508F3DD25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6697">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9D0DC">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4413">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7E92">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41C6FCF">
                          <w:pPr>
                            <w:pStyle w:val="15"/>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ykrPE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gZZ1YYavjh+7fDj1+H&#10;n1/ZN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rKSs8QsCAAABBAAADgAAAAAAAAABACAAAAAfAQAA&#10;ZHJzL2Uyb0RvYy54bWxQSwUGAAAAAAYABgBZAQAAnAUAAAAA&#10;">
              <v:fill on="f" focussize="0,0"/>
              <v:stroke on="f"/>
              <v:imagedata o:title=""/>
              <o:lock v:ext="edit" aspectratio="f"/>
              <v:textbox inset="0mm,0mm,0mm,0mm" style="mso-fit-shape-to-text:t;">
                <w:txbxContent>
                  <w:p w14:paraId="141C6FCF">
                    <w:pPr>
                      <w:pStyle w:val="15"/>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A2F0">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4183353">
                          <w:pPr>
                            <w:pStyle w:val="15"/>
                            <w:ind w:firstLine="360"/>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KYU4g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ZZ1YYavjh54/D/e/D&#10;r+9sGu1pnc8p69ZRXujeQkdDk6R6dwPyq2cWrmthN+oKEdpaiZLoTeLL7NHTHsdHkHX7AUqqI7YB&#10;ElBXoYnekRuM0Kk1+1NrVBeYpMPZ+fkFMZR0M3k9OTubpQIiH9469OGdAsNiUHCkxidssbvxIXIR&#10;+ZASS1lY6aZJzW/sXweUGE8S90i3Jx66dXf0Yg3lnlQg9LNEP4mCGvAbZy3NUcEtfRvOmveWfIgj&#10;NwQ4BOshEFbSw4IHzvrwOvSjuXWoNzXhDk5fkVcrnYREU3sOR5Y0GUnfcYrj6D3ep6yHn7v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SmFOICgIAAAEEAAAOAAAAAAAAAAEAIAAAAB8BAABk&#10;cnMvZTJvRG9jLnhtbFBLBQYAAAAABgAGAFkBAACbBQAAAAA=&#10;">
              <v:fill on="f" focussize="0,0"/>
              <v:stroke on="f"/>
              <v:imagedata o:title=""/>
              <o:lock v:ext="edit" aspectratio="f"/>
              <v:textbox inset="0mm,0mm,0mm,0mm" style="mso-fit-shape-to-text:t;">
                <w:txbxContent>
                  <w:p w14:paraId="34183353">
                    <w:pPr>
                      <w:pStyle w:val="15"/>
                      <w:ind w:firstLine="360"/>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486126"/>
    </w:sdtPr>
    <w:sdtContent>
      <w:p w14:paraId="078DE03C">
        <w:pPr>
          <w:pStyle w:val="15"/>
          <w:ind w:firstLine="360"/>
          <w:jc w:val="center"/>
        </w:pPr>
        <w:r>
          <w:fldChar w:fldCharType="begin"/>
        </w:r>
        <w:r>
          <w:instrText xml:space="preserve">PAGE   \* MERGEFORMAT</w:instrText>
        </w:r>
        <w:r>
          <w:fldChar w:fldCharType="separate"/>
        </w:r>
        <w:r>
          <w:rPr>
            <w:lang w:val="zh-CN"/>
          </w:rPr>
          <w:t>48</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459412"/>
    </w:sdtPr>
    <w:sdtContent>
      <w:p w14:paraId="06A5386A">
        <w:pPr>
          <w:pStyle w:val="15"/>
          <w:ind w:firstLine="360"/>
          <w:jc w:val="center"/>
        </w:pPr>
        <w:r>
          <w:fldChar w:fldCharType="begin"/>
        </w:r>
        <w:r>
          <w:instrText xml:space="preserve">PAGE   \* MERGEFORMAT</w:instrText>
        </w:r>
        <w:r>
          <w:fldChar w:fldCharType="separate"/>
        </w:r>
        <w:r>
          <w:rPr>
            <w:lang w:val="zh-CN"/>
          </w:rPr>
          <w:t>60</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922815"/>
    </w:sdtPr>
    <w:sdtContent>
      <w:p w14:paraId="205C4C38">
        <w:pPr>
          <w:pStyle w:val="15"/>
          <w:ind w:firstLine="360"/>
          <w:jc w:val="center"/>
        </w:pPr>
        <w:r>
          <w:fldChar w:fldCharType="begin"/>
        </w:r>
        <w:r>
          <w:instrText xml:space="preserve">PAGE   \* MERGEFORMAT</w:instrText>
        </w:r>
        <w:r>
          <w:fldChar w:fldCharType="separate"/>
        </w:r>
        <w:r>
          <w:rPr>
            <w:lang w:val="zh-CN"/>
          </w:rPr>
          <w:t>68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EBF7">
    <w:pPr>
      <w:pStyle w:val="16"/>
      <w:pBdr>
        <w:bottom w:val="none" w:color="auto" w:sz="0" w:space="1"/>
      </w:pBdr>
      <w:ind w:firstLine="360"/>
      <w:jc w:val="both"/>
      <w:rPr>
        <w:rFonts w:ascii="仿宋" w:hAnsi="仿宋" w:eastAsia="仿宋" w:cs="方正仿宋_GBK"/>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7E82">
    <w:pPr>
      <w:tabs>
        <w:tab w:val="left" w:pos="1695"/>
        <w:tab w:val="left" w:pos="3370"/>
        <w:tab w:val="left" w:pos="5555"/>
      </w:tabs>
      <w:autoSpaceDE w:val="0"/>
      <w:autoSpaceDN w:val="0"/>
      <w:adjustRightInd w:val="0"/>
      <w:snapToGrid w:val="0"/>
      <w:ind w:left="900" w:hanging="900" w:hangingChars="500"/>
      <w:rPr>
        <w:rFonts w:ascii="仿宋" w:hAnsi="仿宋" w:eastAsia="仿宋" w:cs="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1DF4">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8035">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62DF">
    <w:pPr>
      <w:pStyle w:val="16"/>
      <w:pBdr>
        <w:bottom w:val="none" w:color="auto" w:sz="0" w:space="1"/>
      </w:pBdr>
      <w:ind w:firstLine="360"/>
      <w:jc w:val="both"/>
      <w:rPr>
        <w:rFonts w:ascii="仿宋" w:hAnsi="仿宋" w:eastAsia="仿宋"/>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4B9C">
    <w:pPr>
      <w:pStyle w:val="16"/>
      <w:pBdr>
        <w:bottom w:val="none" w:color="auto" w:sz="0" w:space="1"/>
      </w:pBdr>
      <w:ind w:firstLine="360"/>
      <w:jc w:val="both"/>
      <w:rPr>
        <w:rFonts w:ascii="仿宋" w:hAnsi="仿宋" w:eastAsia="仿宋"/>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5098">
    <w:pPr>
      <w:ind w:firstLine="4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867F7">
    <w:pPr>
      <w:pStyle w:val="16"/>
      <w:ind w:firstLine="360"/>
      <w:jc w:val="both"/>
      <w:rPr>
        <w:rFonts w:ascii="仿宋" w:hAnsi="仿宋" w:eastAsia="仿宋"/>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9691">
    <w:pPr>
      <w:pStyle w:val="16"/>
      <w:ind w:firstLine="360"/>
      <w:jc w:val="both"/>
      <w:rPr>
        <w:rFonts w:ascii="仿宋" w:hAnsi="仿宋" w:eastAsia="仿宋"/>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E73E">
    <w:pPr>
      <w:tabs>
        <w:tab w:val="left" w:pos="1695"/>
        <w:tab w:val="left" w:pos="3370"/>
        <w:tab w:val="left" w:pos="5555"/>
      </w:tabs>
      <w:autoSpaceDE w:val="0"/>
      <w:autoSpaceDN w:val="0"/>
      <w:adjustRightInd w:val="0"/>
      <w:snapToGrid w:val="0"/>
      <w:ind w:firstLineChars="111"/>
      <w:rPr>
        <w:rFonts w:ascii="仿宋" w:hAnsi="仿宋" w:eastAsia="仿宋" w:cs="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79A92"/>
    <w:multiLevelType w:val="singleLevel"/>
    <w:tmpl w:val="92079A92"/>
    <w:lvl w:ilvl="0" w:tentative="0">
      <w:start w:val="1"/>
      <w:numFmt w:val="decimal"/>
      <w:pStyle w:val="51"/>
      <w:suff w:val="space"/>
      <w:lvlText w:val="%1）"/>
      <w:lvlJc w:val="left"/>
      <w:pPr>
        <w:tabs>
          <w:tab w:val="left" w:pos="0"/>
        </w:tabs>
        <w:ind w:left="0" w:firstLine="480"/>
      </w:pPr>
      <w:rPr>
        <w:rFonts w:hint="default"/>
        <w:lang w:val="en-US"/>
      </w:rPr>
    </w:lvl>
  </w:abstractNum>
  <w:abstractNum w:abstractNumId="1">
    <w:nsid w:val="95364012"/>
    <w:multiLevelType w:val="singleLevel"/>
    <w:tmpl w:val="95364012"/>
    <w:lvl w:ilvl="0" w:tentative="0">
      <w:start w:val="3"/>
      <w:numFmt w:val="decimal"/>
      <w:lvlText w:val="%1."/>
      <w:lvlJc w:val="left"/>
      <w:pPr>
        <w:tabs>
          <w:tab w:val="left" w:pos="312"/>
        </w:tabs>
      </w:pPr>
    </w:lvl>
  </w:abstractNum>
  <w:abstractNum w:abstractNumId="2">
    <w:nsid w:val="D500C7CE"/>
    <w:multiLevelType w:val="singleLevel"/>
    <w:tmpl w:val="D500C7CE"/>
    <w:lvl w:ilvl="0" w:tentative="0">
      <w:start w:val="2"/>
      <w:numFmt w:val="decimal"/>
      <w:suff w:val="nothing"/>
      <w:lvlText w:val="（%1）"/>
      <w:lvlJc w:val="left"/>
    </w:lvl>
  </w:abstractNum>
  <w:abstractNum w:abstractNumId="3">
    <w:nsid w:val="13F3EE4E"/>
    <w:multiLevelType w:val="singleLevel"/>
    <w:tmpl w:val="13F3EE4E"/>
    <w:lvl w:ilvl="0" w:tentative="0">
      <w:start w:val="4"/>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M2EzOGQwZThiNmQxYjRiMjA3YmRiMjUzYWNiNzAifQ=="/>
  </w:docVars>
  <w:rsids>
    <w:rsidRoot w:val="46AB6D90"/>
    <w:rsid w:val="00061904"/>
    <w:rsid w:val="000D7DA3"/>
    <w:rsid w:val="000E3BFF"/>
    <w:rsid w:val="000F67B9"/>
    <w:rsid w:val="001B3EE5"/>
    <w:rsid w:val="00200481"/>
    <w:rsid w:val="00264946"/>
    <w:rsid w:val="00290D38"/>
    <w:rsid w:val="002F77FC"/>
    <w:rsid w:val="0030649C"/>
    <w:rsid w:val="003161DD"/>
    <w:rsid w:val="00336206"/>
    <w:rsid w:val="00342FE9"/>
    <w:rsid w:val="004C3C49"/>
    <w:rsid w:val="004C60BB"/>
    <w:rsid w:val="004D7E8D"/>
    <w:rsid w:val="004E5E1F"/>
    <w:rsid w:val="005021B8"/>
    <w:rsid w:val="00526D88"/>
    <w:rsid w:val="005B5E57"/>
    <w:rsid w:val="00624C83"/>
    <w:rsid w:val="006304D4"/>
    <w:rsid w:val="006559DC"/>
    <w:rsid w:val="00665421"/>
    <w:rsid w:val="00677D9F"/>
    <w:rsid w:val="0068518E"/>
    <w:rsid w:val="006F09B0"/>
    <w:rsid w:val="00744493"/>
    <w:rsid w:val="00750A5F"/>
    <w:rsid w:val="007528E8"/>
    <w:rsid w:val="007964FC"/>
    <w:rsid w:val="008913C2"/>
    <w:rsid w:val="008A1594"/>
    <w:rsid w:val="008F3C23"/>
    <w:rsid w:val="00931D9A"/>
    <w:rsid w:val="00982C62"/>
    <w:rsid w:val="00A83BDC"/>
    <w:rsid w:val="00AF7F1D"/>
    <w:rsid w:val="00B33957"/>
    <w:rsid w:val="00BD756D"/>
    <w:rsid w:val="00C16C48"/>
    <w:rsid w:val="00C35748"/>
    <w:rsid w:val="00C453A7"/>
    <w:rsid w:val="00CF3699"/>
    <w:rsid w:val="00D37BB0"/>
    <w:rsid w:val="00D45D60"/>
    <w:rsid w:val="00DB71BC"/>
    <w:rsid w:val="00F37306"/>
    <w:rsid w:val="00F40CD0"/>
    <w:rsid w:val="00F63B62"/>
    <w:rsid w:val="00FB4E94"/>
    <w:rsid w:val="00FC6E59"/>
    <w:rsid w:val="019E4ED3"/>
    <w:rsid w:val="01D31020"/>
    <w:rsid w:val="02755ECB"/>
    <w:rsid w:val="031B6740"/>
    <w:rsid w:val="03F36966"/>
    <w:rsid w:val="042128FC"/>
    <w:rsid w:val="04953394"/>
    <w:rsid w:val="04D40588"/>
    <w:rsid w:val="05145BD8"/>
    <w:rsid w:val="053022E6"/>
    <w:rsid w:val="05BE78F1"/>
    <w:rsid w:val="06654211"/>
    <w:rsid w:val="07061550"/>
    <w:rsid w:val="0719343A"/>
    <w:rsid w:val="07267E44"/>
    <w:rsid w:val="078773E9"/>
    <w:rsid w:val="07C84A57"/>
    <w:rsid w:val="07D20165"/>
    <w:rsid w:val="086F75C9"/>
    <w:rsid w:val="091E02E2"/>
    <w:rsid w:val="093D33DD"/>
    <w:rsid w:val="09732C88"/>
    <w:rsid w:val="099C2B0B"/>
    <w:rsid w:val="0A397E8E"/>
    <w:rsid w:val="0A5945E1"/>
    <w:rsid w:val="0A5C6B11"/>
    <w:rsid w:val="0A9B02A1"/>
    <w:rsid w:val="0AF2250D"/>
    <w:rsid w:val="0B271D94"/>
    <w:rsid w:val="0B8B6D2B"/>
    <w:rsid w:val="0BB023D2"/>
    <w:rsid w:val="0BF202F5"/>
    <w:rsid w:val="0C2E7C5C"/>
    <w:rsid w:val="0C6805B7"/>
    <w:rsid w:val="0CDA2343"/>
    <w:rsid w:val="0D444B80"/>
    <w:rsid w:val="0DB34F1B"/>
    <w:rsid w:val="0E2D3935"/>
    <w:rsid w:val="0FA40799"/>
    <w:rsid w:val="1225599B"/>
    <w:rsid w:val="125A6BF4"/>
    <w:rsid w:val="1407549B"/>
    <w:rsid w:val="141352AC"/>
    <w:rsid w:val="141D589C"/>
    <w:rsid w:val="15447BA2"/>
    <w:rsid w:val="15AD6450"/>
    <w:rsid w:val="15B32C0E"/>
    <w:rsid w:val="171F6CF0"/>
    <w:rsid w:val="1753215F"/>
    <w:rsid w:val="17A53A21"/>
    <w:rsid w:val="17E22DD2"/>
    <w:rsid w:val="17EE4066"/>
    <w:rsid w:val="17FE736C"/>
    <w:rsid w:val="18216EF9"/>
    <w:rsid w:val="187D6C6E"/>
    <w:rsid w:val="18F525BB"/>
    <w:rsid w:val="19167225"/>
    <w:rsid w:val="1A020B05"/>
    <w:rsid w:val="1A552EF9"/>
    <w:rsid w:val="1A7F5449"/>
    <w:rsid w:val="1AFE6A41"/>
    <w:rsid w:val="1B8630B0"/>
    <w:rsid w:val="1BAC6EB0"/>
    <w:rsid w:val="1C0E77B2"/>
    <w:rsid w:val="1D2D3C11"/>
    <w:rsid w:val="1E696B3C"/>
    <w:rsid w:val="1E734D0E"/>
    <w:rsid w:val="1EA41C85"/>
    <w:rsid w:val="1F0028D1"/>
    <w:rsid w:val="211B01B5"/>
    <w:rsid w:val="211B72CF"/>
    <w:rsid w:val="22072E24"/>
    <w:rsid w:val="228F263E"/>
    <w:rsid w:val="229E0D7F"/>
    <w:rsid w:val="234E00AF"/>
    <w:rsid w:val="23990A05"/>
    <w:rsid w:val="24250BE7"/>
    <w:rsid w:val="24D32F62"/>
    <w:rsid w:val="25315EDA"/>
    <w:rsid w:val="2576586C"/>
    <w:rsid w:val="25C64874"/>
    <w:rsid w:val="261D13A1"/>
    <w:rsid w:val="26355556"/>
    <w:rsid w:val="264F6618"/>
    <w:rsid w:val="2668592C"/>
    <w:rsid w:val="27266059"/>
    <w:rsid w:val="276F723F"/>
    <w:rsid w:val="28123DA1"/>
    <w:rsid w:val="29342D7D"/>
    <w:rsid w:val="294941ED"/>
    <w:rsid w:val="2A3F3258"/>
    <w:rsid w:val="2A8E3B03"/>
    <w:rsid w:val="2AD7138B"/>
    <w:rsid w:val="2ADE35B1"/>
    <w:rsid w:val="2B6A571C"/>
    <w:rsid w:val="2B6B5103"/>
    <w:rsid w:val="2C5B55EB"/>
    <w:rsid w:val="2C7A04C9"/>
    <w:rsid w:val="2CD35498"/>
    <w:rsid w:val="2CDA43D1"/>
    <w:rsid w:val="2D3A605B"/>
    <w:rsid w:val="2DA60AE7"/>
    <w:rsid w:val="2DEA0A00"/>
    <w:rsid w:val="2E894691"/>
    <w:rsid w:val="2EFE4186"/>
    <w:rsid w:val="2F350375"/>
    <w:rsid w:val="2F436A8A"/>
    <w:rsid w:val="2FA2307A"/>
    <w:rsid w:val="30875D28"/>
    <w:rsid w:val="30FB0B54"/>
    <w:rsid w:val="324019D0"/>
    <w:rsid w:val="32682E10"/>
    <w:rsid w:val="32710C12"/>
    <w:rsid w:val="329442EF"/>
    <w:rsid w:val="32E01966"/>
    <w:rsid w:val="33C63C91"/>
    <w:rsid w:val="34C56FBB"/>
    <w:rsid w:val="35765D9F"/>
    <w:rsid w:val="35B83A78"/>
    <w:rsid w:val="375D65E3"/>
    <w:rsid w:val="37B02C8E"/>
    <w:rsid w:val="37F86F48"/>
    <w:rsid w:val="38207078"/>
    <w:rsid w:val="384563E1"/>
    <w:rsid w:val="38514471"/>
    <w:rsid w:val="38E673CA"/>
    <w:rsid w:val="39111E53"/>
    <w:rsid w:val="394B3D71"/>
    <w:rsid w:val="3A0E1EEE"/>
    <w:rsid w:val="3B9052B1"/>
    <w:rsid w:val="3BD86C58"/>
    <w:rsid w:val="3C5C1637"/>
    <w:rsid w:val="3C7E77FF"/>
    <w:rsid w:val="3D2E6701"/>
    <w:rsid w:val="3DD07614"/>
    <w:rsid w:val="3EC27756"/>
    <w:rsid w:val="3F3B5533"/>
    <w:rsid w:val="3FB87291"/>
    <w:rsid w:val="3FD33C45"/>
    <w:rsid w:val="401E6CDA"/>
    <w:rsid w:val="402F1107"/>
    <w:rsid w:val="409274AD"/>
    <w:rsid w:val="40956857"/>
    <w:rsid w:val="40D53766"/>
    <w:rsid w:val="41DA54D8"/>
    <w:rsid w:val="41E579D9"/>
    <w:rsid w:val="4261374C"/>
    <w:rsid w:val="42B06238"/>
    <w:rsid w:val="431E15EB"/>
    <w:rsid w:val="43C93B05"/>
    <w:rsid w:val="445D419E"/>
    <w:rsid w:val="44D9559F"/>
    <w:rsid w:val="450C70F7"/>
    <w:rsid w:val="45DD0D43"/>
    <w:rsid w:val="46141280"/>
    <w:rsid w:val="46932F3D"/>
    <w:rsid w:val="46A37326"/>
    <w:rsid w:val="46AB6D90"/>
    <w:rsid w:val="46B1432D"/>
    <w:rsid w:val="46DC75FC"/>
    <w:rsid w:val="4AAA28B3"/>
    <w:rsid w:val="4AF33166"/>
    <w:rsid w:val="4B257098"/>
    <w:rsid w:val="4B3043BA"/>
    <w:rsid w:val="4B6B0A37"/>
    <w:rsid w:val="4B8004D4"/>
    <w:rsid w:val="4BDE3E16"/>
    <w:rsid w:val="4D755370"/>
    <w:rsid w:val="4DAE15C6"/>
    <w:rsid w:val="4E0512BD"/>
    <w:rsid w:val="4EA66F51"/>
    <w:rsid w:val="4EB90F24"/>
    <w:rsid w:val="4F2E7148"/>
    <w:rsid w:val="4F314D2C"/>
    <w:rsid w:val="4F701229"/>
    <w:rsid w:val="4F8F5148"/>
    <w:rsid w:val="4FAC33B9"/>
    <w:rsid w:val="522956BF"/>
    <w:rsid w:val="522A1DDF"/>
    <w:rsid w:val="52E07628"/>
    <w:rsid w:val="54330A77"/>
    <w:rsid w:val="54AA13C6"/>
    <w:rsid w:val="551E7032"/>
    <w:rsid w:val="557116C5"/>
    <w:rsid w:val="55F85AD5"/>
    <w:rsid w:val="56560AEE"/>
    <w:rsid w:val="56B77CCE"/>
    <w:rsid w:val="5886561A"/>
    <w:rsid w:val="5A3A20D4"/>
    <w:rsid w:val="5A4A7A15"/>
    <w:rsid w:val="5A8167CC"/>
    <w:rsid w:val="5B136C45"/>
    <w:rsid w:val="5BF3758D"/>
    <w:rsid w:val="5D557CB0"/>
    <w:rsid w:val="5DA86032"/>
    <w:rsid w:val="5E716A99"/>
    <w:rsid w:val="5E9A1E1F"/>
    <w:rsid w:val="5EA40237"/>
    <w:rsid w:val="5FB52C88"/>
    <w:rsid w:val="60D12231"/>
    <w:rsid w:val="61FA2BD4"/>
    <w:rsid w:val="62312A9A"/>
    <w:rsid w:val="62BC2A97"/>
    <w:rsid w:val="63690012"/>
    <w:rsid w:val="63822E81"/>
    <w:rsid w:val="63AA113B"/>
    <w:rsid w:val="63F42118"/>
    <w:rsid w:val="649E018F"/>
    <w:rsid w:val="64D92F75"/>
    <w:rsid w:val="65196ABA"/>
    <w:rsid w:val="668604E5"/>
    <w:rsid w:val="66A01F9C"/>
    <w:rsid w:val="674E7C4A"/>
    <w:rsid w:val="678613EB"/>
    <w:rsid w:val="687157C8"/>
    <w:rsid w:val="688411CE"/>
    <w:rsid w:val="688558EE"/>
    <w:rsid w:val="69194288"/>
    <w:rsid w:val="69241857"/>
    <w:rsid w:val="6AE47716"/>
    <w:rsid w:val="6B354E13"/>
    <w:rsid w:val="6B581617"/>
    <w:rsid w:val="6BD33FC1"/>
    <w:rsid w:val="6C327B3B"/>
    <w:rsid w:val="6C40003F"/>
    <w:rsid w:val="6C9D2ADA"/>
    <w:rsid w:val="6CDA5175"/>
    <w:rsid w:val="6D16597D"/>
    <w:rsid w:val="6D195340"/>
    <w:rsid w:val="6DED0BC4"/>
    <w:rsid w:val="6DF64B98"/>
    <w:rsid w:val="6E550161"/>
    <w:rsid w:val="6FAE46B5"/>
    <w:rsid w:val="6FEF21B0"/>
    <w:rsid w:val="704A2F79"/>
    <w:rsid w:val="70C1148D"/>
    <w:rsid w:val="71A92D7C"/>
    <w:rsid w:val="71BB2380"/>
    <w:rsid w:val="744D509C"/>
    <w:rsid w:val="75EC3980"/>
    <w:rsid w:val="76D0242A"/>
    <w:rsid w:val="776A1652"/>
    <w:rsid w:val="788404E6"/>
    <w:rsid w:val="79DB0A83"/>
    <w:rsid w:val="79ED50A1"/>
    <w:rsid w:val="7AFA5FA7"/>
    <w:rsid w:val="7BFB42F0"/>
    <w:rsid w:val="7C2032FD"/>
    <w:rsid w:val="7C606058"/>
    <w:rsid w:val="7CBC6FAC"/>
    <w:rsid w:val="7CC074EA"/>
    <w:rsid w:val="7D9C2C3A"/>
    <w:rsid w:val="7F623DB3"/>
    <w:rsid w:val="7F8B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Times New Roman" w:hAnsi="Times New Roman" w:eastAsia="宋体" w:cs="Times New Roman"/>
      <w:sz w:val="21"/>
      <w:lang w:val="en-US" w:eastAsia="zh-CN" w:bidi="ar-SA"/>
    </w:rPr>
  </w:style>
  <w:style w:type="paragraph" w:styleId="3">
    <w:name w:val="heading 1"/>
    <w:basedOn w:val="1"/>
    <w:next w:val="1"/>
    <w:link w:val="37"/>
    <w:qFormat/>
    <w:uiPriority w:val="99"/>
    <w:pPr>
      <w:keepNext/>
      <w:keepLines/>
      <w:widowControl w:val="0"/>
      <w:spacing w:before="340" w:after="330" w:line="576" w:lineRule="auto"/>
      <w:jc w:val="both"/>
      <w:outlineLvl w:val="0"/>
    </w:pPr>
    <w:rPr>
      <w:b/>
      <w:kern w:val="44"/>
      <w:sz w:val="44"/>
    </w:rPr>
  </w:style>
  <w:style w:type="paragraph" w:styleId="4">
    <w:name w:val="heading 2"/>
    <w:basedOn w:val="1"/>
    <w:next w:val="1"/>
    <w:qFormat/>
    <w:uiPriority w:val="99"/>
    <w:pPr>
      <w:keepNext/>
      <w:keepLines/>
      <w:widowControl w:val="0"/>
      <w:adjustRightInd w:val="0"/>
      <w:spacing w:before="260" w:after="260" w:line="416" w:lineRule="atLeast"/>
      <w:jc w:val="both"/>
      <w:textAlignment w:val="baseline"/>
      <w:outlineLvl w:val="1"/>
    </w:pPr>
    <w:rPr>
      <w:rFonts w:ascii="Arial" w:hAnsi="Arial" w:eastAsia="黑体"/>
      <w:b/>
      <w:sz w:val="32"/>
    </w:rPr>
  </w:style>
  <w:style w:type="paragraph" w:styleId="5">
    <w:name w:val="heading 3"/>
    <w:basedOn w:val="1"/>
    <w:next w:val="1"/>
    <w:qFormat/>
    <w:uiPriority w:val="99"/>
    <w:pPr>
      <w:keepNext/>
      <w:keepLines/>
      <w:widowControl w:val="0"/>
      <w:adjustRightInd w:val="0"/>
      <w:spacing w:before="260" w:after="260" w:line="416" w:lineRule="atLeast"/>
      <w:jc w:val="both"/>
      <w:textAlignment w:val="baseline"/>
      <w:outlineLvl w:val="2"/>
    </w:pPr>
    <w:rPr>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kern w:val="2"/>
      <w:sz w:val="24"/>
    </w:rPr>
  </w:style>
  <w:style w:type="paragraph" w:styleId="6">
    <w:name w:val="toc 7"/>
    <w:basedOn w:val="1"/>
    <w:next w:val="1"/>
    <w:qFormat/>
    <w:uiPriority w:val="0"/>
    <w:pPr>
      <w:ind w:left="1260"/>
    </w:pPr>
    <w:rPr>
      <w:rFonts w:asciiTheme="minorHAnsi" w:hAnsiTheme="minorHAnsi" w:cstheme="minorHAnsi"/>
      <w:sz w:val="18"/>
      <w:szCs w:val="18"/>
    </w:rPr>
  </w:style>
  <w:style w:type="paragraph" w:styleId="7">
    <w:name w:val="toa heading"/>
    <w:basedOn w:val="1"/>
    <w:next w:val="1"/>
    <w:qFormat/>
    <w:uiPriority w:val="99"/>
    <w:pPr>
      <w:spacing w:before="120"/>
    </w:pPr>
    <w:rPr>
      <w:rFonts w:ascii="Arial" w:hAnsi="Arial" w:cs="Arial"/>
      <w:sz w:val="24"/>
      <w:szCs w:val="24"/>
    </w:rPr>
  </w:style>
  <w:style w:type="paragraph" w:styleId="8">
    <w:name w:val="annotation text"/>
    <w:basedOn w:val="1"/>
    <w:link w:val="49"/>
    <w:qFormat/>
    <w:uiPriority w:val="0"/>
  </w:style>
  <w:style w:type="paragraph" w:styleId="9">
    <w:name w:val="Body Text Indent"/>
    <w:basedOn w:val="1"/>
    <w:link w:val="48"/>
    <w:qFormat/>
    <w:uiPriority w:val="0"/>
    <w:pPr>
      <w:ind w:firstLine="360"/>
    </w:pPr>
    <w:rPr>
      <w:sz w:val="28"/>
      <w:szCs w:val="24"/>
    </w:rPr>
  </w:style>
  <w:style w:type="paragraph" w:styleId="10">
    <w:name w:val="toc 5"/>
    <w:basedOn w:val="1"/>
    <w:next w:val="1"/>
    <w:qFormat/>
    <w:uiPriority w:val="0"/>
    <w:pPr>
      <w:ind w:left="840"/>
    </w:pPr>
    <w:rPr>
      <w:rFonts w:asciiTheme="minorHAnsi" w:hAnsiTheme="minorHAnsi" w:cstheme="minorHAnsi"/>
      <w:sz w:val="18"/>
      <w:szCs w:val="18"/>
    </w:rPr>
  </w:style>
  <w:style w:type="paragraph" w:styleId="11">
    <w:name w:val="toc 3"/>
    <w:basedOn w:val="1"/>
    <w:next w:val="1"/>
    <w:qFormat/>
    <w:uiPriority w:val="0"/>
    <w:pPr>
      <w:ind w:left="420"/>
    </w:pPr>
    <w:rPr>
      <w:rFonts w:asciiTheme="minorHAnsi" w:hAnsiTheme="minorHAnsi" w:cstheme="minorHAnsi"/>
      <w:i/>
      <w:iCs/>
      <w:sz w:val="20"/>
    </w:rPr>
  </w:style>
  <w:style w:type="paragraph" w:styleId="12">
    <w:name w:val="toc 8"/>
    <w:basedOn w:val="1"/>
    <w:next w:val="1"/>
    <w:qFormat/>
    <w:uiPriority w:val="0"/>
    <w:pPr>
      <w:ind w:left="1470"/>
    </w:pPr>
    <w:rPr>
      <w:rFonts w:asciiTheme="minorHAnsi" w:hAnsiTheme="minorHAnsi" w:cstheme="minorHAnsi"/>
      <w:sz w:val="18"/>
      <w:szCs w:val="18"/>
    </w:rPr>
  </w:style>
  <w:style w:type="paragraph" w:styleId="13">
    <w:name w:val="Body Text Indent 2"/>
    <w:basedOn w:val="1"/>
    <w:qFormat/>
    <w:uiPriority w:val="0"/>
    <w:pPr>
      <w:spacing w:before="60" w:after="60"/>
      <w:ind w:left="720" w:hanging="720"/>
    </w:pPr>
    <w:rPr>
      <w:color w:val="000000"/>
      <w:sz w:val="24"/>
    </w:rPr>
  </w:style>
  <w:style w:type="paragraph" w:styleId="14">
    <w:name w:val="Balloon Text"/>
    <w:basedOn w:val="1"/>
    <w:link w:val="47"/>
    <w:qFormat/>
    <w:uiPriority w:val="0"/>
    <w:rPr>
      <w:sz w:val="18"/>
      <w:szCs w:val="18"/>
    </w:rPr>
  </w:style>
  <w:style w:type="paragraph" w:styleId="15">
    <w:name w:val="footer"/>
    <w:basedOn w:val="1"/>
    <w:qFormat/>
    <w:uiPriority w:val="99"/>
    <w:pPr>
      <w:tabs>
        <w:tab w:val="center" w:pos="4153"/>
        <w:tab w:val="right" w:pos="8306"/>
      </w:tabs>
      <w:snapToGrid w:val="0"/>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3"/>
    <w:next w:val="1"/>
    <w:qFormat/>
    <w:uiPriority w:val="39"/>
    <w:pPr>
      <w:keepNext w:val="0"/>
      <w:keepLines w:val="0"/>
      <w:widowControl/>
      <w:spacing w:before="120" w:after="120" w:line="360" w:lineRule="auto"/>
      <w:jc w:val="left"/>
      <w:outlineLvl w:val="9"/>
    </w:pPr>
    <w:rPr>
      <w:rFonts w:asciiTheme="minorHAnsi" w:hAnsiTheme="minorHAnsi" w:cstheme="minorHAnsi"/>
      <w:bCs/>
      <w:caps/>
      <w:kern w:val="0"/>
      <w:sz w:val="20"/>
    </w:rPr>
  </w:style>
  <w:style w:type="paragraph" w:styleId="18">
    <w:name w:val="toc 4"/>
    <w:basedOn w:val="1"/>
    <w:next w:val="1"/>
    <w:qFormat/>
    <w:uiPriority w:val="0"/>
    <w:pPr>
      <w:ind w:left="630"/>
    </w:pPr>
    <w:rPr>
      <w:rFonts w:asciiTheme="minorHAnsi" w:hAnsiTheme="minorHAnsi" w:cstheme="minorHAnsi"/>
      <w:sz w:val="18"/>
      <w:szCs w:val="18"/>
    </w:rPr>
  </w:style>
  <w:style w:type="paragraph" w:styleId="19">
    <w:name w:val="Subtitle"/>
    <w:basedOn w:val="1"/>
    <w:qFormat/>
    <w:uiPriority w:val="0"/>
    <w:rPr>
      <w:b/>
      <w:kern w:val="2"/>
      <w:szCs w:val="24"/>
      <w:lang w:eastAsia="en-US"/>
    </w:rPr>
  </w:style>
  <w:style w:type="paragraph" w:styleId="20">
    <w:name w:val="toc 6"/>
    <w:basedOn w:val="1"/>
    <w:next w:val="1"/>
    <w:qFormat/>
    <w:uiPriority w:val="39"/>
    <w:pPr>
      <w:ind w:left="1050"/>
    </w:pPr>
    <w:rPr>
      <w:rFonts w:asciiTheme="minorHAnsi" w:hAnsiTheme="minorHAnsi" w:cstheme="minorHAnsi"/>
      <w:sz w:val="18"/>
      <w:szCs w:val="18"/>
    </w:rPr>
  </w:style>
  <w:style w:type="paragraph" w:styleId="21">
    <w:name w:val="toc 2"/>
    <w:basedOn w:val="1"/>
    <w:next w:val="1"/>
    <w:qFormat/>
    <w:uiPriority w:val="0"/>
    <w:pPr>
      <w:ind w:left="210"/>
    </w:pPr>
    <w:rPr>
      <w:rFonts w:asciiTheme="minorHAnsi" w:hAnsiTheme="minorHAnsi" w:cstheme="minorHAnsi"/>
      <w:smallCaps/>
      <w:sz w:val="20"/>
    </w:rPr>
  </w:style>
  <w:style w:type="paragraph" w:styleId="22">
    <w:name w:val="toc 9"/>
    <w:basedOn w:val="1"/>
    <w:next w:val="1"/>
    <w:qFormat/>
    <w:uiPriority w:val="0"/>
    <w:pPr>
      <w:ind w:left="1680"/>
    </w:pPr>
    <w:rPr>
      <w:rFonts w:asciiTheme="minorHAnsi" w:hAnsiTheme="minorHAnsi" w:cstheme="minorHAnsi"/>
      <w:sz w:val="18"/>
      <w:szCs w:val="18"/>
    </w:rPr>
  </w:style>
  <w:style w:type="paragraph" w:styleId="23">
    <w:name w:val="Title"/>
    <w:basedOn w:val="1"/>
    <w:next w:val="1"/>
    <w:qFormat/>
    <w:uiPriority w:val="10"/>
    <w:pPr>
      <w:spacing w:line="560" w:lineRule="exact"/>
      <w:ind w:firstLine="880"/>
      <w:jc w:val="center"/>
      <w:outlineLvl w:val="0"/>
    </w:pPr>
    <w:rPr>
      <w:rFonts w:ascii="Calibri Light" w:hAnsi="Calibri Light"/>
      <w:b/>
      <w:bCs/>
      <w:szCs w:val="32"/>
    </w:rPr>
  </w:style>
  <w:style w:type="paragraph" w:styleId="24">
    <w:name w:val="annotation subject"/>
    <w:basedOn w:val="8"/>
    <w:next w:val="8"/>
    <w:link w:val="50"/>
    <w:qFormat/>
    <w:uiPriority w:val="0"/>
    <w:rPr>
      <w:b/>
      <w:bCs/>
    </w:rPr>
  </w:style>
  <w:style w:type="paragraph" w:styleId="25">
    <w:name w:val="Body Text First Indent"/>
    <w:basedOn w:val="2"/>
    <w:unhideWhenUsed/>
    <w:qFormat/>
    <w:uiPriority w:val="0"/>
    <w:pPr>
      <w:spacing w:line="275" w:lineRule="atLeast"/>
      <w:ind w:left="72" w:leftChars="72" w:right="30" w:firstLine="420"/>
      <w:jc w:val="center"/>
    </w:pPr>
    <w:rPr>
      <w:rFonts w:ascii="宋体" w:hAnsi="宋体" w:eastAsia="楷体_GB2312"/>
      <w:szCs w:val="24"/>
    </w:rPr>
  </w:style>
  <w:style w:type="paragraph" w:styleId="26">
    <w:name w:val="Body Text First Indent 2"/>
    <w:basedOn w:val="9"/>
    <w:qFormat/>
    <w:uiPriority w:val="0"/>
    <w:pPr>
      <w:widowControl w:val="0"/>
      <w:ind w:firstLine="420"/>
      <w:jc w:val="both"/>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semiHidden/>
    <w:qFormat/>
    <w:uiPriority w:val="99"/>
    <w:rPr>
      <w:rFonts w:cs="Times New Roman"/>
    </w:rPr>
  </w:style>
  <w:style w:type="character" w:styleId="31">
    <w:name w:val="FollowedHyperlink"/>
    <w:basedOn w:val="29"/>
    <w:qFormat/>
    <w:uiPriority w:val="0"/>
    <w:rPr>
      <w:color w:val="333333"/>
      <w:u w:val="none"/>
    </w:rPr>
  </w:style>
  <w:style w:type="character" w:styleId="32">
    <w:name w:val="Hyperlink"/>
    <w:qFormat/>
    <w:uiPriority w:val="99"/>
    <w:rPr>
      <w:color w:val="0000FF"/>
      <w:u w:val="none"/>
    </w:rPr>
  </w:style>
  <w:style w:type="character" w:styleId="33">
    <w:name w:val="annotation reference"/>
    <w:basedOn w:val="29"/>
    <w:qFormat/>
    <w:uiPriority w:val="0"/>
    <w:rPr>
      <w:sz w:val="21"/>
      <w:szCs w:val="21"/>
    </w:rPr>
  </w:style>
  <w:style w:type="paragraph" w:customStyle="1" w:styleId="34">
    <w:name w:val="样式 正文首行缩进 + 首行缩进:  2 字符1 Char Char"/>
    <w:basedOn w:val="35"/>
    <w:qFormat/>
    <w:uiPriority w:val="0"/>
    <w:pPr>
      <w:spacing w:after="0"/>
      <w:ind w:firstLine="454"/>
    </w:pPr>
    <w:rPr>
      <w:rFonts w:ascii="Times New Roman" w:hAnsi="Times New Roman" w:cs="宋体"/>
      <w:sz w:val="21"/>
    </w:rPr>
  </w:style>
  <w:style w:type="paragraph" w:customStyle="1" w:styleId="35">
    <w:name w:val="正文首行缩进1"/>
    <w:basedOn w:val="36"/>
    <w:qFormat/>
    <w:uiPriority w:val="0"/>
    <w:pPr>
      <w:spacing w:after="120"/>
      <w:ind w:firstLine="100"/>
    </w:pPr>
    <w:rPr>
      <w:rFonts w:ascii="宋体" w:hAnsi="宋体"/>
      <w:color w:val="000000"/>
    </w:rPr>
  </w:style>
  <w:style w:type="paragraph" w:customStyle="1" w:styleId="36">
    <w:name w:val="正文文本1"/>
    <w:basedOn w:val="1"/>
    <w:qFormat/>
    <w:uiPriority w:val="0"/>
    <w:rPr>
      <w:sz w:val="24"/>
      <w:szCs w:val="24"/>
    </w:rPr>
  </w:style>
  <w:style w:type="character" w:customStyle="1" w:styleId="37">
    <w:name w:val="标题 1 Char"/>
    <w:link w:val="3"/>
    <w:qFormat/>
    <w:uiPriority w:val="99"/>
    <w:rPr>
      <w:b/>
      <w:kern w:val="44"/>
      <w:sz w:val="44"/>
    </w:rPr>
  </w:style>
  <w:style w:type="character" w:customStyle="1" w:styleId="38">
    <w:name w:val="标题 1 Char2"/>
    <w:qFormat/>
    <w:uiPriority w:val="0"/>
    <w:rPr>
      <w:rFonts w:hint="default" w:ascii="Times New Roman" w:hAnsi="Times New Roman" w:eastAsia="宋体" w:cs="Times New Roman"/>
      <w:b/>
      <w:sz w:val="44"/>
      <w:szCs w:val="44"/>
    </w:rPr>
  </w:style>
  <w:style w:type="paragraph" w:customStyle="1" w:styleId="39">
    <w:name w:val="正文文本缩进1"/>
    <w:basedOn w:val="1"/>
    <w:qFormat/>
    <w:uiPriority w:val="0"/>
    <w:pPr>
      <w:ind w:firstLine="360"/>
    </w:pPr>
    <w:rPr>
      <w:sz w:val="28"/>
      <w:szCs w:val="24"/>
    </w:rPr>
  </w:style>
  <w:style w:type="character" w:customStyle="1" w:styleId="40">
    <w:name w:val="font01"/>
    <w:basedOn w:val="29"/>
    <w:qFormat/>
    <w:uiPriority w:val="0"/>
    <w:rPr>
      <w:rFonts w:hint="eastAsia" w:ascii="宋体" w:hAnsi="宋体" w:eastAsia="宋体" w:cs="宋体"/>
      <w:b/>
      <w:bCs/>
      <w:color w:val="000000"/>
      <w:sz w:val="20"/>
      <w:szCs w:val="20"/>
      <w:u w:val="none"/>
    </w:rPr>
  </w:style>
  <w:style w:type="character" w:customStyle="1" w:styleId="41">
    <w:name w:val="标题 1 Char1"/>
    <w:qFormat/>
    <w:uiPriority w:val="0"/>
    <w:rPr>
      <w:rFonts w:ascii="Times New Roman" w:hAnsi="Times New Roman" w:eastAsia="宋体" w:cs="Times New Roman"/>
      <w:b/>
      <w:sz w:val="36"/>
      <w:szCs w:val="44"/>
    </w:rPr>
  </w:style>
  <w:style w:type="paragraph" w:customStyle="1" w:styleId="42">
    <w:name w:val="Default"/>
    <w:qFormat/>
    <w:uiPriority w:val="0"/>
    <w:pPr>
      <w:autoSpaceDE w:val="0"/>
      <w:autoSpaceDN w:val="0"/>
    </w:pPr>
    <w:rPr>
      <w:rFonts w:ascii="仿宋" w:hAnsi="仿宋" w:eastAsia="宋体" w:cs="仿宋"/>
      <w:color w:val="000000"/>
      <w:sz w:val="24"/>
      <w:szCs w:val="24"/>
      <w:lang w:val="en-US" w:eastAsia="zh-CN" w:bidi="ar-SA"/>
    </w:rPr>
  </w:style>
  <w:style w:type="table" w:customStyle="1" w:styleId="43">
    <w:name w:val="Table Normal"/>
    <w:unhideWhenUsed/>
    <w:qFormat/>
    <w:uiPriority w:val="0"/>
    <w:tblPr>
      <w:tblCellMar>
        <w:top w:w="0" w:type="dxa"/>
        <w:left w:w="0" w:type="dxa"/>
        <w:bottom w:w="0" w:type="dxa"/>
        <w:right w:w="0" w:type="dxa"/>
      </w:tblCellMar>
    </w:tblPr>
  </w:style>
  <w:style w:type="paragraph" w:customStyle="1" w:styleId="44">
    <w:name w:val="样式2"/>
    <w:basedOn w:val="1"/>
    <w:qFormat/>
    <w:uiPriority w:val="0"/>
    <w:pPr>
      <w:adjustRightInd w:val="0"/>
      <w:spacing w:line="410" w:lineRule="atLeast"/>
    </w:pPr>
  </w:style>
  <w:style w:type="paragraph" w:customStyle="1" w:styleId="45">
    <w:name w:val="正文文本缩进 New New"/>
    <w:basedOn w:val="1"/>
    <w:qFormat/>
    <w:uiPriority w:val="0"/>
    <w:pPr>
      <w:widowControl w:val="0"/>
      <w:ind w:firstLine="510"/>
      <w:jc w:val="both"/>
    </w:pPr>
    <w:rPr>
      <w:rFonts w:eastAsia="楷体_GB2312"/>
      <w:color w:val="000000"/>
      <w:spacing w:val="8"/>
      <w:kern w:val="2"/>
      <w:sz w:val="28"/>
      <w:lang w:val="zh-CN"/>
    </w:rPr>
  </w:style>
  <w:style w:type="paragraph" w:customStyle="1" w:styleId="46">
    <w:name w:val="列表段落1"/>
    <w:basedOn w:val="1"/>
    <w:qFormat/>
    <w:uiPriority w:val="34"/>
    <w:pPr>
      <w:ind w:firstLine="420"/>
    </w:pPr>
    <w:rPr>
      <w:rFonts w:ascii="Calibri" w:hAnsi="Calibri"/>
    </w:rPr>
  </w:style>
  <w:style w:type="character" w:customStyle="1" w:styleId="47">
    <w:name w:val="批注框文本 Char"/>
    <w:basedOn w:val="29"/>
    <w:link w:val="14"/>
    <w:qFormat/>
    <w:uiPriority w:val="0"/>
    <w:rPr>
      <w:sz w:val="18"/>
      <w:szCs w:val="18"/>
    </w:rPr>
  </w:style>
  <w:style w:type="character" w:customStyle="1" w:styleId="48">
    <w:name w:val="正文文本缩进 Char"/>
    <w:basedOn w:val="29"/>
    <w:link w:val="9"/>
    <w:qFormat/>
    <w:uiPriority w:val="0"/>
    <w:rPr>
      <w:sz w:val="28"/>
      <w:szCs w:val="24"/>
    </w:rPr>
  </w:style>
  <w:style w:type="character" w:customStyle="1" w:styleId="49">
    <w:name w:val="批注文字 Char"/>
    <w:basedOn w:val="29"/>
    <w:link w:val="8"/>
    <w:qFormat/>
    <w:uiPriority w:val="0"/>
    <w:rPr>
      <w:sz w:val="21"/>
    </w:rPr>
  </w:style>
  <w:style w:type="character" w:customStyle="1" w:styleId="50">
    <w:name w:val="批注主题 Char"/>
    <w:basedOn w:val="49"/>
    <w:link w:val="24"/>
    <w:qFormat/>
    <w:uiPriority w:val="0"/>
    <w:rPr>
      <w:b/>
      <w:bCs/>
      <w:sz w:val="21"/>
    </w:rPr>
  </w:style>
  <w:style w:type="paragraph" w:customStyle="1" w:styleId="51">
    <w:name w:val="列表格式2"/>
    <w:basedOn w:val="1"/>
    <w:qFormat/>
    <w:uiPriority w:val="0"/>
    <w:pPr>
      <w:numPr>
        <w:ilvl w:val="0"/>
        <w:numId w:val="1"/>
      </w:numPr>
    </w:pPr>
  </w:style>
  <w:style w:type="paragraph" w:customStyle="1" w:styleId="52">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53">
    <w:name w:val="表格"/>
    <w:basedOn w:val="1"/>
    <w:qFormat/>
    <w:locked/>
    <w:uiPriority w:val="0"/>
    <w:pPr>
      <w:spacing w:line="240" w:lineRule="auto"/>
      <w:ind w:firstLine="0" w:firstLineChars="0"/>
    </w:pPr>
    <w:rPr>
      <w:rFonts w:ascii="Times New Roman" w:hAnsi="Times New Roman" w:eastAsia="宋体"/>
      <w:bCs/>
      <w:color w:val="auto"/>
      <w:szCs w:val="18"/>
    </w:rPr>
  </w:style>
  <w:style w:type="paragraph" w:customStyle="1" w:styleId="54">
    <w:name w:val="样式14"/>
    <w:basedOn w:val="1"/>
    <w:qFormat/>
    <w:uiPriority w:val="0"/>
    <w:pPr>
      <w:tabs>
        <w:tab w:val="left" w:pos="1276"/>
      </w:tabs>
      <w:adjustRightInd w:val="0"/>
      <w:ind w:left="1276" w:hanging="566"/>
      <w:jc w:val="left"/>
      <w:textAlignment w:val="baseline"/>
    </w:pPr>
    <w:rPr>
      <w:rFonts w:ascii="宋体" w:hAnsi="宋体"/>
      <w:kern w:val="0"/>
      <w:sz w:val="20"/>
      <w:szCs w:val="21"/>
    </w:rPr>
  </w:style>
  <w:style w:type="paragraph" w:customStyle="1" w:styleId="55">
    <w:name w:val="参选文件格式2"/>
    <w:basedOn w:val="1"/>
    <w:next w:val="1"/>
    <w:qFormat/>
    <w:locked/>
    <w:uiPriority w:val="0"/>
    <w:pPr>
      <w:ind w:firstLine="0" w:firstLineChars="0"/>
      <w:jc w:val="center"/>
      <w:outlineLvl w:val="2"/>
    </w:pPr>
    <w:rPr>
      <w:rFonts w:eastAsia="宋体"/>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781A6-578C-40FB-9B02-C31F87A2D8C5}">
  <ds:schemaRefs/>
</ds:datastoreItem>
</file>

<file path=docProps/app.xml><?xml version="1.0" encoding="utf-8"?>
<Properties xmlns="http://schemas.openxmlformats.org/officeDocument/2006/extended-properties" xmlns:vt="http://schemas.openxmlformats.org/officeDocument/2006/docPropsVTypes">
  <Template>Normal</Template>
  <Pages>94</Pages>
  <Words>3212</Words>
  <Characters>3604</Characters>
  <Lines>427</Lines>
  <Paragraphs>120</Paragraphs>
  <TotalTime>39</TotalTime>
  <ScaleCrop>false</ScaleCrop>
  <LinksUpToDate>false</LinksUpToDate>
  <CharactersWithSpaces>3721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2024-08-01T07:51:00Z</dcterms:created>
  <dc:creator>彭烜</dc:creator>
  <cp:lastModifiedBy>罗娅拉</cp:lastModifiedBy>
  <cp:lastPrinted>2024-06-25T02:06:00Z</cp:lastPrinted>
  <dcterms:modified xsi:type="dcterms:W3CDTF">2026-02-06T01:24:42Z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EE748CC391484FE985B06FC907ACF411_13</vt:lpwstr>
  </property>
  <property fmtid="{D5CDD505-2E9C-101B-9397-08002B2CF9AE}" pid="4" name="KSOTemplateDocerSaveRecord">
    <vt:lpwstr>eyJoZGlkIjoiZTMzMGZkODRiMGFiNjU0ZDA5ZDU3YTVjZDczMzgwYzEiLCJ1c2VySWQiOiIyOTU5MzE1NDAifQ==</vt:lpwstr>
  </property>
</Properties>
</file>