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8C646">
      <w:pPr>
        <w:tabs>
          <w:tab w:val="left" w:pos="1695"/>
          <w:tab w:val="left" w:pos="3370"/>
          <w:tab w:val="left" w:pos="5555"/>
        </w:tabs>
        <w:autoSpaceDE w:val="0"/>
        <w:autoSpaceDN w:val="0"/>
        <w:adjustRightInd w:val="0"/>
        <w:snapToGrid w:val="0"/>
        <w:ind w:firstLine="0" w:firstLineChars="0"/>
        <w:jc w:val="center"/>
        <w:rPr>
          <w:rFonts w:ascii="宋体" w:hAnsi="宋体" w:cs="宋体"/>
          <w:b/>
          <w:color w:val="auto"/>
          <w:sz w:val="28"/>
          <w:szCs w:val="28"/>
          <w:highlight w:val="none"/>
        </w:rPr>
      </w:pPr>
      <w:bookmarkStart w:id="0" w:name="_Toc26577"/>
      <w:bookmarkStart w:id="1" w:name="_Toc29200"/>
      <w:bookmarkStart w:id="2" w:name="_Toc26371"/>
      <w:bookmarkStart w:id="3" w:name="_Toc17033"/>
      <w:r>
        <w:rPr>
          <w:rFonts w:hint="eastAsia" w:ascii="宋体" w:hAnsi="宋体" w:cs="宋体"/>
          <w:b/>
          <w:color w:val="auto"/>
          <w:sz w:val="28"/>
          <w:szCs w:val="28"/>
          <w:highlight w:val="none"/>
        </w:rPr>
        <w:t>重庆三峡银行积分商城商品权益供应入围项目</w:t>
      </w:r>
      <w:r>
        <w:rPr>
          <w:rFonts w:ascii="宋体" w:hAnsi="宋体" w:cs="宋体"/>
          <w:b/>
          <w:color w:val="auto"/>
          <w:sz w:val="28"/>
          <w:szCs w:val="28"/>
          <w:highlight w:val="none"/>
        </w:rPr>
        <w:t>招标公告</w:t>
      </w:r>
      <w:bookmarkEnd w:id="0"/>
      <w:bookmarkEnd w:id="1"/>
      <w:bookmarkEnd w:id="2"/>
    </w:p>
    <w:p w14:paraId="4AC0784E">
      <w:pPr>
        <w:pStyle w:val="4"/>
        <w:spacing w:before="0" w:after="0" w:line="360" w:lineRule="auto"/>
        <w:ind w:firstLine="422"/>
        <w:rPr>
          <w:rFonts w:ascii="宋体" w:hAnsi="宋体" w:eastAsia="宋体" w:cs="宋体"/>
          <w:color w:val="auto"/>
          <w:sz w:val="21"/>
          <w:szCs w:val="21"/>
          <w:highlight w:val="none"/>
        </w:rPr>
      </w:pPr>
      <w:bookmarkStart w:id="4" w:name="_Toc20821"/>
      <w:bookmarkStart w:id="5" w:name="_Toc20578"/>
      <w:bookmarkStart w:id="6" w:name="_Toc17932"/>
      <w:r>
        <w:rPr>
          <w:rFonts w:hint="eastAsia" w:ascii="宋体" w:hAnsi="宋体" w:eastAsia="宋体" w:cs="宋体"/>
          <w:color w:val="auto"/>
          <w:sz w:val="21"/>
          <w:szCs w:val="21"/>
          <w:highlight w:val="none"/>
        </w:rPr>
        <w:t>1.招标条件</w:t>
      </w:r>
      <w:bookmarkEnd w:id="3"/>
      <w:bookmarkEnd w:id="4"/>
      <w:bookmarkEnd w:id="5"/>
      <w:bookmarkEnd w:id="6"/>
    </w:p>
    <w:p w14:paraId="6F6874B0">
      <w:pPr>
        <w:widowControl w:val="0"/>
        <w:tabs>
          <w:tab w:val="left" w:pos="1020"/>
        </w:tabs>
        <w:wordWrap w:val="0"/>
        <w:ind w:firstLine="420"/>
        <w:jc w:val="both"/>
        <w:rPr>
          <w:rFonts w:ascii="宋体" w:hAnsi="宋体" w:cs="宋体"/>
          <w:color w:val="auto"/>
          <w:szCs w:val="21"/>
          <w:highlight w:val="none"/>
          <w:lang w:bidi="ar"/>
        </w:rPr>
      </w:pPr>
      <w:bookmarkStart w:id="7" w:name="_Toc27259"/>
      <w:bookmarkStart w:id="8" w:name="_Toc15372"/>
      <w:r>
        <w:rPr>
          <w:rFonts w:hint="eastAsia" w:ascii="宋体" w:hAnsi="宋体" w:cs="宋体"/>
          <w:color w:val="auto"/>
          <w:szCs w:val="21"/>
          <w:highlight w:val="none"/>
          <w:lang w:bidi="ar"/>
        </w:rPr>
        <w:t>本招标项目重庆三峡银行积分商城商品权益供应入围项目，项目业主为</w:t>
      </w:r>
      <w:r>
        <w:rPr>
          <w:rFonts w:hint="eastAsia" w:ascii="宋体" w:hAnsi="宋体" w:cs="宋体"/>
          <w:color w:val="auto"/>
          <w:szCs w:val="21"/>
          <w:highlight w:val="none"/>
          <w:u w:val="single"/>
          <w:lang w:bidi="ar"/>
        </w:rPr>
        <w:t>重庆三峡银行股份有限公司</w:t>
      </w:r>
      <w:r>
        <w:rPr>
          <w:rFonts w:hint="eastAsia" w:ascii="宋体" w:hAnsi="宋体" w:cs="宋体"/>
          <w:color w:val="auto"/>
          <w:szCs w:val="21"/>
          <w:highlight w:val="none"/>
          <w:lang w:bidi="ar"/>
        </w:rPr>
        <w:t>，建设资金来自</w:t>
      </w:r>
      <w:r>
        <w:rPr>
          <w:rFonts w:hint="eastAsia" w:ascii="宋体" w:hAnsi="宋体" w:cs="宋体"/>
          <w:color w:val="auto"/>
          <w:szCs w:val="21"/>
          <w:highlight w:val="none"/>
          <w:u w:val="single"/>
          <w:lang w:bidi="ar"/>
        </w:rPr>
        <w:t>企业自筹</w:t>
      </w:r>
      <w:r>
        <w:rPr>
          <w:rFonts w:hint="eastAsia" w:ascii="宋体" w:hAnsi="宋体" w:cs="宋体"/>
          <w:color w:val="auto"/>
          <w:szCs w:val="21"/>
          <w:highlight w:val="none"/>
          <w:lang w:bidi="ar"/>
        </w:rPr>
        <w:t>，项目出资比例为</w:t>
      </w:r>
      <w:r>
        <w:rPr>
          <w:rFonts w:hint="eastAsia" w:ascii="宋体" w:hAnsi="宋体" w:cs="宋体"/>
          <w:color w:val="auto"/>
          <w:szCs w:val="21"/>
          <w:highlight w:val="none"/>
          <w:u w:val="single"/>
          <w:lang w:bidi="ar"/>
        </w:rPr>
        <w:t>100%</w:t>
      </w:r>
      <w:r>
        <w:rPr>
          <w:rFonts w:hint="eastAsia" w:ascii="宋体" w:hAnsi="宋体" w:cs="宋体"/>
          <w:color w:val="auto"/>
          <w:szCs w:val="21"/>
          <w:highlight w:val="none"/>
          <w:lang w:bidi="ar"/>
        </w:rPr>
        <w:t>，招标人为</w:t>
      </w:r>
      <w:r>
        <w:rPr>
          <w:rFonts w:hint="eastAsia" w:ascii="宋体" w:hAnsi="宋体" w:cs="宋体"/>
          <w:color w:val="auto"/>
          <w:szCs w:val="21"/>
          <w:highlight w:val="none"/>
          <w:u w:val="single"/>
          <w:lang w:bidi="ar"/>
        </w:rPr>
        <w:t>重庆三峡银行股份有限公司</w:t>
      </w:r>
      <w:r>
        <w:rPr>
          <w:rFonts w:hint="eastAsia" w:ascii="宋体" w:hAnsi="宋体" w:cs="宋体"/>
          <w:color w:val="auto"/>
          <w:szCs w:val="21"/>
          <w:highlight w:val="none"/>
          <w:lang w:bidi="ar"/>
        </w:rPr>
        <w:t>。项目已具备招标条件，现对该项目进行公开招标。</w:t>
      </w:r>
    </w:p>
    <w:p w14:paraId="48C70C47">
      <w:pPr>
        <w:pStyle w:val="4"/>
        <w:spacing w:before="0" w:after="0" w:line="360" w:lineRule="auto"/>
        <w:ind w:firstLine="422"/>
        <w:rPr>
          <w:rFonts w:ascii="宋体" w:hAnsi="宋体" w:eastAsia="宋体" w:cs="宋体"/>
          <w:color w:val="auto"/>
          <w:sz w:val="21"/>
          <w:szCs w:val="21"/>
          <w:highlight w:val="none"/>
        </w:rPr>
      </w:pPr>
      <w:bookmarkStart w:id="9" w:name="_Toc20812"/>
      <w:bookmarkStart w:id="10" w:name="_Toc14542"/>
      <w:r>
        <w:rPr>
          <w:rFonts w:hint="eastAsia" w:ascii="宋体" w:hAnsi="宋体" w:eastAsia="宋体" w:cs="宋体"/>
          <w:color w:val="auto"/>
          <w:sz w:val="21"/>
          <w:szCs w:val="21"/>
          <w:highlight w:val="none"/>
        </w:rPr>
        <w:t>2.</w:t>
      </w:r>
      <w:bookmarkEnd w:id="7"/>
      <w:r>
        <w:rPr>
          <w:rFonts w:hint="eastAsia" w:ascii="宋体" w:hAnsi="宋体" w:eastAsia="宋体" w:cs="宋体"/>
          <w:color w:val="auto"/>
          <w:sz w:val="21"/>
          <w:szCs w:val="21"/>
          <w:highlight w:val="none"/>
        </w:rPr>
        <w:t>项目概况与招标</w:t>
      </w:r>
      <w:bookmarkEnd w:id="8"/>
      <w:r>
        <w:rPr>
          <w:rFonts w:hint="eastAsia" w:ascii="宋体" w:hAnsi="宋体" w:eastAsia="宋体" w:cs="宋体"/>
          <w:color w:val="auto"/>
          <w:sz w:val="21"/>
          <w:szCs w:val="21"/>
          <w:highlight w:val="none"/>
        </w:rPr>
        <w:t>范围</w:t>
      </w:r>
      <w:bookmarkEnd w:id="9"/>
      <w:bookmarkEnd w:id="10"/>
    </w:p>
    <w:p w14:paraId="384961D2">
      <w:pPr>
        <w:widowControl w:val="0"/>
        <w:tabs>
          <w:tab w:val="left" w:pos="1020"/>
        </w:tabs>
        <w:wordWrap w:val="0"/>
        <w:ind w:firstLine="420"/>
        <w:rPr>
          <w:rFonts w:hint="eastAsia" w:ascii="宋体" w:hAnsi="宋体" w:eastAsia="宋体" w:cs="宋体"/>
          <w:color w:val="auto"/>
          <w:szCs w:val="21"/>
          <w:highlight w:val="none"/>
          <w:lang w:eastAsia="zh-CN" w:bidi="ar"/>
        </w:rPr>
      </w:pPr>
      <w:bookmarkStart w:id="11" w:name="_Toc23129"/>
      <w:bookmarkStart w:id="12" w:name="_Toc348949151"/>
      <w:bookmarkStart w:id="13" w:name="_Toc365621241"/>
      <w:bookmarkStart w:id="14" w:name="_Toc22679"/>
      <w:r>
        <w:rPr>
          <w:rFonts w:hint="eastAsia" w:ascii="宋体" w:hAnsi="宋体" w:cs="宋体"/>
          <w:color w:val="auto"/>
          <w:szCs w:val="21"/>
          <w:highlight w:val="none"/>
          <w:lang w:bidi="ar"/>
        </w:rPr>
        <w:t>2.1 项目概况：重庆三峡银行积分商城商品权益供应入围</w:t>
      </w:r>
      <w:r>
        <w:rPr>
          <w:rFonts w:hint="eastAsia" w:ascii="宋体" w:hAnsi="宋体" w:cs="宋体"/>
          <w:color w:val="auto"/>
          <w:szCs w:val="21"/>
          <w:highlight w:val="none"/>
          <w:lang w:eastAsia="zh-CN" w:bidi="ar"/>
        </w:rPr>
        <w:t>，</w:t>
      </w:r>
      <w:r>
        <w:rPr>
          <w:rFonts w:hint="eastAsia"/>
          <w:highlight w:val="none"/>
          <w:lang w:val="en-US" w:eastAsia="zh-CN"/>
        </w:rPr>
        <w:t>本次商品权益供应入围项目，旨在为重庆三峡银行个人客户提供涵盖实物商品、虚拟商品的多元化积分兑换、权益领取及核销服务，全面提升个人客户增值服务体验</w:t>
      </w:r>
      <w:r>
        <w:rPr>
          <w:rFonts w:hint="eastAsia" w:ascii="宋体" w:hAnsi="宋体" w:cs="宋体"/>
          <w:color w:val="auto"/>
          <w:szCs w:val="21"/>
          <w:highlight w:val="none"/>
          <w:lang w:eastAsia="zh-CN" w:bidi="ar"/>
        </w:rPr>
        <w:t>。</w:t>
      </w:r>
    </w:p>
    <w:p w14:paraId="35483281">
      <w:pPr>
        <w:widowControl w:val="0"/>
        <w:tabs>
          <w:tab w:val="left" w:pos="1020"/>
        </w:tabs>
        <w:wordWrap w:val="0"/>
        <w:ind w:firstLine="42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bidi="ar"/>
        </w:rPr>
        <w:t>2.2 招标范围：</w:t>
      </w:r>
      <w:r>
        <w:rPr>
          <w:rFonts w:hint="eastAsia" w:ascii="宋体" w:hAnsi="宋体" w:cs="宋体"/>
          <w:color w:val="auto"/>
          <w:szCs w:val="21"/>
          <w:highlight w:val="none"/>
          <w:lang w:val="en-US" w:eastAsia="zh-CN" w:bidi="ar"/>
        </w:rPr>
        <w:t>一为重庆三峡银行积分商城提供商品权益供应；二是免费策划、开发积分及个人客户权益相关营销活动，并对活动提供商品权益供应。</w:t>
      </w:r>
    </w:p>
    <w:p w14:paraId="719238BF">
      <w:pPr>
        <w:widowControl w:val="0"/>
        <w:tabs>
          <w:tab w:val="left" w:pos="1020"/>
        </w:tabs>
        <w:wordWrap w:val="0"/>
        <w:ind w:firstLine="42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主要的商品采购范围包括：</w:t>
      </w:r>
    </w:p>
    <w:p w14:paraId="3225F5A8">
      <w:pPr>
        <w:widowControl w:val="0"/>
        <w:tabs>
          <w:tab w:val="left" w:pos="1020"/>
        </w:tabs>
        <w:wordWrap w:val="0"/>
        <w:ind w:firstLine="42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实物商品：包括但不限于米面粮油类、家清日化类、厨房用具类、家居家纺类、家用电器类、饮料冲调类、坚果零食类、运动户外类、个护美妆类、箱包皮具类等银行积分商城常见实物商品。</w:t>
      </w:r>
    </w:p>
    <w:p w14:paraId="638996AA">
      <w:pPr>
        <w:widowControl w:val="0"/>
        <w:tabs>
          <w:tab w:val="left" w:pos="1020"/>
        </w:tabs>
        <w:wordWrap w:val="0"/>
        <w:ind w:firstLine="420"/>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虚拟商品：包括但不限于支付立减类（微信立减金、京东E卡等）；视频会员类（优酷、爱奇艺、腾讯等）；商超类（沃尔玛、山姆、盒马生鲜等）；加油卡类（中石油、中石化等）；全国连锁商户类（星巴克、Costa、哈根达斯、必胜客等）；电影票券类（猫眼、淘票票等）；健康体检类（爱康国宾、三甲医院体检中心等）；食品生鲜类（美团、饿了么、顺丰优选、中粮等）；话费流量类（移动、联通、电信）；旅游出行类（机场、高铁贵宾厅、携程等）；打车类（滴滴等）；家政服务类（天鹅到家、京东家政等）等虚拟商品。</w:t>
      </w:r>
    </w:p>
    <w:p w14:paraId="3E01BA4B">
      <w:pPr>
        <w:widowControl w:val="0"/>
        <w:tabs>
          <w:tab w:val="left" w:pos="1020"/>
        </w:tabs>
        <w:wordWrap w:val="0"/>
        <w:ind w:firstLine="420"/>
        <w:rPr>
          <w:rFonts w:ascii="宋体" w:hAnsi="宋体" w:cs="宋体"/>
          <w:color w:val="auto"/>
          <w:szCs w:val="21"/>
          <w:highlight w:val="none"/>
          <w:lang w:bidi="ar"/>
        </w:rPr>
      </w:pPr>
      <w:r>
        <w:rPr>
          <w:rFonts w:hint="eastAsia" w:ascii="宋体" w:hAnsi="宋体" w:cs="宋体"/>
          <w:color w:val="auto"/>
          <w:szCs w:val="21"/>
          <w:highlight w:val="none"/>
          <w:lang w:bidi="ar"/>
        </w:rPr>
        <w:t>2.3入围单位及数量：</w:t>
      </w:r>
      <w:r>
        <w:rPr>
          <w:rFonts w:hint="eastAsia" w:ascii="宋体" w:hAnsi="宋体" w:cs="宋体"/>
          <w:color w:val="auto"/>
          <w:szCs w:val="21"/>
          <w:highlight w:val="none"/>
          <w:lang w:val="en-US" w:eastAsia="zh-CN" w:bidi="ar"/>
        </w:rPr>
        <w:t>共入围4家商品权益供应商</w:t>
      </w:r>
      <w:r>
        <w:rPr>
          <w:rFonts w:hint="eastAsia" w:ascii="宋体" w:hAnsi="宋体" w:cs="宋体"/>
          <w:color w:val="auto"/>
          <w:szCs w:val="21"/>
          <w:highlight w:val="none"/>
          <w:lang w:bidi="ar"/>
        </w:rPr>
        <w:t>。</w:t>
      </w:r>
    </w:p>
    <w:p w14:paraId="5C647C3A">
      <w:pPr>
        <w:widowControl w:val="0"/>
        <w:tabs>
          <w:tab w:val="left" w:pos="1020"/>
        </w:tabs>
        <w:wordWrap w:val="0"/>
        <w:ind w:firstLine="420"/>
        <w:rPr>
          <w:rFonts w:ascii="宋体" w:hAnsi="宋体" w:cs="宋体"/>
          <w:color w:val="auto"/>
          <w:szCs w:val="21"/>
          <w:highlight w:val="none"/>
          <w:lang w:bidi="ar"/>
        </w:rPr>
      </w:pPr>
      <w:r>
        <w:rPr>
          <w:rFonts w:hint="eastAsia" w:ascii="宋体" w:hAnsi="宋体" w:cs="宋体"/>
          <w:color w:val="auto"/>
          <w:szCs w:val="21"/>
          <w:highlight w:val="none"/>
          <w:lang w:bidi="ar"/>
        </w:rPr>
        <w:t>2.4</w:t>
      </w:r>
      <w:r>
        <w:rPr>
          <w:rFonts w:hint="eastAsia" w:ascii="宋体" w:hAnsi="宋体" w:cs="宋体"/>
          <w:color w:val="auto"/>
          <w:szCs w:val="21"/>
          <w:highlight w:val="none"/>
          <w:lang w:val="en-US" w:eastAsia="zh-CN" w:bidi="ar"/>
        </w:rPr>
        <w:t>服务地点</w:t>
      </w:r>
      <w:r>
        <w:rPr>
          <w:rFonts w:hint="eastAsia" w:ascii="宋体" w:hAnsi="宋体" w:cs="宋体"/>
          <w:color w:val="auto"/>
          <w:szCs w:val="21"/>
          <w:highlight w:val="none"/>
          <w:lang w:bidi="ar"/>
        </w:rPr>
        <w:t>：招标人指定地点。</w:t>
      </w:r>
    </w:p>
    <w:p w14:paraId="2ACF5AAA">
      <w:pPr>
        <w:widowControl w:val="0"/>
        <w:tabs>
          <w:tab w:val="left" w:pos="1020"/>
        </w:tabs>
        <w:wordWrap w:val="0"/>
        <w:ind w:firstLine="420"/>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bidi="ar"/>
        </w:rPr>
        <w:t>2.5</w:t>
      </w:r>
      <w:r>
        <w:rPr>
          <w:rFonts w:hint="eastAsia" w:ascii="宋体" w:hAnsi="宋体" w:cs="宋体"/>
          <w:color w:val="auto"/>
          <w:szCs w:val="21"/>
          <w:highlight w:val="none"/>
          <w:lang w:val="en-US" w:eastAsia="zh-CN" w:bidi="ar"/>
        </w:rPr>
        <w:t>服务期</w:t>
      </w:r>
      <w:r>
        <w:rPr>
          <w:rFonts w:hint="eastAsia" w:ascii="宋体" w:hAnsi="宋体" w:cs="宋体"/>
          <w:color w:val="auto"/>
          <w:szCs w:val="21"/>
          <w:highlight w:val="none"/>
          <w:lang w:bidi="ar"/>
        </w:rPr>
        <w:t>：</w:t>
      </w:r>
      <w:r>
        <w:rPr>
          <w:rFonts w:hint="eastAsia"/>
          <w:highlight w:val="none"/>
          <w:lang w:val="en-US" w:eastAsia="zh-CN"/>
        </w:rPr>
        <w:t>三年。</w:t>
      </w:r>
    </w:p>
    <w:p w14:paraId="1E8B3564">
      <w:pPr>
        <w:pStyle w:val="4"/>
        <w:spacing w:before="0" w:after="0" w:line="360" w:lineRule="auto"/>
        <w:ind w:firstLine="422"/>
        <w:rPr>
          <w:rFonts w:ascii="宋体" w:hAnsi="宋体" w:eastAsia="宋体" w:cs="宋体"/>
          <w:color w:val="auto"/>
          <w:sz w:val="21"/>
          <w:szCs w:val="21"/>
          <w:highlight w:val="none"/>
        </w:rPr>
      </w:pPr>
      <w:bookmarkStart w:id="15" w:name="_Toc23848"/>
      <w:bookmarkStart w:id="16" w:name="_Toc31765"/>
      <w:r>
        <w:rPr>
          <w:rFonts w:hint="eastAsia" w:ascii="宋体" w:hAnsi="宋体" w:eastAsia="宋体" w:cs="宋体"/>
          <w:color w:val="auto"/>
          <w:sz w:val="21"/>
          <w:szCs w:val="21"/>
          <w:highlight w:val="none"/>
        </w:rPr>
        <w:t>3.投标人资格要求</w:t>
      </w:r>
      <w:bookmarkEnd w:id="11"/>
      <w:bookmarkEnd w:id="12"/>
      <w:bookmarkEnd w:id="13"/>
      <w:r>
        <w:rPr>
          <w:rFonts w:hint="eastAsia" w:ascii="宋体" w:hAnsi="宋体" w:eastAsia="宋体" w:cs="宋体"/>
          <w:color w:val="auto"/>
          <w:sz w:val="21"/>
          <w:szCs w:val="21"/>
          <w:highlight w:val="none"/>
        </w:rPr>
        <w:t>（具体资格要求以投标人须知前附表1.4.1为准）</w:t>
      </w:r>
      <w:bookmarkEnd w:id="14"/>
      <w:bookmarkEnd w:id="15"/>
      <w:bookmarkEnd w:id="16"/>
    </w:p>
    <w:p w14:paraId="7A6A8016">
      <w:pPr>
        <w:widowControl w:val="0"/>
        <w:tabs>
          <w:tab w:val="left" w:pos="1020"/>
        </w:tabs>
        <w:wordWrap w:val="0"/>
        <w:ind w:firstLine="420"/>
        <w:rPr>
          <w:rFonts w:ascii="宋体" w:hAnsi="宋体" w:cs="宋体"/>
          <w:color w:val="auto"/>
          <w:szCs w:val="21"/>
          <w:highlight w:val="none"/>
        </w:rPr>
      </w:pPr>
      <w:bookmarkStart w:id="17" w:name="_Toc7063"/>
      <w:bookmarkStart w:id="18" w:name="_Toc8150"/>
      <w:r>
        <w:rPr>
          <w:rFonts w:hint="eastAsia" w:ascii="宋体" w:hAnsi="宋体" w:cs="宋体"/>
          <w:color w:val="auto"/>
          <w:szCs w:val="21"/>
          <w:highlight w:val="none"/>
        </w:rPr>
        <w:t>3.1 投标人具备有效的中华人民共和国电信与信息服务业务经营许可证（即ICP许可证）、中华人民共和国增值电信业务经营许可证（即EDI经营许可证）。</w:t>
      </w:r>
    </w:p>
    <w:p w14:paraId="48912FF1">
      <w:pPr>
        <w:widowControl w:val="0"/>
        <w:tabs>
          <w:tab w:val="left" w:pos="1020"/>
        </w:tabs>
        <w:wordWrap w:val="0"/>
        <w:ind w:firstLine="420"/>
        <w:rPr>
          <w:rFonts w:ascii="宋体" w:hAnsi="宋体" w:cs="宋体"/>
          <w:color w:val="auto"/>
          <w:szCs w:val="21"/>
          <w:highlight w:val="none"/>
        </w:rPr>
      </w:pPr>
      <w:r>
        <w:rPr>
          <w:rFonts w:hint="eastAsia" w:ascii="宋体" w:hAnsi="宋体" w:cs="宋体"/>
          <w:color w:val="auto"/>
          <w:szCs w:val="21"/>
          <w:highlight w:val="none"/>
        </w:rPr>
        <w:t>3.2  投标人还应在业绩、资金、人员等方面具有相应的</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能力，详见招标文件第二章投标人须知前附表第1.4.1项内容。</w:t>
      </w:r>
    </w:p>
    <w:p w14:paraId="7A78B57D">
      <w:pPr>
        <w:widowControl w:val="0"/>
        <w:tabs>
          <w:tab w:val="left" w:pos="1020"/>
        </w:tabs>
        <w:wordWrap w:val="0"/>
        <w:ind w:firstLine="420"/>
        <w:rPr>
          <w:rFonts w:ascii="宋体" w:hAnsi="宋体" w:cs="宋体"/>
          <w:color w:val="auto"/>
          <w:szCs w:val="21"/>
          <w:highlight w:val="none"/>
        </w:rPr>
      </w:pPr>
      <w:r>
        <w:rPr>
          <w:rFonts w:hint="eastAsia" w:ascii="宋体" w:hAnsi="宋体" w:cs="宋体"/>
          <w:color w:val="auto"/>
          <w:szCs w:val="21"/>
          <w:highlight w:val="none"/>
        </w:rPr>
        <w:t>3.3  本次招标不接受联合体投标。</w:t>
      </w:r>
    </w:p>
    <w:p w14:paraId="2CD8F490">
      <w:pPr>
        <w:pStyle w:val="4"/>
        <w:spacing w:before="0" w:after="0" w:line="360" w:lineRule="auto"/>
        <w:ind w:firstLine="422"/>
        <w:rPr>
          <w:rFonts w:hint="eastAsia" w:ascii="宋体" w:hAnsi="宋体" w:eastAsia="宋体" w:cs="宋体"/>
          <w:color w:val="auto"/>
          <w:sz w:val="21"/>
          <w:szCs w:val="21"/>
          <w:highlight w:val="none"/>
        </w:rPr>
      </w:pPr>
      <w:bookmarkStart w:id="19" w:name="_Toc4730"/>
      <w:bookmarkStart w:id="20" w:name="_Toc26760"/>
      <w:r>
        <w:rPr>
          <w:rFonts w:hint="eastAsia" w:ascii="宋体" w:hAnsi="宋体" w:eastAsia="宋体" w:cs="宋体"/>
          <w:color w:val="auto"/>
          <w:sz w:val="21"/>
          <w:szCs w:val="21"/>
          <w:highlight w:val="none"/>
        </w:rPr>
        <w:t>4.  招标文件的获取</w:t>
      </w:r>
      <w:bookmarkEnd w:id="17"/>
      <w:bookmarkEnd w:id="18"/>
      <w:bookmarkEnd w:id="19"/>
      <w:bookmarkEnd w:id="20"/>
    </w:p>
    <w:p w14:paraId="7A6D2F26">
      <w:pPr>
        <w:widowControl w:val="0"/>
        <w:tabs>
          <w:tab w:val="left" w:pos="1020"/>
        </w:tabs>
        <w:wordWrap w:val="0"/>
        <w:ind w:firstLine="420"/>
        <w:rPr>
          <w:rFonts w:hint="eastAsia" w:ascii="宋体" w:hAnsi="宋体" w:cs="宋体"/>
          <w:color w:val="auto"/>
          <w:szCs w:val="21"/>
          <w:highlight w:val="none"/>
        </w:rPr>
      </w:pPr>
      <w:bookmarkStart w:id="21" w:name="_Toc6599"/>
      <w:bookmarkStart w:id="22" w:name="_Toc9609"/>
      <w:bookmarkStart w:id="23" w:name="_Toc25372"/>
      <w:bookmarkStart w:id="24" w:name="_Toc11890"/>
      <w:r>
        <w:rPr>
          <w:rFonts w:hint="eastAsia" w:ascii="宋体" w:hAnsi="宋体" w:cs="宋体"/>
          <w:color w:val="auto"/>
          <w:szCs w:val="21"/>
          <w:highlight w:val="none"/>
        </w:rPr>
        <w:t>4.1  凡有意参加投标者，请于</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none"/>
        </w:rPr>
        <w:t>月</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日（北京时间，下同）起在重庆市公共资源交易网（www.cqggzy.com）下载招标文件、工程量清单、图纸、澄清、修改、补充通知、最高限价通知等全部内容。不管下载与否都视为潜在投标人全部知晓有关招投标过程和全部内容。</w:t>
      </w:r>
    </w:p>
    <w:p w14:paraId="2B64F4FA">
      <w:pPr>
        <w:widowControl w:val="0"/>
        <w:tabs>
          <w:tab w:val="left" w:pos="1020"/>
        </w:tabs>
        <w:wordWrap w:val="0"/>
        <w:ind w:firstLine="420"/>
        <w:rPr>
          <w:rFonts w:hint="eastAsia" w:ascii="宋体" w:hAnsi="宋体" w:cs="宋体"/>
          <w:color w:val="auto"/>
          <w:szCs w:val="21"/>
          <w:highlight w:val="none"/>
        </w:rPr>
      </w:pPr>
      <w:r>
        <w:rPr>
          <w:rFonts w:hint="eastAsia" w:ascii="宋体" w:hAnsi="宋体" w:cs="宋体"/>
          <w:color w:val="auto"/>
          <w:szCs w:val="21"/>
          <w:highlight w:val="none"/>
        </w:rPr>
        <w:t>4.2  投标人可在重庆市公共资源交易网（www.cqggzy.com）本项目招标公告网页下方“我要提问”栏提出疑问，提问时间从本公告发布至</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none"/>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分（北京时间）前。</w:t>
      </w:r>
    </w:p>
    <w:p w14:paraId="09C6DEAB">
      <w:pPr>
        <w:pageBreakBefore w:val="0"/>
        <w:widowControl w:val="0"/>
        <w:tabs>
          <w:tab w:val="left" w:pos="1020"/>
        </w:tabs>
        <w:kinsoku/>
        <w:wordWrap w:val="0"/>
        <w:overflowPunct/>
        <w:topLinePunct w:val="0"/>
        <w:autoSpaceDE/>
        <w:autoSpaceDN/>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4.3  招标人应于</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none"/>
        </w:rPr>
        <w:t>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分（（北京时间）前在重庆市公共资源交易网（www.cqggzy.com）发布澄清</w:t>
      </w:r>
      <w:r>
        <w:rPr>
          <w:rFonts w:hint="eastAsia" w:ascii="宋体" w:hAnsi="宋体" w:cs="宋体"/>
          <w:color w:val="auto"/>
          <w:szCs w:val="21"/>
          <w:highlight w:val="none"/>
          <w:lang w:val="en-US" w:eastAsia="zh-CN"/>
        </w:rPr>
        <w:t>或修改</w:t>
      </w:r>
      <w:r>
        <w:rPr>
          <w:rFonts w:hint="eastAsia" w:ascii="宋体" w:hAnsi="宋体" w:cs="宋体"/>
          <w:color w:val="auto"/>
          <w:szCs w:val="21"/>
          <w:highlight w:val="none"/>
        </w:rPr>
        <w:t>。</w:t>
      </w:r>
    </w:p>
    <w:p w14:paraId="1865B39A">
      <w:pPr>
        <w:pStyle w:val="4"/>
        <w:pageBreakBefore w:val="0"/>
        <w:kinsoku/>
        <w:overflowPunct/>
        <w:topLinePunct w:val="0"/>
        <w:autoSpaceDE/>
        <w:autoSpaceDN/>
        <w:bidi w:val="0"/>
        <w:snapToGrid w:val="0"/>
        <w:spacing w:before="0" w:after="0" w:line="360" w:lineRule="auto"/>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投标文件的递交</w:t>
      </w:r>
      <w:bookmarkEnd w:id="21"/>
      <w:bookmarkEnd w:id="22"/>
    </w:p>
    <w:p w14:paraId="456BA7FE">
      <w:pPr>
        <w:pageBreakBefore w:val="0"/>
        <w:widowControl w:val="0"/>
        <w:tabs>
          <w:tab w:val="left" w:pos="1020"/>
        </w:tabs>
        <w:kinsoku/>
        <w:wordWrap w:val="0"/>
        <w:overflowPunct/>
        <w:topLinePunct w:val="0"/>
        <w:autoSpaceDE/>
        <w:autoSpaceDN/>
        <w:bidi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  投标文件递交的截止时间（投标截止时间，下同）为</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non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 xml:space="preserve">分，地点为 </w:t>
      </w:r>
      <w:r>
        <w:rPr>
          <w:rFonts w:hint="eastAsia" w:ascii="宋体" w:hAnsi="宋体" w:cs="宋体"/>
          <w:color w:val="auto"/>
          <w:szCs w:val="21"/>
          <w:highlight w:val="none"/>
          <w:u w:val="single"/>
        </w:rPr>
        <w:t>重庆市公共资源交易中心（重庆市渝北区青枫北路6号渝兴广场B10栋2层），具体房间号见开标当日指示牌</w:t>
      </w:r>
      <w:r>
        <w:rPr>
          <w:rFonts w:hint="eastAsia" w:ascii="宋体" w:hAnsi="宋体" w:cs="宋体"/>
          <w:color w:val="auto"/>
          <w:szCs w:val="21"/>
          <w:highlight w:val="none"/>
        </w:rPr>
        <w:t>。</w:t>
      </w:r>
    </w:p>
    <w:p w14:paraId="1431D3CD">
      <w:pPr>
        <w:pageBreakBefore w:val="0"/>
        <w:widowControl w:val="0"/>
        <w:tabs>
          <w:tab w:val="left" w:pos="1020"/>
        </w:tabs>
        <w:kinsoku/>
        <w:wordWrap w:val="0"/>
        <w:overflowPunct/>
        <w:topLinePunct w:val="0"/>
        <w:autoSpaceDE/>
        <w:autoSpaceDN/>
        <w:bidi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5.2  逾期送达的或者未送达指定地点的投标文件，招标人不予受理。</w:t>
      </w:r>
    </w:p>
    <w:p w14:paraId="123F00D8">
      <w:pPr>
        <w:pStyle w:val="4"/>
        <w:pageBreakBefore w:val="0"/>
        <w:kinsoku/>
        <w:overflowPunct/>
        <w:topLinePunct w:val="0"/>
        <w:autoSpaceDE/>
        <w:autoSpaceDN/>
        <w:bidi w:val="0"/>
        <w:snapToGrid w:val="0"/>
        <w:spacing w:before="0" w:after="0"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.发布公告的媒介</w:t>
      </w:r>
    </w:p>
    <w:p w14:paraId="7361A882">
      <w:pPr>
        <w:pStyle w:val="34"/>
        <w:pageBreakBefore w:val="0"/>
        <w:kinsoku/>
        <w:overflowPunct/>
        <w:topLinePunct w:val="0"/>
        <w:autoSpaceDE/>
        <w:autoSpaceDN/>
        <w:bidi w:val="0"/>
        <w:snapToGrid w:val="0"/>
        <w:spacing w:after="0" w:line="360" w:lineRule="auto"/>
        <w:ind w:firstLine="420"/>
        <w:rPr>
          <w:color w:val="auto"/>
          <w:highlight w:val="none"/>
        </w:rPr>
      </w:pPr>
      <w:r>
        <w:rPr>
          <w:rFonts w:ascii="宋体" w:hAnsi="宋体"/>
          <w:snapToGrid w:val="0"/>
          <w:kern w:val="0"/>
          <w:szCs w:val="21"/>
        </w:rPr>
        <w:t>本次招标公告同时在</w:t>
      </w:r>
      <w:r>
        <w:rPr>
          <w:rFonts w:hint="eastAsia" w:ascii="宋体" w:hAnsi="宋体"/>
          <w:snapToGrid w:val="0"/>
          <w:kern w:val="0"/>
          <w:szCs w:val="21"/>
          <w:u w:val="single"/>
        </w:rPr>
        <w:t>重庆市公共资源交易网（www.cqggzy.com）</w:t>
      </w:r>
      <w:r>
        <w:rPr>
          <w:rFonts w:ascii="宋体" w:hAnsi="宋体"/>
          <w:snapToGrid w:val="0"/>
          <w:kern w:val="0"/>
          <w:szCs w:val="21"/>
        </w:rPr>
        <w:t>上发布</w:t>
      </w:r>
      <w:r>
        <w:rPr>
          <w:rFonts w:hint="eastAsia"/>
          <w:color w:val="auto"/>
          <w:highlight w:val="none"/>
        </w:rPr>
        <w:t>。</w:t>
      </w:r>
    </w:p>
    <w:p w14:paraId="37E7588E">
      <w:pPr>
        <w:pStyle w:val="4"/>
        <w:pageBreakBefore w:val="0"/>
        <w:kinsoku/>
        <w:overflowPunct/>
        <w:topLinePunct w:val="0"/>
        <w:autoSpaceDE/>
        <w:autoSpaceDN/>
        <w:bidi w:val="0"/>
        <w:snapToGrid w:val="0"/>
        <w:spacing w:before="0" w:after="0"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.招标单位及联系方式</w:t>
      </w:r>
    </w:p>
    <w:bookmarkEnd w:id="23"/>
    <w:bookmarkEnd w:id="24"/>
    <w:p w14:paraId="613575E3">
      <w:pPr>
        <w:pStyle w:val="34"/>
        <w:pageBreakBefore w:val="0"/>
        <w:kinsoku/>
        <w:overflowPunct/>
        <w:topLinePunct w:val="0"/>
        <w:autoSpaceDE/>
        <w:autoSpaceDN/>
        <w:bidi w:val="0"/>
        <w:snapToGrid w:val="0"/>
        <w:spacing w:after="0" w:line="360" w:lineRule="auto"/>
        <w:ind w:firstLine="420"/>
        <w:rPr>
          <w:rFonts w:hint="eastAsia"/>
          <w:color w:val="auto"/>
          <w:highlight w:val="none"/>
        </w:rPr>
      </w:pPr>
      <w:bookmarkStart w:id="25" w:name="_Toc27885"/>
      <w:bookmarkStart w:id="26" w:name="_Toc26421"/>
      <w:bookmarkStart w:id="27" w:name="_Toc3078"/>
      <w:bookmarkStart w:id="28" w:name="_Toc23696"/>
      <w:r>
        <w:rPr>
          <w:rFonts w:hint="eastAsia"/>
          <w:color w:val="auto"/>
          <w:highlight w:val="none"/>
        </w:rPr>
        <w:t>招标人：重庆三峡银行股份有限公司</w:t>
      </w:r>
    </w:p>
    <w:p w14:paraId="2DE96153">
      <w:pPr>
        <w:pStyle w:val="34"/>
        <w:pageBreakBefore w:val="0"/>
        <w:kinsoku/>
        <w:overflowPunct/>
        <w:topLinePunct w:val="0"/>
        <w:autoSpaceDE/>
        <w:autoSpaceDN/>
        <w:bidi w:val="0"/>
        <w:snapToGrid w:val="0"/>
        <w:spacing w:after="0" w:line="360" w:lineRule="auto"/>
        <w:ind w:firstLine="420"/>
        <w:rPr>
          <w:rFonts w:hint="eastAsia"/>
          <w:color w:val="auto"/>
          <w:highlight w:val="none"/>
        </w:rPr>
      </w:pPr>
      <w:r>
        <w:rPr>
          <w:rFonts w:hint="eastAsia"/>
          <w:color w:val="auto"/>
          <w:highlight w:val="none"/>
        </w:rPr>
        <w:t>地  址：重庆市渝北区嘉州路88号中渝国际都会4号写字楼</w:t>
      </w:r>
    </w:p>
    <w:p w14:paraId="4C0F3AC8">
      <w:pPr>
        <w:pStyle w:val="34"/>
        <w:pageBreakBefore w:val="0"/>
        <w:kinsoku/>
        <w:overflowPunct/>
        <w:topLinePunct w:val="0"/>
        <w:autoSpaceDE/>
        <w:autoSpaceDN/>
        <w:bidi w:val="0"/>
        <w:snapToGrid w:val="0"/>
        <w:spacing w:after="0" w:line="360" w:lineRule="auto"/>
        <w:ind w:firstLine="420"/>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谭老师、敬老师</w:t>
      </w:r>
    </w:p>
    <w:p w14:paraId="71276F02">
      <w:pPr>
        <w:pStyle w:val="34"/>
        <w:pageBreakBefore w:val="0"/>
        <w:kinsoku/>
        <w:overflowPunct/>
        <w:topLinePunct w:val="0"/>
        <w:autoSpaceDE/>
        <w:autoSpaceDN/>
        <w:bidi w:val="0"/>
        <w:snapToGrid w:val="0"/>
        <w:spacing w:after="0" w:line="360" w:lineRule="auto"/>
        <w:ind w:firstLine="420"/>
        <w:rPr>
          <w:rFonts w:hint="eastAsia" w:eastAsia="宋体"/>
          <w:color w:val="auto"/>
          <w:highlight w:val="none"/>
          <w:lang w:eastAsia="zh-CN"/>
        </w:rPr>
      </w:pPr>
      <w:r>
        <w:rPr>
          <w:rFonts w:hint="eastAsia"/>
          <w:color w:val="auto"/>
          <w:highlight w:val="none"/>
        </w:rPr>
        <w:t>电  话：023-88890272</w:t>
      </w:r>
      <w:r>
        <w:rPr>
          <w:rFonts w:hint="eastAsia"/>
          <w:color w:val="auto"/>
          <w:highlight w:val="none"/>
          <w:lang w:eastAsia="zh-CN"/>
        </w:rPr>
        <w:t>、023-88890395</w:t>
      </w:r>
    </w:p>
    <w:bookmarkEnd w:id="25"/>
    <w:bookmarkEnd w:id="26"/>
    <w:p w14:paraId="27A8EBD6">
      <w:pPr>
        <w:pStyle w:val="34"/>
        <w:pageBreakBefore w:val="0"/>
        <w:kinsoku/>
        <w:overflowPunct/>
        <w:topLinePunct w:val="0"/>
        <w:autoSpaceDE/>
        <w:autoSpaceDN/>
        <w:bidi w:val="0"/>
        <w:snapToGrid w:val="0"/>
        <w:spacing w:after="0" w:line="360" w:lineRule="auto"/>
        <w:ind w:firstLine="420"/>
        <w:rPr>
          <w:color w:val="auto"/>
          <w:highlight w:val="none"/>
        </w:rPr>
      </w:pPr>
    </w:p>
    <w:p w14:paraId="6538C826">
      <w:pPr>
        <w:pStyle w:val="34"/>
        <w:pageBreakBefore w:val="0"/>
        <w:kinsoku/>
        <w:overflowPunct/>
        <w:topLinePunct w:val="0"/>
        <w:autoSpaceDE/>
        <w:autoSpaceDN/>
        <w:bidi w:val="0"/>
        <w:snapToGrid w:val="0"/>
        <w:spacing w:after="0" w:line="360" w:lineRule="auto"/>
        <w:ind w:firstLine="420"/>
        <w:rPr>
          <w:color w:val="auto"/>
          <w:highlight w:val="none"/>
        </w:rPr>
      </w:pPr>
      <w:r>
        <w:rPr>
          <w:rFonts w:hint="eastAsia"/>
          <w:color w:val="auto"/>
          <w:highlight w:val="none"/>
        </w:rPr>
        <w:t>招标代理机构名称：</w:t>
      </w:r>
      <w:bookmarkEnd w:id="27"/>
      <w:bookmarkEnd w:id="28"/>
      <w:r>
        <w:rPr>
          <w:rFonts w:hint="eastAsia"/>
          <w:color w:val="auto"/>
          <w:highlight w:val="none"/>
        </w:rPr>
        <w:t>重庆招标采购（集团）有限责任公司</w:t>
      </w:r>
    </w:p>
    <w:p w14:paraId="12F7BE32">
      <w:pPr>
        <w:pStyle w:val="34"/>
        <w:pageBreakBefore w:val="0"/>
        <w:kinsoku/>
        <w:overflowPunct/>
        <w:topLinePunct w:val="0"/>
        <w:autoSpaceDE/>
        <w:autoSpaceDN/>
        <w:bidi w:val="0"/>
        <w:snapToGrid w:val="0"/>
        <w:spacing w:after="0" w:line="360" w:lineRule="auto"/>
        <w:ind w:firstLine="420"/>
        <w:rPr>
          <w:color w:val="auto"/>
          <w:highlight w:val="none"/>
        </w:rPr>
      </w:pPr>
      <w:bookmarkStart w:id="29" w:name="_Toc21791"/>
      <w:bookmarkStart w:id="30" w:name="_Toc29207"/>
      <w:r>
        <w:rPr>
          <w:rFonts w:hint="eastAsia"/>
          <w:color w:val="auto"/>
          <w:highlight w:val="none"/>
        </w:rPr>
        <w:t>地址：重庆市江北区五简路2号重咨大厦A栋9楼904室</w:t>
      </w:r>
      <w:bookmarkEnd w:id="29"/>
      <w:bookmarkEnd w:id="30"/>
    </w:p>
    <w:p w14:paraId="560C18EC">
      <w:pPr>
        <w:pageBreakBefore w:val="0"/>
        <w:kinsoku/>
        <w:overflowPunct/>
        <w:topLinePunct w:val="0"/>
        <w:autoSpaceDE/>
        <w:autoSpaceDN/>
        <w:bidi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联系人：罗老师</w:t>
      </w:r>
    </w:p>
    <w:p w14:paraId="04FF3BB9">
      <w:pPr>
        <w:pageBreakBefore w:val="0"/>
        <w:kinsoku/>
        <w:overflowPunct/>
        <w:topLinePunct w:val="0"/>
        <w:autoSpaceDE/>
        <w:autoSpaceDN/>
        <w:bidi w:val="0"/>
        <w:snapToGrid w:val="0"/>
        <w:spacing w:line="360" w:lineRule="auto"/>
        <w:ind w:firstLine="420"/>
        <w:rPr>
          <w:rFonts w:ascii="宋体" w:hAnsi="宋体" w:cs="宋体"/>
          <w:color w:val="auto"/>
          <w:szCs w:val="21"/>
          <w:highlight w:val="none"/>
        </w:rPr>
      </w:pPr>
      <w:bookmarkStart w:id="31" w:name="_Toc15060"/>
      <w:bookmarkStart w:id="32" w:name="_Toc254"/>
      <w:r>
        <w:rPr>
          <w:rFonts w:hint="eastAsia" w:ascii="宋体" w:hAnsi="宋体" w:cs="宋体"/>
          <w:color w:val="auto"/>
          <w:szCs w:val="21"/>
          <w:highlight w:val="none"/>
        </w:rPr>
        <w:t>电话：</w:t>
      </w:r>
      <w:bookmarkEnd w:id="31"/>
      <w:bookmarkEnd w:id="32"/>
      <w:r>
        <w:rPr>
          <w:rFonts w:hint="eastAsia" w:ascii="宋体" w:hAnsi="宋体" w:cs="宋体"/>
          <w:color w:val="auto"/>
          <w:szCs w:val="21"/>
          <w:highlight w:val="none"/>
        </w:rPr>
        <w:t xml:space="preserve">023-67717810 </w:t>
      </w:r>
    </w:p>
    <w:p w14:paraId="0C285CFA">
      <w:pPr>
        <w:ind w:firstLine="420"/>
        <w:rPr>
          <w:color w:val="auto"/>
          <w:highlight w:val="none"/>
        </w:rPr>
      </w:pPr>
      <w:bookmarkStart w:id="33" w:name="_GoBack"/>
      <w:bookmarkEnd w:id="33"/>
    </w:p>
    <w:sectPr>
      <w:headerReference r:id="rId5" w:type="default"/>
      <w:footerReference r:id="rId6" w:type="default"/>
      <w:pgSz w:w="11906" w:h="16838"/>
      <w:pgMar w:top="1418" w:right="1133" w:bottom="1361" w:left="1361" w:header="737" w:footer="737"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414BBE73-F831-4C15-9FA1-500BBF53392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5922815"/>
    </w:sdtPr>
    <w:sdtContent>
      <w:p w14:paraId="205C4C38">
        <w:pPr>
          <w:pStyle w:val="15"/>
          <w:ind w:firstLine="360"/>
          <w:jc w:val="center"/>
        </w:pPr>
        <w:r>
          <w:fldChar w:fldCharType="begin"/>
        </w:r>
        <w:r>
          <w:instrText xml:space="preserve">PAGE   \* MERGEFORMAT</w:instrText>
        </w:r>
        <w:r>
          <w:fldChar w:fldCharType="separate"/>
        </w:r>
        <w:r>
          <w:rPr>
            <w:lang w:val="zh-CN"/>
          </w:rPr>
          <w:t>68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17E82">
    <w:pPr>
      <w:tabs>
        <w:tab w:val="left" w:pos="1695"/>
        <w:tab w:val="left" w:pos="3370"/>
        <w:tab w:val="left" w:pos="5555"/>
      </w:tabs>
      <w:autoSpaceDE w:val="0"/>
      <w:autoSpaceDN w:val="0"/>
      <w:adjustRightInd w:val="0"/>
      <w:snapToGrid w:val="0"/>
      <w:ind w:left="900" w:hanging="900" w:hangingChars="500"/>
      <w:rPr>
        <w:rFonts w:ascii="仿宋" w:hAnsi="仿宋" w:eastAsia="仿宋" w:cs="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79A92"/>
    <w:multiLevelType w:val="singleLevel"/>
    <w:tmpl w:val="92079A92"/>
    <w:lvl w:ilvl="0" w:tentative="0">
      <w:start w:val="1"/>
      <w:numFmt w:val="decimal"/>
      <w:pStyle w:val="51"/>
      <w:suff w:val="space"/>
      <w:lvlText w:val="%1）"/>
      <w:lvlJc w:val="left"/>
      <w:pPr>
        <w:tabs>
          <w:tab w:val="left" w:pos="0"/>
        </w:tabs>
        <w:ind w:left="0" w:firstLine="480"/>
      </w:pPr>
      <w:rPr>
        <w:rFonts w:hint="default"/>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M2EzOGQwZThiNmQxYjRiMjA3YmRiMjUzYWNiNzAifQ=="/>
  </w:docVars>
  <w:rsids>
    <w:rsidRoot w:val="46AB6D90"/>
    <w:rsid w:val="00061904"/>
    <w:rsid w:val="000D7DA3"/>
    <w:rsid w:val="000E3BFF"/>
    <w:rsid w:val="000F67B9"/>
    <w:rsid w:val="001B3EE5"/>
    <w:rsid w:val="00200481"/>
    <w:rsid w:val="00264946"/>
    <w:rsid w:val="00290D38"/>
    <w:rsid w:val="002F77FC"/>
    <w:rsid w:val="0030649C"/>
    <w:rsid w:val="003161DD"/>
    <w:rsid w:val="00336206"/>
    <w:rsid w:val="00342FE9"/>
    <w:rsid w:val="004C3C49"/>
    <w:rsid w:val="004C60BB"/>
    <w:rsid w:val="004D7E8D"/>
    <w:rsid w:val="004E5E1F"/>
    <w:rsid w:val="005021B8"/>
    <w:rsid w:val="00526D88"/>
    <w:rsid w:val="005B5E57"/>
    <w:rsid w:val="00624C83"/>
    <w:rsid w:val="006304D4"/>
    <w:rsid w:val="006559DC"/>
    <w:rsid w:val="00665421"/>
    <w:rsid w:val="00677D9F"/>
    <w:rsid w:val="0068518E"/>
    <w:rsid w:val="006F09B0"/>
    <w:rsid w:val="00744493"/>
    <w:rsid w:val="00750A5F"/>
    <w:rsid w:val="007528E8"/>
    <w:rsid w:val="007964FC"/>
    <w:rsid w:val="008913C2"/>
    <w:rsid w:val="008A1594"/>
    <w:rsid w:val="008F3C23"/>
    <w:rsid w:val="00931D9A"/>
    <w:rsid w:val="00982C62"/>
    <w:rsid w:val="00A83BDC"/>
    <w:rsid w:val="00AF7F1D"/>
    <w:rsid w:val="00B33957"/>
    <w:rsid w:val="00BD756D"/>
    <w:rsid w:val="00C16C48"/>
    <w:rsid w:val="00C35748"/>
    <w:rsid w:val="00C453A7"/>
    <w:rsid w:val="00CF3699"/>
    <w:rsid w:val="00D37BB0"/>
    <w:rsid w:val="00D45D60"/>
    <w:rsid w:val="00DB71BC"/>
    <w:rsid w:val="00F37306"/>
    <w:rsid w:val="00F40CD0"/>
    <w:rsid w:val="00F63B62"/>
    <w:rsid w:val="00FB4E94"/>
    <w:rsid w:val="00FC6E59"/>
    <w:rsid w:val="019E4ED3"/>
    <w:rsid w:val="01D31020"/>
    <w:rsid w:val="02755ECB"/>
    <w:rsid w:val="031B6740"/>
    <w:rsid w:val="03F36966"/>
    <w:rsid w:val="042128FC"/>
    <w:rsid w:val="04953394"/>
    <w:rsid w:val="04D40588"/>
    <w:rsid w:val="05145BD8"/>
    <w:rsid w:val="053022E6"/>
    <w:rsid w:val="05BE78F1"/>
    <w:rsid w:val="06654211"/>
    <w:rsid w:val="07061550"/>
    <w:rsid w:val="0719343A"/>
    <w:rsid w:val="07267E44"/>
    <w:rsid w:val="078773E9"/>
    <w:rsid w:val="07C84A57"/>
    <w:rsid w:val="07D20165"/>
    <w:rsid w:val="086F75C9"/>
    <w:rsid w:val="091E02E2"/>
    <w:rsid w:val="093D33DD"/>
    <w:rsid w:val="09732C88"/>
    <w:rsid w:val="099C2B0B"/>
    <w:rsid w:val="0A397E8E"/>
    <w:rsid w:val="0A5945E1"/>
    <w:rsid w:val="0A5C6B11"/>
    <w:rsid w:val="0A9B02A1"/>
    <w:rsid w:val="0AF2250D"/>
    <w:rsid w:val="0B271D94"/>
    <w:rsid w:val="0B8B6D2B"/>
    <w:rsid w:val="0BB023D2"/>
    <w:rsid w:val="0BF202F5"/>
    <w:rsid w:val="0C2E7C5C"/>
    <w:rsid w:val="0C6805B7"/>
    <w:rsid w:val="0CDA2343"/>
    <w:rsid w:val="0D444B80"/>
    <w:rsid w:val="0DB34F1B"/>
    <w:rsid w:val="0E2D3935"/>
    <w:rsid w:val="0FA40799"/>
    <w:rsid w:val="1225599B"/>
    <w:rsid w:val="125A6BF4"/>
    <w:rsid w:val="1407549B"/>
    <w:rsid w:val="141352AC"/>
    <w:rsid w:val="141D589C"/>
    <w:rsid w:val="15447BA2"/>
    <w:rsid w:val="15AD6450"/>
    <w:rsid w:val="15B32C0E"/>
    <w:rsid w:val="171F6CF0"/>
    <w:rsid w:val="1753215F"/>
    <w:rsid w:val="17A53A21"/>
    <w:rsid w:val="17E22DD2"/>
    <w:rsid w:val="17EE4066"/>
    <w:rsid w:val="17FE736C"/>
    <w:rsid w:val="18216EF9"/>
    <w:rsid w:val="187D6C6E"/>
    <w:rsid w:val="18F525BB"/>
    <w:rsid w:val="19167225"/>
    <w:rsid w:val="1A020B05"/>
    <w:rsid w:val="1A552EF9"/>
    <w:rsid w:val="1A7F5449"/>
    <w:rsid w:val="1AFE6A41"/>
    <w:rsid w:val="1B8630B0"/>
    <w:rsid w:val="1BAC6EB0"/>
    <w:rsid w:val="1C0E77B2"/>
    <w:rsid w:val="1D2D3C11"/>
    <w:rsid w:val="1E696B3C"/>
    <w:rsid w:val="1E734D0E"/>
    <w:rsid w:val="1EA41C85"/>
    <w:rsid w:val="1F0028D1"/>
    <w:rsid w:val="211B01B5"/>
    <w:rsid w:val="211B72CF"/>
    <w:rsid w:val="22072E24"/>
    <w:rsid w:val="228F263E"/>
    <w:rsid w:val="229E0D7F"/>
    <w:rsid w:val="234E00AF"/>
    <w:rsid w:val="23990A05"/>
    <w:rsid w:val="24250BE7"/>
    <w:rsid w:val="24D32F62"/>
    <w:rsid w:val="25315EDA"/>
    <w:rsid w:val="2576586C"/>
    <w:rsid w:val="25C64874"/>
    <w:rsid w:val="261D13A1"/>
    <w:rsid w:val="26355556"/>
    <w:rsid w:val="264F6618"/>
    <w:rsid w:val="2668592C"/>
    <w:rsid w:val="27266059"/>
    <w:rsid w:val="276F723F"/>
    <w:rsid w:val="28123DA1"/>
    <w:rsid w:val="29342D7D"/>
    <w:rsid w:val="294941ED"/>
    <w:rsid w:val="2A3F3258"/>
    <w:rsid w:val="2A855DE7"/>
    <w:rsid w:val="2A8E3B03"/>
    <w:rsid w:val="2AD7138B"/>
    <w:rsid w:val="2ADE35B1"/>
    <w:rsid w:val="2B6A571C"/>
    <w:rsid w:val="2B6B5103"/>
    <w:rsid w:val="2C5B55EB"/>
    <w:rsid w:val="2C7A04C9"/>
    <w:rsid w:val="2CD35498"/>
    <w:rsid w:val="2CDA43D1"/>
    <w:rsid w:val="2D3A605B"/>
    <w:rsid w:val="2DA60AE7"/>
    <w:rsid w:val="2DEA0A00"/>
    <w:rsid w:val="2E894691"/>
    <w:rsid w:val="2EFE4186"/>
    <w:rsid w:val="2F350375"/>
    <w:rsid w:val="2F436A8A"/>
    <w:rsid w:val="2FA2307A"/>
    <w:rsid w:val="30875D28"/>
    <w:rsid w:val="30FB0B54"/>
    <w:rsid w:val="324019D0"/>
    <w:rsid w:val="32682E10"/>
    <w:rsid w:val="32710C12"/>
    <w:rsid w:val="329442EF"/>
    <w:rsid w:val="32E01966"/>
    <w:rsid w:val="33491F3F"/>
    <w:rsid w:val="33C63C91"/>
    <w:rsid w:val="34C56FBB"/>
    <w:rsid w:val="35765D9F"/>
    <w:rsid w:val="35B83A78"/>
    <w:rsid w:val="375D65E3"/>
    <w:rsid w:val="37B02C8E"/>
    <w:rsid w:val="37F86F48"/>
    <w:rsid w:val="38207078"/>
    <w:rsid w:val="384563E1"/>
    <w:rsid w:val="38514471"/>
    <w:rsid w:val="38E673CA"/>
    <w:rsid w:val="39111E53"/>
    <w:rsid w:val="394B3D71"/>
    <w:rsid w:val="3A0E1EEE"/>
    <w:rsid w:val="3B9052B1"/>
    <w:rsid w:val="3BD86C58"/>
    <w:rsid w:val="3C5C1637"/>
    <w:rsid w:val="3C7E77FF"/>
    <w:rsid w:val="3D2E6701"/>
    <w:rsid w:val="3DD07614"/>
    <w:rsid w:val="3EC27756"/>
    <w:rsid w:val="3F3B5533"/>
    <w:rsid w:val="3FB87291"/>
    <w:rsid w:val="3FD33C45"/>
    <w:rsid w:val="401E6CDA"/>
    <w:rsid w:val="402F1107"/>
    <w:rsid w:val="409274AD"/>
    <w:rsid w:val="40956857"/>
    <w:rsid w:val="40D53766"/>
    <w:rsid w:val="41DA54D8"/>
    <w:rsid w:val="41E579D9"/>
    <w:rsid w:val="4261374C"/>
    <w:rsid w:val="42B06238"/>
    <w:rsid w:val="431E15EB"/>
    <w:rsid w:val="43C93B05"/>
    <w:rsid w:val="445D419E"/>
    <w:rsid w:val="44D9559F"/>
    <w:rsid w:val="450C70F7"/>
    <w:rsid w:val="45DD0D43"/>
    <w:rsid w:val="46141280"/>
    <w:rsid w:val="46932F3D"/>
    <w:rsid w:val="46A37326"/>
    <w:rsid w:val="46AB6D90"/>
    <w:rsid w:val="46B1432D"/>
    <w:rsid w:val="46DC75FC"/>
    <w:rsid w:val="4AAA28B3"/>
    <w:rsid w:val="4AF33166"/>
    <w:rsid w:val="4B257098"/>
    <w:rsid w:val="4B3043BA"/>
    <w:rsid w:val="4B6B0A37"/>
    <w:rsid w:val="4B8004D4"/>
    <w:rsid w:val="4BDE3E16"/>
    <w:rsid w:val="4D755370"/>
    <w:rsid w:val="4DAE15C6"/>
    <w:rsid w:val="4E0512BD"/>
    <w:rsid w:val="4EA66F51"/>
    <w:rsid w:val="4EB90F24"/>
    <w:rsid w:val="4F2E7148"/>
    <w:rsid w:val="4F314D2C"/>
    <w:rsid w:val="4F701229"/>
    <w:rsid w:val="4F8F5148"/>
    <w:rsid w:val="4FAC33B9"/>
    <w:rsid w:val="522956BF"/>
    <w:rsid w:val="522A1DDF"/>
    <w:rsid w:val="52E07628"/>
    <w:rsid w:val="54330A77"/>
    <w:rsid w:val="54AA13C6"/>
    <w:rsid w:val="551E7032"/>
    <w:rsid w:val="557116C5"/>
    <w:rsid w:val="55F85AD5"/>
    <w:rsid w:val="56560AEE"/>
    <w:rsid w:val="56B77CCE"/>
    <w:rsid w:val="5886561A"/>
    <w:rsid w:val="5A3A20D4"/>
    <w:rsid w:val="5A4A7A15"/>
    <w:rsid w:val="5A8167CC"/>
    <w:rsid w:val="5B136C45"/>
    <w:rsid w:val="5BF3758D"/>
    <w:rsid w:val="5D557CB0"/>
    <w:rsid w:val="5DA86032"/>
    <w:rsid w:val="5E716A99"/>
    <w:rsid w:val="5E9A1E1F"/>
    <w:rsid w:val="5EA40237"/>
    <w:rsid w:val="5FB52C88"/>
    <w:rsid w:val="60D12231"/>
    <w:rsid w:val="61FA2BD4"/>
    <w:rsid w:val="62312A9A"/>
    <w:rsid w:val="62BC2A97"/>
    <w:rsid w:val="63690012"/>
    <w:rsid w:val="63822E81"/>
    <w:rsid w:val="63AA113B"/>
    <w:rsid w:val="63F42118"/>
    <w:rsid w:val="649E018F"/>
    <w:rsid w:val="64D92F75"/>
    <w:rsid w:val="65196ABA"/>
    <w:rsid w:val="668604E5"/>
    <w:rsid w:val="66A01F9C"/>
    <w:rsid w:val="674E7C4A"/>
    <w:rsid w:val="678613EB"/>
    <w:rsid w:val="687157C8"/>
    <w:rsid w:val="688411CE"/>
    <w:rsid w:val="688558EE"/>
    <w:rsid w:val="69194288"/>
    <w:rsid w:val="6AE47716"/>
    <w:rsid w:val="6B354E13"/>
    <w:rsid w:val="6B581617"/>
    <w:rsid w:val="6BD33FC1"/>
    <w:rsid w:val="6C327B3B"/>
    <w:rsid w:val="6C40003F"/>
    <w:rsid w:val="6C9D2ADA"/>
    <w:rsid w:val="6CDA5175"/>
    <w:rsid w:val="6D16597D"/>
    <w:rsid w:val="6D195340"/>
    <w:rsid w:val="6DED0BC4"/>
    <w:rsid w:val="6DF64B98"/>
    <w:rsid w:val="6E550161"/>
    <w:rsid w:val="6FAE46B5"/>
    <w:rsid w:val="6FEF21B0"/>
    <w:rsid w:val="704A2F79"/>
    <w:rsid w:val="70C1148D"/>
    <w:rsid w:val="71A92D7C"/>
    <w:rsid w:val="71BB2380"/>
    <w:rsid w:val="744D509C"/>
    <w:rsid w:val="75EC3980"/>
    <w:rsid w:val="76D0242A"/>
    <w:rsid w:val="776A1652"/>
    <w:rsid w:val="788404E6"/>
    <w:rsid w:val="79DB0A83"/>
    <w:rsid w:val="79ED50A1"/>
    <w:rsid w:val="7AFA5FA7"/>
    <w:rsid w:val="7BFB42F0"/>
    <w:rsid w:val="7C2032FD"/>
    <w:rsid w:val="7C606058"/>
    <w:rsid w:val="7CBC6FAC"/>
    <w:rsid w:val="7CC074EA"/>
    <w:rsid w:val="7D9C2C3A"/>
    <w:rsid w:val="7F623DB3"/>
    <w:rsid w:val="7F8B5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Times New Roman" w:hAnsi="Times New Roman" w:eastAsia="宋体" w:cs="Times New Roman"/>
      <w:sz w:val="21"/>
      <w:lang w:val="en-US" w:eastAsia="zh-CN" w:bidi="ar-SA"/>
    </w:rPr>
  </w:style>
  <w:style w:type="paragraph" w:styleId="3">
    <w:name w:val="heading 1"/>
    <w:basedOn w:val="1"/>
    <w:next w:val="1"/>
    <w:link w:val="37"/>
    <w:qFormat/>
    <w:uiPriority w:val="99"/>
    <w:pPr>
      <w:keepNext/>
      <w:keepLines/>
      <w:widowControl w:val="0"/>
      <w:spacing w:before="340" w:after="330" w:line="576" w:lineRule="auto"/>
      <w:jc w:val="both"/>
      <w:outlineLvl w:val="0"/>
    </w:pPr>
    <w:rPr>
      <w:b/>
      <w:kern w:val="44"/>
      <w:sz w:val="44"/>
    </w:rPr>
  </w:style>
  <w:style w:type="paragraph" w:styleId="4">
    <w:name w:val="heading 2"/>
    <w:basedOn w:val="1"/>
    <w:next w:val="1"/>
    <w:qFormat/>
    <w:uiPriority w:val="99"/>
    <w:pPr>
      <w:keepNext/>
      <w:keepLines/>
      <w:widowControl w:val="0"/>
      <w:adjustRightInd w:val="0"/>
      <w:spacing w:before="260" w:after="260" w:line="416" w:lineRule="atLeast"/>
      <w:jc w:val="both"/>
      <w:textAlignment w:val="baseline"/>
      <w:outlineLvl w:val="1"/>
    </w:pPr>
    <w:rPr>
      <w:rFonts w:ascii="Arial" w:hAnsi="Arial" w:eastAsia="黑体"/>
      <w:b/>
      <w:sz w:val="32"/>
    </w:rPr>
  </w:style>
  <w:style w:type="paragraph" w:styleId="5">
    <w:name w:val="heading 3"/>
    <w:basedOn w:val="1"/>
    <w:next w:val="1"/>
    <w:qFormat/>
    <w:uiPriority w:val="99"/>
    <w:pPr>
      <w:keepNext/>
      <w:keepLines/>
      <w:widowControl w:val="0"/>
      <w:adjustRightInd w:val="0"/>
      <w:spacing w:before="260" w:after="260" w:line="416" w:lineRule="atLeast"/>
      <w:jc w:val="both"/>
      <w:textAlignment w:val="baseline"/>
      <w:outlineLvl w:val="2"/>
    </w:pPr>
    <w:rPr>
      <w:b/>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kern w:val="2"/>
      <w:sz w:val="24"/>
    </w:rPr>
  </w:style>
  <w:style w:type="paragraph" w:styleId="6">
    <w:name w:val="toc 7"/>
    <w:basedOn w:val="1"/>
    <w:next w:val="1"/>
    <w:qFormat/>
    <w:uiPriority w:val="0"/>
    <w:pPr>
      <w:ind w:left="1260"/>
    </w:pPr>
    <w:rPr>
      <w:rFonts w:asciiTheme="minorHAnsi" w:hAnsiTheme="minorHAnsi" w:cstheme="minorHAnsi"/>
      <w:sz w:val="18"/>
      <w:szCs w:val="18"/>
    </w:rPr>
  </w:style>
  <w:style w:type="paragraph" w:styleId="7">
    <w:name w:val="toa heading"/>
    <w:basedOn w:val="1"/>
    <w:next w:val="1"/>
    <w:qFormat/>
    <w:uiPriority w:val="99"/>
    <w:pPr>
      <w:spacing w:before="120"/>
    </w:pPr>
    <w:rPr>
      <w:rFonts w:ascii="Arial" w:hAnsi="Arial" w:cs="Arial"/>
      <w:sz w:val="24"/>
      <w:szCs w:val="24"/>
    </w:rPr>
  </w:style>
  <w:style w:type="paragraph" w:styleId="8">
    <w:name w:val="annotation text"/>
    <w:basedOn w:val="1"/>
    <w:link w:val="49"/>
    <w:qFormat/>
    <w:uiPriority w:val="0"/>
  </w:style>
  <w:style w:type="paragraph" w:styleId="9">
    <w:name w:val="Body Text Indent"/>
    <w:basedOn w:val="1"/>
    <w:link w:val="48"/>
    <w:qFormat/>
    <w:uiPriority w:val="0"/>
    <w:pPr>
      <w:ind w:firstLine="360"/>
    </w:pPr>
    <w:rPr>
      <w:sz w:val="28"/>
      <w:szCs w:val="24"/>
    </w:rPr>
  </w:style>
  <w:style w:type="paragraph" w:styleId="10">
    <w:name w:val="toc 5"/>
    <w:basedOn w:val="1"/>
    <w:next w:val="1"/>
    <w:qFormat/>
    <w:uiPriority w:val="0"/>
    <w:pPr>
      <w:ind w:left="840"/>
    </w:pPr>
    <w:rPr>
      <w:rFonts w:asciiTheme="minorHAnsi" w:hAnsiTheme="minorHAnsi" w:cstheme="minorHAnsi"/>
      <w:sz w:val="18"/>
      <w:szCs w:val="18"/>
    </w:rPr>
  </w:style>
  <w:style w:type="paragraph" w:styleId="11">
    <w:name w:val="toc 3"/>
    <w:basedOn w:val="1"/>
    <w:next w:val="1"/>
    <w:qFormat/>
    <w:uiPriority w:val="0"/>
    <w:pPr>
      <w:ind w:left="420"/>
    </w:pPr>
    <w:rPr>
      <w:rFonts w:asciiTheme="minorHAnsi" w:hAnsiTheme="minorHAnsi" w:cstheme="minorHAnsi"/>
      <w:i/>
      <w:iCs/>
      <w:sz w:val="20"/>
    </w:rPr>
  </w:style>
  <w:style w:type="paragraph" w:styleId="12">
    <w:name w:val="toc 8"/>
    <w:basedOn w:val="1"/>
    <w:next w:val="1"/>
    <w:qFormat/>
    <w:uiPriority w:val="0"/>
    <w:pPr>
      <w:ind w:left="1470"/>
    </w:pPr>
    <w:rPr>
      <w:rFonts w:asciiTheme="minorHAnsi" w:hAnsiTheme="minorHAnsi" w:cstheme="minorHAnsi"/>
      <w:sz w:val="18"/>
      <w:szCs w:val="18"/>
    </w:rPr>
  </w:style>
  <w:style w:type="paragraph" w:styleId="13">
    <w:name w:val="Body Text Indent 2"/>
    <w:basedOn w:val="1"/>
    <w:qFormat/>
    <w:uiPriority w:val="0"/>
    <w:pPr>
      <w:spacing w:before="60" w:after="60"/>
      <w:ind w:left="720" w:hanging="720"/>
    </w:pPr>
    <w:rPr>
      <w:color w:val="000000"/>
      <w:sz w:val="24"/>
    </w:rPr>
  </w:style>
  <w:style w:type="paragraph" w:styleId="14">
    <w:name w:val="Balloon Text"/>
    <w:basedOn w:val="1"/>
    <w:link w:val="47"/>
    <w:qFormat/>
    <w:uiPriority w:val="0"/>
    <w:rPr>
      <w:sz w:val="18"/>
      <w:szCs w:val="18"/>
    </w:rPr>
  </w:style>
  <w:style w:type="paragraph" w:styleId="15">
    <w:name w:val="footer"/>
    <w:basedOn w:val="1"/>
    <w:qFormat/>
    <w:uiPriority w:val="99"/>
    <w:pPr>
      <w:tabs>
        <w:tab w:val="center" w:pos="4153"/>
        <w:tab w:val="right" w:pos="8306"/>
      </w:tabs>
      <w:snapToGrid w:val="0"/>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3"/>
    <w:next w:val="1"/>
    <w:qFormat/>
    <w:uiPriority w:val="39"/>
    <w:pPr>
      <w:keepNext w:val="0"/>
      <w:keepLines w:val="0"/>
      <w:widowControl/>
      <w:spacing w:before="120" w:after="120" w:line="360" w:lineRule="auto"/>
      <w:jc w:val="left"/>
      <w:outlineLvl w:val="9"/>
    </w:pPr>
    <w:rPr>
      <w:rFonts w:asciiTheme="minorHAnsi" w:hAnsiTheme="minorHAnsi" w:cstheme="minorHAnsi"/>
      <w:bCs/>
      <w:caps/>
      <w:kern w:val="0"/>
      <w:sz w:val="20"/>
    </w:rPr>
  </w:style>
  <w:style w:type="paragraph" w:styleId="18">
    <w:name w:val="toc 4"/>
    <w:basedOn w:val="1"/>
    <w:next w:val="1"/>
    <w:qFormat/>
    <w:uiPriority w:val="0"/>
    <w:pPr>
      <w:ind w:left="630"/>
    </w:pPr>
    <w:rPr>
      <w:rFonts w:asciiTheme="minorHAnsi" w:hAnsiTheme="minorHAnsi" w:cstheme="minorHAnsi"/>
      <w:sz w:val="18"/>
      <w:szCs w:val="18"/>
    </w:rPr>
  </w:style>
  <w:style w:type="paragraph" w:styleId="19">
    <w:name w:val="Subtitle"/>
    <w:basedOn w:val="1"/>
    <w:qFormat/>
    <w:uiPriority w:val="0"/>
    <w:rPr>
      <w:b/>
      <w:kern w:val="2"/>
      <w:szCs w:val="24"/>
      <w:lang w:eastAsia="en-US"/>
    </w:rPr>
  </w:style>
  <w:style w:type="paragraph" w:styleId="20">
    <w:name w:val="toc 6"/>
    <w:basedOn w:val="1"/>
    <w:next w:val="1"/>
    <w:qFormat/>
    <w:uiPriority w:val="39"/>
    <w:pPr>
      <w:ind w:left="1050"/>
    </w:pPr>
    <w:rPr>
      <w:rFonts w:asciiTheme="minorHAnsi" w:hAnsiTheme="minorHAnsi" w:cstheme="minorHAnsi"/>
      <w:sz w:val="18"/>
      <w:szCs w:val="18"/>
    </w:rPr>
  </w:style>
  <w:style w:type="paragraph" w:styleId="21">
    <w:name w:val="toc 2"/>
    <w:basedOn w:val="1"/>
    <w:next w:val="1"/>
    <w:qFormat/>
    <w:uiPriority w:val="0"/>
    <w:pPr>
      <w:ind w:left="210"/>
    </w:pPr>
    <w:rPr>
      <w:rFonts w:asciiTheme="minorHAnsi" w:hAnsiTheme="minorHAnsi" w:cstheme="minorHAnsi"/>
      <w:smallCaps/>
      <w:sz w:val="20"/>
    </w:rPr>
  </w:style>
  <w:style w:type="paragraph" w:styleId="22">
    <w:name w:val="toc 9"/>
    <w:basedOn w:val="1"/>
    <w:next w:val="1"/>
    <w:qFormat/>
    <w:uiPriority w:val="0"/>
    <w:pPr>
      <w:ind w:left="1680"/>
    </w:pPr>
    <w:rPr>
      <w:rFonts w:asciiTheme="minorHAnsi" w:hAnsiTheme="minorHAnsi" w:cstheme="minorHAnsi"/>
      <w:sz w:val="18"/>
      <w:szCs w:val="18"/>
    </w:rPr>
  </w:style>
  <w:style w:type="paragraph" w:styleId="23">
    <w:name w:val="Title"/>
    <w:basedOn w:val="1"/>
    <w:next w:val="1"/>
    <w:qFormat/>
    <w:uiPriority w:val="10"/>
    <w:pPr>
      <w:spacing w:line="560" w:lineRule="exact"/>
      <w:ind w:firstLine="880"/>
      <w:jc w:val="center"/>
      <w:outlineLvl w:val="0"/>
    </w:pPr>
    <w:rPr>
      <w:rFonts w:ascii="Calibri Light" w:hAnsi="Calibri Light"/>
      <w:b/>
      <w:bCs/>
      <w:szCs w:val="32"/>
    </w:rPr>
  </w:style>
  <w:style w:type="paragraph" w:styleId="24">
    <w:name w:val="annotation subject"/>
    <w:basedOn w:val="8"/>
    <w:next w:val="8"/>
    <w:link w:val="50"/>
    <w:qFormat/>
    <w:uiPriority w:val="0"/>
    <w:rPr>
      <w:b/>
      <w:bCs/>
    </w:rPr>
  </w:style>
  <w:style w:type="paragraph" w:styleId="25">
    <w:name w:val="Body Text First Indent"/>
    <w:basedOn w:val="2"/>
    <w:unhideWhenUsed/>
    <w:qFormat/>
    <w:uiPriority w:val="0"/>
    <w:pPr>
      <w:spacing w:line="275" w:lineRule="atLeast"/>
      <w:ind w:left="72" w:leftChars="72" w:right="30" w:firstLine="420"/>
      <w:jc w:val="center"/>
    </w:pPr>
    <w:rPr>
      <w:rFonts w:ascii="宋体" w:hAnsi="宋体" w:eastAsia="楷体_GB2312"/>
      <w:szCs w:val="24"/>
    </w:rPr>
  </w:style>
  <w:style w:type="paragraph" w:styleId="26">
    <w:name w:val="Body Text First Indent 2"/>
    <w:basedOn w:val="9"/>
    <w:qFormat/>
    <w:uiPriority w:val="0"/>
    <w:pPr>
      <w:widowControl w:val="0"/>
      <w:ind w:firstLine="420"/>
      <w:jc w:val="both"/>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semiHidden/>
    <w:qFormat/>
    <w:uiPriority w:val="99"/>
    <w:rPr>
      <w:rFonts w:cs="Times New Roman"/>
    </w:rPr>
  </w:style>
  <w:style w:type="character" w:styleId="31">
    <w:name w:val="FollowedHyperlink"/>
    <w:basedOn w:val="29"/>
    <w:qFormat/>
    <w:uiPriority w:val="0"/>
    <w:rPr>
      <w:color w:val="333333"/>
      <w:u w:val="none"/>
    </w:rPr>
  </w:style>
  <w:style w:type="character" w:styleId="32">
    <w:name w:val="Hyperlink"/>
    <w:qFormat/>
    <w:uiPriority w:val="99"/>
    <w:rPr>
      <w:color w:val="0000FF"/>
      <w:u w:val="none"/>
    </w:rPr>
  </w:style>
  <w:style w:type="character" w:styleId="33">
    <w:name w:val="annotation reference"/>
    <w:basedOn w:val="29"/>
    <w:qFormat/>
    <w:uiPriority w:val="0"/>
    <w:rPr>
      <w:sz w:val="21"/>
      <w:szCs w:val="21"/>
    </w:rPr>
  </w:style>
  <w:style w:type="paragraph" w:customStyle="1" w:styleId="34">
    <w:name w:val="样式 正文首行缩进 + 首行缩进:  2 字符1 Char Char"/>
    <w:basedOn w:val="35"/>
    <w:qFormat/>
    <w:uiPriority w:val="0"/>
    <w:pPr>
      <w:spacing w:after="0"/>
      <w:ind w:firstLine="454"/>
    </w:pPr>
    <w:rPr>
      <w:rFonts w:ascii="Times New Roman" w:hAnsi="Times New Roman" w:cs="宋体"/>
      <w:sz w:val="21"/>
    </w:rPr>
  </w:style>
  <w:style w:type="paragraph" w:customStyle="1" w:styleId="35">
    <w:name w:val="正文首行缩进1"/>
    <w:basedOn w:val="36"/>
    <w:qFormat/>
    <w:uiPriority w:val="0"/>
    <w:pPr>
      <w:spacing w:after="120"/>
      <w:ind w:firstLine="100"/>
    </w:pPr>
    <w:rPr>
      <w:rFonts w:ascii="宋体" w:hAnsi="宋体"/>
      <w:color w:val="000000"/>
    </w:rPr>
  </w:style>
  <w:style w:type="paragraph" w:customStyle="1" w:styleId="36">
    <w:name w:val="正文文本1"/>
    <w:basedOn w:val="1"/>
    <w:qFormat/>
    <w:uiPriority w:val="0"/>
    <w:rPr>
      <w:sz w:val="24"/>
      <w:szCs w:val="24"/>
    </w:rPr>
  </w:style>
  <w:style w:type="character" w:customStyle="1" w:styleId="37">
    <w:name w:val="标题 1 Char"/>
    <w:link w:val="3"/>
    <w:qFormat/>
    <w:uiPriority w:val="99"/>
    <w:rPr>
      <w:b/>
      <w:kern w:val="44"/>
      <w:sz w:val="44"/>
    </w:rPr>
  </w:style>
  <w:style w:type="character" w:customStyle="1" w:styleId="38">
    <w:name w:val="标题 1 Char2"/>
    <w:qFormat/>
    <w:uiPriority w:val="0"/>
    <w:rPr>
      <w:rFonts w:hint="default" w:ascii="Times New Roman" w:hAnsi="Times New Roman" w:eastAsia="宋体" w:cs="Times New Roman"/>
      <w:b/>
      <w:sz w:val="44"/>
      <w:szCs w:val="44"/>
    </w:rPr>
  </w:style>
  <w:style w:type="paragraph" w:customStyle="1" w:styleId="39">
    <w:name w:val="正文文本缩进1"/>
    <w:basedOn w:val="1"/>
    <w:qFormat/>
    <w:uiPriority w:val="0"/>
    <w:pPr>
      <w:ind w:firstLine="360"/>
    </w:pPr>
    <w:rPr>
      <w:sz w:val="28"/>
      <w:szCs w:val="24"/>
    </w:rPr>
  </w:style>
  <w:style w:type="character" w:customStyle="1" w:styleId="40">
    <w:name w:val="font01"/>
    <w:basedOn w:val="29"/>
    <w:qFormat/>
    <w:uiPriority w:val="0"/>
    <w:rPr>
      <w:rFonts w:hint="eastAsia" w:ascii="宋体" w:hAnsi="宋体" w:eastAsia="宋体" w:cs="宋体"/>
      <w:b/>
      <w:bCs/>
      <w:color w:val="000000"/>
      <w:sz w:val="20"/>
      <w:szCs w:val="20"/>
      <w:u w:val="none"/>
    </w:rPr>
  </w:style>
  <w:style w:type="character" w:customStyle="1" w:styleId="41">
    <w:name w:val="标题 1 Char1"/>
    <w:qFormat/>
    <w:uiPriority w:val="0"/>
    <w:rPr>
      <w:rFonts w:ascii="Times New Roman" w:hAnsi="Times New Roman" w:eastAsia="宋体" w:cs="Times New Roman"/>
      <w:b/>
      <w:sz w:val="36"/>
      <w:szCs w:val="44"/>
    </w:rPr>
  </w:style>
  <w:style w:type="paragraph" w:customStyle="1" w:styleId="42">
    <w:name w:val="Default"/>
    <w:qFormat/>
    <w:uiPriority w:val="0"/>
    <w:pPr>
      <w:autoSpaceDE w:val="0"/>
      <w:autoSpaceDN w:val="0"/>
    </w:pPr>
    <w:rPr>
      <w:rFonts w:ascii="仿宋" w:hAnsi="仿宋" w:eastAsia="宋体" w:cs="仿宋"/>
      <w:color w:val="000000"/>
      <w:sz w:val="24"/>
      <w:szCs w:val="24"/>
      <w:lang w:val="en-US" w:eastAsia="zh-CN" w:bidi="ar-SA"/>
    </w:rPr>
  </w:style>
  <w:style w:type="table" w:customStyle="1" w:styleId="43">
    <w:name w:val="Table Normal"/>
    <w:unhideWhenUsed/>
    <w:qFormat/>
    <w:uiPriority w:val="0"/>
    <w:tblPr>
      <w:tblCellMar>
        <w:top w:w="0" w:type="dxa"/>
        <w:left w:w="0" w:type="dxa"/>
        <w:bottom w:w="0" w:type="dxa"/>
        <w:right w:w="0" w:type="dxa"/>
      </w:tblCellMar>
    </w:tblPr>
  </w:style>
  <w:style w:type="paragraph" w:customStyle="1" w:styleId="44">
    <w:name w:val="样式2"/>
    <w:basedOn w:val="1"/>
    <w:qFormat/>
    <w:uiPriority w:val="0"/>
    <w:pPr>
      <w:adjustRightInd w:val="0"/>
      <w:spacing w:line="410" w:lineRule="atLeast"/>
    </w:pPr>
  </w:style>
  <w:style w:type="paragraph" w:customStyle="1" w:styleId="45">
    <w:name w:val="正文文本缩进 New New"/>
    <w:basedOn w:val="1"/>
    <w:qFormat/>
    <w:uiPriority w:val="0"/>
    <w:pPr>
      <w:widowControl w:val="0"/>
      <w:ind w:firstLine="510"/>
      <w:jc w:val="both"/>
    </w:pPr>
    <w:rPr>
      <w:rFonts w:eastAsia="楷体_GB2312"/>
      <w:color w:val="000000"/>
      <w:spacing w:val="8"/>
      <w:kern w:val="2"/>
      <w:sz w:val="28"/>
      <w:lang w:val="zh-CN"/>
    </w:rPr>
  </w:style>
  <w:style w:type="paragraph" w:customStyle="1" w:styleId="46">
    <w:name w:val="列表段落1"/>
    <w:basedOn w:val="1"/>
    <w:qFormat/>
    <w:uiPriority w:val="34"/>
    <w:pPr>
      <w:ind w:firstLine="420"/>
    </w:pPr>
    <w:rPr>
      <w:rFonts w:ascii="Calibri" w:hAnsi="Calibri"/>
    </w:rPr>
  </w:style>
  <w:style w:type="character" w:customStyle="1" w:styleId="47">
    <w:name w:val="批注框文本 Char"/>
    <w:basedOn w:val="29"/>
    <w:link w:val="14"/>
    <w:qFormat/>
    <w:uiPriority w:val="0"/>
    <w:rPr>
      <w:sz w:val="18"/>
      <w:szCs w:val="18"/>
    </w:rPr>
  </w:style>
  <w:style w:type="character" w:customStyle="1" w:styleId="48">
    <w:name w:val="正文文本缩进 Char"/>
    <w:basedOn w:val="29"/>
    <w:link w:val="9"/>
    <w:qFormat/>
    <w:uiPriority w:val="0"/>
    <w:rPr>
      <w:sz w:val="28"/>
      <w:szCs w:val="24"/>
    </w:rPr>
  </w:style>
  <w:style w:type="character" w:customStyle="1" w:styleId="49">
    <w:name w:val="批注文字 Char"/>
    <w:basedOn w:val="29"/>
    <w:link w:val="8"/>
    <w:qFormat/>
    <w:uiPriority w:val="0"/>
    <w:rPr>
      <w:sz w:val="21"/>
    </w:rPr>
  </w:style>
  <w:style w:type="character" w:customStyle="1" w:styleId="50">
    <w:name w:val="批注主题 Char"/>
    <w:basedOn w:val="49"/>
    <w:link w:val="24"/>
    <w:qFormat/>
    <w:uiPriority w:val="0"/>
    <w:rPr>
      <w:b/>
      <w:bCs/>
      <w:sz w:val="21"/>
    </w:rPr>
  </w:style>
  <w:style w:type="paragraph" w:customStyle="1" w:styleId="51">
    <w:name w:val="列表格式2"/>
    <w:basedOn w:val="1"/>
    <w:qFormat/>
    <w:uiPriority w:val="0"/>
    <w:pPr>
      <w:numPr>
        <w:ilvl w:val="0"/>
        <w:numId w:val="1"/>
      </w:numPr>
    </w:pPr>
  </w:style>
  <w:style w:type="paragraph" w:customStyle="1" w:styleId="52">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53">
    <w:name w:val="表格"/>
    <w:basedOn w:val="1"/>
    <w:qFormat/>
    <w:locked/>
    <w:uiPriority w:val="0"/>
    <w:pPr>
      <w:spacing w:line="240" w:lineRule="auto"/>
      <w:ind w:firstLine="0" w:firstLineChars="0"/>
    </w:pPr>
    <w:rPr>
      <w:rFonts w:ascii="Times New Roman" w:hAnsi="Times New Roman" w:eastAsia="宋体"/>
      <w:bCs/>
      <w:color w:val="auto"/>
      <w:szCs w:val="18"/>
    </w:rPr>
  </w:style>
  <w:style w:type="paragraph" w:customStyle="1" w:styleId="54">
    <w:name w:val="样式14"/>
    <w:basedOn w:val="1"/>
    <w:qFormat/>
    <w:uiPriority w:val="0"/>
    <w:pPr>
      <w:tabs>
        <w:tab w:val="left" w:pos="1276"/>
      </w:tabs>
      <w:adjustRightInd w:val="0"/>
      <w:ind w:left="1276" w:hanging="566"/>
      <w:jc w:val="left"/>
      <w:textAlignment w:val="baseline"/>
    </w:pPr>
    <w:rPr>
      <w:rFonts w:ascii="宋体" w:hAnsi="宋体"/>
      <w:kern w:val="0"/>
      <w:sz w:val="20"/>
      <w:szCs w:val="21"/>
    </w:rPr>
  </w:style>
  <w:style w:type="paragraph" w:customStyle="1" w:styleId="55">
    <w:name w:val="参选文件格式2"/>
    <w:basedOn w:val="1"/>
    <w:next w:val="1"/>
    <w:qFormat/>
    <w:locked/>
    <w:uiPriority w:val="0"/>
    <w:pPr>
      <w:ind w:firstLine="0" w:firstLineChars="0"/>
      <w:jc w:val="center"/>
      <w:outlineLvl w:val="2"/>
    </w:pPr>
    <w:rPr>
      <w:rFonts w:eastAsia="宋体"/>
      <w:bCs/>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781A6-578C-40FB-9B02-C31F87A2D8C5}">
  <ds:schemaRefs/>
</ds:datastoreItem>
</file>

<file path=docProps/app.xml><?xml version="1.0" encoding="utf-8"?>
<Properties xmlns="http://schemas.openxmlformats.org/officeDocument/2006/extended-properties" xmlns:vt="http://schemas.openxmlformats.org/officeDocument/2006/docPropsVTypes">
  <Template>Normal</Template>
  <Pages>2</Pages>
  <Words>1346</Words>
  <Characters>1500</Characters>
  <Lines>427</Lines>
  <Paragraphs>120</Paragraphs>
  <TotalTime>0</TotalTime>
  <ScaleCrop>false</ScaleCrop>
  <LinksUpToDate>false</LinksUpToDate>
  <CharactersWithSpaces>1582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2024-08-01T07:51:00Z</dcterms:created>
  <dc:creator>彭烜</dc:creator>
  <cp:lastModifiedBy>罗娅拉</cp:lastModifiedBy>
  <cp:lastPrinted>2024-06-25T02:06:00Z</cp:lastPrinted>
  <dcterms:modified xsi:type="dcterms:W3CDTF">2026-02-06T01:25:26Z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EE748CC391484FE985B06FC907ACF411_13</vt:lpwstr>
  </property>
  <property fmtid="{D5CDD505-2E9C-101B-9397-08002B2CF9AE}" pid="4" name="KSOTemplateDocerSaveRecord">
    <vt:lpwstr>eyJoZGlkIjoiZTMzMGZkODRiMGFiNjU0ZDA5ZDU3YTVjZDczMzgwYzEiLCJ1c2VySWQiOiIyOTU5MzE1NDAifQ==</vt:lpwstr>
  </property>
</Properties>
</file>