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8DB61">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ascii="Times New Roman" w:hAnsi="Times New Roman" w:eastAsia="宋体" w:cs="等线 Light"/>
          <w:b/>
          <w:snapToGrid w:val="0"/>
          <w:kern w:val="0"/>
          <w:sz w:val="44"/>
          <w:szCs w:val="44"/>
          <w:lang w:val="en-US" w:eastAsia="zh-CN" w:bidi="ar-SA"/>
        </w:rPr>
      </w:pPr>
      <w:bookmarkStart w:id="0" w:name="_Toc10551"/>
      <w:bookmarkStart w:id="1" w:name="_Toc28350"/>
      <w:r>
        <w:rPr>
          <w:rFonts w:hint="eastAsia" w:ascii="Times New Roman" w:hAnsi="Times New Roman" w:eastAsia="宋体" w:cs="等线 Light"/>
          <w:b/>
          <w:snapToGrid w:val="0"/>
          <w:kern w:val="0"/>
          <w:sz w:val="44"/>
          <w:szCs w:val="44"/>
          <w:lang w:val="en-US" w:eastAsia="zh-CN" w:bidi="ar-SA"/>
        </w:rPr>
        <w:t>重庆三峡银行2026年金融债券主承销商选聘项目询比公告</w:t>
      </w:r>
      <w:bookmarkEnd w:id="0"/>
      <w:bookmarkEnd w:id="1"/>
      <w:bookmarkStart w:id="2" w:name="_Toc89675127"/>
      <w:bookmarkStart w:id="3" w:name="_Toc55379218"/>
    </w:p>
    <w:p w14:paraId="6B457C8E">
      <w:pPr>
        <w:ind w:firstLine="420"/>
      </w:pPr>
      <w:r>
        <w:rPr>
          <w:rFonts w:hint="eastAsia"/>
        </w:rPr>
        <w:t>202</w:t>
      </w:r>
      <w:r>
        <w:t>6</w:t>
      </w:r>
      <w:r>
        <w:rPr>
          <w:rFonts w:hint="eastAsia"/>
        </w:rPr>
        <w:t>年采购人拟发行不超过</w:t>
      </w:r>
      <w:r>
        <w:t>105</w:t>
      </w:r>
      <w:r>
        <w:rPr>
          <w:rFonts w:hint="eastAsia"/>
        </w:rPr>
        <w:t>亿元金融债券（含资本类债券（无固定期限资本债、二级资本债）、非资本类金融债券）（最终发行额度、债券发行品种和金额以监管部门的批复和采购人发行安排为准），发行金融债券需要聘请主承销商现对</w:t>
      </w:r>
      <w:r>
        <w:rPr>
          <w:rFonts w:hint="eastAsia"/>
          <w:u w:val="single"/>
        </w:rPr>
        <w:t>重庆三峡银行202</w:t>
      </w:r>
      <w:r>
        <w:rPr>
          <w:u w:val="single"/>
        </w:rPr>
        <w:t>6</w:t>
      </w:r>
      <w:r>
        <w:rPr>
          <w:rFonts w:hint="eastAsia"/>
          <w:u w:val="single"/>
        </w:rPr>
        <w:t>年金融债券主承销商选聘项目</w:t>
      </w:r>
      <w:r>
        <w:rPr>
          <w:rFonts w:hint="eastAsia"/>
        </w:rPr>
        <w:t>进行公开询比</w:t>
      </w:r>
      <w:bookmarkStart w:id="30" w:name="_GoBack"/>
      <w:bookmarkEnd w:id="30"/>
      <w:r>
        <w:rPr>
          <w:rFonts w:hint="eastAsia"/>
        </w:rPr>
        <w:t>，</w:t>
      </w:r>
      <w:r>
        <w:t>特邀请有</w:t>
      </w:r>
      <w:bookmarkStart w:id="4" w:name="_Hlk59455120"/>
      <w:r>
        <w:t>意向</w:t>
      </w:r>
      <w:bookmarkEnd w:id="4"/>
      <w:r>
        <w:t>的潜在</w:t>
      </w:r>
      <w:r>
        <w:rPr>
          <w:rFonts w:hint="eastAsia"/>
        </w:rPr>
        <w:t>响应人参与响应</w:t>
      </w:r>
      <w:r>
        <w:t>。</w:t>
      </w:r>
    </w:p>
    <w:p w14:paraId="0BE26BC2">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r>
        <w:rPr>
          <w:rFonts w:hint="eastAsia" w:ascii="Times New Roman" w:hAnsi="Times New Roman" w:eastAsia="宋体" w:cstheme="majorBidi"/>
          <w:b/>
          <w:bCs/>
          <w:snapToGrid w:val="0"/>
          <w:kern w:val="2"/>
          <w:sz w:val="21"/>
          <w:szCs w:val="24"/>
          <w:lang w:val="en-US" w:eastAsia="zh-CN" w:bidi="ar-SA"/>
        </w:rPr>
        <w:t>1. 询比项目内容</w:t>
      </w:r>
      <w:bookmarkEnd w:id="2"/>
      <w:bookmarkEnd w:id="3"/>
    </w:p>
    <w:tbl>
      <w:tblPr>
        <w:tblStyle w:val="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020"/>
        <w:gridCol w:w="1950"/>
        <w:gridCol w:w="1320"/>
        <w:gridCol w:w="977"/>
      </w:tblGrid>
      <w:tr w14:paraId="4771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bottom w:val="single" w:color="auto" w:sz="4" w:space="0"/>
            </w:tcBorders>
            <w:vAlign w:val="center"/>
          </w:tcPr>
          <w:p w14:paraId="4264DB0C">
            <w:pPr>
              <w:spacing w:line="300" w:lineRule="exact"/>
              <w:ind w:firstLine="0" w:firstLineChars="0"/>
              <w:jc w:val="center"/>
              <w:rPr>
                <w:b/>
                <w:bCs/>
                <w:szCs w:val="18"/>
              </w:rPr>
            </w:pPr>
            <w:bookmarkStart w:id="5" w:name="_Toc89675128"/>
            <w:bookmarkStart w:id="6" w:name="_Toc55379219"/>
            <w:bookmarkStart w:id="7" w:name="_Toc469574664"/>
            <w:bookmarkStart w:id="8" w:name="_Toc297817088"/>
            <w:bookmarkStart w:id="9" w:name="_Toc288224935"/>
            <w:r>
              <w:rPr>
                <w:rFonts w:hint="eastAsia"/>
                <w:b/>
                <w:bCs/>
                <w:szCs w:val="18"/>
              </w:rPr>
              <w:t>序号</w:t>
            </w:r>
          </w:p>
        </w:tc>
        <w:tc>
          <w:tcPr>
            <w:tcW w:w="4020" w:type="dxa"/>
            <w:tcBorders>
              <w:bottom w:val="single" w:color="auto" w:sz="4" w:space="0"/>
            </w:tcBorders>
            <w:vAlign w:val="center"/>
          </w:tcPr>
          <w:p w14:paraId="256E7E22">
            <w:pPr>
              <w:spacing w:line="300" w:lineRule="exact"/>
              <w:ind w:firstLine="0" w:firstLineChars="0"/>
              <w:jc w:val="center"/>
              <w:rPr>
                <w:b/>
                <w:bCs/>
                <w:szCs w:val="18"/>
              </w:rPr>
            </w:pPr>
            <w:r>
              <w:rPr>
                <w:rFonts w:hint="eastAsia"/>
                <w:b/>
                <w:bCs/>
                <w:szCs w:val="18"/>
              </w:rPr>
              <w:t>项目名称</w:t>
            </w:r>
          </w:p>
        </w:tc>
        <w:tc>
          <w:tcPr>
            <w:tcW w:w="1950" w:type="dxa"/>
            <w:tcBorders>
              <w:bottom w:val="single" w:color="auto" w:sz="4" w:space="0"/>
            </w:tcBorders>
            <w:vAlign w:val="center"/>
          </w:tcPr>
          <w:p w14:paraId="59F522C0">
            <w:pPr>
              <w:spacing w:line="300" w:lineRule="exact"/>
              <w:ind w:firstLine="0" w:firstLineChars="0"/>
              <w:jc w:val="center"/>
              <w:rPr>
                <w:b/>
                <w:bCs/>
                <w:szCs w:val="18"/>
              </w:rPr>
            </w:pPr>
            <w:r>
              <w:rPr>
                <w:rFonts w:hint="eastAsia"/>
                <w:b/>
                <w:bCs/>
                <w:szCs w:val="18"/>
              </w:rPr>
              <w:t>最高限价</w:t>
            </w:r>
          </w:p>
        </w:tc>
        <w:tc>
          <w:tcPr>
            <w:tcW w:w="1320" w:type="dxa"/>
            <w:tcBorders>
              <w:bottom w:val="single" w:color="auto" w:sz="4" w:space="0"/>
            </w:tcBorders>
            <w:vAlign w:val="center"/>
          </w:tcPr>
          <w:p w14:paraId="5AE39B90">
            <w:pPr>
              <w:spacing w:line="300" w:lineRule="exact"/>
              <w:ind w:firstLine="0" w:firstLineChars="0"/>
              <w:jc w:val="center"/>
              <w:rPr>
                <w:b/>
                <w:bCs/>
                <w:szCs w:val="18"/>
              </w:rPr>
            </w:pPr>
            <w:r>
              <w:rPr>
                <w:rFonts w:hint="eastAsia"/>
                <w:b/>
                <w:bCs/>
                <w:szCs w:val="18"/>
              </w:rPr>
              <w:t>成交供应商数量</w:t>
            </w:r>
          </w:p>
        </w:tc>
        <w:tc>
          <w:tcPr>
            <w:tcW w:w="977" w:type="dxa"/>
            <w:tcBorders>
              <w:bottom w:val="single" w:color="auto" w:sz="4" w:space="0"/>
            </w:tcBorders>
            <w:vAlign w:val="center"/>
          </w:tcPr>
          <w:p w14:paraId="2549E083">
            <w:pPr>
              <w:spacing w:line="300" w:lineRule="exact"/>
              <w:ind w:firstLine="0" w:firstLineChars="0"/>
              <w:jc w:val="center"/>
              <w:rPr>
                <w:b/>
                <w:bCs/>
                <w:szCs w:val="18"/>
              </w:rPr>
            </w:pPr>
            <w:r>
              <w:rPr>
                <w:rFonts w:hint="eastAsia"/>
                <w:b/>
                <w:bCs/>
                <w:szCs w:val="18"/>
              </w:rPr>
              <w:t>备注</w:t>
            </w:r>
          </w:p>
        </w:tc>
      </w:tr>
      <w:tr w14:paraId="3F87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37AAD045">
            <w:pPr>
              <w:spacing w:line="300" w:lineRule="exact"/>
              <w:ind w:firstLine="0" w:firstLineChars="0"/>
              <w:jc w:val="center"/>
              <w:rPr>
                <w:bCs/>
                <w:szCs w:val="18"/>
              </w:rPr>
            </w:pPr>
            <w:r>
              <w:rPr>
                <w:rFonts w:hint="eastAsia"/>
                <w:bCs/>
                <w:szCs w:val="18"/>
              </w:rPr>
              <w:t>1</w:t>
            </w:r>
          </w:p>
        </w:tc>
        <w:tc>
          <w:tcPr>
            <w:tcW w:w="4020" w:type="dxa"/>
            <w:vAlign w:val="center"/>
          </w:tcPr>
          <w:p w14:paraId="10461802">
            <w:pPr>
              <w:spacing w:line="300" w:lineRule="exact"/>
              <w:ind w:firstLine="0" w:firstLineChars="0"/>
              <w:rPr>
                <w:bCs/>
                <w:szCs w:val="18"/>
              </w:rPr>
            </w:pPr>
            <w:r>
              <w:rPr>
                <w:rFonts w:hint="eastAsia"/>
                <w:bCs/>
                <w:szCs w:val="18"/>
              </w:rPr>
              <w:t>重庆三峡银行202</w:t>
            </w:r>
            <w:r>
              <w:rPr>
                <w:bCs/>
                <w:szCs w:val="18"/>
              </w:rPr>
              <w:t>6</w:t>
            </w:r>
            <w:r>
              <w:rPr>
                <w:rFonts w:hint="eastAsia"/>
                <w:bCs/>
                <w:szCs w:val="18"/>
              </w:rPr>
              <w:t>年金融债券主承销商选聘项目（标段</w:t>
            </w:r>
            <w:r>
              <w:rPr>
                <w:bCs/>
                <w:szCs w:val="18"/>
              </w:rPr>
              <w:t>1</w:t>
            </w:r>
            <w:r>
              <w:rPr>
                <w:rFonts w:hint="eastAsia"/>
                <w:bCs/>
                <w:szCs w:val="18"/>
              </w:rPr>
              <w:t>：牵头主承销商）</w:t>
            </w:r>
          </w:p>
        </w:tc>
        <w:tc>
          <w:tcPr>
            <w:tcW w:w="1950" w:type="dxa"/>
            <w:vAlign w:val="center"/>
          </w:tcPr>
          <w:p w14:paraId="0FD47CA7">
            <w:pPr>
              <w:spacing w:line="300" w:lineRule="exact"/>
              <w:ind w:firstLine="0" w:firstLineChars="0"/>
              <w:rPr>
                <w:bCs/>
                <w:szCs w:val="18"/>
              </w:rPr>
            </w:pPr>
            <w:r>
              <w:rPr>
                <w:rFonts w:hint="eastAsia"/>
                <w:bCs/>
                <w:szCs w:val="18"/>
              </w:rPr>
              <w:t>承销费率的最高限价为0.0</w:t>
            </w:r>
            <w:r>
              <w:rPr>
                <w:bCs/>
                <w:szCs w:val="18"/>
              </w:rPr>
              <w:t>15</w:t>
            </w:r>
            <w:r>
              <w:rPr>
                <w:rFonts w:hint="eastAsia"/>
                <w:bCs/>
                <w:szCs w:val="18"/>
              </w:rPr>
              <w:t>%（含0</w:t>
            </w:r>
            <w:r>
              <w:rPr>
                <w:bCs/>
                <w:szCs w:val="18"/>
              </w:rPr>
              <w:t>.015%</w:t>
            </w:r>
            <w:r>
              <w:rPr>
                <w:rFonts w:hint="eastAsia"/>
                <w:bCs/>
                <w:szCs w:val="18"/>
              </w:rPr>
              <w:t>），（以实际发行额度为准）最低限价0</w:t>
            </w:r>
            <w:r>
              <w:rPr>
                <w:bCs/>
                <w:szCs w:val="18"/>
              </w:rPr>
              <w:t>.008%（含</w:t>
            </w:r>
            <w:r>
              <w:rPr>
                <w:rFonts w:hint="eastAsia"/>
                <w:bCs/>
                <w:szCs w:val="18"/>
              </w:rPr>
              <w:t>0</w:t>
            </w:r>
            <w:r>
              <w:rPr>
                <w:bCs/>
                <w:szCs w:val="18"/>
              </w:rPr>
              <w:t>.008%）</w:t>
            </w:r>
          </w:p>
          <w:p w14:paraId="76F029F9">
            <w:pPr>
              <w:pStyle w:val="8"/>
            </w:pPr>
            <w:r>
              <w:rPr>
                <w:rFonts w:hint="eastAsia"/>
              </w:rPr>
              <w:t>牵头管理费率最高限价为0.005%（含0.005%）</w:t>
            </w:r>
          </w:p>
        </w:tc>
        <w:tc>
          <w:tcPr>
            <w:tcW w:w="1320" w:type="dxa"/>
            <w:vAlign w:val="center"/>
          </w:tcPr>
          <w:p w14:paraId="00AD88E3">
            <w:pPr>
              <w:spacing w:line="300" w:lineRule="exact"/>
              <w:ind w:firstLine="0" w:firstLineChars="0"/>
              <w:jc w:val="center"/>
              <w:rPr>
                <w:bCs/>
                <w:szCs w:val="18"/>
              </w:rPr>
            </w:pPr>
            <w:r>
              <w:rPr>
                <w:bCs/>
                <w:szCs w:val="18"/>
              </w:rPr>
              <w:t>2</w:t>
            </w:r>
          </w:p>
        </w:tc>
        <w:tc>
          <w:tcPr>
            <w:tcW w:w="977" w:type="dxa"/>
            <w:vAlign w:val="center"/>
          </w:tcPr>
          <w:p w14:paraId="20A17865">
            <w:pPr>
              <w:spacing w:line="300" w:lineRule="exact"/>
              <w:ind w:firstLine="0" w:firstLineChars="0"/>
              <w:rPr>
                <w:bCs/>
                <w:szCs w:val="18"/>
              </w:rPr>
            </w:pPr>
            <w:r>
              <w:rPr>
                <w:rFonts w:hint="eastAsia"/>
                <w:bCs/>
                <w:szCs w:val="18"/>
              </w:rPr>
              <w:t>（含税）</w:t>
            </w:r>
          </w:p>
        </w:tc>
      </w:tr>
      <w:tr w14:paraId="711C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02E89273">
            <w:pPr>
              <w:spacing w:line="300" w:lineRule="exact"/>
              <w:ind w:firstLine="0" w:firstLineChars="0"/>
              <w:jc w:val="center"/>
              <w:rPr>
                <w:bCs/>
                <w:szCs w:val="18"/>
              </w:rPr>
            </w:pPr>
            <w:r>
              <w:rPr>
                <w:rFonts w:hint="eastAsia"/>
                <w:bCs/>
                <w:szCs w:val="18"/>
              </w:rPr>
              <w:t>2</w:t>
            </w:r>
          </w:p>
        </w:tc>
        <w:tc>
          <w:tcPr>
            <w:tcW w:w="4020" w:type="dxa"/>
            <w:vAlign w:val="center"/>
          </w:tcPr>
          <w:p w14:paraId="067EDE4C">
            <w:pPr>
              <w:spacing w:line="300" w:lineRule="exact"/>
              <w:ind w:firstLine="0" w:firstLineChars="0"/>
              <w:rPr>
                <w:bCs/>
                <w:szCs w:val="18"/>
              </w:rPr>
            </w:pPr>
            <w:r>
              <w:rPr>
                <w:rFonts w:hint="eastAsia"/>
                <w:bCs/>
                <w:szCs w:val="18"/>
              </w:rPr>
              <w:t>重庆三峡银行202</w:t>
            </w:r>
            <w:r>
              <w:rPr>
                <w:bCs/>
                <w:szCs w:val="18"/>
              </w:rPr>
              <w:t>6</w:t>
            </w:r>
            <w:r>
              <w:rPr>
                <w:rFonts w:hint="eastAsia"/>
                <w:bCs/>
                <w:szCs w:val="18"/>
              </w:rPr>
              <w:t>年金融债券主承销商选聘项目（标段</w:t>
            </w:r>
            <w:r>
              <w:rPr>
                <w:bCs/>
                <w:szCs w:val="18"/>
              </w:rPr>
              <w:t>2</w:t>
            </w:r>
            <w:r>
              <w:rPr>
                <w:rFonts w:hint="eastAsia"/>
                <w:bCs/>
                <w:szCs w:val="18"/>
              </w:rPr>
              <w:t>：券商类联席主承销商）</w:t>
            </w:r>
          </w:p>
        </w:tc>
        <w:tc>
          <w:tcPr>
            <w:tcW w:w="1950" w:type="dxa"/>
            <w:vAlign w:val="center"/>
          </w:tcPr>
          <w:p w14:paraId="78F75D1C">
            <w:pPr>
              <w:spacing w:line="300" w:lineRule="exact"/>
              <w:ind w:firstLine="0" w:firstLineChars="0"/>
              <w:jc w:val="center"/>
              <w:rPr>
                <w:bCs/>
                <w:szCs w:val="18"/>
              </w:rPr>
            </w:pPr>
            <w:r>
              <w:rPr>
                <w:rFonts w:hint="eastAsia"/>
                <w:bCs/>
                <w:szCs w:val="18"/>
              </w:rPr>
              <w:t>/</w:t>
            </w:r>
          </w:p>
        </w:tc>
        <w:tc>
          <w:tcPr>
            <w:tcW w:w="1320" w:type="dxa"/>
            <w:vAlign w:val="center"/>
          </w:tcPr>
          <w:p w14:paraId="6C4E6650">
            <w:pPr>
              <w:spacing w:line="300" w:lineRule="exact"/>
              <w:ind w:firstLine="0" w:firstLineChars="0"/>
              <w:jc w:val="center"/>
              <w:rPr>
                <w:bCs/>
                <w:szCs w:val="18"/>
              </w:rPr>
            </w:pPr>
            <w:r>
              <w:rPr>
                <w:rFonts w:hint="eastAsia"/>
                <w:bCs/>
                <w:szCs w:val="18"/>
              </w:rPr>
              <w:t>不超过</w:t>
            </w:r>
            <w:r>
              <w:rPr>
                <w:bCs/>
                <w:szCs w:val="18"/>
              </w:rPr>
              <w:t>18</w:t>
            </w:r>
            <w:r>
              <w:rPr>
                <w:rFonts w:hint="eastAsia"/>
                <w:bCs/>
                <w:szCs w:val="18"/>
              </w:rPr>
              <w:t>家</w:t>
            </w:r>
          </w:p>
        </w:tc>
        <w:tc>
          <w:tcPr>
            <w:tcW w:w="977" w:type="dxa"/>
            <w:vAlign w:val="center"/>
          </w:tcPr>
          <w:p w14:paraId="53323933">
            <w:pPr>
              <w:spacing w:line="300" w:lineRule="exact"/>
              <w:ind w:firstLine="0" w:firstLineChars="0"/>
              <w:rPr>
                <w:bCs/>
                <w:szCs w:val="18"/>
              </w:rPr>
            </w:pPr>
            <w:r>
              <w:rPr>
                <w:rFonts w:hint="eastAsia"/>
                <w:bCs/>
                <w:szCs w:val="18"/>
              </w:rPr>
              <w:t>（含税）</w:t>
            </w:r>
          </w:p>
        </w:tc>
      </w:tr>
      <w:tr w14:paraId="6468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2904EA03">
            <w:pPr>
              <w:spacing w:line="300" w:lineRule="exact"/>
              <w:ind w:firstLine="0" w:firstLineChars="0"/>
              <w:jc w:val="center"/>
              <w:rPr>
                <w:bCs/>
                <w:szCs w:val="18"/>
              </w:rPr>
            </w:pPr>
            <w:r>
              <w:rPr>
                <w:rFonts w:hint="eastAsia"/>
                <w:bCs/>
                <w:szCs w:val="18"/>
              </w:rPr>
              <w:t>3</w:t>
            </w:r>
          </w:p>
        </w:tc>
        <w:tc>
          <w:tcPr>
            <w:tcW w:w="4020" w:type="dxa"/>
            <w:vAlign w:val="center"/>
          </w:tcPr>
          <w:p w14:paraId="49873628">
            <w:pPr>
              <w:spacing w:line="300" w:lineRule="exact"/>
              <w:ind w:firstLine="0" w:firstLineChars="0"/>
              <w:rPr>
                <w:bCs/>
                <w:szCs w:val="18"/>
              </w:rPr>
            </w:pPr>
            <w:r>
              <w:rPr>
                <w:rFonts w:hint="eastAsia"/>
                <w:bCs/>
                <w:szCs w:val="18"/>
              </w:rPr>
              <w:t>重庆三峡银行202</w:t>
            </w:r>
            <w:r>
              <w:rPr>
                <w:bCs/>
                <w:szCs w:val="18"/>
              </w:rPr>
              <w:t>6</w:t>
            </w:r>
            <w:r>
              <w:rPr>
                <w:rFonts w:hint="eastAsia"/>
                <w:bCs/>
                <w:szCs w:val="18"/>
              </w:rPr>
              <w:t>年金融债券主承销商选聘项目（标段</w:t>
            </w:r>
            <w:r>
              <w:rPr>
                <w:bCs/>
                <w:szCs w:val="18"/>
              </w:rPr>
              <w:t>3</w:t>
            </w:r>
            <w:r>
              <w:rPr>
                <w:rFonts w:hint="eastAsia"/>
                <w:bCs/>
                <w:szCs w:val="18"/>
              </w:rPr>
              <w:t>：银行类联席主承销商）</w:t>
            </w:r>
          </w:p>
        </w:tc>
        <w:tc>
          <w:tcPr>
            <w:tcW w:w="1950" w:type="dxa"/>
            <w:vAlign w:val="center"/>
          </w:tcPr>
          <w:p w14:paraId="0CA6EDA3">
            <w:pPr>
              <w:spacing w:line="300" w:lineRule="exact"/>
              <w:ind w:firstLine="0" w:firstLineChars="0"/>
              <w:jc w:val="center"/>
              <w:rPr>
                <w:bCs/>
                <w:szCs w:val="18"/>
              </w:rPr>
            </w:pPr>
            <w:r>
              <w:rPr>
                <w:rFonts w:hint="eastAsia"/>
                <w:bCs/>
                <w:szCs w:val="18"/>
              </w:rPr>
              <w:t>/</w:t>
            </w:r>
          </w:p>
        </w:tc>
        <w:tc>
          <w:tcPr>
            <w:tcW w:w="1320" w:type="dxa"/>
            <w:vAlign w:val="center"/>
          </w:tcPr>
          <w:p w14:paraId="6E4E0364">
            <w:pPr>
              <w:spacing w:line="300" w:lineRule="exact"/>
              <w:ind w:firstLine="0" w:firstLineChars="0"/>
              <w:jc w:val="center"/>
              <w:rPr>
                <w:bCs/>
                <w:szCs w:val="18"/>
              </w:rPr>
            </w:pPr>
            <w:r>
              <w:rPr>
                <w:rFonts w:hint="eastAsia"/>
                <w:bCs/>
                <w:szCs w:val="18"/>
              </w:rPr>
              <w:t>不超过</w:t>
            </w:r>
            <w:r>
              <w:rPr>
                <w:bCs/>
                <w:szCs w:val="18"/>
              </w:rPr>
              <w:t>12家</w:t>
            </w:r>
          </w:p>
        </w:tc>
        <w:tc>
          <w:tcPr>
            <w:tcW w:w="977" w:type="dxa"/>
            <w:vAlign w:val="center"/>
          </w:tcPr>
          <w:p w14:paraId="6076BDA7">
            <w:pPr>
              <w:spacing w:line="300" w:lineRule="exact"/>
              <w:ind w:firstLine="0" w:firstLineChars="0"/>
              <w:rPr>
                <w:bCs/>
                <w:szCs w:val="18"/>
              </w:rPr>
            </w:pPr>
            <w:r>
              <w:rPr>
                <w:rFonts w:hint="eastAsia"/>
                <w:bCs/>
                <w:szCs w:val="18"/>
              </w:rPr>
              <w:t>（含税）</w:t>
            </w:r>
          </w:p>
        </w:tc>
      </w:tr>
    </w:tbl>
    <w:p w14:paraId="36B31105">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r>
        <w:rPr>
          <w:rFonts w:hint="eastAsia" w:ascii="Times New Roman" w:hAnsi="Times New Roman" w:eastAsia="宋体" w:cstheme="majorBidi"/>
          <w:b/>
          <w:bCs/>
          <w:snapToGrid w:val="0"/>
          <w:kern w:val="2"/>
          <w:sz w:val="21"/>
          <w:szCs w:val="24"/>
          <w:lang w:val="en-US" w:eastAsia="zh-CN" w:bidi="ar-SA"/>
        </w:rPr>
        <w:t>2. 响应人资格要求</w:t>
      </w:r>
      <w:bookmarkEnd w:id="5"/>
      <w:bookmarkEnd w:id="6"/>
      <w:bookmarkEnd w:id="7"/>
      <w:bookmarkEnd w:id="8"/>
      <w:bookmarkEnd w:id="9"/>
    </w:p>
    <w:p w14:paraId="6763F7C8">
      <w:pPr>
        <w:ind w:firstLine="420"/>
      </w:pPr>
      <w:bookmarkStart w:id="10" w:name="_Hlk55488870"/>
      <w:r>
        <w:rPr>
          <w:rFonts w:hint="eastAsia"/>
        </w:rPr>
        <w:t>2.1 响应人应当具备承担询比项目的能力</w:t>
      </w:r>
    </w:p>
    <w:p w14:paraId="2FD6FBE1">
      <w:pPr>
        <w:ind w:firstLine="420"/>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响应人为自然人的，无需提供）；3、授权委托书（如有，适用于有委托代理人的情况时采用）】</w:t>
      </w:r>
    </w:p>
    <w:p w14:paraId="1AC3316C">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E562F1A">
      <w:pPr>
        <w:ind w:firstLine="420"/>
      </w:pPr>
      <w:r>
        <w:rPr>
          <w:rFonts w:hint="eastAsia"/>
        </w:rPr>
        <w:t>2.3 本项目不允许任何形式的转包【提供书面声明】。</w:t>
      </w:r>
    </w:p>
    <w:p w14:paraId="14B91F40">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60DB8AC7">
      <w:pPr>
        <w:ind w:firstLine="420"/>
      </w:pPr>
      <w:r>
        <w:rPr>
          <w:rFonts w:hint="eastAsia"/>
        </w:rPr>
        <w:t>2.5 本次询比不接受联合体响应。</w:t>
      </w:r>
    </w:p>
    <w:p w14:paraId="6D109595">
      <w:pPr>
        <w:ind w:firstLine="420"/>
        <w:rPr>
          <w:bCs/>
          <w:szCs w:val="18"/>
        </w:rPr>
      </w:pPr>
      <w:r>
        <w:rPr>
          <w:rFonts w:hint="eastAsia"/>
        </w:rPr>
        <w:t>2.6</w:t>
      </w:r>
      <w:r>
        <w:t xml:space="preserve"> </w:t>
      </w:r>
      <w:r>
        <w:rPr>
          <w:rFonts w:hint="eastAsia"/>
          <w:bCs/>
          <w:szCs w:val="18"/>
        </w:rPr>
        <w:t>标段1响应人需满足的资格要求</w:t>
      </w:r>
    </w:p>
    <w:p w14:paraId="34345913">
      <w:pPr>
        <w:ind w:firstLine="420"/>
        <w:rPr>
          <w:bCs/>
          <w:szCs w:val="18"/>
        </w:rPr>
      </w:pPr>
      <w:r>
        <w:rPr>
          <w:rFonts w:hint="eastAsia"/>
          <w:bCs/>
          <w:szCs w:val="18"/>
        </w:rPr>
        <w:t xml:space="preserve">2.6.1 </w:t>
      </w:r>
      <w:bookmarkStart w:id="11" w:name="OLE_LINK1"/>
      <w:r>
        <w:rPr>
          <w:rFonts w:hint="eastAsia"/>
          <w:bCs/>
          <w:szCs w:val="18"/>
        </w:rPr>
        <w:t>响应人</w:t>
      </w:r>
      <w:bookmarkEnd w:id="11"/>
      <w:r>
        <w:rPr>
          <w:rFonts w:hint="eastAsia"/>
          <w:bCs/>
          <w:szCs w:val="18"/>
        </w:rPr>
        <w:t>需在中国证监会</w:t>
      </w:r>
      <w:r>
        <w:rPr>
          <w:bCs/>
          <w:szCs w:val="18"/>
        </w:rPr>
        <w:t>2023</w:t>
      </w:r>
      <w:r>
        <w:rPr>
          <w:rFonts w:hint="eastAsia"/>
          <w:bCs/>
          <w:szCs w:val="18"/>
        </w:rPr>
        <w:t>年</w:t>
      </w:r>
      <w:r>
        <w:rPr>
          <w:bCs/>
          <w:szCs w:val="18"/>
        </w:rPr>
        <w:t>1</w:t>
      </w:r>
      <w:r>
        <w:rPr>
          <w:rFonts w:hint="eastAsia"/>
          <w:bCs/>
          <w:szCs w:val="18"/>
        </w:rPr>
        <w:t>月</w:t>
      </w:r>
      <w:r>
        <w:rPr>
          <w:bCs/>
          <w:szCs w:val="18"/>
        </w:rPr>
        <w:t>1</w:t>
      </w:r>
      <w:r>
        <w:rPr>
          <w:rFonts w:hint="eastAsia"/>
          <w:bCs/>
          <w:szCs w:val="18"/>
        </w:rPr>
        <w:t>日至</w:t>
      </w:r>
      <w:r>
        <w:rPr>
          <w:bCs/>
          <w:szCs w:val="18"/>
        </w:rPr>
        <w:t>2025</w:t>
      </w:r>
      <w:r>
        <w:rPr>
          <w:rFonts w:hint="eastAsia"/>
          <w:bCs/>
          <w:szCs w:val="18"/>
        </w:rPr>
        <w:t>年</w:t>
      </w:r>
      <w:r>
        <w:rPr>
          <w:bCs/>
          <w:szCs w:val="18"/>
        </w:rPr>
        <w:t>12</w:t>
      </w:r>
      <w:r>
        <w:rPr>
          <w:rFonts w:hint="eastAsia"/>
          <w:bCs/>
          <w:szCs w:val="18"/>
        </w:rPr>
        <w:t>月</w:t>
      </w:r>
      <w:r>
        <w:rPr>
          <w:bCs/>
          <w:szCs w:val="18"/>
        </w:rPr>
        <w:t>31</w:t>
      </w:r>
      <w:r>
        <w:rPr>
          <w:rFonts w:hint="eastAsia"/>
          <w:bCs/>
          <w:szCs w:val="18"/>
        </w:rPr>
        <w:t>日期间公布的证券公司分类结果中至少有一年应为</w:t>
      </w:r>
      <w:r>
        <w:rPr>
          <w:bCs/>
          <w:szCs w:val="18"/>
        </w:rPr>
        <w:t>A</w:t>
      </w:r>
      <w:r>
        <w:rPr>
          <w:rFonts w:hint="eastAsia"/>
          <w:bCs/>
          <w:szCs w:val="18"/>
        </w:rPr>
        <w:t>级及以上，低于</w:t>
      </w:r>
      <w:r>
        <w:rPr>
          <w:bCs/>
          <w:szCs w:val="18"/>
        </w:rPr>
        <w:t>A</w:t>
      </w:r>
      <w:r>
        <w:rPr>
          <w:rFonts w:hint="eastAsia"/>
          <w:bCs/>
          <w:szCs w:val="18"/>
        </w:rPr>
        <w:t>级（不含</w:t>
      </w:r>
      <w:r>
        <w:rPr>
          <w:bCs/>
          <w:szCs w:val="18"/>
        </w:rPr>
        <w:t>A</w:t>
      </w:r>
      <w:r>
        <w:rPr>
          <w:rFonts w:hint="eastAsia"/>
          <w:bCs/>
          <w:szCs w:val="18"/>
        </w:rPr>
        <w:t>级）取消响应资质；【提供资质截图或相关证明材料】</w:t>
      </w:r>
    </w:p>
    <w:p w14:paraId="3CDB9D8F">
      <w:pPr>
        <w:pStyle w:val="2"/>
        <w:ind w:firstLine="420"/>
      </w:pPr>
      <w:r>
        <w:rPr>
          <w:rFonts w:hint="eastAsia"/>
        </w:rPr>
        <w:t>注：中国证监会将证券公司由高到低分为A(AAA、AA、A)、B(BBB、BB、B)、C(CCC、CC、C)、D、E等5大类11个级别。A类公司风险管理能力在行业内最高。</w:t>
      </w:r>
    </w:p>
    <w:p w14:paraId="5F515F16">
      <w:pPr>
        <w:ind w:firstLine="420"/>
        <w:rPr>
          <w:bCs/>
          <w:szCs w:val="18"/>
        </w:rPr>
      </w:pPr>
      <w:r>
        <w:rPr>
          <w:rFonts w:hint="eastAsia"/>
          <w:bCs/>
          <w:szCs w:val="18"/>
        </w:rPr>
        <w:t>2.6.2 响应人项目团队须至少</w:t>
      </w:r>
      <w:r>
        <w:rPr>
          <w:bCs/>
          <w:szCs w:val="18"/>
        </w:rPr>
        <w:t>1</w:t>
      </w:r>
      <w:r>
        <w:rPr>
          <w:rFonts w:hint="eastAsia"/>
          <w:bCs/>
          <w:szCs w:val="18"/>
        </w:rPr>
        <w:t>名人员具有全国银行间债券市场金融债牵头主承销经验。【提供：项目实施团队成员表及债券发行募集说明书相关内容复印件，若募集说明书上无法看出团队人员参与了该项目，则须由响应人在响应文件中自行承诺或说明】。</w:t>
      </w:r>
    </w:p>
    <w:p w14:paraId="55DA663A">
      <w:pPr>
        <w:ind w:firstLine="420"/>
      </w:pPr>
      <w:r>
        <w:rPr>
          <w:rFonts w:hint="eastAsia"/>
          <w:bCs/>
          <w:szCs w:val="18"/>
        </w:rPr>
        <w:t xml:space="preserve">2.6.3 </w:t>
      </w:r>
      <w:bookmarkStart w:id="12" w:name="OLE_LINK2"/>
      <w:bookmarkStart w:id="13" w:name="OLE_LINK3"/>
      <w:r>
        <w:rPr>
          <w:rFonts w:hint="eastAsia"/>
          <w:bCs/>
          <w:szCs w:val="18"/>
        </w:rPr>
        <w:t>响应人需在</w:t>
      </w:r>
      <w:r>
        <w:rPr>
          <w:b/>
          <w:bCs/>
          <w:szCs w:val="18"/>
        </w:rPr>
        <w:t>2024</w:t>
      </w:r>
      <w:r>
        <w:rPr>
          <w:rFonts w:hint="eastAsia"/>
          <w:b/>
          <w:bCs/>
          <w:szCs w:val="18"/>
        </w:rPr>
        <w:t>年</w:t>
      </w:r>
      <w:r>
        <w:rPr>
          <w:b/>
          <w:bCs/>
          <w:szCs w:val="18"/>
        </w:rPr>
        <w:t>1</w:t>
      </w:r>
      <w:r>
        <w:rPr>
          <w:rFonts w:hint="eastAsia"/>
          <w:b/>
          <w:bCs/>
          <w:szCs w:val="18"/>
        </w:rPr>
        <w:t>月</w:t>
      </w:r>
      <w:r>
        <w:rPr>
          <w:b/>
          <w:bCs/>
          <w:szCs w:val="18"/>
        </w:rPr>
        <w:t>1</w:t>
      </w:r>
      <w:r>
        <w:rPr>
          <w:rFonts w:hint="eastAsia"/>
          <w:b/>
          <w:bCs/>
          <w:szCs w:val="18"/>
        </w:rPr>
        <w:t>日至</w:t>
      </w:r>
      <w:r>
        <w:rPr>
          <w:b/>
          <w:bCs/>
          <w:szCs w:val="18"/>
        </w:rPr>
        <w:t>2025</w:t>
      </w:r>
      <w:r>
        <w:rPr>
          <w:rFonts w:hint="eastAsia"/>
          <w:b/>
          <w:bCs/>
          <w:szCs w:val="18"/>
        </w:rPr>
        <w:t>年</w:t>
      </w:r>
      <w:r>
        <w:rPr>
          <w:b/>
          <w:bCs/>
          <w:szCs w:val="18"/>
        </w:rPr>
        <w:t>12</w:t>
      </w:r>
      <w:r>
        <w:rPr>
          <w:rFonts w:hint="eastAsia"/>
          <w:b/>
          <w:bCs/>
          <w:szCs w:val="18"/>
        </w:rPr>
        <w:t>月</w:t>
      </w:r>
      <w:r>
        <w:rPr>
          <w:b/>
          <w:bCs/>
          <w:szCs w:val="18"/>
        </w:rPr>
        <w:t>31</w:t>
      </w:r>
      <w:r>
        <w:rPr>
          <w:rFonts w:hint="eastAsia"/>
          <w:b/>
          <w:bCs/>
          <w:szCs w:val="18"/>
        </w:rPr>
        <w:t>日期间</w:t>
      </w:r>
      <w:r>
        <w:rPr>
          <w:rFonts w:hint="eastAsia"/>
          <w:bCs/>
          <w:szCs w:val="18"/>
        </w:rPr>
        <w:t>（以合同服务期限为准），具有作为商业银行非资本类金融债券和商业银行资本类债券（无固定期限资本债券或二级资本债券）牵头主承销商牵头相关实施案例</w:t>
      </w:r>
      <w:r>
        <w:rPr>
          <w:rFonts w:hint="eastAsia"/>
          <w:b/>
          <w:bCs/>
          <w:szCs w:val="18"/>
        </w:rPr>
        <w:t>各1例</w:t>
      </w:r>
      <w:r>
        <w:rPr>
          <w:rFonts w:hint="eastAsia"/>
          <w:bCs/>
          <w:szCs w:val="18"/>
        </w:rPr>
        <w:t>，无案例取消响应资质【提供：</w:t>
      </w:r>
      <w:r>
        <w:rPr>
          <w:bCs/>
          <w:szCs w:val="18"/>
        </w:rPr>
        <w:t>1</w:t>
      </w:r>
      <w:r>
        <w:rPr>
          <w:rFonts w:hint="eastAsia"/>
          <w:bCs/>
          <w:szCs w:val="18"/>
        </w:rPr>
        <w:t>、合同关键页（合同关键页包含：甲乙双方名称、双方印章、项目名称、合同签订时间、服务范围。）；</w:t>
      </w:r>
      <w:r>
        <w:rPr>
          <w:bCs/>
          <w:szCs w:val="18"/>
        </w:rPr>
        <w:t>2</w:t>
      </w:r>
      <w:r>
        <w:rPr>
          <w:rFonts w:hint="eastAsia"/>
          <w:bCs/>
          <w:szCs w:val="18"/>
        </w:rPr>
        <w:t>、项目简介（格式自拟）】。</w:t>
      </w:r>
      <w:bookmarkEnd w:id="12"/>
      <w:bookmarkEnd w:id="13"/>
    </w:p>
    <w:p w14:paraId="4AAB8E12">
      <w:pPr>
        <w:ind w:firstLine="420"/>
        <w:rPr>
          <w:bCs/>
          <w:szCs w:val="18"/>
        </w:rPr>
      </w:pPr>
      <w:r>
        <w:rPr>
          <w:rFonts w:hint="eastAsia"/>
        </w:rPr>
        <w:t>2</w:t>
      </w:r>
      <w:r>
        <w:t>.7 标段</w:t>
      </w:r>
      <w:r>
        <w:rPr>
          <w:rFonts w:hint="eastAsia"/>
        </w:rPr>
        <w:t>2响应人</w:t>
      </w:r>
      <w:r>
        <w:rPr>
          <w:rFonts w:hint="eastAsia"/>
          <w:bCs/>
          <w:szCs w:val="18"/>
        </w:rPr>
        <w:t>需满足的资格要求</w:t>
      </w:r>
    </w:p>
    <w:p w14:paraId="47B87662">
      <w:pPr>
        <w:ind w:firstLine="420"/>
      </w:pPr>
      <w:r>
        <w:rPr>
          <w:rFonts w:hint="eastAsia"/>
        </w:rPr>
        <w:t>2</w:t>
      </w:r>
      <w:r>
        <w:t>.7.1 响应人需承诺接受牵头主承销商</w:t>
      </w:r>
      <w:r>
        <w:rPr>
          <w:rFonts w:hint="eastAsia"/>
        </w:rPr>
        <w:t>成交</w:t>
      </w:r>
      <w:r>
        <w:t>费率，无承诺</w:t>
      </w:r>
      <w:r>
        <w:rPr>
          <w:rFonts w:hint="eastAsia"/>
        </w:rPr>
        <w:t>或不接受牵头主承销商成交费率的</w:t>
      </w:r>
      <w:r>
        <w:t>取消响应资质。</w:t>
      </w:r>
      <w:r>
        <w:rPr>
          <w:rFonts w:hint="eastAsia"/>
        </w:rPr>
        <w:t>【在响应函中进行承诺】</w:t>
      </w:r>
    </w:p>
    <w:p w14:paraId="52EE7D96">
      <w:pPr>
        <w:pStyle w:val="2"/>
        <w:ind w:firstLine="420"/>
        <w:rPr>
          <w:bCs/>
          <w:szCs w:val="18"/>
        </w:rPr>
      </w:pPr>
      <w:r>
        <w:rPr>
          <w:rFonts w:hint="eastAsia"/>
        </w:rPr>
        <w:t>2</w:t>
      </w:r>
      <w:r>
        <w:t>.8 标段3</w:t>
      </w:r>
      <w:r>
        <w:rPr>
          <w:rFonts w:hint="eastAsia"/>
        </w:rPr>
        <w:t>响应人</w:t>
      </w:r>
      <w:r>
        <w:rPr>
          <w:rFonts w:hint="eastAsia"/>
          <w:bCs/>
          <w:szCs w:val="18"/>
        </w:rPr>
        <w:t>需满足的资格要求</w:t>
      </w:r>
    </w:p>
    <w:p w14:paraId="7610DC98">
      <w:pPr>
        <w:ind w:firstLine="420"/>
      </w:pPr>
      <w:r>
        <w:rPr>
          <w:rFonts w:hint="eastAsia"/>
        </w:rPr>
        <w:t>2</w:t>
      </w:r>
      <w:r>
        <w:t>.8.1 响应人需承诺接受牵头主承销商</w:t>
      </w:r>
      <w:r>
        <w:rPr>
          <w:rFonts w:hint="eastAsia"/>
        </w:rPr>
        <w:t>成交</w:t>
      </w:r>
      <w:r>
        <w:t>费率，无承诺</w:t>
      </w:r>
      <w:r>
        <w:rPr>
          <w:rFonts w:hint="eastAsia"/>
        </w:rPr>
        <w:t>或不接受牵头主承销商成交费率的</w:t>
      </w:r>
      <w:r>
        <w:t>取消响应资质。</w:t>
      </w:r>
      <w:r>
        <w:rPr>
          <w:rFonts w:hint="eastAsia"/>
        </w:rPr>
        <w:t>【在响应函中进行承诺】</w:t>
      </w:r>
    </w:p>
    <w:p w14:paraId="45E1B814">
      <w:pPr>
        <w:ind w:firstLine="420"/>
        <w:rPr>
          <w:color w:val="000000" w:themeColor="text1"/>
          <w14:textFill>
            <w14:solidFill>
              <w14:schemeClr w14:val="tx1"/>
            </w14:solidFill>
          </w14:textFill>
        </w:rPr>
      </w:pPr>
      <w:r>
        <w:rPr>
          <w:rFonts w:hint="eastAsia"/>
        </w:rPr>
        <w:t>2.</w:t>
      </w:r>
      <w:r>
        <w:t>9</w:t>
      </w:r>
      <w:r>
        <w:rPr>
          <w:rFonts w:hint="eastAsia"/>
        </w:rPr>
        <w:t xml:space="preserve"> 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注:以上证明文件若采购人存疑，响应人需提供原件备查，响应文件中须附相关证明文件复印件并逐页加盖公章。项目如为多标段，</w:t>
      </w:r>
      <w:r>
        <w:rPr>
          <w:rFonts w:hint="eastAsia"/>
          <w:color w:val="000000" w:themeColor="text1"/>
          <w14:textFill>
            <w14:solidFill>
              <w14:schemeClr w14:val="tx1"/>
            </w14:solidFill>
          </w14:textFill>
        </w:rPr>
        <w:t>询比文件中未按标段分别表述的要求、规则、评审办法等内容，均视为适用于所有分包。</w:t>
      </w:r>
    </w:p>
    <w:p w14:paraId="03812A09">
      <w:pPr>
        <w:ind w:firstLine="42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同一响应人参与不同标段时，各标段分别制作响应文件，各标段均有成交资格</w:t>
      </w:r>
      <w:r>
        <w:rPr>
          <w:rFonts w:hint="eastAsia"/>
          <w:b/>
          <w:bCs/>
        </w:rPr>
        <w:t>。</w:t>
      </w:r>
    </w:p>
    <w:bookmarkEnd w:id="10"/>
    <w:p w14:paraId="653D0B93">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bookmarkStart w:id="14" w:name="_Toc55379220"/>
      <w:bookmarkStart w:id="15" w:name="_Toc469574667"/>
      <w:bookmarkStart w:id="16" w:name="_Toc89675130"/>
      <w:bookmarkStart w:id="17" w:name="_Toc297817090"/>
      <w:r>
        <w:rPr>
          <w:rFonts w:hint="eastAsia" w:ascii="Times New Roman" w:hAnsi="Times New Roman" w:eastAsia="宋体" w:cstheme="majorBidi"/>
          <w:b/>
          <w:bCs/>
          <w:snapToGrid w:val="0"/>
          <w:kern w:val="2"/>
          <w:sz w:val="21"/>
          <w:szCs w:val="24"/>
          <w:lang w:val="en-US" w:eastAsia="zh-CN" w:bidi="ar-SA"/>
        </w:rPr>
        <w:t>3. 询比文件的获取</w:t>
      </w:r>
      <w:bookmarkEnd w:id="14"/>
    </w:p>
    <w:p w14:paraId="090BEF0F">
      <w:pPr>
        <w:ind w:firstLine="420"/>
      </w:pPr>
      <w:r>
        <w:rPr>
          <w:rFonts w:hint="eastAsia"/>
        </w:rPr>
        <w:t>3.1 响应截止时间：</w:t>
      </w:r>
      <w:r>
        <w:rPr>
          <w:rFonts w:hint="eastAsia"/>
          <w:u w:val="single"/>
        </w:rPr>
        <w:t xml:space="preserve"> </w:t>
      </w:r>
      <w:r>
        <w:rPr>
          <w:rFonts w:hint="eastAsia" w:ascii="Times New Roman" w:eastAsia="宋体"/>
          <w:u w:val="single"/>
          <w:lang w:val="en-US" w:eastAsia="zh-CN"/>
        </w:rPr>
        <w:t>2026</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02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27</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30</w:t>
      </w:r>
      <w:r>
        <w:rPr>
          <w:rFonts w:hint="eastAsia"/>
          <w:u w:val="single"/>
        </w:rPr>
        <w:t xml:space="preserve"> </w:t>
      </w:r>
      <w:r>
        <w:rPr>
          <w:rFonts w:hint="eastAsia"/>
        </w:rPr>
        <w:t>分（北京时间）</w:t>
      </w:r>
    </w:p>
    <w:p w14:paraId="1DEB75D0">
      <w:pPr>
        <w:ind w:firstLine="420"/>
      </w:pPr>
      <w:r>
        <w:rPr>
          <w:rFonts w:hint="eastAsia"/>
        </w:rPr>
        <w:t>3.2 获取时间和方式：响应截止时间前，在重庆市公共资源交易网（www.cqggzy.com）下载询比文件。</w:t>
      </w:r>
    </w:p>
    <w:p w14:paraId="38EB7485">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r>
        <w:rPr>
          <w:rFonts w:hint="eastAsia" w:ascii="Times New Roman" w:hAnsi="Times New Roman" w:eastAsia="宋体" w:cstheme="majorBidi"/>
          <w:b/>
          <w:bCs/>
          <w:snapToGrid w:val="0"/>
          <w:kern w:val="2"/>
          <w:sz w:val="21"/>
          <w:szCs w:val="24"/>
          <w:lang w:val="en-US" w:eastAsia="zh-CN" w:bidi="ar-SA"/>
        </w:rPr>
        <w:t>4. 提问</w:t>
      </w:r>
    </w:p>
    <w:p w14:paraId="1EB84186">
      <w:pPr>
        <w:ind w:firstLine="420"/>
      </w:pPr>
      <w:r>
        <w:rPr>
          <w:rFonts w:hint="eastAsia"/>
        </w:rPr>
        <w:t>4.1 提问截止时间：</w:t>
      </w:r>
      <w:r>
        <w:rPr>
          <w:rFonts w:hint="eastAsia"/>
          <w:u w:val="single"/>
        </w:rPr>
        <w:t xml:space="preserve"> </w:t>
      </w:r>
      <w:r>
        <w:rPr>
          <w:rFonts w:hint="eastAsia" w:ascii="Times New Roman" w:eastAsia="宋体"/>
          <w:u w:val="single"/>
          <w:lang w:val="en-US" w:eastAsia="zh-CN"/>
        </w:rPr>
        <w:t>2026</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02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06</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分（北京时间）</w:t>
      </w:r>
    </w:p>
    <w:p w14:paraId="0BF43030">
      <w:pPr>
        <w:ind w:firstLine="420"/>
      </w:pPr>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5A4B4316">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bookmarkStart w:id="18" w:name="_Toc55379221"/>
      <w:r>
        <w:rPr>
          <w:rFonts w:hint="eastAsia" w:ascii="Times New Roman" w:hAnsi="Times New Roman" w:eastAsia="宋体" w:cstheme="majorBidi"/>
          <w:b/>
          <w:bCs/>
          <w:snapToGrid w:val="0"/>
          <w:kern w:val="2"/>
          <w:sz w:val="21"/>
          <w:szCs w:val="24"/>
          <w:lang w:val="en-US" w:eastAsia="zh-CN" w:bidi="ar-SA"/>
        </w:rPr>
        <w:t>5. 响应保证金的递交</w:t>
      </w:r>
      <w:bookmarkEnd w:id="15"/>
      <w:bookmarkEnd w:id="16"/>
      <w:bookmarkEnd w:id="17"/>
      <w:bookmarkEnd w:id="18"/>
    </w:p>
    <w:p w14:paraId="040708AA">
      <w:pPr>
        <w:ind w:firstLine="420"/>
      </w:pPr>
      <w:bookmarkStart w:id="19" w:name="_Toc55379222"/>
      <w:bookmarkStart w:id="20" w:name="_Toc469574668"/>
      <w:bookmarkStart w:id="21" w:name="_Toc89675131"/>
      <w:bookmarkStart w:id="22" w:name="_Toc297817091"/>
      <w:r>
        <w:rPr>
          <w:rFonts w:hint="eastAsia"/>
        </w:rPr>
        <w:t>5.1 响应保证金的金额：</w:t>
      </w:r>
      <w:r>
        <w:rPr>
          <w:b/>
          <w:bCs/>
          <w:u w:val="single"/>
        </w:rPr>
        <w:t>2000</w:t>
      </w:r>
      <w:r>
        <w:rPr>
          <w:rFonts w:hint="eastAsia"/>
          <w:b/>
          <w:bCs/>
          <w:u w:val="single"/>
        </w:rPr>
        <w:t>元整（大写：贰仟元整）</w:t>
      </w:r>
      <w:r>
        <w:rPr>
          <w:rFonts w:hint="eastAsia"/>
        </w:rPr>
        <w:t>。</w:t>
      </w:r>
    </w:p>
    <w:p w14:paraId="5115DDD6">
      <w:pPr>
        <w:pStyle w:val="2"/>
        <w:ind w:firstLine="420"/>
      </w:pPr>
      <w:r>
        <w:rPr>
          <w:rFonts w:hint="eastAsia"/>
        </w:rPr>
        <w:t>三个标段的响应保证金相同，应分别缴纳至对应账户里。</w:t>
      </w:r>
    </w:p>
    <w:p w14:paraId="1774DBFB">
      <w:pPr>
        <w:ind w:firstLine="420"/>
      </w:pPr>
      <w:r>
        <w:rPr>
          <w:rFonts w:hint="eastAsia"/>
        </w:rPr>
        <w:t>5.2 响应保证金缴纳方式：响应人从响应人的银行账户，通过转账或电汇方式直接划付至</w:t>
      </w:r>
      <w:r>
        <w:rPr>
          <w:rFonts w:hint="eastAsia"/>
          <w:b/>
          <w:bCs/>
        </w:rPr>
        <w:t>对应标段公告下方指定的账户（任选其一）</w:t>
      </w:r>
      <w:r>
        <w:rPr>
          <w:rFonts w:hint="eastAsia"/>
        </w:rPr>
        <w:t>，否则，响应保证金无效。响应人自行考虑汇入到账时间风险，本项目响应保证金不接受任何形式保函（包括电子保函）；</w:t>
      </w:r>
    </w:p>
    <w:p w14:paraId="0BF04B17">
      <w:pPr>
        <w:ind w:firstLine="420"/>
      </w:pPr>
      <w:r>
        <w:rPr>
          <w:rFonts w:hint="eastAsia"/>
        </w:rPr>
        <w:t>5.3 响应保证金递交的截止时间同响应截止时间。响应保证金以重庆市公共资源交易中心询比现场获取的保证金交纳情况为准。</w:t>
      </w:r>
    </w:p>
    <w:p w14:paraId="1BD7A8C2">
      <w:pPr>
        <w:ind w:firstLine="420"/>
      </w:pPr>
      <w:r>
        <w:rPr>
          <w:rFonts w:hint="eastAsia"/>
        </w:rPr>
        <w:t>5.</w:t>
      </w:r>
      <w:r>
        <w:t>4</w:t>
      </w:r>
      <w:r>
        <w:rPr>
          <w:rFonts w:hint="eastAsia"/>
        </w:rPr>
        <w:t xml:space="preserve"> 响应保证金专用账户如下：</w:t>
      </w:r>
    </w:p>
    <w:p w14:paraId="414BE43B">
      <w:pPr>
        <w:ind w:firstLine="420"/>
      </w:pPr>
      <w:r>
        <w:rPr>
          <w:rFonts w:hint="eastAsia"/>
        </w:rPr>
        <w:t>详见重庆市公共资源交易网（www.cqggzy.com）对应本项目询比公告信息栏中的保证金信息。</w:t>
      </w:r>
    </w:p>
    <w:p w14:paraId="7B96A9CC">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r>
        <w:rPr>
          <w:rFonts w:hint="eastAsia" w:ascii="Times New Roman" w:hAnsi="Times New Roman" w:eastAsia="宋体" w:cstheme="majorBidi"/>
          <w:b/>
          <w:bCs/>
          <w:snapToGrid w:val="0"/>
          <w:kern w:val="2"/>
          <w:sz w:val="21"/>
          <w:szCs w:val="24"/>
          <w:lang w:val="en-US" w:eastAsia="zh-CN" w:bidi="ar-SA"/>
        </w:rPr>
        <w:t>6. 市场主体信息登记</w:t>
      </w:r>
    </w:p>
    <w:p w14:paraId="7F53C3CF">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19"/>
    <w:bookmarkEnd w:id="20"/>
    <w:bookmarkEnd w:id="21"/>
    <w:bookmarkEnd w:id="22"/>
    <w:p w14:paraId="5098053F">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r>
        <w:rPr>
          <w:rFonts w:hint="eastAsia" w:ascii="Times New Roman" w:hAnsi="Times New Roman" w:eastAsia="宋体" w:cstheme="majorBidi"/>
          <w:b/>
          <w:bCs/>
          <w:snapToGrid w:val="0"/>
          <w:kern w:val="2"/>
          <w:sz w:val="21"/>
          <w:szCs w:val="24"/>
          <w:lang w:val="en-US" w:eastAsia="zh-CN" w:bidi="ar-SA"/>
        </w:rPr>
        <w:t>7. 响应文件的递交</w:t>
      </w:r>
    </w:p>
    <w:p w14:paraId="546CC412">
      <w:pPr>
        <w:ind w:firstLine="420"/>
      </w:pPr>
      <w:bookmarkStart w:id="23" w:name="_Toc89675132"/>
      <w:bookmarkStart w:id="24" w:name="_Toc469574669"/>
      <w:bookmarkStart w:id="25" w:name="_Toc55379223"/>
      <w:r>
        <w:rPr>
          <w:rFonts w:hint="eastAsia"/>
        </w:rPr>
        <w:t>7.1 响应文件现场递交时间为响应截止时间前半小时内，截至响应截止时间将不再收取响应文件。</w:t>
      </w:r>
    </w:p>
    <w:p w14:paraId="29F871E3">
      <w:pPr>
        <w:ind w:firstLine="420"/>
      </w:pPr>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2EBE1E85">
      <w:pPr>
        <w:ind w:firstLine="420"/>
      </w:pPr>
      <w:r>
        <w:rPr>
          <w:rFonts w:hint="eastAsia"/>
        </w:rPr>
        <w:t>7.3 逾期送达的响应文件，不予接收。</w:t>
      </w:r>
    </w:p>
    <w:p w14:paraId="6ECA1C6A">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r>
        <w:rPr>
          <w:rFonts w:hint="eastAsia" w:ascii="Times New Roman" w:hAnsi="Times New Roman" w:eastAsia="宋体" w:cstheme="majorBidi"/>
          <w:b/>
          <w:bCs/>
          <w:snapToGrid w:val="0"/>
          <w:kern w:val="2"/>
          <w:sz w:val="21"/>
          <w:szCs w:val="24"/>
          <w:lang w:val="en-US" w:eastAsia="zh-CN" w:bidi="ar-SA"/>
        </w:rPr>
        <w:t>8. 发布公告的媒介</w:t>
      </w:r>
      <w:bookmarkEnd w:id="23"/>
      <w:bookmarkEnd w:id="24"/>
      <w:bookmarkEnd w:id="25"/>
    </w:p>
    <w:p w14:paraId="470C2B64">
      <w:pPr>
        <w:ind w:firstLine="420"/>
      </w:pPr>
      <w:bookmarkStart w:id="26" w:name="_Toc250565211"/>
      <w:bookmarkStart w:id="27" w:name="_Toc469574670"/>
      <w:bookmarkStart w:id="28" w:name="_Toc55379224"/>
      <w:bookmarkStart w:id="29" w:name="_Toc89675133"/>
      <w:r>
        <w:rPr>
          <w:rFonts w:hint="eastAsia"/>
        </w:rPr>
        <w:t>本次询比公告同时在</w:t>
      </w:r>
      <w:r>
        <w:rPr>
          <w:rFonts w:hint="eastAsia"/>
          <w:u w:val="single"/>
        </w:rPr>
        <w:t>《重庆市公共资源交易网（www.cqggzy.com）》《重庆三峡银行官网（https://www.ccqtgb.com）》和《中国招标投标公共服务平台（http://www.cebpubservice.com）》</w:t>
      </w:r>
      <w:r>
        <w:rPr>
          <w:rFonts w:hint="eastAsia"/>
        </w:rPr>
        <w:t>上发布。</w:t>
      </w:r>
    </w:p>
    <w:p w14:paraId="7FDAE8DC">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lang w:val="en-US" w:eastAsia="zh-CN" w:bidi="ar-SA"/>
        </w:rPr>
      </w:pPr>
      <w:r>
        <w:rPr>
          <w:rFonts w:hint="eastAsia" w:ascii="Times New Roman" w:hAnsi="Times New Roman" w:eastAsia="宋体" w:cstheme="majorBidi"/>
          <w:b/>
          <w:bCs/>
          <w:snapToGrid w:val="0"/>
          <w:kern w:val="2"/>
          <w:sz w:val="21"/>
          <w:szCs w:val="24"/>
          <w:lang w:val="en-US" w:eastAsia="zh-CN" w:bidi="ar-SA"/>
        </w:rPr>
        <w:t>9. 联系方式</w:t>
      </w:r>
      <w:bookmarkEnd w:id="26"/>
      <w:bookmarkEnd w:id="27"/>
      <w:bookmarkEnd w:id="28"/>
      <w:bookmarkEnd w:id="29"/>
    </w:p>
    <w:p w14:paraId="75EF6984">
      <w:pPr>
        <w:ind w:firstLine="420"/>
      </w:pPr>
    </w:p>
    <w:tbl>
      <w:tblPr>
        <w:tblStyle w:val="6"/>
        <w:tblW w:w="0" w:type="auto"/>
        <w:tblInd w:w="0" w:type="dxa"/>
        <w:tblLayout w:type="fixed"/>
        <w:tblCellMar>
          <w:top w:w="0" w:type="dxa"/>
          <w:left w:w="108" w:type="dxa"/>
          <w:bottom w:w="0" w:type="dxa"/>
          <w:right w:w="108" w:type="dxa"/>
        </w:tblCellMar>
      </w:tblPr>
      <w:tblGrid>
        <w:gridCol w:w="3943"/>
        <w:gridCol w:w="4480"/>
      </w:tblGrid>
      <w:tr w14:paraId="0D9FF077">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DC5E4A4">
            <w:pPr>
              <w:ind w:firstLine="0" w:firstLineChars="0"/>
              <w:jc w:val="left"/>
            </w:pPr>
            <w:r>
              <w:rPr>
                <w:rFonts w:hint="eastAsia"/>
              </w:rPr>
              <w:t>9.1 项目需求咨询</w:t>
            </w:r>
          </w:p>
        </w:tc>
      </w:tr>
      <w:tr w14:paraId="59C4BACD">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476767F">
            <w:pPr>
              <w:ind w:firstLine="0" w:firstLineChars="0"/>
              <w:jc w:val="left"/>
              <w:rPr>
                <w:rFonts w:cs="宋体"/>
                <w:szCs w:val="21"/>
              </w:rPr>
            </w:pPr>
            <w:r>
              <w:rPr>
                <w:rFonts w:hint="eastAsia"/>
              </w:rPr>
              <w:t>项目联系人：杨老师</w:t>
            </w:r>
          </w:p>
        </w:tc>
        <w:tc>
          <w:tcPr>
            <w:tcW w:w="4480" w:type="dxa"/>
            <w:tcBorders>
              <w:top w:val="nil"/>
              <w:left w:val="nil"/>
              <w:bottom w:val="nil"/>
              <w:right w:val="single" w:color="auto" w:sz="4" w:space="0"/>
            </w:tcBorders>
          </w:tcPr>
          <w:p w14:paraId="53C366F9">
            <w:pPr>
              <w:ind w:firstLine="0" w:firstLineChars="0"/>
              <w:jc w:val="left"/>
              <w:rPr>
                <w:rFonts w:cs="宋体"/>
                <w:szCs w:val="21"/>
              </w:rPr>
            </w:pPr>
            <w:r>
              <w:rPr>
                <w:rFonts w:hint="eastAsia"/>
              </w:rPr>
              <w:t>联系方式：0</w:t>
            </w:r>
            <w:r>
              <w:t>23-88890144</w:t>
            </w:r>
          </w:p>
        </w:tc>
      </w:tr>
      <w:tr w14:paraId="1C9E71C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E1EBF8">
            <w:pPr>
              <w:ind w:firstLine="0" w:firstLineChars="0"/>
              <w:jc w:val="left"/>
            </w:pPr>
          </w:p>
        </w:tc>
      </w:tr>
      <w:tr w14:paraId="272E3E0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C168F2">
            <w:pPr>
              <w:ind w:firstLine="0" w:firstLineChars="0"/>
              <w:jc w:val="left"/>
            </w:pPr>
            <w:r>
              <w:rPr>
                <w:rFonts w:hint="eastAsia"/>
              </w:rPr>
              <w:t>9.2 项目流程咨询</w:t>
            </w:r>
          </w:p>
        </w:tc>
      </w:tr>
      <w:tr w14:paraId="097AD90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66E4E8">
            <w:pPr>
              <w:ind w:firstLine="0" w:firstLineChars="0"/>
              <w:jc w:val="left"/>
            </w:pPr>
            <w:r>
              <w:rPr>
                <w:rFonts w:hint="eastAsia"/>
              </w:rPr>
              <w:t>平台服务机构：重庆联合产权交易所集团股份有限公司</w:t>
            </w:r>
          </w:p>
        </w:tc>
      </w:tr>
      <w:tr w14:paraId="66B6DC82">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95A4AB5">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tcPr>
          <w:p w14:paraId="24B8236E">
            <w:pPr>
              <w:ind w:firstLine="0" w:firstLineChars="0"/>
              <w:jc w:val="left"/>
              <w:rPr>
                <w:rFonts w:cs="宋体"/>
                <w:szCs w:val="21"/>
              </w:rPr>
            </w:pPr>
            <w:r>
              <w:rPr>
                <w:rFonts w:hint="eastAsia"/>
              </w:rPr>
              <w:t>联系方式：023-63621694</w:t>
            </w:r>
          </w:p>
        </w:tc>
      </w:tr>
      <w:tr w14:paraId="7BC769B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763000">
            <w:pPr>
              <w:ind w:firstLine="0" w:firstLineChars="0"/>
              <w:jc w:val="left"/>
            </w:pPr>
          </w:p>
        </w:tc>
      </w:tr>
      <w:tr w14:paraId="0D613C8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9028F8">
            <w:pPr>
              <w:ind w:firstLine="0" w:firstLineChars="0"/>
              <w:jc w:val="left"/>
            </w:pPr>
            <w:r>
              <w:rPr>
                <w:rFonts w:hint="eastAsia"/>
              </w:rPr>
              <w:t>9.3 采购人联系方式</w:t>
            </w:r>
          </w:p>
        </w:tc>
      </w:tr>
      <w:tr w14:paraId="479E5D12">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E9D18AE">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01D57278">
            <w:pPr>
              <w:ind w:firstLine="0" w:firstLineChars="0"/>
              <w:jc w:val="left"/>
              <w:rPr>
                <w:rFonts w:cs="宋体"/>
                <w:szCs w:val="21"/>
              </w:rPr>
            </w:pPr>
            <w:r>
              <w:rPr>
                <w:rFonts w:hint="eastAsia"/>
              </w:rPr>
              <w:t>联系方式：023-88890395</w:t>
            </w:r>
          </w:p>
        </w:tc>
      </w:tr>
      <w:tr w14:paraId="30B75CA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F578DBE">
            <w:pPr>
              <w:ind w:firstLine="0" w:firstLineChars="0"/>
              <w:jc w:val="left"/>
            </w:pPr>
            <w:r>
              <w:rPr>
                <w:rFonts w:hint="eastAsia"/>
              </w:rPr>
              <w:t>采购人地址：重庆市渝北区嘉州路88号中渝国际都会4号写字楼21层</w:t>
            </w:r>
          </w:p>
        </w:tc>
      </w:tr>
    </w:tbl>
    <w:p w14:paraId="19D248F7">
      <w:pPr>
        <w:ind w:firstLine="420"/>
      </w:pPr>
    </w:p>
    <w:p w14:paraId="29874668">
      <w:pPr>
        <w:spacing w:line="240" w:lineRule="auto"/>
        <w:ind w:firstLine="0" w:firstLineChars="0"/>
        <w:jc w:val="right"/>
      </w:pPr>
      <w:r>
        <w:rPr>
          <w:rFonts w:hint="eastAsia"/>
        </w:rPr>
        <w:t>重庆三峡银行股份有限公司</w:t>
      </w:r>
    </w:p>
    <w:p w14:paraId="30A4FD8A">
      <w:pPr>
        <w:ind w:firstLine="420"/>
        <w:jc w:val="right"/>
        <w:rPr>
          <w:rFonts w:ascii="Times New Roman" w:hAnsi="Times New Roman" w:eastAsia="宋体" w:cs="等线 Light"/>
          <w:b/>
          <w:snapToGrid w:val="0"/>
          <w:kern w:val="0"/>
          <w:sz w:val="44"/>
          <w:szCs w:val="44"/>
          <w:lang w:val="en-US" w:eastAsia="zh-CN" w:bidi="ar-SA"/>
        </w:rPr>
      </w:pPr>
      <w:r>
        <w:rPr>
          <w:rFonts w:hint="eastAsia"/>
        </w:rPr>
        <w:t>202</w:t>
      </w:r>
      <w:r>
        <w:rPr>
          <w:rFonts w:hint="eastAsia" w:ascii="Times New Roman" w:eastAsia="宋体"/>
          <w:lang w:val="en-US" w:eastAsia="zh-CN"/>
        </w:rPr>
        <w:t>6</w:t>
      </w:r>
      <w:r>
        <w:rPr>
          <w:rFonts w:hint="eastAsia"/>
        </w:rPr>
        <w:t>年</w:t>
      </w:r>
      <w:r>
        <w:rPr>
          <w:rFonts w:hint="eastAsia" w:ascii="Times New Roman" w:eastAsia="宋体"/>
          <w:lang w:val="en-US" w:eastAsia="zh-CN"/>
        </w:rPr>
        <w:t>2</w:t>
      </w:r>
      <w:r>
        <w:rPr>
          <w:rFonts w:hint="eastAsia"/>
        </w:rPr>
        <w:t>月</w:t>
      </w:r>
      <w:r>
        <w:rPr>
          <w:rFonts w:hint="eastAsia" w:ascii="Times New Roman" w:eastAsia="宋体"/>
          <w:lang w:val="en-US" w:eastAsia="zh-CN"/>
        </w:rPr>
        <w:t>3</w:t>
      </w:r>
      <w:r>
        <w:rPr>
          <w:rFonts w:hint="eastAsi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13811"/>
    <w:rsid w:val="09AD738E"/>
    <w:rsid w:val="0AC7217B"/>
    <w:rsid w:val="24A51F50"/>
    <w:rsid w:val="334F6C71"/>
    <w:rsid w:val="39413811"/>
    <w:rsid w:val="39F000DF"/>
    <w:rsid w:val="40993106"/>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4">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5">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customStyle="1" w:styleId="8">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2762</Words>
  <Characters>3154</Characters>
  <Lines>0</Lines>
  <Paragraphs>0</Paragraphs>
  <TotalTime>0</TotalTime>
  <ScaleCrop>false</ScaleCrop>
  <LinksUpToDate>false</LinksUpToDate>
  <CharactersWithSpaces>3228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2026-02-02T07:26:00Z</dcterms:created>
  <dc:creator>交易中心-罗</dc:creator>
  <cp:lastModifiedBy>交易中心-罗</cp:lastModifiedBy>
  <dcterms:modified xsi:type="dcterms:W3CDTF">2026-02-03T07:10:55Z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26AFA647BD674C999F620A64221EC7F5_11</vt:lpwstr>
  </property>
  <property fmtid="{D5CDD505-2E9C-101B-9397-08002B2CF9AE}" pid="4" name="KSOTemplateDocerSaveRecord">
    <vt:lpwstr>eyJoZGlkIjoiYTQ5ZmY1ODA0NTUyNTIzOGU4NGRmM2JhYjg3Y2Q0YjMiLCJ1c2VySWQiOiIxNTcyMDkyNjg5In0=</vt:lpwstr>
  </property>
</Properties>
</file>