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7F627">
      <w:pPr>
        <w:pStyle w:val="3"/>
        <w:rPr>
          <w:rFonts w:hint="eastAsia"/>
          <w:highlight w:val="none"/>
        </w:rPr>
      </w:pPr>
      <w:bookmarkStart w:id="0" w:name="_Toc7421"/>
      <w:bookmarkStart w:id="1" w:name="_Toc9489"/>
      <w:r>
        <w:rPr>
          <w:rFonts w:hint="eastAsia"/>
          <w:highlight w:val="none"/>
        </w:rPr>
        <w:t>重庆三峡银行智能交易风控系统项目</w:t>
      </w:r>
    </w:p>
    <w:p w14:paraId="42A3793F">
      <w:pPr>
        <w:pStyle w:val="3"/>
        <w:rPr>
          <w:highlight w:val="none"/>
        </w:rPr>
      </w:pPr>
      <w:r>
        <w:rPr>
          <w:rFonts w:hint="eastAsia"/>
          <w:highlight w:val="none"/>
        </w:rPr>
        <w:t>询比公告</w:t>
      </w:r>
      <w:bookmarkEnd w:id="0"/>
      <w:bookmarkEnd w:id="1"/>
    </w:p>
    <w:p w14:paraId="1643006B">
      <w:pPr>
        <w:ind w:firstLine="420"/>
        <w:rPr>
          <w:highlight w:val="none"/>
        </w:rPr>
      </w:pPr>
      <w:bookmarkStart w:id="2" w:name="_Toc55379218"/>
      <w:bookmarkStart w:id="3" w:name="_Toc89675127"/>
      <w:r>
        <w:rPr>
          <w:rFonts w:cs="Times New Roman"/>
          <w:highlight w:val="none"/>
        </w:rPr>
        <w:t>为满足本行反欺诈工作更加平台化、模块化、标准化的发展要求，聚焦交易与账户双维安全，</w:t>
      </w:r>
      <w:r>
        <w:rPr>
          <w:rFonts w:hint="eastAsia" w:cs="Times New Roman"/>
          <w:highlight w:val="none"/>
        </w:rPr>
        <w:t>构建覆盖全渠道、全</w:t>
      </w:r>
      <w:r>
        <w:rPr>
          <w:rFonts w:cs="Times New Roman"/>
          <w:highlight w:val="none"/>
        </w:rPr>
        <w:t>场景</w:t>
      </w:r>
      <w:r>
        <w:rPr>
          <w:rFonts w:hint="eastAsia" w:cs="Times New Roman"/>
          <w:highlight w:val="none"/>
        </w:rPr>
        <w:t>的统一欺诈风险监测体系，实现事前、事中、事后全流程风险监测、识别与处理，</w:t>
      </w:r>
      <w:r>
        <w:rPr>
          <w:rFonts w:cs="Times New Roman"/>
          <w:highlight w:val="none"/>
        </w:rPr>
        <w:t>并</w:t>
      </w:r>
      <w:r>
        <w:rPr>
          <w:rFonts w:hint="eastAsia" w:cs="Times New Roman"/>
          <w:highlight w:val="none"/>
        </w:rPr>
        <w:t>形成自动化、智能化、高效率的风险防控体系，</w:t>
      </w:r>
      <w:r>
        <w:rPr>
          <w:rFonts w:cs="Times New Roman"/>
          <w:highlight w:val="none"/>
        </w:rPr>
        <w:t>以进一步保障采购人业务</w:t>
      </w:r>
      <w:r>
        <w:rPr>
          <w:rFonts w:hint="eastAsia" w:cs="Times New Roman"/>
          <w:highlight w:val="none"/>
        </w:rPr>
        <w:t>的稳健运行。</w:t>
      </w:r>
      <w:r>
        <w:rPr>
          <w:rFonts w:hint="eastAsia"/>
          <w:highlight w:val="none"/>
        </w:rPr>
        <w:t>现对</w:t>
      </w:r>
      <w:r>
        <w:rPr>
          <w:rFonts w:hint="eastAsia"/>
          <w:highlight w:val="none"/>
          <w:u w:val="none"/>
        </w:rPr>
        <w:t>重庆三峡银行</w:t>
      </w:r>
      <w:r>
        <w:rPr>
          <w:highlight w:val="none"/>
          <w:u w:val="none"/>
        </w:rPr>
        <w:t>智能交易风控系统</w:t>
      </w:r>
      <w:r>
        <w:rPr>
          <w:rFonts w:hint="eastAsia"/>
          <w:highlight w:val="none"/>
          <w:u w:val="none"/>
        </w:rPr>
        <w:t>项目</w:t>
      </w:r>
      <w:r>
        <w:rPr>
          <w:rFonts w:hint="eastAsia"/>
          <w:highlight w:val="none"/>
        </w:rPr>
        <w:t>进行公开询比，</w:t>
      </w:r>
      <w:r>
        <w:rPr>
          <w:highlight w:val="none"/>
        </w:rPr>
        <w:t>特邀请有</w:t>
      </w:r>
      <w:bookmarkStart w:id="4" w:name="_Hlk59455120"/>
      <w:r>
        <w:rPr>
          <w:highlight w:val="none"/>
        </w:rPr>
        <w:t>意向</w:t>
      </w:r>
      <w:bookmarkEnd w:id="4"/>
      <w:r>
        <w:rPr>
          <w:highlight w:val="none"/>
        </w:rPr>
        <w:t>的潜在</w:t>
      </w:r>
      <w:r>
        <w:rPr>
          <w:rFonts w:hint="eastAsia"/>
          <w:highlight w:val="none"/>
        </w:rPr>
        <w:t>响应人参与响应</w:t>
      </w:r>
      <w:r>
        <w:rPr>
          <w:highlight w:val="none"/>
        </w:rPr>
        <w:t>。</w:t>
      </w:r>
    </w:p>
    <w:p w14:paraId="60180353">
      <w:pPr>
        <w:pStyle w:val="4"/>
        <w:rPr>
          <w:highlight w:val="none"/>
        </w:rPr>
      </w:pPr>
      <w:r>
        <w:rPr>
          <w:rFonts w:hint="eastAsia"/>
          <w:highlight w:val="none"/>
        </w:rPr>
        <w:t>1. 询比项目内容</w:t>
      </w:r>
      <w:bookmarkEnd w:id="2"/>
      <w:bookmarkEnd w:id="3"/>
    </w:p>
    <w:tbl>
      <w:tblPr>
        <w:tblStyle w:val="5"/>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4878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37E585B7">
            <w:pPr>
              <w:pStyle w:val="8"/>
              <w:rPr>
                <w:highlight w:val="none"/>
              </w:rPr>
            </w:pPr>
            <w:r>
              <w:rPr>
                <w:rFonts w:hint="eastAsia"/>
                <w:highlight w:val="none"/>
              </w:rPr>
              <w:t>序号</w:t>
            </w:r>
          </w:p>
        </w:tc>
        <w:tc>
          <w:tcPr>
            <w:tcW w:w="3063" w:type="dxa"/>
            <w:tcBorders>
              <w:top w:val="single" w:color="auto" w:sz="4" w:space="0"/>
              <w:left w:val="single" w:color="auto" w:sz="4" w:space="0"/>
              <w:bottom w:val="single" w:color="auto" w:sz="4" w:space="0"/>
              <w:right w:val="single" w:color="auto" w:sz="4" w:space="0"/>
            </w:tcBorders>
            <w:vAlign w:val="center"/>
          </w:tcPr>
          <w:p w14:paraId="7FD553C4">
            <w:pPr>
              <w:pStyle w:val="8"/>
              <w:rPr>
                <w:highlight w:val="none"/>
              </w:rPr>
            </w:pPr>
            <w:r>
              <w:rPr>
                <w:rFonts w:hint="eastAsia"/>
                <w:highlight w:val="none"/>
              </w:rPr>
              <w:t>项目名称</w:t>
            </w:r>
          </w:p>
        </w:tc>
        <w:tc>
          <w:tcPr>
            <w:tcW w:w="2075" w:type="dxa"/>
            <w:tcBorders>
              <w:top w:val="single" w:color="auto" w:sz="4" w:space="0"/>
              <w:left w:val="single" w:color="auto" w:sz="4" w:space="0"/>
              <w:bottom w:val="single" w:color="auto" w:sz="4" w:space="0"/>
              <w:right w:val="single" w:color="auto" w:sz="4" w:space="0"/>
            </w:tcBorders>
            <w:vAlign w:val="center"/>
          </w:tcPr>
          <w:p w14:paraId="39ABEB08">
            <w:pPr>
              <w:pStyle w:val="8"/>
              <w:rPr>
                <w:highlight w:val="none"/>
              </w:rPr>
            </w:pPr>
            <w:r>
              <w:rPr>
                <w:rFonts w:hint="eastAsia"/>
                <w:highlight w:val="none"/>
              </w:rPr>
              <w:t>最高限价</w:t>
            </w:r>
          </w:p>
        </w:tc>
        <w:tc>
          <w:tcPr>
            <w:tcW w:w="1563" w:type="dxa"/>
            <w:tcBorders>
              <w:top w:val="single" w:color="auto" w:sz="4" w:space="0"/>
              <w:left w:val="single" w:color="auto" w:sz="4" w:space="0"/>
              <w:bottom w:val="single" w:color="auto" w:sz="4" w:space="0"/>
              <w:right w:val="single" w:color="auto" w:sz="4" w:space="0"/>
            </w:tcBorders>
            <w:vAlign w:val="center"/>
          </w:tcPr>
          <w:p w14:paraId="09A8A6A5">
            <w:pPr>
              <w:pStyle w:val="8"/>
              <w:rPr>
                <w:highlight w:val="none"/>
              </w:rPr>
            </w:pPr>
            <w:r>
              <w:rPr>
                <w:rFonts w:hint="eastAsia"/>
                <w:highlight w:val="none"/>
              </w:rPr>
              <w:t>成交供应商</w:t>
            </w:r>
          </w:p>
          <w:p w14:paraId="1709C222">
            <w:pPr>
              <w:pStyle w:val="8"/>
              <w:rPr>
                <w:highlight w:val="none"/>
              </w:rPr>
            </w:pPr>
            <w:r>
              <w:rPr>
                <w:rFonts w:hint="eastAsia"/>
                <w:highlight w:val="none"/>
              </w:rPr>
              <w:t>数量</w:t>
            </w:r>
          </w:p>
        </w:tc>
        <w:tc>
          <w:tcPr>
            <w:tcW w:w="1367" w:type="dxa"/>
            <w:tcBorders>
              <w:top w:val="single" w:color="auto" w:sz="4" w:space="0"/>
              <w:left w:val="single" w:color="auto" w:sz="4" w:space="0"/>
              <w:bottom w:val="single" w:color="auto" w:sz="4" w:space="0"/>
              <w:right w:val="single" w:color="auto" w:sz="4" w:space="0"/>
            </w:tcBorders>
            <w:vAlign w:val="center"/>
          </w:tcPr>
          <w:p w14:paraId="021454B7">
            <w:pPr>
              <w:pStyle w:val="8"/>
              <w:rPr>
                <w:highlight w:val="none"/>
              </w:rPr>
            </w:pPr>
            <w:r>
              <w:rPr>
                <w:rFonts w:hint="eastAsia"/>
                <w:highlight w:val="none"/>
              </w:rPr>
              <w:t>备注</w:t>
            </w:r>
          </w:p>
        </w:tc>
      </w:tr>
      <w:tr w14:paraId="03B1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7119978F">
            <w:pPr>
              <w:pStyle w:val="9"/>
              <w:rPr>
                <w:highlight w:val="none"/>
              </w:rPr>
            </w:pPr>
            <w:r>
              <w:rPr>
                <w:rFonts w:hint="eastAsia"/>
                <w:highlight w:val="none"/>
              </w:rPr>
              <w:t>1</w:t>
            </w:r>
          </w:p>
        </w:tc>
        <w:tc>
          <w:tcPr>
            <w:tcW w:w="3063" w:type="dxa"/>
            <w:tcBorders>
              <w:top w:val="single" w:color="auto" w:sz="4" w:space="0"/>
              <w:left w:val="single" w:color="auto" w:sz="4" w:space="0"/>
              <w:right w:val="single" w:color="auto" w:sz="4" w:space="0"/>
            </w:tcBorders>
            <w:vAlign w:val="center"/>
          </w:tcPr>
          <w:p w14:paraId="38D3C0B7">
            <w:pPr>
              <w:pStyle w:val="9"/>
              <w:rPr>
                <w:highlight w:val="none"/>
              </w:rPr>
            </w:pPr>
            <w:r>
              <w:rPr>
                <w:highlight w:val="none"/>
              </w:rPr>
              <w:t>重庆三峡银行智能交易风控系统项目</w:t>
            </w:r>
          </w:p>
        </w:tc>
        <w:tc>
          <w:tcPr>
            <w:tcW w:w="2075" w:type="dxa"/>
            <w:tcBorders>
              <w:top w:val="single" w:color="auto" w:sz="4" w:space="0"/>
              <w:left w:val="single" w:color="auto" w:sz="4" w:space="0"/>
              <w:right w:val="single" w:color="auto" w:sz="4" w:space="0"/>
            </w:tcBorders>
            <w:vAlign w:val="center"/>
          </w:tcPr>
          <w:p w14:paraId="2AE56C45">
            <w:pPr>
              <w:pStyle w:val="9"/>
              <w:rPr>
                <w:highlight w:val="none"/>
              </w:rPr>
            </w:pPr>
            <w:r>
              <w:rPr>
                <w:highlight w:val="none"/>
              </w:rPr>
              <w:t>360万元</w:t>
            </w:r>
          </w:p>
        </w:tc>
        <w:tc>
          <w:tcPr>
            <w:tcW w:w="1563" w:type="dxa"/>
            <w:tcBorders>
              <w:top w:val="single" w:color="auto" w:sz="4" w:space="0"/>
              <w:left w:val="single" w:color="auto" w:sz="4" w:space="0"/>
              <w:right w:val="single" w:color="auto" w:sz="4" w:space="0"/>
            </w:tcBorders>
            <w:vAlign w:val="center"/>
          </w:tcPr>
          <w:p w14:paraId="147987FB">
            <w:pPr>
              <w:pStyle w:val="9"/>
              <w:rPr>
                <w:highlight w:val="none"/>
              </w:rPr>
            </w:pPr>
            <w:r>
              <w:rPr>
                <w:highlight w:val="none"/>
              </w:rPr>
              <w:t>1</w:t>
            </w:r>
          </w:p>
        </w:tc>
        <w:tc>
          <w:tcPr>
            <w:tcW w:w="1367" w:type="dxa"/>
            <w:tcBorders>
              <w:top w:val="single" w:color="auto" w:sz="4" w:space="0"/>
              <w:left w:val="single" w:color="auto" w:sz="4" w:space="0"/>
              <w:bottom w:val="single" w:color="auto" w:sz="4" w:space="0"/>
              <w:right w:val="single" w:color="auto" w:sz="4" w:space="0"/>
            </w:tcBorders>
            <w:vAlign w:val="center"/>
          </w:tcPr>
          <w:p w14:paraId="6EA1161E">
            <w:pPr>
              <w:pStyle w:val="9"/>
              <w:rPr>
                <w:highlight w:val="none"/>
              </w:rPr>
            </w:pPr>
            <w:r>
              <w:rPr>
                <w:rFonts w:hint="eastAsia"/>
                <w:highlight w:val="none"/>
              </w:rPr>
              <w:t>（含税）</w:t>
            </w:r>
          </w:p>
        </w:tc>
      </w:tr>
    </w:tbl>
    <w:p w14:paraId="2ACF2B31">
      <w:pPr>
        <w:pStyle w:val="4"/>
        <w:rPr>
          <w:highlight w:val="none"/>
        </w:rPr>
      </w:pPr>
      <w:bookmarkStart w:id="5" w:name="_Toc55379219"/>
      <w:bookmarkStart w:id="6" w:name="_Toc297817088"/>
      <w:bookmarkStart w:id="7" w:name="_Toc469574664"/>
      <w:bookmarkStart w:id="8" w:name="_Toc89675128"/>
      <w:bookmarkStart w:id="9" w:name="_Toc288224935"/>
      <w:r>
        <w:rPr>
          <w:rFonts w:hint="eastAsia"/>
          <w:highlight w:val="none"/>
        </w:rPr>
        <w:t>2. 响应人资格要求</w:t>
      </w:r>
      <w:bookmarkEnd w:id="5"/>
      <w:bookmarkEnd w:id="6"/>
      <w:bookmarkEnd w:id="7"/>
      <w:bookmarkEnd w:id="8"/>
      <w:bookmarkEnd w:id="9"/>
    </w:p>
    <w:p w14:paraId="4C50EF2C">
      <w:pPr>
        <w:ind w:firstLine="420"/>
        <w:rPr>
          <w:highlight w:val="none"/>
        </w:rPr>
      </w:pPr>
      <w:bookmarkStart w:id="10" w:name="_Hlk55488870"/>
      <w:r>
        <w:rPr>
          <w:rFonts w:hint="eastAsia"/>
          <w:highlight w:val="none"/>
        </w:rPr>
        <w:t>2.1 具有独立承担民事责任的能力</w:t>
      </w:r>
    </w:p>
    <w:p w14:paraId="6645B60F">
      <w:pPr>
        <w:ind w:firstLine="420"/>
        <w:rPr>
          <w:highlight w:val="none"/>
        </w:rPr>
      </w:pPr>
      <w:r>
        <w:rPr>
          <w:rFonts w:hint="eastAsia"/>
          <w:highlight w:val="none"/>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393A3D9B">
      <w:pPr>
        <w:ind w:firstLine="420"/>
        <w:rPr>
          <w:highlight w:val="none"/>
        </w:rPr>
      </w:pPr>
      <w:r>
        <w:rPr>
          <w:rFonts w:hint="eastAsia"/>
          <w:highlight w:val="none"/>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27C0B5B8">
      <w:pPr>
        <w:ind w:firstLine="420"/>
        <w:rPr>
          <w:highlight w:val="none"/>
        </w:rPr>
      </w:pPr>
      <w:r>
        <w:rPr>
          <w:rFonts w:hint="eastAsia"/>
          <w:highlight w:val="none"/>
        </w:rPr>
        <w:t>2.3 本项目不允许任何形式的转包【提供书面声明】。</w:t>
      </w:r>
    </w:p>
    <w:p w14:paraId="7CA1F3FA">
      <w:pPr>
        <w:ind w:firstLine="420"/>
        <w:rPr>
          <w:highlight w:val="none"/>
        </w:rPr>
      </w:pPr>
      <w:r>
        <w:rPr>
          <w:rFonts w:hint="eastAsia"/>
          <w:highlight w:val="none"/>
        </w:rPr>
        <w:t>2.4 法人及法定代表人没有被人民法院列为失信被执行人名单【提供：1、法人在</w:t>
      </w:r>
      <w:r>
        <w:rPr>
          <w:highlight w:val="none"/>
        </w:rPr>
        <w:t>中国执行信息公开网</w:t>
      </w:r>
      <w:r>
        <w:rPr>
          <w:rFonts w:hint="eastAsia"/>
          <w:highlight w:val="none"/>
        </w:rPr>
        <w:t>（中国执行信息公开网网址：https://zxgk.court.gov.cn/）的查询</w:t>
      </w:r>
      <w:r>
        <w:rPr>
          <w:highlight w:val="none"/>
        </w:rPr>
        <w:t>截图</w:t>
      </w:r>
      <w:r>
        <w:rPr>
          <w:rFonts w:hint="eastAsia"/>
          <w:highlight w:val="none"/>
        </w:rPr>
        <w:t>并加盖单位鲜章；2、法定代表人在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14:paraId="03841000">
      <w:pPr>
        <w:ind w:firstLine="420"/>
        <w:rPr>
          <w:highlight w:val="none"/>
        </w:rPr>
      </w:pPr>
      <w:r>
        <w:rPr>
          <w:rFonts w:hint="eastAsia"/>
          <w:highlight w:val="none"/>
        </w:rPr>
        <w:t>2.5 本次询比不接受联合体响应。</w:t>
      </w:r>
    </w:p>
    <w:p w14:paraId="16544F8A">
      <w:pPr>
        <w:ind w:firstLine="420"/>
        <w:rPr>
          <w:highlight w:val="none"/>
        </w:rPr>
      </w:pPr>
      <w:r>
        <w:rPr>
          <w:rFonts w:hint="eastAsia"/>
          <w:highlight w:val="none"/>
        </w:rPr>
        <w:t>2.6 2022年1月1日至响应截止之日（以合同签订时间为准），具有智能交易风控系统相关实施案例不少于5个，案例的合同内产品名称或建设内容应包含诸如“反诈”、“反欺诈”、“交易反欺诈”、“反电诈”、“反电信诈骗”、“交易实时风控”、“涉赌涉诈”、“分级分类”、“交易风险监测”、“账户分类分级”、“账户风险管理”等关键内容或字样。低于5个案例（不含5个）取消响应资质。（案例中至少1个为国有银行、股份制银行或省级城商行总行实施案例；至少一个为交易反欺诈跟账户分级分类整合建设案列；至少1个为国产化适配实施案例；同一家银行不同分、支行，或同一家银行在此期间的多次实施，均视为1个案例。）</w:t>
      </w:r>
    </w:p>
    <w:p w14:paraId="63A60C50">
      <w:pPr>
        <w:ind w:firstLine="420"/>
        <w:rPr>
          <w:highlight w:val="none"/>
        </w:rPr>
      </w:pPr>
      <w:r>
        <w:rPr>
          <w:rFonts w:hint="eastAsia"/>
          <w:highlight w:val="none"/>
        </w:rPr>
        <w:t>【提供：1、合同关键页（合同关键页包含：甲乙双方名称、双方印章、项目名称、合同签订时间、服务范围。）；2、项目简介（格式自拟）；3、合同对应的发票之一（网上税务系统查询（https://inv-veri.chinatax.gov.cn/）该发票的截图，发票开具日期须晚于合同签订日期、发票购买方须与合同买方一致、发票销售方须与合同卖方（响应人）一致）。4、国产化案例须在合同中体现适配国产数据库、中间件、国产操作系统等内容】</w:t>
      </w:r>
    </w:p>
    <w:p w14:paraId="4FF7B704">
      <w:pPr>
        <w:ind w:firstLine="420"/>
        <w:rPr>
          <w:highlight w:val="none"/>
        </w:rPr>
      </w:pPr>
      <w:r>
        <w:rPr>
          <w:rFonts w:hint="eastAsia"/>
          <w:highlight w:val="none"/>
        </w:rPr>
        <w:t>2.7 响应人须为产品原厂商，具备对产品二次开发及维护能力【提供书面声明】</w:t>
      </w:r>
    </w:p>
    <w:p w14:paraId="7AAFCEC2">
      <w:pPr>
        <w:ind w:firstLine="420"/>
        <w:rPr>
          <w:highlight w:val="none"/>
        </w:rPr>
      </w:pPr>
      <w:r>
        <w:rPr>
          <w:rFonts w:hint="eastAsia"/>
          <w:highlight w:val="none"/>
        </w:rPr>
        <w:t>2.</w:t>
      </w:r>
      <w:r>
        <w:rPr>
          <w:highlight w:val="none"/>
        </w:rPr>
        <w:t>8</w:t>
      </w:r>
      <w:r>
        <w:rPr>
          <w:rFonts w:hint="eastAsia"/>
          <w:highlight w:val="none"/>
        </w:rPr>
        <w:t xml:space="preserve"> 响应人注册成立时间不少于3年，且近3年财务状况稳定【注册成立时间提供营业执照；财务状况提供书面声明】；</w:t>
      </w:r>
    </w:p>
    <w:p w14:paraId="23D9635D">
      <w:pPr>
        <w:ind w:firstLine="420"/>
        <w:rPr>
          <w:b/>
          <w:bCs/>
          <w:highlight w:val="none"/>
        </w:rPr>
      </w:pPr>
      <w:r>
        <w:rPr>
          <w:rFonts w:hint="eastAsia"/>
          <w:highlight w:val="none"/>
        </w:rPr>
        <w:t>2.</w:t>
      </w:r>
      <w:r>
        <w:rPr>
          <w:highlight w:val="none"/>
        </w:rPr>
        <w:t>9</w:t>
      </w:r>
      <w:r>
        <w:rPr>
          <w:rFonts w:hint="eastAsia"/>
          <w:highlight w:val="none"/>
        </w:rPr>
        <w:t xml:space="preserve"> 实施团队要求</w:t>
      </w:r>
    </w:p>
    <w:p w14:paraId="0A876A2A">
      <w:pPr>
        <w:ind w:firstLine="420"/>
        <w:rPr>
          <w:highlight w:val="none"/>
        </w:rPr>
      </w:pPr>
      <w:r>
        <w:rPr>
          <w:rFonts w:hint="eastAsia"/>
          <w:highlight w:val="none"/>
        </w:rPr>
        <w:t>项目实施团队总人数不低于8人，实施团队至少包括项目经理</w:t>
      </w:r>
      <w:r>
        <w:rPr>
          <w:highlight w:val="none"/>
        </w:rPr>
        <w:t>1</w:t>
      </w:r>
      <w:r>
        <w:rPr>
          <w:rFonts w:hint="eastAsia"/>
          <w:highlight w:val="none"/>
        </w:rPr>
        <w:t>名，系统架构师</w:t>
      </w:r>
      <w:r>
        <w:rPr>
          <w:highlight w:val="none"/>
        </w:rPr>
        <w:t>1</w:t>
      </w:r>
      <w:r>
        <w:rPr>
          <w:rFonts w:hint="eastAsia"/>
          <w:highlight w:val="none"/>
        </w:rPr>
        <w:t>名，</w:t>
      </w:r>
      <w:r>
        <w:rPr>
          <w:highlight w:val="none"/>
        </w:rPr>
        <w:t>业务专家2名，</w:t>
      </w:r>
      <w:r>
        <w:rPr>
          <w:rFonts w:hint="eastAsia"/>
          <w:highlight w:val="none"/>
        </w:rPr>
        <w:t>机器学习建模师1名，项目组开发人员</w:t>
      </w:r>
      <w:r>
        <w:rPr>
          <w:highlight w:val="none"/>
        </w:rPr>
        <w:t>2</w:t>
      </w:r>
      <w:r>
        <w:rPr>
          <w:rFonts w:hint="eastAsia"/>
          <w:highlight w:val="none"/>
        </w:rPr>
        <w:t>名，</w:t>
      </w:r>
      <w:r>
        <w:rPr>
          <w:highlight w:val="none"/>
        </w:rPr>
        <w:t>测试人员1名，</w:t>
      </w:r>
      <w:r>
        <w:rPr>
          <w:rFonts w:hint="eastAsia"/>
          <w:highlight w:val="none"/>
        </w:rPr>
        <w:t>上述所有成员均具有</w:t>
      </w:r>
      <w:r>
        <w:rPr>
          <w:highlight w:val="none"/>
        </w:rPr>
        <w:t>3</w:t>
      </w:r>
      <w:r>
        <w:rPr>
          <w:rFonts w:hint="eastAsia"/>
          <w:highlight w:val="none"/>
        </w:rPr>
        <w:t>年（含）以上</w:t>
      </w:r>
      <w:r>
        <w:rPr>
          <w:highlight w:val="none"/>
        </w:rPr>
        <w:t>交易风控类</w:t>
      </w:r>
      <w:r>
        <w:rPr>
          <w:rFonts w:hint="eastAsia"/>
          <w:highlight w:val="none"/>
        </w:rPr>
        <w:t>项目实施经验，其中项目经理、系统架构师</w:t>
      </w:r>
      <w:r>
        <w:rPr>
          <w:highlight w:val="none"/>
        </w:rPr>
        <w:t>、业务专家</w:t>
      </w:r>
      <w:r>
        <w:rPr>
          <w:rFonts w:hint="eastAsia"/>
          <w:highlight w:val="none"/>
        </w:rPr>
        <w:t>分别具有</w:t>
      </w:r>
      <w:r>
        <w:rPr>
          <w:highlight w:val="none"/>
        </w:rPr>
        <w:t>5</w:t>
      </w:r>
      <w:r>
        <w:rPr>
          <w:rFonts w:hint="eastAsia"/>
          <w:highlight w:val="none"/>
        </w:rPr>
        <w:t>年（含）以上项目管理及开发经验</w:t>
      </w:r>
      <w:r>
        <w:rPr>
          <w:highlight w:val="none"/>
        </w:rPr>
        <w:t>、需求分析</w:t>
      </w:r>
      <w:r>
        <w:rPr>
          <w:rFonts w:hint="eastAsia"/>
          <w:highlight w:val="none"/>
        </w:rPr>
        <w:t>或架构管理</w:t>
      </w:r>
      <w:r>
        <w:rPr>
          <w:highlight w:val="none"/>
        </w:rPr>
        <w:t>和业务规则</w:t>
      </w:r>
      <w:r>
        <w:rPr>
          <w:rFonts w:hint="eastAsia"/>
          <w:highlight w:val="none"/>
        </w:rPr>
        <w:t>经验。</w:t>
      </w:r>
    </w:p>
    <w:p w14:paraId="6FE073C4">
      <w:pPr>
        <w:ind w:firstLine="420"/>
        <w:rPr>
          <w:highlight w:val="none"/>
        </w:rPr>
      </w:pPr>
      <w:r>
        <w:rPr>
          <w:rFonts w:hint="eastAsia"/>
          <w:highlight w:val="none"/>
        </w:rPr>
        <w:t>【提供：1、参与本询比项目的拟供项目组成员名单；2、提供名单中项目组成员简历信息。相关工作及项目经历需提供相应的证明材料，证明材料加盖响应人公章。】</w:t>
      </w:r>
    </w:p>
    <w:p w14:paraId="75303A84">
      <w:pPr>
        <w:ind w:firstLine="420"/>
        <w:rPr>
          <w:highlight w:val="none"/>
        </w:rPr>
      </w:pPr>
      <w:r>
        <w:rPr>
          <w:rFonts w:hint="eastAsia"/>
          <w:highlight w:val="none"/>
        </w:rPr>
        <w:t>2.10 响应人资质要求</w:t>
      </w:r>
    </w:p>
    <w:p w14:paraId="2E209EE4">
      <w:pPr>
        <w:ind w:firstLine="420"/>
        <w:rPr>
          <w:highlight w:val="none"/>
        </w:rPr>
      </w:pPr>
      <w:r>
        <w:rPr>
          <w:rFonts w:hint="eastAsia"/>
          <w:highlight w:val="none"/>
        </w:rPr>
        <w:t>响应人须具备软件研发体系CMMI3级及以上认证证书；【提供认证证书】</w:t>
      </w:r>
    </w:p>
    <w:p w14:paraId="49294E10">
      <w:pPr>
        <w:ind w:firstLine="420"/>
        <w:rPr>
          <w:highlight w:val="none"/>
        </w:rPr>
      </w:pPr>
      <w:r>
        <w:rPr>
          <w:rFonts w:hint="eastAsia"/>
          <w:highlight w:val="none"/>
        </w:rPr>
        <w:t>2.11 在交易反欺诈、反电诈及账户分级分类应用场景下需对风控系统进行扩容或搭建新的环境的，提供产品license不得对节点数、cpu或用户数等进行限制或收费。【提供书面声明】</w:t>
      </w:r>
    </w:p>
    <w:p w14:paraId="56365F3C">
      <w:pPr>
        <w:ind w:firstLine="420"/>
        <w:rPr>
          <w:highlight w:val="none"/>
        </w:rPr>
      </w:pPr>
      <w:r>
        <w:rPr>
          <w:rFonts w:hint="eastAsia"/>
          <w:highlight w:val="none"/>
        </w:rPr>
        <w:t>注:以上证明文件若采购人存疑，响应人需提供原件备查，响应文件中须附相关证明文件复印件并逐页加盖公章。</w:t>
      </w:r>
    </w:p>
    <w:p w14:paraId="7F5B597E">
      <w:pPr>
        <w:ind w:firstLine="420"/>
        <w:rPr>
          <w:highlight w:val="none"/>
        </w:rPr>
      </w:pPr>
      <w:r>
        <w:rPr>
          <w:rFonts w:hint="eastAsia"/>
          <w:highlight w:val="none"/>
        </w:rPr>
        <w:t>本次询比不接受曾因响应人的违约行为与采购人发生过纠纷的响应人；</w:t>
      </w:r>
      <w:r>
        <w:rPr>
          <w:highlight w:val="none"/>
        </w:rPr>
        <w:t>不接受</w:t>
      </w:r>
      <w:r>
        <w:rPr>
          <w:rFonts w:hint="eastAsia"/>
          <w:highlight w:val="none"/>
        </w:rPr>
        <w:t>与采购人合作过程中不遵守询比文件及合同约定的响应人；</w:t>
      </w:r>
      <w:r>
        <w:rPr>
          <w:highlight w:val="none"/>
        </w:rPr>
        <w:t>不接受</w:t>
      </w:r>
      <w:r>
        <w:rPr>
          <w:rFonts w:hint="eastAsia"/>
          <w:highlight w:val="none"/>
        </w:rPr>
        <w:t>曾在采购人项目</w:t>
      </w:r>
      <w:r>
        <w:rPr>
          <w:highlight w:val="none"/>
        </w:rPr>
        <w:t>中存在</w:t>
      </w:r>
      <w:r>
        <w:rPr>
          <w:rFonts w:hint="eastAsia"/>
          <w:highlight w:val="none"/>
        </w:rPr>
        <w:t>弄虚作假行为的响应人</w:t>
      </w:r>
      <w:r>
        <w:rPr>
          <w:highlight w:val="none"/>
        </w:rPr>
        <w:t>。若</w:t>
      </w:r>
      <w:r>
        <w:rPr>
          <w:rFonts w:hint="eastAsia"/>
          <w:highlight w:val="none"/>
        </w:rPr>
        <w:t>响应人</w:t>
      </w:r>
      <w:r>
        <w:rPr>
          <w:highlight w:val="none"/>
        </w:rPr>
        <w:t>存在上述情况，</w:t>
      </w:r>
      <w:r>
        <w:rPr>
          <w:rFonts w:hint="eastAsia"/>
          <w:highlight w:val="none"/>
        </w:rPr>
        <w:t>采购人将</w:t>
      </w:r>
      <w:r>
        <w:rPr>
          <w:highlight w:val="none"/>
        </w:rPr>
        <w:t>有权</w:t>
      </w:r>
      <w:r>
        <w:rPr>
          <w:rFonts w:hint="eastAsia"/>
          <w:highlight w:val="none"/>
        </w:rPr>
        <w:t>随时</w:t>
      </w:r>
      <w:r>
        <w:rPr>
          <w:highlight w:val="none"/>
        </w:rPr>
        <w:t>取消其</w:t>
      </w:r>
      <w:r>
        <w:rPr>
          <w:rFonts w:hint="eastAsia"/>
          <w:highlight w:val="none"/>
        </w:rPr>
        <w:t>响应</w:t>
      </w:r>
      <w:r>
        <w:rPr>
          <w:highlight w:val="none"/>
        </w:rPr>
        <w:t>资格或</w:t>
      </w:r>
      <w:r>
        <w:rPr>
          <w:rFonts w:hint="eastAsia"/>
          <w:highlight w:val="none"/>
        </w:rPr>
        <w:t>成交</w:t>
      </w:r>
      <w:r>
        <w:rPr>
          <w:highlight w:val="none"/>
        </w:rPr>
        <w:t>资格（</w:t>
      </w:r>
      <w:r>
        <w:rPr>
          <w:rFonts w:hint="eastAsia"/>
          <w:highlight w:val="none"/>
        </w:rPr>
        <w:t>若</w:t>
      </w:r>
      <w:r>
        <w:rPr>
          <w:highlight w:val="none"/>
        </w:rPr>
        <w:t>签署合同后发现的则有权解除合同）</w:t>
      </w:r>
      <w:r>
        <w:rPr>
          <w:rFonts w:hint="eastAsia"/>
          <w:highlight w:val="none"/>
        </w:rPr>
        <w:t>，没收</w:t>
      </w:r>
      <w:r>
        <w:rPr>
          <w:highlight w:val="none"/>
        </w:rPr>
        <w:t>其</w:t>
      </w:r>
      <w:r>
        <w:rPr>
          <w:rFonts w:hint="eastAsia"/>
          <w:highlight w:val="none"/>
        </w:rPr>
        <w:t>响应保证金</w:t>
      </w:r>
      <w:r>
        <w:rPr>
          <w:highlight w:val="none"/>
        </w:rPr>
        <w:t>，并追究其相应的法律责任。</w:t>
      </w:r>
      <w:r>
        <w:rPr>
          <w:rFonts w:hint="eastAsia"/>
          <w:highlight w:val="none"/>
        </w:rPr>
        <w:t>截至</w:t>
      </w:r>
      <w:r>
        <w:rPr>
          <w:highlight w:val="none"/>
        </w:rPr>
        <w:t>挂网日，</w:t>
      </w:r>
      <w:r>
        <w:rPr>
          <w:rFonts w:hint="eastAsia"/>
          <w:highlight w:val="none"/>
        </w:rPr>
        <w:t>存在</w:t>
      </w:r>
      <w:r>
        <w:rPr>
          <w:highlight w:val="none"/>
        </w:rPr>
        <w:t>上述情况的公司</w:t>
      </w:r>
      <w:r>
        <w:rPr>
          <w:rFonts w:hint="eastAsia"/>
          <w:highlight w:val="none"/>
        </w:rPr>
        <w:t>已纳入</w:t>
      </w:r>
      <w:r>
        <w:rPr>
          <w:highlight w:val="none"/>
        </w:rPr>
        <w:t>下列清单</w:t>
      </w:r>
      <w:r>
        <w:rPr>
          <w:rFonts w:hint="eastAsia"/>
          <w:highlight w:val="none"/>
        </w:rPr>
        <w:t>。</w:t>
      </w:r>
    </w:p>
    <w:tbl>
      <w:tblPr>
        <w:tblStyle w:val="5"/>
        <w:tblW w:w="6459" w:type="dxa"/>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933"/>
      </w:tblGrid>
      <w:tr w14:paraId="5E6F2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7937C0A2">
            <w:pPr>
              <w:pStyle w:val="8"/>
              <w:rPr>
                <w:highlight w:val="none"/>
              </w:rPr>
            </w:pPr>
            <w:r>
              <w:rPr>
                <w:rFonts w:hint="eastAsia"/>
                <w:highlight w:val="none"/>
              </w:rPr>
              <w:t>序号</w:t>
            </w:r>
          </w:p>
        </w:tc>
        <w:tc>
          <w:tcPr>
            <w:tcW w:w="4933" w:type="dxa"/>
          </w:tcPr>
          <w:p w14:paraId="494FD5A2">
            <w:pPr>
              <w:pStyle w:val="8"/>
              <w:rPr>
                <w:highlight w:val="none"/>
              </w:rPr>
            </w:pPr>
            <w:r>
              <w:rPr>
                <w:rFonts w:hint="eastAsia"/>
                <w:highlight w:val="none"/>
              </w:rPr>
              <w:t>公司</w:t>
            </w:r>
          </w:p>
        </w:tc>
      </w:tr>
      <w:tr w14:paraId="24E4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78903C48">
            <w:pPr>
              <w:pStyle w:val="9"/>
              <w:rPr>
                <w:highlight w:val="none"/>
              </w:rPr>
            </w:pPr>
            <w:r>
              <w:rPr>
                <w:rFonts w:hint="eastAsia" w:cs="宋体"/>
                <w:szCs w:val="21"/>
                <w:highlight w:val="none"/>
              </w:rPr>
              <w:t>1</w:t>
            </w:r>
          </w:p>
        </w:tc>
        <w:tc>
          <w:tcPr>
            <w:tcW w:w="4933" w:type="dxa"/>
            <w:tcBorders>
              <w:left w:val="single" w:color="auto" w:sz="4" w:space="0"/>
            </w:tcBorders>
          </w:tcPr>
          <w:p w14:paraId="1601C602">
            <w:pPr>
              <w:pStyle w:val="9"/>
              <w:rPr>
                <w:highlight w:val="none"/>
              </w:rPr>
            </w:pPr>
            <w:r>
              <w:rPr>
                <w:rFonts w:hint="eastAsia" w:cs="宋体"/>
                <w:szCs w:val="21"/>
                <w:highlight w:val="none"/>
              </w:rPr>
              <w:t>依米康软件技术（深圳）有限责任公司</w:t>
            </w:r>
          </w:p>
        </w:tc>
      </w:tr>
    </w:tbl>
    <w:p w14:paraId="089F3AE0">
      <w:pPr>
        <w:ind w:firstLine="420"/>
        <w:rPr>
          <w:highlight w:val="none"/>
        </w:rPr>
      </w:pPr>
    </w:p>
    <w:bookmarkEnd w:id="10"/>
    <w:p w14:paraId="20590C6B">
      <w:pPr>
        <w:pStyle w:val="4"/>
        <w:rPr>
          <w:highlight w:val="none"/>
        </w:rPr>
      </w:pPr>
      <w:bookmarkStart w:id="11" w:name="_Toc55379220"/>
      <w:bookmarkStart w:id="12" w:name="_Toc297817090"/>
      <w:bookmarkStart w:id="13" w:name="_Toc89675130"/>
      <w:bookmarkStart w:id="14" w:name="_Toc469574667"/>
      <w:r>
        <w:rPr>
          <w:rFonts w:hint="eastAsia"/>
          <w:highlight w:val="none"/>
        </w:rPr>
        <w:t>3. 询比文件的获取</w:t>
      </w:r>
      <w:bookmarkEnd w:id="11"/>
    </w:p>
    <w:p w14:paraId="715FADB4">
      <w:pPr>
        <w:ind w:firstLine="420"/>
        <w:rPr>
          <w:highlight w:val="none"/>
        </w:rPr>
      </w:pPr>
      <w:r>
        <w:rPr>
          <w:rFonts w:hint="eastAsia"/>
          <w:highlight w:val="none"/>
        </w:rPr>
        <w:t>3.1 响应截止时间：</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9</w:t>
      </w:r>
      <w:r>
        <w:rPr>
          <w:rFonts w:hint="eastAsia"/>
          <w:highlight w:val="none"/>
        </w:rPr>
        <w:t>月</w:t>
      </w:r>
      <w:r>
        <w:rPr>
          <w:rFonts w:hint="eastAsia"/>
          <w:highlight w:val="none"/>
          <w:u w:val="single"/>
          <w:lang w:val="en-US" w:eastAsia="zh-CN"/>
        </w:rPr>
        <w:t>28</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30</w:t>
      </w:r>
      <w:r>
        <w:rPr>
          <w:rFonts w:hint="eastAsia"/>
          <w:highlight w:val="none"/>
        </w:rPr>
        <w:t>分（北京时间）</w:t>
      </w:r>
    </w:p>
    <w:p w14:paraId="1833B8C9">
      <w:pPr>
        <w:ind w:firstLine="420"/>
        <w:rPr>
          <w:highlight w:val="none"/>
        </w:rPr>
      </w:pPr>
      <w:r>
        <w:rPr>
          <w:rFonts w:hint="eastAsia"/>
          <w:highlight w:val="none"/>
        </w:rPr>
        <w:t>3.2 获取时间和方式：从</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9</w:t>
      </w:r>
      <w:r>
        <w:rPr>
          <w:rFonts w:hint="eastAsia"/>
          <w:highlight w:val="none"/>
        </w:rPr>
        <w:t>月</w:t>
      </w:r>
      <w:r>
        <w:rPr>
          <w:rFonts w:hint="eastAsia"/>
          <w:highlight w:val="none"/>
          <w:u w:val="single"/>
          <w:lang w:val="en-US" w:eastAsia="zh-CN"/>
        </w:rPr>
        <w:t>12</w:t>
      </w:r>
      <w:r>
        <w:rPr>
          <w:rFonts w:hint="eastAsia"/>
          <w:highlight w:val="none"/>
        </w:rPr>
        <w:t>日到响应截止时间，在重庆市公共资源交易网（www.cqggzy.com）下载询比文件。</w:t>
      </w:r>
    </w:p>
    <w:p w14:paraId="24013B7E">
      <w:pPr>
        <w:ind w:firstLine="420"/>
        <w:rPr>
          <w:highlight w:val="none"/>
        </w:rPr>
      </w:pPr>
      <w:r>
        <w:rPr>
          <w:rFonts w:hint="eastAsia"/>
          <w:highlight w:val="none"/>
        </w:rPr>
        <w:t>3.3 响应人在下载询比文件后，应仔细检查询比文件的所有内容，如有残缺或文字表述不清，以及存在错、碰、漏、缺、概念模糊和有可能出现歧义或理解上的偏差的内容等应在</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9</w:t>
      </w:r>
      <w:r>
        <w:rPr>
          <w:rFonts w:hint="eastAsia"/>
          <w:highlight w:val="none"/>
        </w:rPr>
        <w:t>月</w:t>
      </w:r>
      <w:r>
        <w:rPr>
          <w:rFonts w:hint="eastAsia"/>
          <w:highlight w:val="none"/>
          <w:u w:val="single"/>
          <w:lang w:val="en-US" w:eastAsia="zh-CN"/>
        </w:rPr>
        <w:t>15</w:t>
      </w:r>
      <w:r>
        <w:rPr>
          <w:rFonts w:hint="eastAsia"/>
          <w:highlight w:val="none"/>
        </w:rPr>
        <w:t>日</w:t>
      </w:r>
      <w:r>
        <w:rPr>
          <w:rFonts w:hint="eastAsia"/>
          <w:highlight w:val="none"/>
          <w:u w:val="single"/>
          <w:lang w:val="en-US" w:eastAsia="zh-CN"/>
        </w:rPr>
        <w:t>17</w:t>
      </w:r>
      <w:r>
        <w:rPr>
          <w:rFonts w:hint="eastAsia"/>
          <w:highlight w:val="none"/>
        </w:rPr>
        <w:t>时</w:t>
      </w:r>
      <w:r>
        <w:rPr>
          <w:rFonts w:hint="eastAsia"/>
          <w:highlight w:val="none"/>
          <w:u w:val="single"/>
          <w:lang w:val="en-US" w:eastAsia="zh-CN"/>
        </w:rPr>
        <w:t>00</w:t>
      </w:r>
      <w:r>
        <w:rPr>
          <w:rFonts w:hint="eastAsia"/>
          <w:highlight w:val="none"/>
        </w:rPr>
        <w:t>分（北京时间）前自行在重庆市公共资源交易网（http://www.cqggzy.com/）询比公告的“我要提问”栏目匿名提出。响应人未提出，则视为响应人已全面确认询比文件内容。</w:t>
      </w:r>
    </w:p>
    <w:p w14:paraId="7226C93F">
      <w:pPr>
        <w:ind w:firstLine="420"/>
        <w:rPr>
          <w:highlight w:val="none"/>
        </w:rPr>
      </w:pPr>
      <w:r>
        <w:rPr>
          <w:rFonts w:hint="eastAsia"/>
          <w:highlight w:val="none"/>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226BF8B6">
      <w:pPr>
        <w:pStyle w:val="4"/>
        <w:rPr>
          <w:highlight w:val="none"/>
        </w:rPr>
      </w:pPr>
      <w:bookmarkStart w:id="15" w:name="_Toc55379221"/>
      <w:r>
        <w:rPr>
          <w:rFonts w:hint="eastAsia"/>
          <w:highlight w:val="none"/>
        </w:rPr>
        <w:t>4. 响应保证金的递交</w:t>
      </w:r>
      <w:bookmarkEnd w:id="12"/>
      <w:bookmarkEnd w:id="13"/>
      <w:bookmarkEnd w:id="14"/>
      <w:bookmarkEnd w:id="15"/>
    </w:p>
    <w:p w14:paraId="4EB50C73">
      <w:pPr>
        <w:ind w:firstLine="420"/>
        <w:rPr>
          <w:highlight w:val="none"/>
        </w:rPr>
      </w:pPr>
      <w:bookmarkStart w:id="16" w:name="_Toc469574668"/>
      <w:bookmarkStart w:id="17" w:name="_Toc297817091"/>
      <w:bookmarkStart w:id="18" w:name="_Toc89675131"/>
      <w:bookmarkStart w:id="19" w:name="_Toc55379222"/>
      <w:r>
        <w:rPr>
          <w:rFonts w:hint="eastAsia"/>
          <w:highlight w:val="none"/>
        </w:rPr>
        <w:t>4.1 响应保证金的金额：</w:t>
      </w:r>
      <w:r>
        <w:rPr>
          <w:b/>
          <w:bCs/>
          <w:highlight w:val="none"/>
          <w:u w:val="single"/>
        </w:rPr>
        <w:t>70,000</w:t>
      </w:r>
      <w:r>
        <w:rPr>
          <w:rFonts w:hint="eastAsia"/>
          <w:b/>
          <w:bCs/>
          <w:highlight w:val="none"/>
          <w:u w:val="single"/>
        </w:rPr>
        <w:t>元整（大写：</w:t>
      </w:r>
      <w:r>
        <w:rPr>
          <w:b/>
          <w:bCs/>
          <w:highlight w:val="none"/>
          <w:u w:val="single"/>
        </w:rPr>
        <w:t>柒万元整</w:t>
      </w:r>
      <w:r>
        <w:rPr>
          <w:rFonts w:hint="eastAsia"/>
          <w:b/>
          <w:bCs/>
          <w:highlight w:val="none"/>
          <w:u w:val="single"/>
        </w:rPr>
        <w:t>）</w:t>
      </w:r>
      <w:r>
        <w:rPr>
          <w:rFonts w:hint="eastAsia"/>
          <w:highlight w:val="none"/>
        </w:rPr>
        <w:t>。</w:t>
      </w:r>
    </w:p>
    <w:p w14:paraId="0C1AACC7">
      <w:pPr>
        <w:ind w:firstLine="420"/>
        <w:rPr>
          <w:highlight w:val="none"/>
        </w:rPr>
      </w:pPr>
      <w:r>
        <w:rPr>
          <w:rFonts w:hint="eastAsia"/>
          <w:highlight w:val="none"/>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711AFF17">
      <w:pPr>
        <w:ind w:firstLine="422"/>
        <w:rPr>
          <w:b/>
          <w:bCs/>
          <w:highlight w:val="none"/>
        </w:rPr>
      </w:pPr>
      <w:r>
        <w:rPr>
          <w:rFonts w:hint="eastAsia"/>
          <w:b/>
          <w:bCs/>
          <w:highlight w:val="none"/>
        </w:rPr>
        <w:t>响应人可在付款凭证备注栏中注明项目简称。可简写成：</w:t>
      </w:r>
      <w:r>
        <w:rPr>
          <w:b/>
          <w:bCs/>
          <w:highlight w:val="none"/>
          <w:u w:val="single"/>
        </w:rPr>
        <w:t>三峡银行交易风控</w:t>
      </w:r>
      <w:r>
        <w:rPr>
          <w:rFonts w:hint="eastAsia"/>
          <w:b/>
          <w:bCs/>
          <w:highlight w:val="none"/>
          <w:u w:val="single"/>
        </w:rPr>
        <w:t>项目</w:t>
      </w:r>
      <w:r>
        <w:rPr>
          <w:rFonts w:hint="eastAsia"/>
          <w:b/>
          <w:bCs/>
          <w:highlight w:val="none"/>
        </w:rPr>
        <w:t>。</w:t>
      </w:r>
    </w:p>
    <w:p w14:paraId="7138592A">
      <w:pPr>
        <w:ind w:firstLine="420"/>
        <w:rPr>
          <w:highlight w:val="none"/>
        </w:rPr>
      </w:pPr>
      <w:r>
        <w:rPr>
          <w:rFonts w:hint="eastAsia"/>
          <w:highlight w:val="none"/>
        </w:rPr>
        <w:t>4.3 响应保证金递交的截止时间同响应截止时间。响应保证金以重庆市公共资源交易中心询比现场展示的保证金交纳情况为准。</w:t>
      </w:r>
    </w:p>
    <w:p w14:paraId="555AB966">
      <w:pPr>
        <w:ind w:firstLine="420"/>
        <w:rPr>
          <w:highlight w:val="none"/>
        </w:rPr>
      </w:pPr>
      <w:r>
        <w:rPr>
          <w:rFonts w:hint="eastAsia"/>
          <w:highlight w:val="none"/>
        </w:rPr>
        <w:t>4.</w:t>
      </w:r>
      <w:r>
        <w:rPr>
          <w:highlight w:val="none"/>
        </w:rPr>
        <w:t>4</w:t>
      </w:r>
      <w:r>
        <w:rPr>
          <w:rFonts w:hint="eastAsia"/>
          <w:highlight w:val="none"/>
        </w:rPr>
        <w:t xml:space="preserve"> 响应保证金专用账户如下：</w:t>
      </w:r>
    </w:p>
    <w:p w14:paraId="3E39FC38">
      <w:pPr>
        <w:ind w:firstLine="420"/>
        <w:rPr>
          <w:highlight w:val="none"/>
        </w:rPr>
      </w:pPr>
      <w:r>
        <w:rPr>
          <w:rFonts w:hint="eastAsia"/>
          <w:highlight w:val="none"/>
        </w:rPr>
        <w:t>详见重庆市公共资源交易网（www.cqggzy.com）对应本项目询比公告信息栏中的保证金信息。</w:t>
      </w:r>
    </w:p>
    <w:p w14:paraId="34D50C61">
      <w:pPr>
        <w:pStyle w:val="4"/>
        <w:rPr>
          <w:highlight w:val="none"/>
        </w:rPr>
      </w:pPr>
      <w:r>
        <w:rPr>
          <w:rFonts w:hint="eastAsia"/>
          <w:highlight w:val="none"/>
        </w:rPr>
        <w:t>5. 市场主体信息登记</w:t>
      </w:r>
    </w:p>
    <w:p w14:paraId="0F46775D">
      <w:pPr>
        <w:ind w:firstLine="420"/>
        <w:rPr>
          <w:highlight w:val="none"/>
        </w:rPr>
      </w:pPr>
      <w:r>
        <w:rPr>
          <w:rFonts w:hint="eastAsia"/>
          <w:highlight w:val="none"/>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6"/>
    <w:bookmarkEnd w:id="17"/>
    <w:bookmarkEnd w:id="18"/>
    <w:bookmarkEnd w:id="19"/>
    <w:p w14:paraId="05FA67C7">
      <w:pPr>
        <w:pStyle w:val="4"/>
        <w:rPr>
          <w:highlight w:val="none"/>
        </w:rPr>
      </w:pPr>
      <w:r>
        <w:rPr>
          <w:rFonts w:hint="eastAsia"/>
          <w:highlight w:val="none"/>
        </w:rPr>
        <w:t>6. 响应文件的递交</w:t>
      </w:r>
    </w:p>
    <w:p w14:paraId="399B8B23">
      <w:pPr>
        <w:ind w:firstLine="420"/>
        <w:rPr>
          <w:highlight w:val="none"/>
        </w:rPr>
      </w:pPr>
      <w:bookmarkStart w:id="20" w:name="_Toc89675132"/>
      <w:bookmarkStart w:id="21" w:name="_Toc469574669"/>
      <w:bookmarkStart w:id="22" w:name="_Toc55379223"/>
      <w:r>
        <w:rPr>
          <w:rFonts w:hint="eastAsia"/>
          <w:highlight w:val="none"/>
        </w:rPr>
        <w:t>6.1 响应文件现场递交时间为</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9</w:t>
      </w:r>
      <w:r>
        <w:rPr>
          <w:rFonts w:hint="eastAsia"/>
          <w:highlight w:val="none"/>
        </w:rPr>
        <w:t>月</w:t>
      </w:r>
      <w:r>
        <w:rPr>
          <w:rFonts w:hint="eastAsia"/>
          <w:highlight w:val="none"/>
          <w:u w:val="single"/>
          <w:lang w:val="en-US" w:eastAsia="zh-CN"/>
        </w:rPr>
        <w:t>28</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0</w:t>
      </w:r>
      <w:bookmarkStart w:id="27" w:name="_GoBack"/>
      <w:bookmarkEnd w:id="27"/>
      <w:r>
        <w:rPr>
          <w:rFonts w:hint="eastAsia"/>
          <w:highlight w:val="none"/>
          <w:u w:val="single"/>
          <w:lang w:val="en-US" w:eastAsia="zh-CN"/>
        </w:rPr>
        <w:t>0</w:t>
      </w:r>
      <w:r>
        <w:rPr>
          <w:rFonts w:hint="eastAsia"/>
          <w:highlight w:val="none"/>
        </w:rPr>
        <w:t>分(北京时间)至响应截止时间。</w:t>
      </w:r>
    </w:p>
    <w:p w14:paraId="427C7FD0">
      <w:pPr>
        <w:ind w:firstLine="420"/>
        <w:rPr>
          <w:highlight w:val="none"/>
        </w:rPr>
      </w:pPr>
      <w:r>
        <w:rPr>
          <w:rFonts w:hint="eastAsia"/>
          <w:highlight w:val="none"/>
        </w:rPr>
        <w:t>6.2 递交地点为重庆市渝北区青枫北路6号渝兴广场B10栋重庆市公共资源交易中心开标区（具体请登录重庆市公共资源交易网（www.cqggzy.com）查询或递交文件当日见交易中心大厅电子显示屏）。</w:t>
      </w:r>
    </w:p>
    <w:p w14:paraId="48E8C451">
      <w:pPr>
        <w:ind w:firstLine="420"/>
        <w:rPr>
          <w:highlight w:val="none"/>
        </w:rPr>
      </w:pPr>
      <w:r>
        <w:rPr>
          <w:rFonts w:hint="eastAsia"/>
          <w:highlight w:val="none"/>
        </w:rPr>
        <w:t>6.3 逾期送达的响应文件，不予接收。</w:t>
      </w:r>
    </w:p>
    <w:p w14:paraId="740170E6">
      <w:pPr>
        <w:pStyle w:val="4"/>
        <w:rPr>
          <w:highlight w:val="none"/>
        </w:rPr>
      </w:pPr>
      <w:r>
        <w:rPr>
          <w:rFonts w:hint="eastAsia"/>
          <w:highlight w:val="none"/>
        </w:rPr>
        <w:t>7. 发布公告的媒介</w:t>
      </w:r>
      <w:bookmarkEnd w:id="20"/>
      <w:bookmarkEnd w:id="21"/>
      <w:bookmarkEnd w:id="22"/>
    </w:p>
    <w:p w14:paraId="10E8F1CA">
      <w:pPr>
        <w:ind w:firstLine="420"/>
        <w:rPr>
          <w:highlight w:val="none"/>
        </w:rPr>
      </w:pPr>
      <w:bookmarkStart w:id="23" w:name="_Toc89675133"/>
      <w:bookmarkStart w:id="24" w:name="_Toc250565211"/>
      <w:bookmarkStart w:id="25" w:name="_Toc469574670"/>
      <w:bookmarkStart w:id="26" w:name="_Toc55379224"/>
      <w:r>
        <w:rPr>
          <w:rFonts w:hint="eastAsia"/>
          <w:highlight w:val="none"/>
        </w:rPr>
        <w:t>本次询比公告同时在《重庆市公共资源交易网（www.cqggzy.com）》《重庆三峡银行官网（https://www.ccqtgb.com）》和《中国招标投标公共服务平台（http://www.cebpubservice.com）》上发布。</w:t>
      </w:r>
    </w:p>
    <w:p w14:paraId="43327655">
      <w:pPr>
        <w:pStyle w:val="4"/>
        <w:rPr>
          <w:highlight w:val="none"/>
        </w:rPr>
      </w:pPr>
      <w:r>
        <w:rPr>
          <w:rFonts w:hint="eastAsia"/>
          <w:highlight w:val="none"/>
        </w:rPr>
        <w:t>8. 联系方式</w:t>
      </w:r>
      <w:bookmarkEnd w:id="23"/>
      <w:bookmarkEnd w:id="24"/>
      <w:bookmarkEnd w:id="25"/>
      <w:bookmarkEnd w:id="26"/>
    </w:p>
    <w:p w14:paraId="048FE619">
      <w:pPr>
        <w:ind w:firstLine="420"/>
        <w:rPr>
          <w:highlight w:val="none"/>
        </w:rPr>
      </w:pPr>
    </w:p>
    <w:tbl>
      <w:tblPr>
        <w:tblStyle w:val="5"/>
        <w:tblW w:w="8423" w:type="dxa"/>
        <w:tblInd w:w="0" w:type="dxa"/>
        <w:tblLayout w:type="fixed"/>
        <w:tblCellMar>
          <w:top w:w="0" w:type="dxa"/>
          <w:left w:w="108" w:type="dxa"/>
          <w:bottom w:w="0" w:type="dxa"/>
          <w:right w:w="108" w:type="dxa"/>
        </w:tblCellMar>
      </w:tblPr>
      <w:tblGrid>
        <w:gridCol w:w="3943"/>
        <w:gridCol w:w="4480"/>
      </w:tblGrid>
      <w:tr w14:paraId="2CE92EF4">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4E274EF7">
            <w:pPr>
              <w:ind w:firstLine="0" w:firstLineChars="0"/>
              <w:jc w:val="left"/>
              <w:rPr>
                <w:highlight w:val="none"/>
              </w:rPr>
            </w:pPr>
            <w:r>
              <w:rPr>
                <w:rFonts w:hint="eastAsia"/>
                <w:highlight w:val="none"/>
              </w:rPr>
              <w:t>8.1 项目需求咨询</w:t>
            </w:r>
          </w:p>
        </w:tc>
      </w:tr>
      <w:tr w14:paraId="692348B9">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26AA0C8A">
            <w:pPr>
              <w:ind w:firstLine="0" w:firstLineChars="0"/>
              <w:jc w:val="left"/>
              <w:rPr>
                <w:rFonts w:cs="宋体"/>
                <w:szCs w:val="21"/>
                <w:highlight w:val="none"/>
              </w:rPr>
            </w:pPr>
            <w:r>
              <w:rPr>
                <w:rFonts w:hint="eastAsia"/>
                <w:highlight w:val="none"/>
              </w:rPr>
              <w:t>项目联系人：</w:t>
            </w:r>
            <w:r>
              <w:rPr>
                <w:highlight w:val="none"/>
              </w:rPr>
              <w:t>杨老师、崔老师</w:t>
            </w:r>
          </w:p>
        </w:tc>
        <w:tc>
          <w:tcPr>
            <w:tcW w:w="4480" w:type="dxa"/>
            <w:tcBorders>
              <w:top w:val="nil"/>
              <w:left w:val="nil"/>
              <w:bottom w:val="nil"/>
              <w:right w:val="single" w:color="auto" w:sz="4" w:space="0"/>
            </w:tcBorders>
          </w:tcPr>
          <w:p w14:paraId="68179203">
            <w:pPr>
              <w:ind w:firstLine="0" w:firstLineChars="0"/>
              <w:jc w:val="left"/>
              <w:rPr>
                <w:rFonts w:cs="宋体"/>
                <w:szCs w:val="21"/>
                <w:highlight w:val="none"/>
              </w:rPr>
            </w:pPr>
            <w:r>
              <w:rPr>
                <w:rFonts w:hint="eastAsia"/>
                <w:highlight w:val="none"/>
              </w:rPr>
              <w:t>联系方式：</w:t>
            </w:r>
            <w:r>
              <w:rPr>
                <w:highlight w:val="none"/>
              </w:rPr>
              <w:t>15736005977、17723046733</w:t>
            </w:r>
          </w:p>
        </w:tc>
      </w:tr>
      <w:tr w14:paraId="3B3143AD">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9FA4267">
            <w:pPr>
              <w:ind w:firstLine="0" w:firstLineChars="0"/>
              <w:jc w:val="left"/>
              <w:rPr>
                <w:highlight w:val="none"/>
              </w:rPr>
            </w:pPr>
          </w:p>
        </w:tc>
      </w:tr>
      <w:tr w14:paraId="43ABED6B">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BAF57D8">
            <w:pPr>
              <w:ind w:firstLine="0" w:firstLineChars="0"/>
              <w:jc w:val="left"/>
              <w:rPr>
                <w:highlight w:val="none"/>
              </w:rPr>
            </w:pPr>
            <w:r>
              <w:rPr>
                <w:rFonts w:hint="eastAsia"/>
                <w:highlight w:val="none"/>
              </w:rPr>
              <w:t>8.2 项目流程咨询</w:t>
            </w:r>
          </w:p>
        </w:tc>
      </w:tr>
      <w:tr w14:paraId="012B0541">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F90CFBD">
            <w:pPr>
              <w:ind w:firstLine="0" w:firstLineChars="0"/>
              <w:jc w:val="left"/>
              <w:rPr>
                <w:highlight w:val="none"/>
              </w:rPr>
            </w:pPr>
            <w:r>
              <w:rPr>
                <w:rFonts w:hint="eastAsia"/>
                <w:highlight w:val="none"/>
              </w:rPr>
              <w:t>平台服务机构：重庆联合产权交易所集团股份有限公司</w:t>
            </w:r>
          </w:p>
        </w:tc>
      </w:tr>
      <w:tr w14:paraId="701C6999">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29FC85C9">
            <w:pPr>
              <w:ind w:firstLine="0" w:firstLineChars="0"/>
              <w:jc w:val="left"/>
              <w:rPr>
                <w:rFonts w:cs="宋体"/>
                <w:szCs w:val="21"/>
                <w:highlight w:val="none"/>
              </w:rPr>
            </w:pPr>
            <w:r>
              <w:rPr>
                <w:rFonts w:hint="eastAsia"/>
                <w:highlight w:val="none"/>
              </w:rPr>
              <w:t>平台联系人：邵</w:t>
            </w:r>
            <w:r>
              <w:rPr>
                <w:highlight w:val="none"/>
              </w:rPr>
              <w:t>老师</w:t>
            </w:r>
          </w:p>
        </w:tc>
        <w:tc>
          <w:tcPr>
            <w:tcW w:w="4480" w:type="dxa"/>
            <w:tcBorders>
              <w:top w:val="nil"/>
              <w:left w:val="nil"/>
              <w:bottom w:val="nil"/>
              <w:right w:val="single" w:color="auto" w:sz="4" w:space="0"/>
            </w:tcBorders>
          </w:tcPr>
          <w:p w14:paraId="737AD746">
            <w:pPr>
              <w:ind w:firstLine="0" w:firstLineChars="0"/>
              <w:jc w:val="left"/>
              <w:rPr>
                <w:rFonts w:cs="宋体"/>
                <w:szCs w:val="21"/>
                <w:highlight w:val="none"/>
              </w:rPr>
            </w:pPr>
            <w:r>
              <w:rPr>
                <w:rFonts w:hint="eastAsia"/>
                <w:highlight w:val="none"/>
              </w:rPr>
              <w:t>联系方式：023-63627002</w:t>
            </w:r>
          </w:p>
        </w:tc>
      </w:tr>
      <w:tr w14:paraId="27CE6A5A">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433271A">
            <w:pPr>
              <w:ind w:firstLine="0" w:firstLineChars="0"/>
              <w:jc w:val="left"/>
              <w:rPr>
                <w:highlight w:val="none"/>
              </w:rPr>
            </w:pPr>
          </w:p>
        </w:tc>
      </w:tr>
      <w:tr w14:paraId="525733B6">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658DBC7">
            <w:pPr>
              <w:ind w:firstLine="0" w:firstLineChars="0"/>
              <w:jc w:val="left"/>
              <w:rPr>
                <w:highlight w:val="none"/>
              </w:rPr>
            </w:pPr>
            <w:r>
              <w:rPr>
                <w:rFonts w:hint="eastAsia"/>
                <w:highlight w:val="none"/>
              </w:rPr>
              <w:t>8.3 采购人联系方式</w:t>
            </w:r>
          </w:p>
        </w:tc>
      </w:tr>
      <w:tr w14:paraId="6F0895A0">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47D8C4C4">
            <w:pPr>
              <w:ind w:firstLine="0" w:firstLineChars="0"/>
              <w:jc w:val="left"/>
              <w:rPr>
                <w:rFonts w:cs="宋体"/>
                <w:szCs w:val="21"/>
                <w:highlight w:val="none"/>
              </w:rPr>
            </w:pPr>
            <w:r>
              <w:rPr>
                <w:rFonts w:hint="eastAsia"/>
                <w:highlight w:val="none"/>
              </w:rPr>
              <w:t>联系人：敬老师</w:t>
            </w:r>
          </w:p>
        </w:tc>
        <w:tc>
          <w:tcPr>
            <w:tcW w:w="4480" w:type="dxa"/>
            <w:tcBorders>
              <w:top w:val="nil"/>
              <w:left w:val="nil"/>
              <w:bottom w:val="nil"/>
              <w:right w:val="single" w:color="auto" w:sz="4" w:space="0"/>
            </w:tcBorders>
          </w:tcPr>
          <w:p w14:paraId="27F0B6A7">
            <w:pPr>
              <w:ind w:firstLine="0" w:firstLineChars="0"/>
              <w:jc w:val="left"/>
              <w:rPr>
                <w:rFonts w:cs="宋体"/>
                <w:szCs w:val="21"/>
                <w:highlight w:val="none"/>
              </w:rPr>
            </w:pPr>
            <w:r>
              <w:rPr>
                <w:rFonts w:hint="eastAsia"/>
                <w:highlight w:val="none"/>
              </w:rPr>
              <w:t>联系方式：023-88890395</w:t>
            </w:r>
          </w:p>
        </w:tc>
      </w:tr>
      <w:tr w14:paraId="3DEA67AC">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2B999B5A">
            <w:pPr>
              <w:ind w:firstLine="0" w:firstLineChars="0"/>
              <w:jc w:val="left"/>
              <w:rPr>
                <w:highlight w:val="none"/>
              </w:rPr>
            </w:pPr>
            <w:r>
              <w:rPr>
                <w:rFonts w:hint="eastAsia"/>
                <w:highlight w:val="none"/>
              </w:rPr>
              <w:t>采购人地址：重庆市渝北区嘉州路88号中渝国际都会4号写字楼21层</w:t>
            </w:r>
          </w:p>
        </w:tc>
      </w:tr>
    </w:tbl>
    <w:p w14:paraId="5BA78166">
      <w:pPr>
        <w:ind w:firstLine="420"/>
        <w:rPr>
          <w:highlight w:val="none"/>
        </w:rPr>
      </w:pPr>
    </w:p>
    <w:p w14:paraId="6B0E46D5">
      <w:pPr>
        <w:pStyle w:val="2"/>
        <w:rPr>
          <w:rFonts w:hint="default" w:eastAsia="宋体"/>
          <w:lang w:val="en-US" w:eastAsia="zh-CN"/>
        </w:rPr>
      </w:pPr>
      <w:r>
        <w:rPr>
          <w:rFonts w:hint="eastAsia"/>
          <w:highlight w:val="none"/>
          <w:lang w:val="en-US" w:eastAsia="zh-CN"/>
        </w:rPr>
        <w:t>附件：</w:t>
      </w:r>
      <w:r>
        <w:rPr>
          <w:highlight w:val="none"/>
        </w:rPr>
        <w:t>重庆三峡银行智能交易风控系统项目</w:t>
      </w:r>
      <w:r>
        <w:rPr>
          <w:rFonts w:hint="eastAsia"/>
          <w:highlight w:val="none"/>
          <w:lang w:val="en-US" w:eastAsia="zh-CN"/>
        </w:rPr>
        <w:t>询比文件</w:t>
      </w:r>
    </w:p>
    <w:p w14:paraId="33505327">
      <w:pPr>
        <w:spacing w:line="240" w:lineRule="auto"/>
        <w:ind w:firstLine="0" w:firstLineChars="0"/>
        <w:jc w:val="right"/>
        <w:rPr>
          <w:highlight w:val="none"/>
        </w:rPr>
      </w:pPr>
      <w:r>
        <w:rPr>
          <w:rFonts w:hint="eastAsia"/>
          <w:highlight w:val="none"/>
        </w:rPr>
        <w:t>重庆三峡银行股份有限公司</w:t>
      </w:r>
    </w:p>
    <w:p w14:paraId="7BF0D7C4">
      <w:pPr>
        <w:ind w:firstLine="420"/>
        <w:jc w:val="right"/>
        <w:rPr>
          <w:highlight w:val="none"/>
        </w:rPr>
      </w:pP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9</w:t>
      </w:r>
      <w:r>
        <w:rPr>
          <w:rFonts w:hint="eastAsia"/>
          <w:highlight w:val="none"/>
        </w:rPr>
        <w:t>月</w:t>
      </w:r>
      <w:r>
        <w:rPr>
          <w:rFonts w:hint="eastAsia"/>
          <w:highlight w:val="none"/>
          <w:lang w:val="en-US" w:eastAsia="zh-CN"/>
        </w:rPr>
        <w:t>12</w:t>
      </w:r>
      <w:r>
        <w:rPr>
          <w:rFonts w:hint="eastAsia"/>
          <w:highlight w:val="none"/>
        </w:rPr>
        <w:t>日</w:t>
      </w:r>
    </w:p>
    <w:p w14:paraId="4FFEE620">
      <w:pPr>
        <w:rPr>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20"/>
      </w:pPr>
      <w:r>
        <w:separator/>
      </w:r>
    </w:p>
  </w:footnote>
  <w:footnote w:type="continuationSeparator" w:id="1">
    <w:p>
      <w:pPr>
        <w:spacing w:before="0" w:after="0"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E4FE3"/>
    <w:rsid w:val="4BBB3B0C"/>
    <w:rsid w:val="68BF55AE"/>
    <w:rsid w:val="6B6E4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after="160" w:line="360" w:lineRule="auto"/>
      <w:ind w:firstLine="200" w:firstLineChars="200"/>
      <w:jc w:val="both"/>
    </w:pPr>
    <w:rPr>
      <w:rFonts w:ascii="Times New Roman" w:hAnsi="Times New Roman" w:eastAsia="宋体" w:cs="Cambria Math"/>
      <w:kern w:val="2"/>
      <w:sz w:val="21"/>
      <w:lang w:val="en-US" w:eastAsia="zh-CN" w:bidi="ar-SA"/>
    </w:rPr>
  </w:style>
  <w:style w:type="paragraph" w:styleId="3">
    <w:name w:val="heading 1"/>
    <w:basedOn w:val="1"/>
    <w:next w:val="1"/>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4">
    <w:name w:val="heading 2"/>
    <w:basedOn w:val="1"/>
    <w:next w:val="1"/>
    <w:link w:val="7"/>
    <w:semiHidden/>
    <w:unhideWhenUsed/>
    <w:qFormat/>
    <w:uiPriority w:val="0"/>
    <w:pPr>
      <w:keepNext/>
      <w:keepLines/>
      <w:spacing w:before="50" w:beforeLines="50" w:line="360" w:lineRule="auto"/>
      <w:outlineLvl w:val="1"/>
    </w:pPr>
    <w:rPr>
      <w:rFonts w:ascii="Arial" w:hAnsi="Arial" w:eastAsia="黑体" w:cs="Arial"/>
      <w:b/>
      <w:snapToGrid w:val="0"/>
      <w:color w:val="000000"/>
      <w:sz w:val="30"/>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character" w:customStyle="1" w:styleId="7">
    <w:name w:val="标题 2 Char"/>
    <w:link w:val="4"/>
    <w:qFormat/>
    <w:uiPriority w:val="9"/>
    <w:rPr>
      <w:rFonts w:ascii="Arial" w:hAnsi="Arial" w:eastAsia="黑体" w:cs="Arial"/>
      <w:b/>
      <w:snapToGrid w:val="0"/>
      <w:color w:val="000000"/>
      <w:sz w:val="30"/>
      <w:szCs w:val="20"/>
    </w:rPr>
  </w:style>
  <w:style w:type="paragraph" w:customStyle="1" w:styleId="8">
    <w:name w:val="表格（标题）"/>
    <w:basedOn w:val="1"/>
    <w:qFormat/>
    <w:uiPriority w:val="0"/>
    <w:pPr>
      <w:spacing w:line="240" w:lineRule="auto"/>
      <w:ind w:firstLine="0" w:firstLineChars="0"/>
      <w:jc w:val="center"/>
    </w:pPr>
    <w:rPr>
      <w:b/>
      <w:bCs/>
      <w:szCs w:val="18"/>
    </w:rPr>
  </w:style>
  <w:style w:type="paragraph" w:customStyle="1" w:styleId="9">
    <w:name w:val="表格"/>
    <w:basedOn w:val="1"/>
    <w:qFormat/>
    <w:uiPriority w:val="0"/>
    <w:pPr>
      <w:spacing w:line="240" w:lineRule="auto"/>
      <w:ind w:firstLine="0" w:firstLineChars="0"/>
    </w:pPr>
    <w:rPr>
      <w:bCs/>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2911</Words>
  <Characters>3301</Characters>
  <Lines>0</Lines>
  <Paragraphs>0</Paragraphs>
  <TotalTime>1</TotalTime>
  <ScaleCrop>false</ScaleCrop>
  <LinksUpToDate>false</LinksUpToDate>
  <CharactersWithSpaces>3397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2025-09-09T07:02:00Z</dcterms:created>
  <dc:creator>交易中心-邵</dc:creator>
  <cp:lastModifiedBy>杜玲_企采</cp:lastModifiedBy>
  <dcterms:modified xsi:type="dcterms:W3CDTF">2025-09-12T08:10:01Z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eyJoZGlkIjoiMjE4MmQxZjA1Y2YxYjcxZTkzZjljNGM2ODFmNzIxYzciLCJ1c2VySWQiOiIxNTcyMDkyNzExIn0=</vt:lpwstr>
  </property>
  <property fmtid="{D5CDD505-2E9C-101B-9397-08002B2CF9AE}" pid="4" name="ICV">
    <vt:lpwstr>134BA94E075E40DD883955449EF2A6F2_12</vt:lpwstr>
  </property>
</Properties>
</file>