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13D82">
      <w:pPr>
        <w:widowControl w:val="0"/>
        <w:tabs>
          <w:tab w:val="left" w:pos="3360"/>
        </w:tabs>
        <w:autoSpaceDE w:val="0"/>
        <w:autoSpaceDN w:val="0"/>
        <w:snapToGrid w:val="0"/>
        <w:spacing w:line="600" w:lineRule="exact"/>
        <w:ind w:firstLine="0" w:firstLineChars="0"/>
        <w:jc w:val="center"/>
        <w:outlineLvl w:val="0"/>
        <w:rPr>
          <w:rFonts w:hint="eastAsia" w:ascii="Times New Roman" w:hAnsi="Times New Roman" w:eastAsia="宋体" w:cs="等线 Light"/>
          <w:b/>
          <w:snapToGrid w:val="0"/>
          <w:color w:val="auto"/>
          <w:kern w:val="0"/>
          <w:sz w:val="44"/>
          <w:szCs w:val="44"/>
          <w:highlight w:val="none"/>
          <w:lang w:val="en-US" w:eastAsia="zh-CN" w:bidi="ar-SA"/>
        </w:rPr>
      </w:pPr>
      <w:bookmarkStart w:id="0" w:name="_Toc25883"/>
      <w:bookmarkStart w:id="1" w:name="_Toc3543"/>
      <w:bookmarkStart w:id="2" w:name="_Toc32495"/>
      <w:r>
        <w:rPr>
          <w:rFonts w:hint="eastAsia" w:ascii="Times New Roman" w:hAnsi="Times New Roman" w:eastAsia="宋体" w:cs="等线 Light"/>
          <w:b/>
          <w:snapToGrid w:val="0"/>
          <w:color w:val="auto"/>
          <w:kern w:val="0"/>
          <w:sz w:val="44"/>
          <w:szCs w:val="44"/>
          <w:highlight w:val="none"/>
          <w:lang w:val="en-US" w:eastAsia="zh-CN" w:bidi="ar-SA"/>
        </w:rPr>
        <w:t>重庆三峡银行分布式块存储项目（第二次）</w:t>
      </w:r>
    </w:p>
    <w:p w14:paraId="6BC3A22C">
      <w:pPr>
        <w:widowControl w:val="0"/>
        <w:tabs>
          <w:tab w:val="left" w:pos="3360"/>
        </w:tabs>
        <w:autoSpaceDE w:val="0"/>
        <w:autoSpaceDN w:val="0"/>
        <w:snapToGrid w:val="0"/>
        <w:spacing w:line="600" w:lineRule="exact"/>
        <w:ind w:firstLine="0" w:firstLineChars="0"/>
        <w:jc w:val="center"/>
        <w:outlineLvl w:val="0"/>
        <w:rPr>
          <w:rFonts w:ascii="Times New Roman" w:hAnsi="Times New Roman" w:eastAsia="宋体" w:cs="等线 Light"/>
          <w:b/>
          <w:snapToGrid w:val="0"/>
          <w:color w:val="auto"/>
          <w:kern w:val="0"/>
          <w:sz w:val="44"/>
          <w:szCs w:val="44"/>
          <w:highlight w:val="none"/>
          <w:lang w:val="en-US" w:eastAsia="zh-CN" w:bidi="ar-SA"/>
        </w:rPr>
      </w:pPr>
      <w:r>
        <w:rPr>
          <w:rFonts w:hint="eastAsia" w:ascii="Times New Roman" w:hAnsi="Times New Roman" w:eastAsia="宋体" w:cs="等线 Light"/>
          <w:b/>
          <w:snapToGrid w:val="0"/>
          <w:color w:val="auto"/>
          <w:kern w:val="0"/>
          <w:sz w:val="44"/>
          <w:szCs w:val="44"/>
          <w:highlight w:val="none"/>
          <w:lang w:val="en-US" w:eastAsia="zh-CN" w:bidi="ar-SA"/>
        </w:rPr>
        <w:t>询比公告</w:t>
      </w:r>
      <w:bookmarkEnd w:id="0"/>
      <w:bookmarkEnd w:id="1"/>
      <w:bookmarkEnd w:id="2"/>
    </w:p>
    <w:p w14:paraId="0F031FAD">
      <w:pPr>
        <w:rPr>
          <w:color w:val="auto"/>
          <w:highlight w:val="none"/>
        </w:rPr>
      </w:pPr>
      <w:bookmarkStart w:id="3" w:name="_Toc55379218"/>
      <w:bookmarkStart w:id="4" w:name="_Toc89675127"/>
      <w:r>
        <w:rPr>
          <w:rFonts w:hint="eastAsia"/>
          <w:color w:val="auto"/>
          <w:highlight w:val="none"/>
          <w:shd w:val="clear" w:color="auto" w:fill="auto"/>
        </w:rPr>
        <w:t>为丰富当前数据中心块存储架构，对集中式块存储进行补充，需要采购分布式块存储。</w:t>
      </w:r>
      <w:r>
        <w:rPr>
          <w:rFonts w:hint="eastAsia"/>
          <w:color w:val="auto"/>
          <w:highlight w:val="none"/>
        </w:rPr>
        <w:t>现对</w:t>
      </w:r>
      <w:r>
        <w:rPr>
          <w:rFonts w:hint="eastAsia"/>
          <w:color w:val="auto"/>
          <w:highlight w:val="none"/>
          <w:u w:val="none"/>
        </w:rPr>
        <w:t>重庆三峡银行</w:t>
      </w:r>
      <w:r>
        <w:rPr>
          <w:rFonts w:hint="eastAsia" w:eastAsia="宋体"/>
          <w:color w:val="auto"/>
          <w:highlight w:val="none"/>
          <w:shd w:val="clear" w:color="auto" w:fill="auto"/>
          <w:lang w:eastAsia="zh-CN"/>
        </w:rPr>
        <w:t>分布式块存储项目（第二次）</w:t>
      </w:r>
      <w:r>
        <w:rPr>
          <w:rFonts w:hint="eastAsia"/>
          <w:color w:val="auto"/>
          <w:highlight w:val="none"/>
        </w:rPr>
        <w:t>进行公开询比，</w:t>
      </w:r>
      <w:r>
        <w:rPr>
          <w:color w:val="auto"/>
          <w:highlight w:val="none"/>
        </w:rPr>
        <w:t>特邀请有</w:t>
      </w:r>
      <w:bookmarkStart w:id="5" w:name="_Hlk59455120"/>
      <w:r>
        <w:rPr>
          <w:color w:val="auto"/>
          <w:highlight w:val="none"/>
        </w:rPr>
        <w:t>意向</w:t>
      </w:r>
      <w:bookmarkEnd w:id="5"/>
      <w:r>
        <w:rPr>
          <w:color w:val="auto"/>
          <w:highlight w:val="none"/>
        </w:rPr>
        <w:t>的潜在</w:t>
      </w:r>
      <w:r>
        <w:rPr>
          <w:rFonts w:hint="eastAsia"/>
          <w:color w:val="auto"/>
          <w:highlight w:val="none"/>
        </w:rPr>
        <w:t>响应人参与响应</w:t>
      </w:r>
      <w:r>
        <w:rPr>
          <w:color w:val="auto"/>
          <w:highlight w:val="none"/>
        </w:rPr>
        <w:t>。</w:t>
      </w:r>
    </w:p>
    <w:p w14:paraId="14ACDB3D">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1. 询比项目内容</w:t>
      </w:r>
      <w:bookmarkEnd w:id="3"/>
      <w:bookmarkEnd w:id="4"/>
    </w:p>
    <w:tbl>
      <w:tblPr>
        <w:tblStyle w:val="6"/>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12"/>
        <w:gridCol w:w="1926"/>
        <w:gridCol w:w="1563"/>
        <w:gridCol w:w="1706"/>
      </w:tblGrid>
      <w:tr w14:paraId="09D8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08B48FF">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序号</w:t>
            </w:r>
          </w:p>
        </w:tc>
        <w:tc>
          <w:tcPr>
            <w:tcW w:w="3212" w:type="dxa"/>
            <w:tcBorders>
              <w:top w:val="single" w:color="auto" w:sz="4" w:space="0"/>
              <w:left w:val="single" w:color="auto" w:sz="4" w:space="0"/>
              <w:bottom w:val="single" w:color="auto" w:sz="4" w:space="0"/>
              <w:right w:val="single" w:color="auto" w:sz="4" w:space="0"/>
            </w:tcBorders>
            <w:vAlign w:val="center"/>
          </w:tcPr>
          <w:p w14:paraId="239EE47F">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项目名称</w:t>
            </w:r>
          </w:p>
        </w:tc>
        <w:tc>
          <w:tcPr>
            <w:tcW w:w="1926" w:type="dxa"/>
            <w:tcBorders>
              <w:top w:val="single" w:color="auto" w:sz="4" w:space="0"/>
              <w:left w:val="single" w:color="auto" w:sz="4" w:space="0"/>
              <w:bottom w:val="single" w:color="auto" w:sz="4" w:space="0"/>
              <w:right w:val="single" w:color="auto" w:sz="4" w:space="0"/>
            </w:tcBorders>
            <w:vAlign w:val="center"/>
          </w:tcPr>
          <w:p w14:paraId="071FD9BC">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3415891B">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成交供应商</w:t>
            </w:r>
          </w:p>
          <w:p w14:paraId="60DB5F8E">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数量</w:t>
            </w:r>
          </w:p>
        </w:tc>
        <w:tc>
          <w:tcPr>
            <w:tcW w:w="1706" w:type="dxa"/>
            <w:tcBorders>
              <w:top w:val="single" w:color="auto" w:sz="4" w:space="0"/>
              <w:left w:val="single" w:color="auto" w:sz="4" w:space="0"/>
              <w:bottom w:val="single" w:color="auto" w:sz="4" w:space="0"/>
              <w:right w:val="single" w:color="auto" w:sz="4" w:space="0"/>
            </w:tcBorders>
            <w:vAlign w:val="center"/>
          </w:tcPr>
          <w:p w14:paraId="3F8E0F53">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备注</w:t>
            </w:r>
          </w:p>
        </w:tc>
      </w:tr>
      <w:tr w14:paraId="00DB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3F1006FA">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1</w:t>
            </w:r>
          </w:p>
        </w:tc>
        <w:tc>
          <w:tcPr>
            <w:tcW w:w="3212" w:type="dxa"/>
            <w:tcBorders>
              <w:top w:val="single" w:color="auto" w:sz="4" w:space="0"/>
              <w:left w:val="single" w:color="auto" w:sz="4" w:space="0"/>
              <w:bottom w:val="single" w:color="auto" w:sz="4" w:space="0"/>
              <w:right w:val="single" w:color="auto" w:sz="4" w:space="0"/>
            </w:tcBorders>
            <w:vAlign w:val="center"/>
          </w:tcPr>
          <w:p w14:paraId="07780866">
            <w:pPr>
              <w:widowControl w:val="0"/>
              <w:autoSpaceDE w:val="0"/>
              <w:autoSpaceDN w:val="0"/>
              <w:spacing w:line="240" w:lineRule="auto"/>
              <w:ind w:firstLine="0" w:firstLineChars="0"/>
              <w:jc w:val="center"/>
              <w:rPr>
                <w:rFonts w:hint="eastAsia" w:ascii="Times New Roman" w:hAnsi="Times New Roman" w:eastAsia="宋体" w:cs="Cambria Math"/>
                <w:b/>
                <w:bCs/>
                <w:color w:val="auto"/>
                <w:kern w:val="2"/>
                <w:sz w:val="21"/>
                <w:szCs w:val="18"/>
                <w:highlight w:val="none"/>
                <w:lang w:val="en-US" w:eastAsia="zh-CN" w:bidi="ar-SA"/>
              </w:rPr>
            </w:pPr>
            <w:r>
              <w:rPr>
                <w:rFonts w:ascii="Times New Roman" w:hAnsi="Times New Roman" w:eastAsia="宋体" w:cs="Cambria Math"/>
                <w:b w:val="0"/>
                <w:bCs w:val="0"/>
                <w:color w:val="auto"/>
                <w:kern w:val="2"/>
                <w:sz w:val="21"/>
                <w:szCs w:val="18"/>
                <w:highlight w:val="none"/>
                <w:lang w:val="en-US" w:eastAsia="zh-CN" w:bidi="ar-SA"/>
              </w:rPr>
              <w:t>重庆三峡银行</w:t>
            </w:r>
            <w:r>
              <w:rPr>
                <w:rFonts w:hint="eastAsia" w:ascii="Times New Roman" w:hAnsi="Times New Roman" w:eastAsia="宋体" w:cs="Cambria Math"/>
                <w:b w:val="0"/>
                <w:bCs w:val="0"/>
                <w:color w:val="auto"/>
                <w:kern w:val="2"/>
                <w:sz w:val="21"/>
                <w:szCs w:val="18"/>
                <w:highlight w:val="none"/>
                <w:lang w:val="en-US" w:eastAsia="zh-CN" w:bidi="ar-SA"/>
              </w:rPr>
              <w:t>分布式块存储项目（第二次）</w:t>
            </w:r>
          </w:p>
        </w:tc>
        <w:tc>
          <w:tcPr>
            <w:tcW w:w="1926" w:type="dxa"/>
            <w:tcBorders>
              <w:top w:val="single" w:color="auto" w:sz="4" w:space="0"/>
              <w:left w:val="single" w:color="auto" w:sz="4" w:space="0"/>
              <w:bottom w:val="single" w:color="auto" w:sz="4" w:space="0"/>
              <w:right w:val="single" w:color="auto" w:sz="4" w:space="0"/>
            </w:tcBorders>
            <w:vAlign w:val="center"/>
          </w:tcPr>
          <w:p w14:paraId="4CCB86AD">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ascii="Times New Roman" w:hAnsi="Times New Roman" w:eastAsia="宋体" w:cs="Cambria Math"/>
                <w:b/>
                <w:bCs/>
                <w:color w:val="auto"/>
                <w:kern w:val="2"/>
                <w:sz w:val="21"/>
                <w:szCs w:val="18"/>
                <w:highlight w:val="none"/>
                <w:lang w:val="en-US" w:eastAsia="zh-CN" w:bidi="ar-SA"/>
              </w:rPr>
              <w:t>37万元</w:t>
            </w:r>
          </w:p>
        </w:tc>
        <w:tc>
          <w:tcPr>
            <w:tcW w:w="1563" w:type="dxa"/>
            <w:tcBorders>
              <w:top w:val="single" w:color="auto" w:sz="4" w:space="0"/>
              <w:left w:val="single" w:color="auto" w:sz="4" w:space="0"/>
              <w:bottom w:val="single" w:color="auto" w:sz="4" w:space="0"/>
              <w:right w:val="single" w:color="auto" w:sz="4" w:space="0"/>
            </w:tcBorders>
            <w:vAlign w:val="center"/>
          </w:tcPr>
          <w:p w14:paraId="1005FE72">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ascii="Times New Roman" w:hAnsi="Times New Roman" w:eastAsia="宋体" w:cs="Cambria Math"/>
                <w:b/>
                <w:bCs/>
                <w:color w:val="auto"/>
                <w:kern w:val="2"/>
                <w:sz w:val="21"/>
                <w:szCs w:val="18"/>
                <w:highlight w:val="none"/>
                <w:lang w:val="en-US" w:eastAsia="zh-CN" w:bidi="ar-SA"/>
              </w:rPr>
              <w:t>1</w:t>
            </w:r>
          </w:p>
        </w:tc>
        <w:tc>
          <w:tcPr>
            <w:tcW w:w="1706" w:type="dxa"/>
            <w:tcBorders>
              <w:top w:val="single" w:color="auto" w:sz="4" w:space="0"/>
              <w:left w:val="single" w:color="auto" w:sz="4" w:space="0"/>
              <w:bottom w:val="single" w:color="auto" w:sz="4" w:space="0"/>
              <w:right w:val="single" w:color="auto" w:sz="4" w:space="0"/>
            </w:tcBorders>
            <w:vAlign w:val="center"/>
          </w:tcPr>
          <w:p w14:paraId="591390BF">
            <w:pPr>
              <w:widowControl w:val="0"/>
              <w:autoSpaceDE w:val="0"/>
              <w:autoSpaceDN w:val="0"/>
              <w:spacing w:line="240" w:lineRule="auto"/>
              <w:ind w:firstLine="0" w:firstLineChars="0"/>
              <w:jc w:val="left"/>
              <w:rPr>
                <w:rFonts w:ascii="Times New Roman" w:hAnsi="Times New Roman" w:eastAsia="宋体" w:cs="Cambria Math"/>
                <w:b/>
                <w:bCs/>
                <w:color w:val="auto"/>
                <w:kern w:val="2"/>
                <w:sz w:val="21"/>
                <w:szCs w:val="18"/>
                <w:highlight w:val="none"/>
                <w:lang w:val="en-US" w:eastAsia="zh-CN" w:bidi="ar-SA"/>
              </w:rPr>
            </w:pPr>
            <w:r>
              <w:rPr>
                <w:rFonts w:ascii="Times New Roman" w:hAnsi="Times New Roman" w:eastAsia="宋体" w:cs="Cambria Math"/>
                <w:b w:val="0"/>
                <w:bCs w:val="0"/>
                <w:color w:val="auto"/>
                <w:kern w:val="2"/>
                <w:sz w:val="21"/>
                <w:szCs w:val="18"/>
                <w:highlight w:val="none"/>
                <w:lang w:val="en-US" w:eastAsia="zh-CN" w:bidi="ar-SA"/>
              </w:rPr>
              <w:t>包含370T裸容量授权及三年原厂维保</w:t>
            </w:r>
          </w:p>
        </w:tc>
      </w:tr>
    </w:tbl>
    <w:p w14:paraId="5108795F">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bookmarkStart w:id="6" w:name="_Toc469574664"/>
      <w:bookmarkStart w:id="7" w:name="_Toc288224935"/>
      <w:bookmarkStart w:id="8" w:name="_Toc89675128"/>
      <w:bookmarkStart w:id="9" w:name="_Toc297817088"/>
      <w:bookmarkStart w:id="10" w:name="_Toc55379219"/>
      <w:r>
        <w:rPr>
          <w:rFonts w:hint="eastAsia" w:ascii="Times New Roman" w:hAnsi="Times New Roman" w:eastAsia="宋体" w:cs="Times New Roman"/>
          <w:b/>
          <w:bCs/>
          <w:snapToGrid w:val="0"/>
          <w:color w:val="auto"/>
          <w:kern w:val="2"/>
          <w:sz w:val="21"/>
          <w:szCs w:val="24"/>
          <w:highlight w:val="none"/>
          <w:lang w:val="en-US" w:eastAsia="zh-CN" w:bidi="ar-SA"/>
        </w:rPr>
        <w:t>2. 响应人资格要求</w:t>
      </w:r>
      <w:bookmarkEnd w:id="6"/>
      <w:bookmarkEnd w:id="7"/>
      <w:bookmarkEnd w:id="8"/>
      <w:bookmarkEnd w:id="9"/>
      <w:bookmarkEnd w:id="10"/>
    </w:p>
    <w:p w14:paraId="1679D9F4">
      <w:pPr>
        <w:rPr>
          <w:color w:val="auto"/>
          <w:highlight w:val="none"/>
        </w:rPr>
      </w:pPr>
      <w:bookmarkStart w:id="11" w:name="_Hlk55488870"/>
      <w:r>
        <w:rPr>
          <w:rFonts w:hint="eastAsia"/>
          <w:color w:val="auto"/>
          <w:highlight w:val="none"/>
        </w:rPr>
        <w:t>2.1 具有独立承担民事责任的能力</w:t>
      </w:r>
    </w:p>
    <w:p w14:paraId="2DB26EF8">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1B70857">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146F5D1F">
      <w:pPr>
        <w:rPr>
          <w:color w:val="auto"/>
          <w:highlight w:val="none"/>
        </w:rPr>
      </w:pPr>
      <w:r>
        <w:rPr>
          <w:rFonts w:hint="eastAsia"/>
          <w:color w:val="auto"/>
          <w:highlight w:val="none"/>
        </w:rPr>
        <w:t>2.3 本项目不允许任何形式的转包【提供书面声明】。</w:t>
      </w:r>
    </w:p>
    <w:p w14:paraId="4F639FDB">
      <w:pPr>
        <w:rPr>
          <w:color w:val="auto"/>
          <w:highlight w:val="none"/>
        </w:rPr>
      </w:pPr>
      <w:r>
        <w:rPr>
          <w:rFonts w:hint="eastAsia"/>
          <w:color w:val="auto"/>
          <w:highlight w:val="none"/>
        </w:rPr>
        <w:t>2.4 法人及法定代表人没有被人民法院列为失信被执行人名单【提供：1、法人在</w:t>
      </w:r>
      <w:r>
        <w:rPr>
          <w:color w:val="auto"/>
          <w:highlight w:val="none"/>
        </w:rPr>
        <w:t>中国执行信息公开网</w:t>
      </w:r>
      <w:r>
        <w:rPr>
          <w:rFonts w:hint="eastAsia"/>
          <w:color w:val="auto"/>
          <w:highlight w:val="none"/>
        </w:rPr>
        <w:t>（中国执行信息公开网网址：https://zxgk.court.gov.cn/）的查询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7FDAC7AE">
      <w:pPr>
        <w:rPr>
          <w:color w:val="auto"/>
          <w:highlight w:val="none"/>
        </w:rPr>
      </w:pPr>
      <w:r>
        <w:rPr>
          <w:rFonts w:hint="eastAsia"/>
          <w:color w:val="auto"/>
          <w:highlight w:val="none"/>
        </w:rPr>
        <w:t>2.5 本次询比不接受联合体响应。</w:t>
      </w:r>
    </w:p>
    <w:p w14:paraId="3B51120B">
      <w:pPr>
        <w:rPr>
          <w:color w:val="auto"/>
          <w:highlight w:val="none"/>
        </w:rPr>
      </w:pPr>
      <w:r>
        <w:rPr>
          <w:rFonts w:hint="eastAsia"/>
          <w:color w:val="auto"/>
          <w:highlight w:val="none"/>
        </w:rPr>
        <w:t xml:space="preserve">2.6 </w:t>
      </w:r>
      <w:r>
        <w:rPr>
          <w:color w:val="auto"/>
          <w:highlight w:val="none"/>
        </w:rPr>
        <w:t>2022</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日至</w:t>
      </w:r>
      <w:r>
        <w:rPr>
          <w:color w:val="auto"/>
          <w:highlight w:val="none"/>
        </w:rPr>
        <w:t>本询比文件发出日期间</w:t>
      </w:r>
      <w:r>
        <w:rPr>
          <w:rFonts w:hint="eastAsia"/>
          <w:color w:val="auto"/>
          <w:highlight w:val="none"/>
        </w:rPr>
        <w:t>（以合同签订时间为准），</w:t>
      </w:r>
      <w:r>
        <w:rPr>
          <w:color w:val="auto"/>
          <w:highlight w:val="none"/>
        </w:rPr>
        <w:t>原厂商</w:t>
      </w:r>
      <w:r>
        <w:rPr>
          <w:rFonts w:hint="eastAsia"/>
          <w:color w:val="auto"/>
          <w:highlight w:val="none"/>
        </w:rPr>
        <w:t>具有</w:t>
      </w:r>
      <w:r>
        <w:rPr>
          <w:color w:val="auto"/>
          <w:highlight w:val="none"/>
        </w:rPr>
        <w:t>金融行业总部（银行、保险、证券、期货等）</w:t>
      </w:r>
      <w:r>
        <w:rPr>
          <w:rFonts w:hint="eastAsia"/>
          <w:color w:val="auto"/>
          <w:highlight w:val="none"/>
        </w:rPr>
        <w:t>相关实施案例不少于</w:t>
      </w:r>
      <w:r>
        <w:rPr>
          <w:color w:val="auto"/>
          <w:highlight w:val="none"/>
        </w:rPr>
        <w:t>3</w:t>
      </w:r>
      <w:r>
        <w:rPr>
          <w:rFonts w:hint="eastAsia"/>
          <w:color w:val="auto"/>
          <w:highlight w:val="none"/>
        </w:rPr>
        <w:t>个，</w:t>
      </w:r>
      <w:r>
        <w:rPr>
          <w:color w:val="auto"/>
          <w:highlight w:val="none"/>
        </w:rPr>
        <w:t>其中</w:t>
      </w:r>
      <w:r>
        <w:rPr>
          <w:rFonts w:hint="eastAsia" w:hAnsi="仿宋"/>
          <w:color w:val="auto"/>
          <w:szCs w:val="18"/>
          <w:highlight w:val="none"/>
        </w:rPr>
        <w:t>合同内容中明确包含“</w:t>
      </w:r>
      <w:r>
        <w:rPr>
          <w:rFonts w:hint="eastAsia" w:hAnsi="仿宋"/>
          <w:bCs/>
          <w:color w:val="auto"/>
          <w:szCs w:val="18"/>
          <w:highlight w:val="none"/>
        </w:rPr>
        <w:t>软件定义存储或SDS或超融合或超融合存储或分布式存储或分布式融合存储</w:t>
      </w:r>
      <w:r>
        <w:rPr>
          <w:rFonts w:hint="eastAsia" w:hAnsi="仿宋"/>
          <w:color w:val="auto"/>
          <w:szCs w:val="18"/>
          <w:highlight w:val="none"/>
        </w:rPr>
        <w:t>”等关键字</w:t>
      </w:r>
      <w:r>
        <w:rPr>
          <w:rFonts w:hAnsi="仿宋"/>
          <w:color w:val="auto"/>
          <w:szCs w:val="18"/>
          <w:highlight w:val="none"/>
        </w:rPr>
        <w:t>，</w:t>
      </w:r>
      <w:r>
        <w:rPr>
          <w:rFonts w:hint="eastAsia"/>
          <w:color w:val="auto"/>
          <w:highlight w:val="none"/>
        </w:rPr>
        <w:t>低于</w:t>
      </w:r>
      <w:r>
        <w:rPr>
          <w:color w:val="auto"/>
          <w:highlight w:val="none"/>
        </w:rPr>
        <w:t>3</w:t>
      </w:r>
      <w:r>
        <w:rPr>
          <w:rFonts w:hint="eastAsia"/>
          <w:color w:val="auto"/>
          <w:highlight w:val="none"/>
        </w:rPr>
        <w:t>个案例（不含</w:t>
      </w:r>
      <w:r>
        <w:rPr>
          <w:color w:val="auto"/>
          <w:highlight w:val="none"/>
        </w:rPr>
        <w:t>3</w:t>
      </w:r>
      <w:r>
        <w:rPr>
          <w:rFonts w:hint="eastAsia"/>
          <w:color w:val="auto"/>
          <w:highlight w:val="none"/>
        </w:rPr>
        <w:t>个）取消响应资质【提供：1、合同关键页（合同关键页</w:t>
      </w:r>
      <w:r>
        <w:rPr>
          <w:color w:val="auto"/>
          <w:highlight w:val="none"/>
        </w:rPr>
        <w:t>包含：甲乙双方名称、双方印章、项目名称、合同签订时间</w:t>
      </w:r>
      <w:r>
        <w:rPr>
          <w:rFonts w:hint="eastAsia"/>
          <w:color w:val="auto"/>
          <w:highlight w:val="none"/>
        </w:rPr>
        <w:t>、服务范围。）；2、项目简介（格式自拟）。</w:t>
      </w:r>
    </w:p>
    <w:p w14:paraId="0B282528">
      <w:pPr>
        <w:jc w:val="left"/>
        <w:rPr>
          <w:color w:val="auto"/>
          <w:highlight w:val="none"/>
        </w:rPr>
      </w:pPr>
      <w:r>
        <w:rPr>
          <w:rFonts w:hint="eastAsia"/>
          <w:color w:val="auto"/>
          <w:highlight w:val="none"/>
        </w:rPr>
        <w:t>2.</w:t>
      </w:r>
      <w:r>
        <w:rPr>
          <w:color w:val="auto"/>
          <w:highlight w:val="none"/>
        </w:rPr>
        <w:t>7</w:t>
      </w:r>
      <w:r>
        <w:rPr>
          <w:rFonts w:hint="eastAsia"/>
          <w:color w:val="auto"/>
          <w:highlight w:val="none"/>
        </w:rPr>
        <w:t xml:space="preserve"> </w:t>
      </w:r>
      <w:r>
        <w:rPr>
          <w:color w:val="auto"/>
          <w:highlight w:val="none"/>
        </w:rPr>
        <w:t>响应人</w:t>
      </w:r>
      <w:r>
        <w:rPr>
          <w:rFonts w:hint="eastAsia" w:cs="Cambria"/>
          <w:color w:val="auto"/>
          <w:highlight w:val="none"/>
        </w:rPr>
        <w:t>为厂商直投或其合法代理商；</w:t>
      </w:r>
    </w:p>
    <w:p w14:paraId="1516EFD6">
      <w:pPr>
        <w:rPr>
          <w:rFonts w:hint="eastAsia"/>
          <w:color w:val="auto"/>
          <w:highlight w:val="none"/>
          <w:lang w:eastAsia="zh-CN"/>
        </w:rPr>
      </w:pPr>
      <w:r>
        <w:rPr>
          <w:rFonts w:hint="eastAsia"/>
          <w:color w:val="auto"/>
          <w:highlight w:val="none"/>
        </w:rPr>
        <w:t>（1）响应人若为厂商直接参与询比，</w:t>
      </w:r>
      <w:r>
        <w:rPr>
          <w:rFonts w:hint="eastAsia" w:ascii="Times New Roman" w:eastAsia="宋体"/>
          <w:color w:val="auto"/>
          <w:highlight w:val="none"/>
          <w:lang w:val="en-US" w:eastAsia="zh-CN"/>
        </w:rPr>
        <w:t>须</w:t>
      </w:r>
      <w:r>
        <w:rPr>
          <w:rFonts w:hint="eastAsia"/>
          <w:color w:val="auto"/>
          <w:highlight w:val="none"/>
        </w:rPr>
        <w:t>提供售后服务承诺函原件。</w:t>
      </w:r>
      <w:r>
        <w:rPr>
          <w:rFonts w:hint="eastAsia" w:eastAsia="宋体"/>
          <w:color w:val="auto"/>
          <w:highlight w:val="none"/>
          <w:lang w:eastAsia="zh-CN"/>
        </w:rPr>
        <w:t>【</w:t>
      </w:r>
      <w:r>
        <w:rPr>
          <w:rFonts w:hint="eastAsia"/>
          <w:color w:val="auto"/>
          <w:highlight w:val="none"/>
        </w:rPr>
        <w:t>提供售后服务承诺函原件</w:t>
      </w:r>
      <w:r>
        <w:rPr>
          <w:rFonts w:hint="eastAsia" w:eastAsia="宋体"/>
          <w:color w:val="auto"/>
          <w:highlight w:val="none"/>
          <w:lang w:eastAsia="zh-CN"/>
        </w:rPr>
        <w:t>】</w:t>
      </w:r>
    </w:p>
    <w:p w14:paraId="384FC46C">
      <w:pPr>
        <w:rPr>
          <w:rFonts w:hint="eastAsia"/>
          <w:color w:val="auto"/>
          <w:highlight w:val="none"/>
          <w:lang w:eastAsia="zh-CN"/>
        </w:rPr>
      </w:pPr>
      <w:r>
        <w:rPr>
          <w:rFonts w:hint="eastAsia"/>
          <w:color w:val="auto"/>
          <w:highlight w:val="none"/>
        </w:rPr>
        <w:t>（2）响应人若为代理商参</w:t>
      </w:r>
      <w:r>
        <w:rPr>
          <w:rFonts w:hint="eastAsia" w:ascii="Times New Roman" w:eastAsia="宋体"/>
          <w:color w:val="auto"/>
          <w:highlight w:val="none"/>
          <w:lang w:val="en-US" w:eastAsia="zh-CN"/>
        </w:rPr>
        <w:t>与</w:t>
      </w:r>
      <w:r>
        <w:rPr>
          <w:rFonts w:hint="eastAsia"/>
          <w:color w:val="auto"/>
          <w:highlight w:val="none"/>
        </w:rPr>
        <w:t>询比（同一个品牌只允许一家代理商参与询比），须提供询比产品原制造商对本项目的授权函原件及售后服务承诺函原件。</w:t>
      </w:r>
      <w:r>
        <w:rPr>
          <w:rFonts w:hint="eastAsia" w:eastAsia="宋体"/>
          <w:color w:val="auto"/>
          <w:highlight w:val="none"/>
          <w:lang w:eastAsia="zh-CN"/>
        </w:rPr>
        <w:t>【</w:t>
      </w:r>
      <w:r>
        <w:rPr>
          <w:rFonts w:hint="eastAsia"/>
          <w:color w:val="auto"/>
          <w:highlight w:val="none"/>
        </w:rPr>
        <w:t>提供原</w:t>
      </w:r>
      <w:r>
        <w:rPr>
          <w:rFonts w:hint="eastAsia" w:ascii="Times New Roman" w:eastAsia="宋体"/>
          <w:color w:val="auto"/>
          <w:highlight w:val="none"/>
          <w:lang w:val="en-US" w:eastAsia="zh-CN"/>
        </w:rPr>
        <w:t>厂</w:t>
      </w:r>
      <w:r>
        <w:rPr>
          <w:rFonts w:hint="eastAsia"/>
          <w:color w:val="auto"/>
          <w:highlight w:val="none"/>
        </w:rPr>
        <w:t>对本项目的授权函原件及售后服务承诺函原件</w:t>
      </w:r>
      <w:r>
        <w:rPr>
          <w:rFonts w:hint="eastAsia" w:eastAsia="宋体"/>
          <w:color w:val="auto"/>
          <w:highlight w:val="none"/>
          <w:lang w:eastAsia="zh-CN"/>
        </w:rPr>
        <w:t>】</w:t>
      </w:r>
    </w:p>
    <w:p w14:paraId="1C9863B4">
      <w:pPr>
        <w:rPr>
          <w:rFonts w:hint="eastAsia"/>
          <w:color w:val="auto"/>
          <w:highlight w:val="none"/>
          <w:lang w:eastAsia="zh-CN"/>
        </w:rPr>
      </w:pPr>
      <w:r>
        <w:rPr>
          <w:rFonts w:hint="eastAsia" w:ascii="Times New Roman" w:eastAsia="宋体"/>
          <w:color w:val="auto"/>
          <w:highlight w:val="none"/>
          <w:lang w:val="en-US" w:eastAsia="zh-CN"/>
        </w:rPr>
        <w:t>注：售后服务承诺函</w:t>
      </w:r>
      <w:r>
        <w:rPr>
          <w:rFonts w:hint="eastAsia"/>
          <w:color w:val="auto"/>
          <w:highlight w:val="none"/>
        </w:rPr>
        <w:t>需明显标注原厂维保级别为7*24*4，即每周7天，每天24小时，4小时内达到现场，并加盖原厂鲜章。</w:t>
      </w:r>
    </w:p>
    <w:p w14:paraId="5482BF28">
      <w:pPr>
        <w:rPr>
          <w:rFonts w:hint="eastAsia"/>
          <w:color w:val="auto"/>
          <w:highlight w:val="none"/>
        </w:rPr>
      </w:pPr>
      <w:r>
        <w:rPr>
          <w:rFonts w:hint="eastAsia"/>
          <w:color w:val="auto"/>
          <w:highlight w:val="none"/>
        </w:rPr>
        <w:t>（3）同一品牌的原制造商和代理商不能同时参与询比。</w:t>
      </w:r>
    </w:p>
    <w:p w14:paraId="1C8166D9">
      <w:pPr>
        <w:rPr>
          <w:rFonts w:hint="eastAsia"/>
          <w:color w:val="auto"/>
          <w:highlight w:val="none"/>
        </w:rPr>
      </w:pPr>
      <w:r>
        <w:rPr>
          <w:rFonts w:hint="eastAsia"/>
          <w:color w:val="auto"/>
          <w:highlight w:val="none"/>
        </w:rPr>
        <w:t>注:以上证明文件若采购人存疑，响应人需提供原件备查，响应文件中须附相关证明文件复印件并逐页加盖公章。</w:t>
      </w:r>
    </w:p>
    <w:p w14:paraId="5B6C952C">
      <w:pPr>
        <w:rPr>
          <w:color w:val="auto"/>
          <w:highlight w:val="none"/>
        </w:rPr>
      </w:pPr>
      <w:r>
        <w:rPr>
          <w:rFonts w:hint="eastAsia"/>
          <w:color w:val="auto"/>
          <w:highlight w:val="none"/>
        </w:rPr>
        <w:t>本次询比不接受曾因响应人的违约行为与采购人发生过纠纷的响应人；不接受与采购人合作过程中不遵守询比文件及合同约定的响应人；不接受曾在采购人项目中存在弄虚作假行为的响应人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6"/>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6F4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0A2AB5D">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序号</w:t>
            </w:r>
          </w:p>
        </w:tc>
        <w:tc>
          <w:tcPr>
            <w:tcW w:w="4933" w:type="dxa"/>
          </w:tcPr>
          <w:p w14:paraId="076A1CD6">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公司</w:t>
            </w:r>
          </w:p>
        </w:tc>
      </w:tr>
      <w:tr w14:paraId="5D32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257ED73">
            <w:pPr>
              <w:widowControl w:val="0"/>
              <w:autoSpaceDE w:val="0"/>
              <w:autoSpaceDN w:val="0"/>
              <w:spacing w:line="240" w:lineRule="auto"/>
              <w:ind w:firstLine="0" w:firstLineChars="0"/>
              <w:jc w:val="both"/>
              <w:rPr>
                <w:rFonts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1</w:t>
            </w:r>
          </w:p>
        </w:tc>
        <w:tc>
          <w:tcPr>
            <w:tcW w:w="4933" w:type="dxa"/>
          </w:tcPr>
          <w:p w14:paraId="2718356B">
            <w:pPr>
              <w:widowControl w:val="0"/>
              <w:autoSpaceDE w:val="0"/>
              <w:autoSpaceDN w:val="0"/>
              <w:spacing w:line="240" w:lineRule="auto"/>
              <w:ind w:firstLine="0" w:firstLineChars="0"/>
              <w:jc w:val="both"/>
              <w:rPr>
                <w:rFonts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依米康软件技术（深圳）有限责任公司</w:t>
            </w:r>
          </w:p>
        </w:tc>
      </w:tr>
    </w:tbl>
    <w:p w14:paraId="66DC5452">
      <w:pPr>
        <w:rPr>
          <w:color w:val="auto"/>
          <w:highlight w:val="none"/>
        </w:rPr>
      </w:pPr>
    </w:p>
    <w:bookmarkEnd w:id="11"/>
    <w:p w14:paraId="064FB542">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bookmarkStart w:id="12" w:name="_Toc55379220"/>
      <w:bookmarkStart w:id="13" w:name="_Toc469574667"/>
      <w:bookmarkStart w:id="14" w:name="_Toc89675130"/>
      <w:bookmarkStart w:id="15" w:name="_Toc297817090"/>
      <w:r>
        <w:rPr>
          <w:rFonts w:hint="eastAsia" w:ascii="Times New Roman" w:hAnsi="Times New Roman" w:eastAsia="宋体" w:cs="Times New Roman"/>
          <w:b/>
          <w:bCs/>
          <w:snapToGrid w:val="0"/>
          <w:color w:val="auto"/>
          <w:kern w:val="2"/>
          <w:sz w:val="21"/>
          <w:szCs w:val="24"/>
          <w:highlight w:val="none"/>
          <w:lang w:val="en-US" w:eastAsia="zh-CN" w:bidi="ar-SA"/>
        </w:rPr>
        <w:t>3. 询比文件的获取</w:t>
      </w:r>
      <w:bookmarkEnd w:id="12"/>
    </w:p>
    <w:p w14:paraId="5A93A083">
      <w:pPr>
        <w:rPr>
          <w:color w:val="auto"/>
          <w:highlight w:val="none"/>
        </w:rPr>
      </w:pPr>
      <w:r>
        <w:rPr>
          <w:rFonts w:hint="eastAsia"/>
          <w:color w:val="auto"/>
          <w:highlight w:val="none"/>
        </w:rPr>
        <w:t>3.1 响应截止时间：</w:t>
      </w:r>
      <w:r>
        <w:rPr>
          <w:rFonts w:hint="eastAsia"/>
          <w:color w:val="auto"/>
          <w:highlight w:val="none"/>
          <w:u w:val="single"/>
        </w:rPr>
        <w:t xml:space="preserve"> </w:t>
      </w:r>
      <w:r>
        <w:rPr>
          <w:rFonts w:hint="eastAsia" w:ascii="Times New Roman" w:eastAsia="宋体"/>
          <w:color w:val="auto"/>
          <w:highlight w:val="none"/>
          <w:u w:val="single"/>
          <w:lang w:val="en-US" w:eastAsia="zh-CN"/>
        </w:rPr>
        <w:t>2025</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ascii="Times New Roman" w:eastAsia="宋体"/>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ascii="Times New Roman" w:eastAsia="宋体"/>
          <w:color w:val="auto"/>
          <w:highlight w:val="none"/>
          <w:u w:val="single"/>
          <w:lang w:val="en-US" w:eastAsia="zh-CN"/>
        </w:rPr>
        <w:t>22</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ascii="Times New Roman" w:eastAsia="宋体"/>
          <w:color w:val="auto"/>
          <w:highlight w:val="none"/>
          <w:u w:val="single"/>
          <w:lang w:val="en-US" w:eastAsia="zh-CN"/>
        </w:rPr>
        <w:t>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ascii="Times New Roman" w:eastAsia="宋体"/>
          <w:color w:val="auto"/>
          <w:highlight w:val="none"/>
          <w:u w:val="single"/>
          <w:lang w:val="en-US" w:eastAsia="zh-CN"/>
        </w:rPr>
        <w:t>30</w:t>
      </w:r>
      <w:r>
        <w:rPr>
          <w:rFonts w:hint="eastAsia"/>
          <w:color w:val="auto"/>
          <w:highlight w:val="none"/>
          <w:u w:val="single"/>
        </w:rPr>
        <w:t xml:space="preserve"> </w:t>
      </w:r>
      <w:r>
        <w:rPr>
          <w:rFonts w:hint="eastAsia"/>
          <w:color w:val="auto"/>
          <w:highlight w:val="none"/>
        </w:rPr>
        <w:t>分（北京时间）</w:t>
      </w:r>
    </w:p>
    <w:p w14:paraId="7F9148FE">
      <w:pPr>
        <w:rPr>
          <w:color w:val="auto"/>
          <w:highlight w:val="none"/>
        </w:rPr>
      </w:pPr>
      <w:r>
        <w:rPr>
          <w:rFonts w:hint="eastAsia"/>
          <w:color w:val="auto"/>
          <w:highlight w:val="none"/>
        </w:rPr>
        <w:t>3.2 获取时间和方式：从</w:t>
      </w:r>
      <w:r>
        <w:rPr>
          <w:rFonts w:hint="eastAsia"/>
          <w:color w:val="auto"/>
          <w:highlight w:val="none"/>
          <w:u w:val="single"/>
        </w:rPr>
        <w:t xml:space="preserve"> </w:t>
      </w:r>
      <w:r>
        <w:rPr>
          <w:rFonts w:hint="eastAsia" w:ascii="Times New Roman" w:eastAsia="宋体"/>
          <w:color w:val="auto"/>
          <w:highlight w:val="none"/>
          <w:u w:val="single"/>
          <w:lang w:val="en-US" w:eastAsia="zh-CN"/>
        </w:rPr>
        <w:t>2025</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ascii="Times New Roman" w:eastAsia="宋体"/>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ascii="Times New Roman" w:eastAsia="宋体"/>
          <w:color w:val="auto"/>
          <w:highlight w:val="none"/>
          <w:u w:val="single"/>
          <w:lang w:val="en-US" w:eastAsia="zh-CN"/>
        </w:rPr>
        <w:t>5</w:t>
      </w:r>
      <w:r>
        <w:rPr>
          <w:rFonts w:hint="eastAsia"/>
          <w:color w:val="auto"/>
          <w:highlight w:val="none"/>
          <w:u w:val="single"/>
        </w:rPr>
        <w:t xml:space="preserve"> </w:t>
      </w:r>
      <w:r>
        <w:rPr>
          <w:rFonts w:hint="eastAsia"/>
          <w:color w:val="auto"/>
          <w:highlight w:val="none"/>
        </w:rPr>
        <w:t>日到响应截止时间，在重庆市公共资源交易网（www.cqggzy.com）下载询比文件。</w:t>
      </w:r>
    </w:p>
    <w:p w14:paraId="42E8FD91">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color w:val="auto"/>
          <w:highlight w:val="none"/>
          <w:u w:val="single"/>
        </w:rPr>
        <w:t xml:space="preserve"> </w:t>
      </w:r>
      <w:r>
        <w:rPr>
          <w:rFonts w:hint="eastAsia" w:ascii="Times New Roman" w:eastAsia="宋体"/>
          <w:color w:val="auto"/>
          <w:highlight w:val="none"/>
          <w:u w:val="single"/>
          <w:lang w:val="en-US" w:eastAsia="zh-CN"/>
        </w:rPr>
        <w:t xml:space="preserve">2025 </w:t>
      </w:r>
      <w:r>
        <w:rPr>
          <w:rFonts w:hint="eastAsia"/>
          <w:color w:val="auto"/>
          <w:highlight w:val="none"/>
        </w:rPr>
        <w:t>年</w:t>
      </w:r>
      <w:r>
        <w:rPr>
          <w:rFonts w:hint="eastAsia"/>
          <w:color w:val="auto"/>
          <w:highlight w:val="none"/>
          <w:u w:val="single"/>
        </w:rPr>
        <w:t xml:space="preserve"> </w:t>
      </w:r>
      <w:r>
        <w:rPr>
          <w:rFonts w:hint="eastAsia" w:ascii="Times New Roman" w:eastAsia="宋体"/>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ascii="Times New Roman" w:eastAsia="宋体"/>
          <w:color w:val="auto"/>
          <w:highlight w:val="none"/>
          <w:u w:val="single"/>
          <w:lang w:val="en-US" w:eastAsia="zh-CN"/>
        </w:rPr>
        <w:t>8</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ascii="Times New Roman" w:eastAsia="宋体"/>
          <w:color w:val="auto"/>
          <w:highlight w:val="none"/>
          <w:u w:val="single"/>
          <w:lang w:val="en-US" w:eastAsia="zh-CN"/>
        </w:rPr>
        <w:t>17</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ascii="Times New Roman" w:eastAsia="宋体"/>
          <w:color w:val="auto"/>
          <w:highlight w:val="none"/>
          <w:u w:val="single"/>
          <w:lang w:val="en-US" w:eastAsia="zh-CN"/>
        </w:rPr>
        <w:t>00</w:t>
      </w:r>
      <w:r>
        <w:rPr>
          <w:rFonts w:hint="eastAsia"/>
          <w:color w:val="auto"/>
          <w:highlight w:val="none"/>
          <w:u w:val="single"/>
        </w:rPr>
        <w:t xml:space="preserve"> </w:t>
      </w:r>
      <w:r>
        <w:rPr>
          <w:rFonts w:hint="eastAsia"/>
          <w:color w:val="auto"/>
          <w:highlight w:val="none"/>
        </w:rPr>
        <w:t>分（北京时间）前自行在重庆市公共资源交易网（http://www.cqggzy.com/）询比公告的“我要提问”栏目匿名提出。响应人未提出，则视为响应人已全面确认询比文件内容。</w:t>
      </w:r>
    </w:p>
    <w:p w14:paraId="0AC1B106">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B02BA3A">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bookmarkStart w:id="16" w:name="_Toc55379221"/>
      <w:r>
        <w:rPr>
          <w:rFonts w:hint="eastAsia" w:ascii="Times New Roman" w:hAnsi="Times New Roman" w:eastAsia="宋体" w:cs="Times New Roman"/>
          <w:b/>
          <w:bCs/>
          <w:snapToGrid w:val="0"/>
          <w:color w:val="auto"/>
          <w:kern w:val="2"/>
          <w:sz w:val="21"/>
          <w:szCs w:val="24"/>
          <w:highlight w:val="none"/>
          <w:lang w:val="en-US" w:eastAsia="zh-CN" w:bidi="ar-SA"/>
        </w:rPr>
        <w:t>4. 响应保证金的递交</w:t>
      </w:r>
      <w:bookmarkEnd w:id="13"/>
      <w:bookmarkEnd w:id="14"/>
      <w:bookmarkEnd w:id="15"/>
      <w:bookmarkEnd w:id="16"/>
    </w:p>
    <w:p w14:paraId="68C50644">
      <w:pPr>
        <w:rPr>
          <w:color w:val="auto"/>
          <w:highlight w:val="none"/>
        </w:rPr>
      </w:pPr>
      <w:bookmarkStart w:id="17" w:name="_Toc89675131"/>
      <w:bookmarkStart w:id="18" w:name="_Toc55379222"/>
      <w:bookmarkStart w:id="19" w:name="_Toc297817091"/>
      <w:bookmarkStart w:id="20" w:name="_Toc469574668"/>
      <w:r>
        <w:rPr>
          <w:rFonts w:hint="eastAsia"/>
          <w:color w:val="auto"/>
          <w:highlight w:val="none"/>
        </w:rPr>
        <w:t>4.1 响应保证金的金额：</w:t>
      </w:r>
      <w:r>
        <w:rPr>
          <w:rFonts w:hint="eastAsia"/>
          <w:b/>
          <w:bCs/>
          <w:color w:val="auto"/>
          <w:highlight w:val="none"/>
          <w:u w:val="single"/>
        </w:rPr>
        <w:t xml:space="preserve"> </w:t>
      </w:r>
      <w:r>
        <w:rPr>
          <w:b/>
          <w:bCs/>
          <w:color w:val="auto"/>
          <w:highlight w:val="none"/>
          <w:u w:val="single"/>
        </w:rPr>
        <w:t>7,400</w:t>
      </w:r>
      <w:r>
        <w:rPr>
          <w:rFonts w:hint="eastAsia"/>
          <w:b/>
          <w:bCs/>
          <w:color w:val="auto"/>
          <w:highlight w:val="none"/>
          <w:u w:val="single"/>
        </w:rPr>
        <w:t>元整（大写：</w:t>
      </w:r>
      <w:r>
        <w:rPr>
          <w:b/>
          <w:bCs/>
          <w:color w:val="auto"/>
          <w:highlight w:val="none"/>
          <w:u w:val="single"/>
        </w:rPr>
        <w:t>柒仟肆佰元整</w:t>
      </w:r>
      <w:r>
        <w:rPr>
          <w:rFonts w:hint="eastAsia"/>
          <w:b/>
          <w:bCs/>
          <w:color w:val="auto"/>
          <w:highlight w:val="none"/>
          <w:u w:val="single"/>
        </w:rPr>
        <w:t xml:space="preserve"> ）</w:t>
      </w:r>
      <w:r>
        <w:rPr>
          <w:rFonts w:hint="eastAsia"/>
          <w:color w:val="auto"/>
          <w:highlight w:val="none"/>
        </w:rPr>
        <w:t>。</w:t>
      </w:r>
    </w:p>
    <w:p w14:paraId="31F160DF">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7ADBFC5">
      <w:pPr>
        <w:rPr>
          <w:b/>
          <w:bCs/>
          <w:color w:val="auto"/>
          <w:highlight w:val="none"/>
        </w:rPr>
      </w:pPr>
      <w:r>
        <w:rPr>
          <w:rFonts w:hint="eastAsia"/>
          <w:b/>
          <w:bCs/>
          <w:color w:val="auto"/>
          <w:highlight w:val="none"/>
        </w:rPr>
        <w:t>响应人</w:t>
      </w:r>
      <w:r>
        <w:rPr>
          <w:rFonts w:hint="eastAsia" w:ascii="Times New Roman" w:eastAsia="宋体"/>
          <w:b/>
          <w:bCs/>
          <w:color w:val="auto"/>
          <w:highlight w:val="none"/>
          <w:lang w:val="en-US" w:eastAsia="zh-CN"/>
        </w:rPr>
        <w:t>可</w:t>
      </w:r>
      <w:r>
        <w:rPr>
          <w:rFonts w:hint="eastAsia"/>
          <w:b/>
          <w:bCs/>
          <w:color w:val="auto"/>
          <w:highlight w:val="none"/>
        </w:rPr>
        <w:t>在付款凭证备注栏中注明项目简称。可简写成：</w:t>
      </w:r>
      <w:r>
        <w:rPr>
          <w:b w:val="0"/>
          <w:bCs w:val="0"/>
          <w:color w:val="auto"/>
          <w:highlight w:val="none"/>
          <w:u w:val="single"/>
        </w:rPr>
        <w:t>重庆三峡银行</w:t>
      </w:r>
      <w:r>
        <w:rPr>
          <w:rFonts w:hint="eastAsia" w:eastAsia="宋体"/>
          <w:b w:val="0"/>
          <w:bCs w:val="0"/>
          <w:color w:val="auto"/>
          <w:highlight w:val="none"/>
          <w:u w:val="single"/>
          <w:lang w:eastAsia="zh-CN"/>
        </w:rPr>
        <w:t>分布式块存储项目（第二次）</w:t>
      </w:r>
      <w:r>
        <w:rPr>
          <w:rFonts w:hint="eastAsia"/>
          <w:b/>
          <w:bCs/>
          <w:color w:val="auto"/>
          <w:highlight w:val="none"/>
        </w:rPr>
        <w:t>。</w:t>
      </w:r>
    </w:p>
    <w:p w14:paraId="24765FE0">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14:paraId="403D2F67">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14:paraId="2FC564F9">
      <w:pPr>
        <w:rPr>
          <w:color w:val="auto"/>
          <w:highlight w:val="none"/>
        </w:rPr>
      </w:pPr>
      <w:r>
        <w:rPr>
          <w:rFonts w:hint="eastAsia"/>
          <w:color w:val="auto"/>
          <w:highlight w:val="none"/>
        </w:rPr>
        <w:t>详见重庆市公共资源交易网（www.cqggzy.com）对应本项目询比公告信息栏中的保证金信息。</w:t>
      </w:r>
    </w:p>
    <w:p w14:paraId="7B3B518D">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5. 市场主体信息登记</w:t>
      </w:r>
    </w:p>
    <w:p w14:paraId="0B7D435E">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7"/>
    <w:bookmarkEnd w:id="18"/>
    <w:bookmarkEnd w:id="19"/>
    <w:bookmarkEnd w:id="20"/>
    <w:p w14:paraId="1D6B4AAC">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6. 响应文件的递交</w:t>
      </w:r>
    </w:p>
    <w:p w14:paraId="7F92074F">
      <w:pPr>
        <w:rPr>
          <w:color w:val="auto"/>
          <w:highlight w:val="none"/>
        </w:rPr>
      </w:pPr>
      <w:bookmarkStart w:id="21" w:name="_Toc55379223"/>
      <w:bookmarkStart w:id="22" w:name="_Toc469574669"/>
      <w:bookmarkStart w:id="23" w:name="_Toc89675132"/>
      <w:r>
        <w:rPr>
          <w:rFonts w:hint="eastAsia"/>
          <w:color w:val="auto"/>
          <w:highlight w:val="none"/>
        </w:rPr>
        <w:t>6.1 响应文件现场递交时间为</w:t>
      </w:r>
      <w:r>
        <w:rPr>
          <w:rFonts w:hint="eastAsia"/>
          <w:color w:val="auto"/>
          <w:highlight w:val="none"/>
          <w:u w:val="single"/>
        </w:rPr>
        <w:t xml:space="preserve"> </w:t>
      </w:r>
      <w:r>
        <w:rPr>
          <w:rFonts w:hint="eastAsia" w:ascii="Times New Roman" w:eastAsia="宋体"/>
          <w:color w:val="auto"/>
          <w:highlight w:val="none"/>
          <w:u w:val="single"/>
          <w:lang w:val="en-US" w:eastAsia="zh-CN"/>
        </w:rPr>
        <w:t>2025</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ascii="Times New Roman" w:eastAsia="宋体"/>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ascii="Times New Roman" w:eastAsia="宋体"/>
          <w:color w:val="auto"/>
          <w:highlight w:val="none"/>
          <w:u w:val="single"/>
          <w:lang w:val="en-US" w:eastAsia="zh-CN"/>
        </w:rPr>
        <w:t>22</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ascii="Times New Roman" w:eastAsia="宋体"/>
          <w:color w:val="auto"/>
          <w:highlight w:val="none"/>
          <w:u w:val="single"/>
          <w:lang w:val="en-US" w:eastAsia="zh-CN"/>
        </w:rPr>
        <w:t>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ascii="Times New Roman" w:eastAsia="宋体"/>
          <w:color w:val="auto"/>
          <w:highlight w:val="none"/>
          <w:u w:val="single"/>
          <w:lang w:val="en-US" w:eastAsia="zh-CN"/>
        </w:rPr>
        <w:t>00</w:t>
      </w:r>
      <w:r>
        <w:rPr>
          <w:rFonts w:hint="eastAsia"/>
          <w:color w:val="auto"/>
          <w:highlight w:val="none"/>
          <w:u w:val="single"/>
        </w:rPr>
        <w:t xml:space="preserve"> </w:t>
      </w:r>
      <w:r>
        <w:rPr>
          <w:rFonts w:hint="eastAsia"/>
          <w:color w:val="auto"/>
          <w:highlight w:val="none"/>
        </w:rPr>
        <w:t>分(北京时间)至响应截止时间。</w:t>
      </w:r>
    </w:p>
    <w:p w14:paraId="2B29D1F5">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640A9A1">
      <w:pPr>
        <w:rPr>
          <w:color w:val="auto"/>
          <w:highlight w:val="none"/>
        </w:rPr>
      </w:pPr>
      <w:r>
        <w:rPr>
          <w:rFonts w:hint="eastAsia"/>
          <w:color w:val="auto"/>
          <w:highlight w:val="none"/>
        </w:rPr>
        <w:t>6.3 逾期送达的响应文件，不予接收。</w:t>
      </w:r>
    </w:p>
    <w:p w14:paraId="1B10BD9C">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7. 发布公告的媒介</w:t>
      </w:r>
      <w:bookmarkEnd w:id="21"/>
      <w:bookmarkEnd w:id="22"/>
      <w:bookmarkEnd w:id="23"/>
    </w:p>
    <w:p w14:paraId="349778A5">
      <w:pPr>
        <w:rPr>
          <w:color w:val="auto"/>
          <w:highlight w:val="none"/>
        </w:rPr>
      </w:pPr>
      <w:bookmarkStart w:id="24" w:name="_Toc469574670"/>
      <w:bookmarkStart w:id="25" w:name="_Toc250565211"/>
      <w:bookmarkStart w:id="26" w:name="_Toc55379224"/>
      <w:bookmarkStart w:id="27" w:name="_Toc89675133"/>
      <w:r>
        <w:rPr>
          <w:rFonts w:hint="eastAsia"/>
          <w:color w:val="auto"/>
          <w:highlight w:val="none"/>
        </w:rPr>
        <w:t>本次询比公告同时在《重庆市公共资源交易网（www.cqggzy.com）》《重庆三峡银行官网（https://www.ccqtgb.com）》和《中国招标投标公共服务平台（http://www.cebpubservice.com）》上发布。</w:t>
      </w:r>
    </w:p>
    <w:p w14:paraId="6C07346F">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8. 联系方式</w:t>
      </w:r>
      <w:bookmarkEnd w:id="24"/>
      <w:bookmarkEnd w:id="25"/>
      <w:bookmarkEnd w:id="26"/>
      <w:bookmarkEnd w:id="27"/>
    </w:p>
    <w:p w14:paraId="24C3F442">
      <w:pPr>
        <w:rPr>
          <w:color w:val="auto"/>
          <w:highlight w:val="none"/>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960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ABB2AAA">
            <w:pPr>
              <w:ind w:firstLine="0" w:firstLineChars="0"/>
              <w:jc w:val="left"/>
              <w:rPr>
                <w:color w:val="auto"/>
                <w:highlight w:val="none"/>
              </w:rPr>
            </w:pPr>
            <w:r>
              <w:rPr>
                <w:rFonts w:hint="eastAsia"/>
                <w:color w:val="auto"/>
                <w:highlight w:val="none"/>
              </w:rPr>
              <w:t>8.1 项目需求咨询</w:t>
            </w:r>
          </w:p>
        </w:tc>
      </w:tr>
      <w:tr w14:paraId="4215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6053F03">
            <w:pPr>
              <w:ind w:firstLine="0" w:firstLineChars="0"/>
              <w:jc w:val="left"/>
              <w:rPr>
                <w:rFonts w:cs="宋体"/>
                <w:color w:val="auto"/>
                <w:szCs w:val="21"/>
                <w:highlight w:val="none"/>
              </w:rPr>
            </w:pPr>
            <w:r>
              <w:rPr>
                <w:rFonts w:hint="eastAsia"/>
                <w:color w:val="auto"/>
                <w:highlight w:val="none"/>
              </w:rPr>
              <w:t>项目联系人：</w:t>
            </w:r>
            <w:r>
              <w:rPr>
                <w:color w:val="auto"/>
                <w:highlight w:val="none"/>
              </w:rPr>
              <w:t>李老师</w:t>
            </w:r>
          </w:p>
        </w:tc>
        <w:tc>
          <w:tcPr>
            <w:tcW w:w="4480" w:type="dxa"/>
            <w:tcBorders>
              <w:top w:val="nil"/>
              <w:left w:val="nil"/>
              <w:bottom w:val="nil"/>
              <w:right w:val="single" w:color="auto" w:sz="4" w:space="0"/>
            </w:tcBorders>
          </w:tcPr>
          <w:p w14:paraId="5648D24E">
            <w:pPr>
              <w:ind w:firstLine="0" w:firstLineChars="0"/>
              <w:jc w:val="left"/>
              <w:rPr>
                <w:rFonts w:cs="宋体"/>
                <w:color w:val="auto"/>
                <w:szCs w:val="21"/>
                <w:highlight w:val="none"/>
              </w:rPr>
            </w:pPr>
            <w:r>
              <w:rPr>
                <w:rFonts w:hint="eastAsia"/>
                <w:color w:val="auto"/>
                <w:highlight w:val="none"/>
              </w:rPr>
              <w:t>联系方式：</w:t>
            </w:r>
            <w:r>
              <w:rPr>
                <w:color w:val="auto"/>
                <w:highlight w:val="none"/>
              </w:rPr>
              <w:t>18996169865</w:t>
            </w:r>
          </w:p>
        </w:tc>
      </w:tr>
      <w:tr w14:paraId="0F2F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8E9FB0F">
            <w:pPr>
              <w:ind w:firstLine="0" w:firstLineChars="0"/>
              <w:jc w:val="left"/>
              <w:rPr>
                <w:color w:val="auto"/>
                <w:highlight w:val="none"/>
              </w:rPr>
            </w:pPr>
          </w:p>
        </w:tc>
      </w:tr>
      <w:tr w14:paraId="578E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C791533">
            <w:pPr>
              <w:ind w:firstLine="0" w:firstLineChars="0"/>
              <w:jc w:val="left"/>
              <w:rPr>
                <w:color w:val="auto"/>
                <w:highlight w:val="none"/>
              </w:rPr>
            </w:pPr>
            <w:r>
              <w:rPr>
                <w:rFonts w:hint="eastAsia"/>
                <w:color w:val="auto"/>
                <w:highlight w:val="none"/>
              </w:rPr>
              <w:t>8.2 项目流程咨询</w:t>
            </w:r>
          </w:p>
        </w:tc>
      </w:tr>
      <w:tr w14:paraId="3161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3500D51">
            <w:pPr>
              <w:ind w:firstLine="0" w:firstLineChars="0"/>
              <w:jc w:val="left"/>
              <w:rPr>
                <w:color w:val="auto"/>
                <w:highlight w:val="none"/>
              </w:rPr>
            </w:pPr>
            <w:r>
              <w:rPr>
                <w:rFonts w:hint="eastAsia"/>
                <w:color w:val="auto"/>
                <w:highlight w:val="none"/>
              </w:rPr>
              <w:t>平台服务机构：重庆联合产权交易所集团股份有限公司</w:t>
            </w:r>
          </w:p>
        </w:tc>
      </w:tr>
      <w:tr w14:paraId="4009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67081F9">
            <w:pPr>
              <w:ind w:firstLine="0" w:firstLineChars="0"/>
              <w:jc w:val="left"/>
              <w:rPr>
                <w:rFonts w:hint="eastAsia" w:eastAsia="宋体" w:cs="宋体"/>
                <w:color w:val="auto"/>
                <w:szCs w:val="21"/>
                <w:highlight w:val="none"/>
                <w:lang w:val="en-US" w:eastAsia="zh-CN"/>
              </w:rPr>
            </w:pPr>
            <w:r>
              <w:rPr>
                <w:rFonts w:hint="eastAsia"/>
                <w:color w:val="auto"/>
                <w:highlight w:val="none"/>
              </w:rPr>
              <w:t>平台联系人：</w:t>
            </w:r>
            <w:r>
              <w:rPr>
                <w:rFonts w:hint="eastAsia" w:ascii="Times New Roman" w:eastAsia="宋体"/>
                <w:color w:val="auto"/>
                <w:highlight w:val="none"/>
                <w:lang w:val="en-US" w:eastAsia="zh-CN"/>
              </w:rPr>
              <w:t>罗老师</w:t>
            </w:r>
          </w:p>
        </w:tc>
        <w:tc>
          <w:tcPr>
            <w:tcW w:w="4480" w:type="dxa"/>
            <w:tcBorders>
              <w:top w:val="nil"/>
              <w:left w:val="nil"/>
              <w:bottom w:val="nil"/>
              <w:right w:val="single" w:color="auto" w:sz="4" w:space="0"/>
            </w:tcBorders>
          </w:tcPr>
          <w:p w14:paraId="217527F1">
            <w:pPr>
              <w:ind w:firstLine="0" w:firstLineChars="0"/>
              <w:jc w:val="left"/>
              <w:rPr>
                <w:rFonts w:cs="宋体"/>
                <w:color w:val="auto"/>
                <w:szCs w:val="21"/>
                <w:highlight w:val="none"/>
              </w:rPr>
            </w:pPr>
            <w:r>
              <w:rPr>
                <w:rFonts w:hint="eastAsia"/>
                <w:color w:val="auto"/>
                <w:highlight w:val="none"/>
              </w:rPr>
              <w:t>联系方式：023-63621694</w:t>
            </w:r>
          </w:p>
        </w:tc>
      </w:tr>
      <w:tr w14:paraId="79A1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17D03BF">
            <w:pPr>
              <w:ind w:firstLine="0" w:firstLineChars="0"/>
              <w:jc w:val="left"/>
              <w:rPr>
                <w:color w:val="auto"/>
                <w:highlight w:val="none"/>
              </w:rPr>
            </w:pPr>
          </w:p>
        </w:tc>
      </w:tr>
      <w:tr w14:paraId="3D5A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D38D71F">
            <w:pPr>
              <w:ind w:firstLine="0" w:firstLineChars="0"/>
              <w:jc w:val="left"/>
              <w:rPr>
                <w:color w:val="auto"/>
                <w:highlight w:val="none"/>
              </w:rPr>
            </w:pPr>
            <w:r>
              <w:rPr>
                <w:rFonts w:hint="eastAsia"/>
                <w:color w:val="auto"/>
                <w:highlight w:val="none"/>
              </w:rPr>
              <w:t>8.3 采购人联系方式</w:t>
            </w:r>
          </w:p>
        </w:tc>
      </w:tr>
      <w:tr w14:paraId="322C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91BD731">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14:paraId="724791BF">
            <w:pPr>
              <w:ind w:firstLine="0" w:firstLineChars="0"/>
              <w:jc w:val="left"/>
              <w:rPr>
                <w:rFonts w:cs="宋体"/>
                <w:color w:val="auto"/>
                <w:szCs w:val="21"/>
                <w:highlight w:val="none"/>
              </w:rPr>
            </w:pPr>
            <w:r>
              <w:rPr>
                <w:rFonts w:hint="eastAsia"/>
                <w:color w:val="auto"/>
                <w:highlight w:val="none"/>
              </w:rPr>
              <w:t>联系方式：023-88890395</w:t>
            </w:r>
          </w:p>
        </w:tc>
      </w:tr>
      <w:tr w14:paraId="6349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0A9AFDB">
            <w:pPr>
              <w:ind w:firstLine="0" w:firstLineChars="0"/>
              <w:jc w:val="left"/>
              <w:rPr>
                <w:color w:val="auto"/>
                <w:highlight w:val="none"/>
              </w:rPr>
            </w:pPr>
            <w:r>
              <w:rPr>
                <w:rFonts w:hint="eastAsia"/>
                <w:color w:val="auto"/>
                <w:highlight w:val="none"/>
              </w:rPr>
              <w:t>采购人地址：重庆市渝北区嘉州路88号中渝国际都会4号写字楼21层</w:t>
            </w:r>
          </w:p>
        </w:tc>
      </w:tr>
    </w:tbl>
    <w:p w14:paraId="45767466">
      <w:pPr>
        <w:rPr>
          <w:color w:val="auto"/>
          <w:highlight w:val="none"/>
        </w:rPr>
      </w:pPr>
    </w:p>
    <w:p w14:paraId="39328CFD">
      <w:pPr>
        <w:rPr>
          <w:rFonts w:hint="default" w:eastAsia="宋体"/>
          <w:color w:val="auto"/>
          <w:highlight w:val="none"/>
          <w:lang w:val="en-US" w:eastAsia="zh-CN"/>
        </w:rPr>
      </w:pPr>
      <w:r>
        <w:rPr>
          <w:rFonts w:hint="eastAsia"/>
          <w:color w:val="auto"/>
          <w:highlight w:val="none"/>
          <w:lang w:val="en-US" w:eastAsia="zh-CN"/>
        </w:rPr>
        <w:t>附件：</w:t>
      </w:r>
      <w:r>
        <w:rPr>
          <w:rFonts w:ascii="Times New Roman" w:hAnsi="Times New Roman" w:eastAsia="宋体" w:cs="Cambria Math"/>
          <w:b w:val="0"/>
          <w:bCs w:val="0"/>
          <w:color w:val="auto"/>
          <w:kern w:val="2"/>
          <w:sz w:val="21"/>
          <w:szCs w:val="18"/>
          <w:highlight w:val="none"/>
          <w:lang w:val="en-US" w:eastAsia="zh-CN" w:bidi="ar-SA"/>
        </w:rPr>
        <w:t>重庆三峡银行</w:t>
      </w:r>
      <w:r>
        <w:rPr>
          <w:rFonts w:hint="eastAsia" w:ascii="Times New Roman" w:hAnsi="Times New Roman" w:eastAsia="宋体" w:cs="Cambria Math"/>
          <w:b w:val="0"/>
          <w:bCs w:val="0"/>
          <w:color w:val="auto"/>
          <w:kern w:val="2"/>
          <w:sz w:val="21"/>
          <w:szCs w:val="18"/>
          <w:highlight w:val="none"/>
          <w:lang w:val="en-US" w:eastAsia="zh-CN" w:bidi="ar-SA"/>
        </w:rPr>
        <w:t>分布式块存储项目（第二次）</w:t>
      </w:r>
      <w:r>
        <w:rPr>
          <w:rFonts w:hint="eastAsia" w:cs="Cambria Math"/>
          <w:b w:val="0"/>
          <w:bCs w:val="0"/>
          <w:color w:val="auto"/>
          <w:kern w:val="2"/>
          <w:sz w:val="21"/>
          <w:szCs w:val="18"/>
          <w:highlight w:val="none"/>
          <w:lang w:val="en-US" w:eastAsia="zh-CN" w:bidi="ar-SA"/>
        </w:rPr>
        <w:t>询比文件</w:t>
      </w:r>
    </w:p>
    <w:p w14:paraId="79F43064">
      <w:pPr>
        <w:rPr>
          <w:color w:val="auto"/>
          <w:highlight w:val="none"/>
        </w:rPr>
      </w:pPr>
    </w:p>
    <w:p w14:paraId="56EBB650">
      <w:pPr>
        <w:spacing w:line="240" w:lineRule="auto"/>
        <w:ind w:firstLine="0" w:firstLineChars="0"/>
        <w:jc w:val="right"/>
        <w:rPr>
          <w:color w:val="auto"/>
          <w:highlight w:val="none"/>
        </w:rPr>
      </w:pPr>
      <w:r>
        <w:rPr>
          <w:rFonts w:hint="eastAsia"/>
          <w:color w:val="auto"/>
          <w:highlight w:val="none"/>
        </w:rPr>
        <w:t>重庆三峡银行股份有限公司</w:t>
      </w:r>
    </w:p>
    <w:p w14:paraId="15EDDD9D">
      <w:pPr>
        <w:jc w:val="right"/>
        <w:rPr>
          <w:rFonts w:hint="eastAsia"/>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p>
    <w:p w14:paraId="1C8A408A">
      <w:bookmarkStart w:id="28" w:name="_GoBack"/>
      <w:bookmarkEnd w:id="28"/>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3507">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DD649">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FDD649">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40694"/>
    <w:rsid w:val="09AD738E"/>
    <w:rsid w:val="0AC7217B"/>
    <w:rsid w:val="130059ED"/>
    <w:rsid w:val="24A51F50"/>
    <w:rsid w:val="2BD857E1"/>
    <w:rsid w:val="334F6C71"/>
    <w:rsid w:val="40993106"/>
    <w:rsid w:val="65240694"/>
    <w:rsid w:val="6E9C129B"/>
    <w:rsid w:val="714B7C09"/>
    <w:rsid w:val="7C1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keepNext w:val="0"/>
      <w:keepLines w:val="0"/>
      <w:spacing w:beforeLines="0" w:beforeAutospacing="0" w:afterLines="0" w:afterAutospacing="0" w:line="600" w:lineRule="exact"/>
      <w:ind w:firstLine="0" w:firstLineChars="0"/>
      <w:outlineLvl w:val="0"/>
    </w:pPr>
    <w:rPr>
      <w:rFonts w:eastAsia="方正黑体_GBK"/>
      <w:kern w:val="44"/>
    </w:rPr>
  </w:style>
  <w:style w:type="paragraph" w:styleId="3">
    <w:name w:val="heading 2"/>
    <w:basedOn w:val="1"/>
    <w:next w:val="1"/>
    <w:semiHidden/>
    <w:unhideWhenUsed/>
    <w:qFormat/>
    <w:uiPriority w:val="0"/>
    <w:pPr>
      <w:keepNext w:val="0"/>
      <w:keepLines w:val="0"/>
      <w:spacing w:beforeLines="0" w:beforeAutospacing="0" w:afterLines="0" w:afterAutospacing="0" w:line="600" w:lineRule="exact"/>
      <w:ind w:firstLine="640" w:firstLineChars="200"/>
      <w:outlineLvl w:val="1"/>
    </w:pPr>
    <w:rPr>
      <w:rFonts w:ascii="Arial" w:hAnsi="Arial" w:eastAsia="方正楷体_GBK"/>
    </w:rPr>
  </w:style>
  <w:style w:type="paragraph" w:styleId="4">
    <w:name w:val="heading 3"/>
    <w:basedOn w:val="1"/>
    <w:next w:val="1"/>
    <w:semiHidden/>
    <w:unhideWhenUsed/>
    <w:qFormat/>
    <w:uiPriority w:val="0"/>
    <w:pPr>
      <w:keepNext w:val="0"/>
      <w:keepLines w:val="0"/>
      <w:spacing w:beforeLines="0" w:beforeAutospacing="0" w:afterLines="0" w:afterAutospacing="0" w:line="600" w:lineRule="exact"/>
      <w:ind w:firstLine="640" w:firstLineChars="200"/>
      <w:outlineLvl w:val="2"/>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表格（标题）"/>
    <w:basedOn w:val="1"/>
    <w:qFormat/>
    <w:uiPriority w:val="0"/>
    <w:pPr>
      <w:spacing w:line="240" w:lineRule="auto"/>
      <w:ind w:firstLine="0" w:firstLineChars="0"/>
      <w:jc w:val="center"/>
    </w:pPr>
    <w:rPr>
      <w:b/>
      <w:bCs/>
      <w:szCs w:val="18"/>
    </w:rPr>
  </w:style>
  <w:style w:type="paragraph" w:customStyle="1" w:styleId="9">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2377</Words>
  <Characters>2712</Characters>
  <Lines>0</Lines>
  <Paragraphs>0</Paragraphs>
  <TotalTime>0</TotalTime>
  <ScaleCrop>false</ScaleCrop>
  <LinksUpToDate>false</LinksUpToDate>
  <CharactersWithSpaces>2806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2025-08-14T02:58:00Z</dcterms:created>
  <dc:creator>交易中心-罗</dc:creator>
  <cp:lastModifiedBy>交易中心-罗</cp:lastModifiedBy>
  <dcterms:modified xsi:type="dcterms:W3CDTF">2025-09-05T01:31:38Z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19FE93226CA644E99BB3DD2D4739C657_11</vt:lpwstr>
  </property>
  <property fmtid="{D5CDD505-2E9C-101B-9397-08002B2CF9AE}" pid="4" name="KSOTemplateDocerSaveRecord">
    <vt:lpwstr>eyJoZGlkIjoiYTQ5ZmY1ODA0NTUyNTIzOGU4NGRmM2JhYjg3Y2Q0YjMiLCJ1c2VySWQiOiIxNTcyMDkyNjg5In0=</vt:lpwstr>
  </property>
</Properties>
</file>