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83B4B">
      <w:pPr>
        <w:autoSpaceDE w:val="0"/>
        <w:autoSpaceDN w:val="0"/>
        <w:spacing w:line="360" w:lineRule="auto"/>
        <w:jc w:val="center"/>
        <w:rPr>
          <w:rFonts w:ascii="Times New Roman" w:hAnsi="Times New Roman" w:cs="Times New Roman"/>
          <w:b/>
          <w:bCs/>
          <w:snapToGrid w:val="0"/>
          <w:kern w:val="0"/>
          <w:sz w:val="48"/>
          <w:szCs w:val="84"/>
        </w:rPr>
      </w:pPr>
      <w:r>
        <w:rPr>
          <w:rFonts w:hint="eastAsia" w:ascii="Times New Roman" w:hAnsi="Times New Roman" w:cs="Times New Roman"/>
          <w:b/>
          <w:bCs/>
          <w:snapToGrid w:val="0"/>
          <w:kern w:val="0"/>
          <w:sz w:val="48"/>
          <w:szCs w:val="84"/>
        </w:rPr>
        <w:t>重庆三峡银行</w:t>
      </w:r>
    </w:p>
    <w:p w14:paraId="6357F75E">
      <w:pPr>
        <w:autoSpaceDE w:val="0"/>
        <w:autoSpaceDN w:val="0"/>
        <w:spacing w:line="360" w:lineRule="auto"/>
        <w:jc w:val="center"/>
        <w:rPr>
          <w:rFonts w:ascii="Times New Roman" w:hAnsi="Times New Roman" w:cs="Times New Roman"/>
          <w:b/>
          <w:bCs/>
          <w:snapToGrid w:val="0"/>
          <w:kern w:val="0"/>
          <w:sz w:val="48"/>
          <w:szCs w:val="84"/>
          <w:highlight w:val="cyan"/>
        </w:rPr>
      </w:pPr>
      <w:bookmarkStart w:id="0" w:name="OLE_LINK1"/>
      <w:bookmarkStart w:id="1" w:name="OLE_LINK2"/>
      <w:r>
        <w:rPr>
          <w:rFonts w:hint="eastAsia" w:ascii="Times New Roman" w:hAnsi="Times New Roman" w:cs="Times New Roman"/>
          <w:b/>
          <w:bCs/>
          <w:snapToGrid w:val="0"/>
          <w:kern w:val="0"/>
          <w:sz w:val="48"/>
          <w:szCs w:val="84"/>
        </w:rPr>
        <w:t>2025年金融债券联席主承销商补充选聘项目</w:t>
      </w:r>
    </w:p>
    <w:bookmarkEnd w:id="0"/>
    <w:bookmarkEnd w:id="1"/>
    <w:p w14:paraId="54D8FE5E">
      <w:pPr>
        <w:autoSpaceDE w:val="0"/>
        <w:autoSpaceDN w:val="0"/>
        <w:spacing w:line="360" w:lineRule="auto"/>
        <w:ind w:firstLine="420" w:firstLineChars="200"/>
        <w:rPr>
          <w:rFonts w:ascii="Times New Roman" w:hAnsi="Times New Roman" w:cs="Cambria Math"/>
          <w:bCs/>
          <w:szCs w:val="18"/>
        </w:rPr>
      </w:pPr>
    </w:p>
    <w:p w14:paraId="2C2133F4">
      <w:pPr>
        <w:autoSpaceDE w:val="0"/>
        <w:autoSpaceDN w:val="0"/>
        <w:spacing w:line="360" w:lineRule="auto"/>
        <w:ind w:firstLine="420" w:firstLineChars="200"/>
        <w:rPr>
          <w:rFonts w:ascii="Times New Roman" w:hAnsi="Times New Roman" w:cs="Cambria Math"/>
          <w:bCs/>
          <w:szCs w:val="18"/>
        </w:rPr>
      </w:pPr>
    </w:p>
    <w:p w14:paraId="2B9BFFFA">
      <w:pPr>
        <w:autoSpaceDE w:val="0"/>
        <w:autoSpaceDN w:val="0"/>
        <w:spacing w:line="360" w:lineRule="auto"/>
        <w:ind w:firstLine="420" w:firstLineChars="200"/>
        <w:rPr>
          <w:rFonts w:ascii="Times New Roman" w:hAnsi="Times New Roman" w:cs="Cambria Math"/>
          <w:bCs/>
          <w:szCs w:val="18"/>
        </w:rPr>
      </w:pPr>
    </w:p>
    <w:p w14:paraId="6F50D2C1">
      <w:pPr>
        <w:autoSpaceDE w:val="0"/>
        <w:autoSpaceDN w:val="0"/>
        <w:spacing w:line="360" w:lineRule="auto"/>
        <w:ind w:firstLine="420" w:firstLineChars="200"/>
        <w:rPr>
          <w:rFonts w:ascii="Times New Roman" w:hAnsi="Times New Roman" w:cs="Cambria Math"/>
          <w:bCs/>
          <w:szCs w:val="18"/>
        </w:rPr>
      </w:pPr>
    </w:p>
    <w:p w14:paraId="3BA38A86">
      <w:pPr>
        <w:autoSpaceDE w:val="0"/>
        <w:autoSpaceDN w:val="0"/>
        <w:spacing w:line="360" w:lineRule="auto"/>
        <w:ind w:firstLine="420" w:firstLineChars="200"/>
        <w:rPr>
          <w:rFonts w:ascii="Times New Roman" w:hAnsi="Times New Roman" w:cs="Cambria Math"/>
          <w:bCs/>
          <w:szCs w:val="18"/>
        </w:rPr>
      </w:pPr>
    </w:p>
    <w:p w14:paraId="72ABE036">
      <w:pPr>
        <w:autoSpaceDE w:val="0"/>
        <w:autoSpaceDN w:val="0"/>
        <w:spacing w:line="360" w:lineRule="auto"/>
        <w:ind w:firstLine="420" w:firstLineChars="200"/>
        <w:rPr>
          <w:rFonts w:ascii="Times New Roman" w:hAnsi="Times New Roman" w:cs="Cambria Math"/>
          <w:bCs/>
          <w:szCs w:val="18"/>
        </w:rPr>
      </w:pPr>
    </w:p>
    <w:p w14:paraId="31D73E14">
      <w:pPr>
        <w:autoSpaceDE w:val="0"/>
        <w:autoSpaceDN w:val="0"/>
        <w:spacing w:line="360" w:lineRule="auto"/>
        <w:ind w:firstLine="420" w:firstLineChars="200"/>
        <w:rPr>
          <w:rFonts w:ascii="Times New Roman" w:hAnsi="Times New Roman" w:cs="Cambria Math"/>
          <w:bCs/>
          <w:szCs w:val="18"/>
        </w:rPr>
      </w:pPr>
    </w:p>
    <w:p w14:paraId="4AB19E0E">
      <w:pPr>
        <w:autoSpaceDE w:val="0"/>
        <w:autoSpaceDN w:val="0"/>
        <w:spacing w:line="360" w:lineRule="auto"/>
        <w:jc w:val="center"/>
        <w:rPr>
          <w:rFonts w:ascii="Times New Roman" w:hAnsi="Times New Roman" w:cs="Times New Roman"/>
          <w:b/>
          <w:bCs/>
          <w:snapToGrid w:val="0"/>
          <w:kern w:val="0"/>
          <w:sz w:val="84"/>
          <w:szCs w:val="84"/>
        </w:rPr>
      </w:pPr>
      <w:r>
        <w:rPr>
          <w:rFonts w:hint="eastAsia" w:ascii="Times New Roman" w:hAnsi="Times New Roman" w:cs="Times New Roman"/>
          <w:b/>
          <w:bCs/>
          <w:snapToGrid w:val="0"/>
          <w:kern w:val="0"/>
          <w:sz w:val="96"/>
          <w:szCs w:val="96"/>
        </w:rPr>
        <w:t>询比文件</w:t>
      </w:r>
    </w:p>
    <w:p w14:paraId="146ABAC2">
      <w:pPr>
        <w:autoSpaceDE w:val="0"/>
        <w:autoSpaceDN w:val="0"/>
        <w:spacing w:line="360" w:lineRule="auto"/>
        <w:ind w:firstLine="420" w:firstLineChars="200"/>
        <w:rPr>
          <w:rFonts w:ascii="Times New Roman" w:hAnsi="Times New Roman" w:cs="Cambria Math"/>
          <w:bCs/>
          <w:szCs w:val="18"/>
        </w:rPr>
      </w:pPr>
    </w:p>
    <w:p w14:paraId="326FF1CD">
      <w:pPr>
        <w:autoSpaceDE w:val="0"/>
        <w:autoSpaceDN w:val="0"/>
        <w:spacing w:line="360" w:lineRule="auto"/>
        <w:ind w:firstLine="420" w:firstLineChars="200"/>
        <w:rPr>
          <w:rFonts w:ascii="Times New Roman" w:hAnsi="Times New Roman" w:cs="Cambria Math"/>
          <w:bCs/>
          <w:szCs w:val="18"/>
        </w:rPr>
      </w:pPr>
    </w:p>
    <w:p w14:paraId="5C05DF91">
      <w:pPr>
        <w:autoSpaceDE w:val="0"/>
        <w:autoSpaceDN w:val="0"/>
        <w:spacing w:line="360" w:lineRule="auto"/>
        <w:ind w:firstLine="420" w:firstLineChars="200"/>
        <w:rPr>
          <w:rFonts w:ascii="Times New Roman" w:hAnsi="Times New Roman" w:cs="Cambria Math"/>
          <w:bCs/>
          <w:szCs w:val="18"/>
        </w:rPr>
      </w:pPr>
    </w:p>
    <w:p w14:paraId="1A58BB9F">
      <w:pPr>
        <w:autoSpaceDE w:val="0"/>
        <w:autoSpaceDN w:val="0"/>
        <w:spacing w:line="360" w:lineRule="auto"/>
        <w:ind w:firstLine="420" w:firstLineChars="200"/>
        <w:rPr>
          <w:rFonts w:ascii="Times New Roman" w:hAnsi="Times New Roman" w:cs="Cambria Math"/>
          <w:bCs/>
          <w:szCs w:val="18"/>
        </w:rPr>
      </w:pPr>
    </w:p>
    <w:p w14:paraId="08D54A5C">
      <w:pPr>
        <w:autoSpaceDE w:val="0"/>
        <w:autoSpaceDN w:val="0"/>
        <w:spacing w:line="360" w:lineRule="auto"/>
        <w:ind w:firstLine="420" w:firstLineChars="200"/>
        <w:rPr>
          <w:rFonts w:ascii="Times New Roman" w:hAnsi="Times New Roman" w:cs="Cambria Math"/>
          <w:bCs/>
          <w:szCs w:val="18"/>
        </w:rPr>
      </w:pPr>
    </w:p>
    <w:p w14:paraId="71ACF4D6">
      <w:pPr>
        <w:autoSpaceDE w:val="0"/>
        <w:autoSpaceDN w:val="0"/>
        <w:spacing w:line="360" w:lineRule="auto"/>
        <w:ind w:firstLine="420" w:firstLineChars="200"/>
        <w:rPr>
          <w:rFonts w:ascii="Times New Roman" w:hAnsi="Times New Roman" w:cs="Cambria Math"/>
          <w:bCs/>
          <w:szCs w:val="18"/>
        </w:rPr>
      </w:pPr>
    </w:p>
    <w:p w14:paraId="57B954EC">
      <w:pPr>
        <w:autoSpaceDE w:val="0"/>
        <w:autoSpaceDN w:val="0"/>
        <w:spacing w:line="360" w:lineRule="auto"/>
        <w:ind w:firstLine="420" w:firstLineChars="200"/>
        <w:rPr>
          <w:rFonts w:ascii="Times New Roman" w:hAnsi="Times New Roman" w:cs="Cambria Math"/>
          <w:bCs/>
          <w:szCs w:val="18"/>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B90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C37079B">
            <w:pPr>
              <w:autoSpaceDE w:val="0"/>
              <w:autoSpaceDN w:val="0"/>
              <w:spacing w:line="360" w:lineRule="auto"/>
              <w:jc w:val="distribute"/>
              <w:rPr>
                <w:rFonts w:ascii="Times New Roman" w:hAnsi="Times New Roman" w:cs="Times New Roman"/>
                <w:b/>
                <w:bCs/>
                <w:snapToGrid w:val="0"/>
                <w:kern w:val="0"/>
                <w:sz w:val="30"/>
                <w:szCs w:val="30"/>
              </w:rPr>
            </w:pPr>
            <w:r>
              <w:rPr>
                <w:rFonts w:hint="eastAsia" w:ascii="Times New Roman" w:hAnsi="Times New Roman" w:cs="Times New Roman"/>
                <w:b/>
                <w:bCs/>
                <w:snapToGrid w:val="0"/>
                <w:kern w:val="0"/>
                <w:sz w:val="30"/>
                <w:szCs w:val="30"/>
              </w:rPr>
              <w:t>采购人</w:t>
            </w:r>
          </w:p>
        </w:tc>
        <w:tc>
          <w:tcPr>
            <w:tcW w:w="4744" w:type="dxa"/>
            <w:tcBorders>
              <w:tl2br w:val="nil"/>
              <w:tr2bl w:val="nil"/>
            </w:tcBorders>
            <w:vAlign w:val="center"/>
          </w:tcPr>
          <w:p w14:paraId="1987609B">
            <w:pPr>
              <w:autoSpaceDE w:val="0"/>
              <w:autoSpaceDN w:val="0"/>
              <w:spacing w:line="360" w:lineRule="auto"/>
              <w:jc w:val="center"/>
              <w:rPr>
                <w:rFonts w:ascii="Times New Roman" w:hAnsi="Times New Roman" w:cs="Times New Roman"/>
                <w:b/>
                <w:bCs/>
                <w:snapToGrid w:val="0"/>
                <w:kern w:val="0"/>
                <w:sz w:val="30"/>
                <w:szCs w:val="30"/>
              </w:rPr>
            </w:pPr>
            <w:r>
              <w:rPr>
                <w:rFonts w:hint="eastAsia" w:ascii="Times New Roman" w:hAnsi="Times New Roman" w:cs="Times New Roman"/>
                <w:b/>
                <w:bCs/>
                <w:snapToGrid w:val="0"/>
                <w:kern w:val="0"/>
                <w:sz w:val="30"/>
                <w:szCs w:val="30"/>
              </w:rPr>
              <w:t>重庆三峡银行股份有限公司</w:t>
            </w:r>
          </w:p>
        </w:tc>
        <w:tc>
          <w:tcPr>
            <w:tcW w:w="2020" w:type="dxa"/>
            <w:vMerge w:val="restart"/>
            <w:tcBorders>
              <w:tl2br w:val="nil"/>
              <w:tr2bl w:val="nil"/>
            </w:tcBorders>
            <w:vAlign w:val="center"/>
          </w:tcPr>
          <w:p w14:paraId="0CB60874">
            <w:pPr>
              <w:autoSpaceDE w:val="0"/>
              <w:autoSpaceDN w:val="0"/>
              <w:spacing w:line="360" w:lineRule="auto"/>
              <w:jc w:val="center"/>
              <w:rPr>
                <w:rFonts w:ascii="Times New Roman" w:hAnsi="Times New Roman" w:cs="Times New Roman"/>
                <w:b/>
                <w:bCs/>
                <w:snapToGrid w:val="0"/>
                <w:kern w:val="0"/>
                <w:sz w:val="30"/>
                <w:szCs w:val="30"/>
              </w:rPr>
            </w:pPr>
            <w:r>
              <w:rPr>
                <w:rFonts w:hint="eastAsia" w:ascii="Times New Roman" w:hAnsi="Times New Roman" w:cs="Times New Roman"/>
                <w:bCs/>
                <w:snapToGrid w:val="0"/>
                <w:kern w:val="0"/>
                <w:sz w:val="24"/>
                <w:szCs w:val="24"/>
              </w:rPr>
              <w:t>（采购人公章）</w:t>
            </w:r>
          </w:p>
        </w:tc>
      </w:tr>
      <w:tr w14:paraId="73654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8ACCD7A">
            <w:pPr>
              <w:autoSpaceDE w:val="0"/>
              <w:autoSpaceDN w:val="0"/>
              <w:spacing w:line="360" w:lineRule="auto"/>
              <w:jc w:val="distribute"/>
              <w:rPr>
                <w:rFonts w:ascii="Times New Roman" w:hAnsi="Times New Roman" w:cs="Times New Roman"/>
                <w:b/>
                <w:bCs/>
                <w:snapToGrid w:val="0"/>
                <w:kern w:val="0"/>
                <w:sz w:val="30"/>
                <w:szCs w:val="30"/>
              </w:rPr>
            </w:pPr>
            <w:r>
              <w:rPr>
                <w:rFonts w:hint="eastAsia" w:ascii="Times New Roman" w:hAnsi="Times New Roman" w:cs="Times New Roman"/>
                <w:b/>
                <w:bCs/>
                <w:snapToGrid w:val="0"/>
                <w:kern w:val="0"/>
                <w:sz w:val="30"/>
                <w:szCs w:val="30"/>
              </w:rPr>
              <w:t>发布时间</w:t>
            </w:r>
          </w:p>
        </w:tc>
        <w:tc>
          <w:tcPr>
            <w:tcW w:w="4744" w:type="dxa"/>
            <w:tcBorders>
              <w:tl2br w:val="nil"/>
              <w:tr2bl w:val="nil"/>
            </w:tcBorders>
            <w:vAlign w:val="center"/>
          </w:tcPr>
          <w:p w14:paraId="0A8344BE">
            <w:pPr>
              <w:autoSpaceDE w:val="0"/>
              <w:autoSpaceDN w:val="0"/>
              <w:spacing w:line="360" w:lineRule="auto"/>
              <w:jc w:val="center"/>
              <w:rPr>
                <w:rFonts w:ascii="Times New Roman" w:hAnsi="Times New Roman" w:cs="Times New Roman"/>
                <w:b/>
                <w:bCs/>
                <w:snapToGrid w:val="0"/>
                <w:kern w:val="0"/>
                <w:sz w:val="30"/>
                <w:szCs w:val="30"/>
              </w:rPr>
            </w:pPr>
            <w:r>
              <w:rPr>
                <w:rFonts w:hint="eastAsia" w:ascii="Times New Roman" w:hAnsi="Times New Roman" w:cs="Times New Roman"/>
                <w:b/>
                <w:bCs/>
                <w:snapToGrid w:val="0"/>
                <w:kern w:val="0"/>
                <w:sz w:val="30"/>
                <w:szCs w:val="30"/>
              </w:rPr>
              <w:t>2025</w:t>
            </w:r>
            <w:r>
              <w:rPr>
                <w:rFonts w:ascii="Times New Roman" w:hAnsi="Times New Roman" w:cs="Times New Roman"/>
                <w:b/>
                <w:bCs/>
                <w:snapToGrid w:val="0"/>
                <w:kern w:val="0"/>
                <w:sz w:val="30"/>
                <w:szCs w:val="30"/>
              </w:rPr>
              <w:t>年</w:t>
            </w:r>
            <w:r>
              <w:rPr>
                <w:rFonts w:hint="eastAsia" w:ascii="Times New Roman" w:hAnsi="Times New Roman" w:cs="Times New Roman"/>
                <w:b/>
                <w:bCs/>
                <w:snapToGrid w:val="0"/>
                <w:kern w:val="0"/>
                <w:sz w:val="30"/>
                <w:szCs w:val="30"/>
                <w:lang w:val="en-US" w:eastAsia="zh-CN"/>
              </w:rPr>
              <w:t>6</w:t>
            </w:r>
            <w:r>
              <w:rPr>
                <w:rFonts w:ascii="Times New Roman" w:hAnsi="Times New Roman" w:cs="Times New Roman"/>
                <w:b/>
                <w:bCs/>
                <w:snapToGrid w:val="0"/>
                <w:kern w:val="0"/>
                <w:sz w:val="30"/>
                <w:szCs w:val="30"/>
              </w:rPr>
              <w:t>月</w:t>
            </w:r>
          </w:p>
        </w:tc>
        <w:tc>
          <w:tcPr>
            <w:tcW w:w="2020" w:type="dxa"/>
            <w:vMerge w:val="continue"/>
            <w:tcBorders>
              <w:tl2br w:val="nil"/>
              <w:tr2bl w:val="nil"/>
            </w:tcBorders>
            <w:vAlign w:val="center"/>
          </w:tcPr>
          <w:p w14:paraId="7CEEA5DA">
            <w:pPr>
              <w:autoSpaceDE w:val="0"/>
              <w:autoSpaceDN w:val="0"/>
              <w:spacing w:line="360" w:lineRule="auto"/>
              <w:jc w:val="center"/>
              <w:rPr>
                <w:rFonts w:ascii="Times New Roman" w:hAnsi="Times New Roman" w:cs="Times New Roman"/>
                <w:b/>
                <w:bCs/>
                <w:snapToGrid w:val="0"/>
                <w:kern w:val="0"/>
                <w:sz w:val="30"/>
                <w:szCs w:val="30"/>
              </w:rPr>
            </w:pPr>
          </w:p>
        </w:tc>
      </w:tr>
    </w:tbl>
    <w:p w14:paraId="05F4E904">
      <w:pPr>
        <w:autoSpaceDE w:val="0"/>
        <w:autoSpaceDN w:val="0"/>
        <w:spacing w:line="360" w:lineRule="auto"/>
        <w:ind w:firstLine="420" w:firstLineChars="200"/>
        <w:rPr>
          <w:rFonts w:ascii="Times New Roman" w:hAnsi="Times New Roman" w:cs="Cambria Math"/>
          <w:bCs/>
          <w:szCs w:val="18"/>
        </w:rPr>
      </w:pPr>
    </w:p>
    <w:p w14:paraId="5AE20693">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pgNumType w:start="1"/>
          <w:cols w:space="720" w:num="1"/>
          <w:docGrid w:type="lines" w:linePitch="312" w:charSpace="0"/>
        </w:sectPr>
      </w:pPr>
    </w:p>
    <w:p w14:paraId="12A97EC3">
      <w:pPr>
        <w:autoSpaceDE w:val="0"/>
        <w:autoSpaceDN w:val="0"/>
        <w:spacing w:line="360" w:lineRule="auto"/>
        <w:jc w:val="center"/>
        <w:rPr>
          <w:rFonts w:ascii="Times New Roman" w:hAnsi="Times New Roman" w:cs="Times New Roman"/>
          <w:b/>
          <w:bCs/>
          <w:snapToGrid w:val="0"/>
          <w:kern w:val="0"/>
          <w:sz w:val="48"/>
          <w:szCs w:val="84"/>
        </w:rPr>
      </w:pPr>
      <w:r>
        <w:rPr>
          <w:rFonts w:ascii="Times New Roman" w:hAnsi="Times New Roman" w:cs="Times New Roman"/>
          <w:b/>
          <w:bCs/>
          <w:snapToGrid w:val="0"/>
          <w:kern w:val="0"/>
          <w:sz w:val="48"/>
          <w:szCs w:val="84"/>
        </w:rPr>
        <w:t>目录</w:t>
      </w:r>
    </w:p>
    <w:p w14:paraId="383F0C59">
      <w:pPr>
        <w:tabs>
          <w:tab w:val="right" w:leader="dot" w:pos="8306"/>
        </w:tabs>
        <w:autoSpaceDE w:val="0"/>
        <w:autoSpaceDN w:val="0"/>
        <w:spacing w:line="360" w:lineRule="auto"/>
        <w:ind w:firstLine="480" w:firstLineChars="200"/>
        <w:rPr>
          <w:rFonts w:ascii="Times New Roman" w:hAnsi="Times New Roman" w:cs="Cambria Math"/>
          <w:bCs/>
          <w:szCs w:val="18"/>
        </w:rPr>
      </w:pPr>
      <w:r>
        <w:rPr>
          <w:rFonts w:ascii="Times New Roman" w:hAnsi="Times New Roman" w:cs="Cambria Math"/>
          <w:bCs/>
          <w:snapToGrid w:val="0"/>
          <w:kern w:val="0"/>
          <w:sz w:val="24"/>
          <w:szCs w:val="18"/>
        </w:rPr>
        <w:fldChar w:fldCharType="begin"/>
      </w:r>
      <w:r>
        <w:rPr>
          <w:rFonts w:hint="eastAsia" w:ascii="Times New Roman" w:hAnsi="Times New Roman" w:cs="Cambria Math"/>
          <w:bCs/>
          <w:snapToGrid w:val="0"/>
          <w:kern w:val="0"/>
          <w:sz w:val="24"/>
          <w:szCs w:val="18"/>
        </w:rPr>
        <w:instrText xml:space="preserve">TOC \o "1-1" \h \z \u</w:instrText>
      </w:r>
      <w:r>
        <w:rPr>
          <w:rFonts w:ascii="Times New Roman" w:hAnsi="Times New Roman" w:cs="Cambria Math"/>
          <w:bCs/>
          <w:snapToGrid w:val="0"/>
          <w:kern w:val="0"/>
          <w:sz w:val="24"/>
          <w:szCs w:val="18"/>
        </w:rPr>
        <w:fldChar w:fldCharType="separate"/>
      </w:r>
      <w:r>
        <w:fldChar w:fldCharType="begin"/>
      </w:r>
      <w:r>
        <w:instrText xml:space="preserve"> HYPERLINK \l "_Toc18853" </w:instrText>
      </w:r>
      <w:r>
        <w:fldChar w:fldCharType="separate"/>
      </w:r>
      <w:r>
        <w:rPr>
          <w:rFonts w:hint="eastAsia" w:ascii="Times New Roman" w:hAnsi="Times New Roman" w:cs="Cambria Math"/>
          <w:bCs/>
          <w:szCs w:val="18"/>
        </w:rPr>
        <w:t>第一章询比公告</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_Toc18853 \h </w:instrText>
      </w:r>
      <w:r>
        <w:rPr>
          <w:rFonts w:ascii="Times New Roman" w:hAnsi="Times New Roman" w:cs="Cambria Math"/>
          <w:bCs/>
          <w:szCs w:val="18"/>
        </w:rPr>
        <w:fldChar w:fldCharType="separate"/>
      </w:r>
      <w:r>
        <w:rPr>
          <w:rFonts w:ascii="Times New Roman" w:hAnsi="Times New Roman" w:cs="Cambria Math"/>
          <w:bCs/>
          <w:szCs w:val="18"/>
        </w:rPr>
        <w:t>1</w:t>
      </w:r>
      <w:r>
        <w:rPr>
          <w:rFonts w:ascii="Times New Roman" w:hAnsi="Times New Roman" w:cs="Cambria Math"/>
          <w:bCs/>
          <w:szCs w:val="18"/>
        </w:rPr>
        <w:fldChar w:fldCharType="end"/>
      </w:r>
      <w:r>
        <w:rPr>
          <w:rFonts w:ascii="Times New Roman" w:hAnsi="Times New Roman" w:cs="Cambria Math"/>
          <w:bCs/>
          <w:szCs w:val="18"/>
        </w:rPr>
        <w:fldChar w:fldCharType="end"/>
      </w:r>
    </w:p>
    <w:p w14:paraId="08482354">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"_Toc10496" </w:instrText>
      </w:r>
      <w:r>
        <w:fldChar w:fldCharType="separate"/>
      </w:r>
      <w:r>
        <w:rPr>
          <w:rFonts w:hint="eastAsia" w:ascii="Times New Roman" w:hAnsi="Times New Roman" w:cs="Cambria Math"/>
          <w:bCs/>
          <w:szCs w:val="18"/>
        </w:rPr>
        <w:t>第二章 响应人须知</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_Toc10496 \h </w:instrText>
      </w:r>
      <w:r>
        <w:rPr>
          <w:rFonts w:ascii="Times New Roman" w:hAnsi="Times New Roman" w:cs="Cambria Math"/>
          <w:bCs/>
          <w:szCs w:val="18"/>
        </w:rPr>
        <w:fldChar w:fldCharType="separate"/>
      </w:r>
      <w:r>
        <w:rPr>
          <w:rFonts w:ascii="Times New Roman" w:hAnsi="Times New Roman" w:cs="Cambria Math"/>
          <w:bCs/>
          <w:szCs w:val="18"/>
        </w:rPr>
        <w:t>5</w:t>
      </w:r>
      <w:r>
        <w:rPr>
          <w:rFonts w:ascii="Times New Roman" w:hAnsi="Times New Roman" w:cs="Cambria Math"/>
          <w:bCs/>
          <w:szCs w:val="18"/>
        </w:rPr>
        <w:fldChar w:fldCharType="end"/>
      </w:r>
      <w:r>
        <w:rPr>
          <w:rFonts w:ascii="Times New Roman" w:hAnsi="Times New Roman" w:cs="Cambria Math"/>
          <w:bCs/>
          <w:szCs w:val="18"/>
        </w:rPr>
        <w:fldChar w:fldCharType="end"/>
      </w:r>
    </w:p>
    <w:p w14:paraId="1A15927C">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"_Toc6917" </w:instrText>
      </w:r>
      <w:r>
        <w:fldChar w:fldCharType="separate"/>
      </w:r>
      <w:r>
        <w:rPr>
          <w:rFonts w:hint="eastAsia" w:ascii="Times New Roman" w:hAnsi="Times New Roman" w:cs="Cambria Math"/>
          <w:bCs/>
          <w:szCs w:val="18"/>
        </w:rPr>
        <w:t>第三章 项目要求</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_Toc6917 \h </w:instrText>
      </w:r>
      <w:r>
        <w:rPr>
          <w:rFonts w:ascii="Times New Roman" w:hAnsi="Times New Roman" w:cs="Cambria Math"/>
          <w:bCs/>
          <w:szCs w:val="18"/>
        </w:rPr>
        <w:fldChar w:fldCharType="separate"/>
      </w:r>
      <w:r>
        <w:rPr>
          <w:rFonts w:ascii="Times New Roman" w:hAnsi="Times New Roman" w:cs="Cambria Math"/>
          <w:bCs/>
          <w:szCs w:val="18"/>
        </w:rPr>
        <w:t>12</w:t>
      </w:r>
      <w:r>
        <w:rPr>
          <w:rFonts w:ascii="Times New Roman" w:hAnsi="Times New Roman" w:cs="Cambria Math"/>
          <w:bCs/>
          <w:szCs w:val="18"/>
        </w:rPr>
        <w:fldChar w:fldCharType="end"/>
      </w:r>
      <w:r>
        <w:rPr>
          <w:rFonts w:ascii="Times New Roman" w:hAnsi="Times New Roman" w:cs="Cambria Math"/>
          <w:bCs/>
          <w:szCs w:val="18"/>
        </w:rPr>
        <w:fldChar w:fldCharType="end"/>
      </w:r>
    </w:p>
    <w:p w14:paraId="1A1D80B6">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"_Toc7079" </w:instrText>
      </w:r>
      <w:r>
        <w:fldChar w:fldCharType="separate"/>
      </w:r>
      <w:r>
        <w:rPr>
          <w:rFonts w:hint="eastAsia" w:ascii="Times New Roman" w:hAnsi="Times New Roman" w:cs="Cambria Math"/>
          <w:bCs/>
          <w:szCs w:val="18"/>
        </w:rPr>
        <w:t>第四章 评审办法（综合评估法）</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_Toc7079 \h </w:instrText>
      </w:r>
      <w:r>
        <w:rPr>
          <w:rFonts w:ascii="Times New Roman" w:hAnsi="Times New Roman" w:cs="Cambria Math"/>
          <w:bCs/>
          <w:szCs w:val="18"/>
        </w:rPr>
        <w:fldChar w:fldCharType="separate"/>
      </w:r>
      <w:r>
        <w:rPr>
          <w:rFonts w:ascii="Times New Roman" w:hAnsi="Times New Roman" w:cs="Cambria Math"/>
          <w:bCs/>
          <w:szCs w:val="18"/>
        </w:rPr>
        <w:t>13</w:t>
      </w:r>
      <w:r>
        <w:rPr>
          <w:rFonts w:ascii="Times New Roman" w:hAnsi="Times New Roman" w:cs="Cambria Math"/>
          <w:bCs/>
          <w:szCs w:val="18"/>
        </w:rPr>
        <w:fldChar w:fldCharType="end"/>
      </w:r>
      <w:r>
        <w:rPr>
          <w:rFonts w:ascii="Times New Roman" w:hAnsi="Times New Roman" w:cs="Cambria Math"/>
          <w:bCs/>
          <w:szCs w:val="18"/>
        </w:rPr>
        <w:fldChar w:fldCharType="end"/>
      </w:r>
    </w:p>
    <w:p w14:paraId="618E27A0">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"_Toc16606" </w:instrText>
      </w:r>
      <w:r>
        <w:fldChar w:fldCharType="separate"/>
      </w:r>
      <w:r>
        <w:rPr>
          <w:rFonts w:hint="eastAsia" w:ascii="Times New Roman" w:hAnsi="Times New Roman" w:cs="Cambria Math"/>
          <w:bCs/>
          <w:szCs w:val="18"/>
        </w:rPr>
        <w:t>第五章 合同</w:t>
      </w:r>
      <w:r>
        <w:rPr>
          <w:rFonts w:ascii="Times New Roman" w:hAnsi="Times New Roman" w:cs="Cambria Math"/>
          <w:bCs/>
          <w:szCs w:val="18"/>
        </w:rPr>
        <w:t>模板</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_Toc16606 \h </w:instrText>
      </w:r>
      <w:r>
        <w:rPr>
          <w:rFonts w:ascii="Times New Roman" w:hAnsi="Times New Roman" w:cs="Cambria Math"/>
          <w:bCs/>
          <w:szCs w:val="18"/>
        </w:rPr>
        <w:fldChar w:fldCharType="separate"/>
      </w:r>
      <w:r>
        <w:rPr>
          <w:rFonts w:ascii="Times New Roman" w:hAnsi="Times New Roman" w:cs="Cambria Math"/>
          <w:bCs/>
          <w:szCs w:val="18"/>
        </w:rPr>
        <w:t>20</w:t>
      </w:r>
      <w:r>
        <w:rPr>
          <w:rFonts w:ascii="Times New Roman" w:hAnsi="Times New Roman" w:cs="Cambria Math"/>
          <w:bCs/>
          <w:szCs w:val="18"/>
        </w:rPr>
        <w:fldChar w:fldCharType="end"/>
      </w:r>
      <w:r>
        <w:rPr>
          <w:rFonts w:ascii="Times New Roman" w:hAnsi="Times New Roman" w:cs="Cambria Math"/>
          <w:bCs/>
          <w:szCs w:val="18"/>
        </w:rPr>
        <w:fldChar w:fldCharType="end"/>
      </w:r>
    </w:p>
    <w:p w14:paraId="2EDE0D52">
      <w:pPr>
        <w:tabs>
          <w:tab w:val="right" w:leader="dot" w:pos="8306"/>
        </w:tabs>
        <w:autoSpaceDE w:val="0"/>
        <w:autoSpaceDN w:val="0"/>
        <w:spacing w:line="360" w:lineRule="auto"/>
        <w:ind w:firstLine="420" w:firstLineChars="200"/>
        <w:rPr>
          <w:rFonts w:ascii="Times New Roman" w:hAnsi="Times New Roman" w:cs="Cambria Math"/>
          <w:bCs/>
          <w:szCs w:val="18"/>
        </w:rPr>
      </w:pPr>
      <w:r>
        <w:fldChar w:fldCharType="begin"/>
      </w:r>
      <w:r>
        <w:instrText xml:space="preserve"> HYPERLINK \l "_Toc6739" </w:instrText>
      </w:r>
      <w:r>
        <w:fldChar w:fldCharType="separate"/>
      </w:r>
      <w:r>
        <w:rPr>
          <w:rFonts w:hint="eastAsia" w:ascii="Times New Roman" w:hAnsi="Times New Roman" w:cs="Cambria Math"/>
          <w:bCs/>
          <w:szCs w:val="18"/>
        </w:rPr>
        <w:t>第六章 响应文件格式</w:t>
      </w:r>
      <w:r>
        <w:rPr>
          <w:rFonts w:ascii="Times New Roman" w:hAnsi="Times New Roman" w:cs="Cambria Math"/>
          <w:bCs/>
          <w:szCs w:val="18"/>
        </w:rPr>
        <w:tab/>
      </w:r>
      <w:r>
        <w:rPr>
          <w:rFonts w:ascii="Times New Roman" w:hAnsi="Times New Roman" w:cs="Cambria Math"/>
          <w:bCs/>
          <w:szCs w:val="18"/>
        </w:rPr>
        <w:fldChar w:fldCharType="begin"/>
      </w:r>
      <w:r>
        <w:rPr>
          <w:rFonts w:ascii="Times New Roman" w:hAnsi="Times New Roman" w:cs="Cambria Math"/>
          <w:bCs/>
          <w:szCs w:val="18"/>
        </w:rPr>
        <w:instrText xml:space="preserve"> PAGEREF _Toc6739 \h </w:instrText>
      </w:r>
      <w:r>
        <w:rPr>
          <w:rFonts w:ascii="Times New Roman" w:hAnsi="Times New Roman" w:cs="Cambria Math"/>
          <w:bCs/>
          <w:szCs w:val="18"/>
        </w:rPr>
        <w:fldChar w:fldCharType="separate"/>
      </w:r>
      <w:r>
        <w:rPr>
          <w:rFonts w:ascii="Times New Roman" w:hAnsi="Times New Roman" w:cs="Cambria Math"/>
          <w:bCs/>
          <w:szCs w:val="18"/>
        </w:rPr>
        <w:t>21</w:t>
      </w:r>
      <w:r>
        <w:rPr>
          <w:rFonts w:ascii="Times New Roman" w:hAnsi="Times New Roman" w:cs="Cambria Math"/>
          <w:bCs/>
          <w:szCs w:val="18"/>
        </w:rPr>
        <w:fldChar w:fldCharType="end"/>
      </w:r>
      <w:r>
        <w:rPr>
          <w:rFonts w:ascii="Times New Roman" w:hAnsi="Times New Roman" w:cs="Cambria Math"/>
          <w:bCs/>
          <w:szCs w:val="18"/>
        </w:rPr>
        <w:fldChar w:fldCharType="end"/>
      </w:r>
    </w:p>
    <w:p w14:paraId="22C0CB76">
      <w:pPr>
        <w:autoSpaceDE w:val="0"/>
        <w:autoSpaceDN w:val="0"/>
        <w:spacing w:line="360" w:lineRule="auto"/>
        <w:ind w:firstLine="420" w:firstLineChars="200"/>
        <w:rPr>
          <w:rFonts w:ascii="Times New Roman" w:hAnsi="Times New Roman" w:cs="Cambria Math"/>
          <w:bCs/>
          <w:snapToGrid w:val="0"/>
          <w:kern w:val="0"/>
          <w:sz w:val="24"/>
          <w:szCs w:val="18"/>
          <w:highlight w:val="yellow"/>
        </w:rPr>
      </w:pPr>
      <w:r>
        <w:rPr>
          <w:rFonts w:ascii="Times New Roman" w:hAnsi="Times New Roman" w:cs="Cambria Math"/>
          <w:bCs/>
          <w:snapToGrid w:val="0"/>
          <w:kern w:val="0"/>
          <w:szCs w:val="18"/>
        </w:rPr>
        <w:fldChar w:fldCharType="end"/>
      </w:r>
    </w:p>
    <w:p w14:paraId="7D3E07CD">
      <w:pPr>
        <w:autoSpaceDE w:val="0"/>
        <w:autoSpaceDN w:val="0"/>
        <w:spacing w:line="360" w:lineRule="auto"/>
        <w:ind w:firstLine="420" w:firstLineChars="200"/>
        <w:rPr>
          <w:rFonts w:ascii="Times New Roman" w:hAnsi="Times New Roman" w:cs="Cambria Math"/>
          <w:bCs/>
          <w:snapToGrid w:val="0"/>
          <w:kern w:val="0"/>
          <w:szCs w:val="18"/>
          <w:highlight w:val="yellow"/>
        </w:rPr>
        <w:sectPr>
          <w:pgSz w:w="11906" w:h="16838"/>
          <w:pgMar w:top="1440" w:right="1800" w:bottom="1440" w:left="1800" w:header="851" w:footer="992" w:gutter="0"/>
          <w:pgNumType w:start="1"/>
          <w:cols w:space="720" w:num="1"/>
          <w:docGrid w:type="lines" w:linePitch="312" w:charSpace="0"/>
        </w:sectPr>
      </w:pPr>
    </w:p>
    <w:p w14:paraId="60F89048">
      <w:pPr>
        <w:autoSpaceDE w:val="0"/>
        <w:autoSpaceDN w:val="0"/>
        <w:spacing w:line="360" w:lineRule="auto"/>
        <w:ind w:firstLine="420" w:firstLineChars="200"/>
        <w:rPr>
          <w:rFonts w:ascii="Times New Roman" w:hAnsi="Times New Roman" w:cs="Cambria Math"/>
          <w:bCs/>
          <w:szCs w:val="18"/>
        </w:rPr>
      </w:pPr>
      <w:bookmarkStart w:id="2" w:name="_Toc6745"/>
      <w:bookmarkStart w:id="3" w:name="_Toc469574661"/>
      <w:bookmarkStart w:id="4" w:name="_Toc440628903"/>
    </w:p>
    <w:p w14:paraId="770EB8DD">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5" w:name="_Toc25883"/>
      <w:bookmarkStart w:id="6" w:name="_Toc18853"/>
      <w:r>
        <w:rPr>
          <w:rFonts w:hint="eastAsia" w:ascii="Times New Roman" w:hAnsi="Times New Roman" w:cs="等线 Light"/>
          <w:b/>
          <w:bCs/>
          <w:snapToGrid w:val="0"/>
          <w:kern w:val="0"/>
          <w:sz w:val="44"/>
          <w:szCs w:val="44"/>
        </w:rPr>
        <w:t>第一章</w:t>
      </w:r>
      <w:bookmarkEnd w:id="2"/>
      <w:bookmarkEnd w:id="3"/>
      <w:bookmarkEnd w:id="4"/>
      <w:r>
        <w:rPr>
          <w:rFonts w:hint="eastAsia" w:ascii="Times New Roman" w:hAnsi="Times New Roman" w:cs="等线 Light"/>
          <w:b/>
          <w:bCs/>
          <w:snapToGrid w:val="0"/>
          <w:kern w:val="0"/>
          <w:sz w:val="44"/>
          <w:szCs w:val="44"/>
        </w:rPr>
        <w:t>询比公告</w:t>
      </w:r>
      <w:bookmarkEnd w:id="5"/>
      <w:bookmarkEnd w:id="6"/>
    </w:p>
    <w:p w14:paraId="3286AF36">
      <w:pPr>
        <w:autoSpaceDE w:val="0"/>
        <w:autoSpaceDN w:val="0"/>
        <w:spacing w:line="360" w:lineRule="auto"/>
        <w:ind w:firstLine="420" w:firstLineChars="200"/>
        <w:rPr>
          <w:rFonts w:ascii="Times New Roman" w:hAnsi="Times New Roman" w:cs="Cambria Math"/>
          <w:bCs/>
          <w:szCs w:val="18"/>
        </w:rPr>
      </w:pPr>
      <w:bookmarkStart w:id="7" w:name="_Toc89675127"/>
      <w:bookmarkStart w:id="8" w:name="_Toc55379218"/>
      <w:r>
        <w:rPr>
          <w:rFonts w:hint="eastAsia" w:ascii="Times New Roman" w:hAnsi="Times New Roman" w:cs="Cambria Math"/>
          <w:bCs/>
          <w:szCs w:val="18"/>
        </w:rPr>
        <w:t>2025年采购人拟发行不超过110亿元金融债券（含资本债券（无固定期限资本债和二级资本债）、普通金融债）（最终发行额度、债券发行品种和金额以中国人民银行的批复和采购人发行安排为准），发行金融债券需要聘请联席主承销商。现对重庆三峡银行2025年金融债券联席主承销商补充选聘项目进行公开询比，</w:t>
      </w:r>
      <w:r>
        <w:rPr>
          <w:rFonts w:ascii="Times New Roman" w:hAnsi="Times New Roman" w:cs="Cambria Math"/>
          <w:bCs/>
          <w:szCs w:val="18"/>
        </w:rPr>
        <w:t>特邀请有</w:t>
      </w:r>
      <w:bookmarkStart w:id="9" w:name="_Hlk59455120"/>
      <w:r>
        <w:rPr>
          <w:rFonts w:ascii="Times New Roman" w:hAnsi="Times New Roman" w:cs="Cambria Math"/>
          <w:bCs/>
          <w:szCs w:val="18"/>
        </w:rPr>
        <w:t>意向</w:t>
      </w:r>
      <w:bookmarkEnd w:id="9"/>
      <w:r>
        <w:rPr>
          <w:rFonts w:ascii="Times New Roman" w:hAnsi="Times New Roman" w:cs="Cambria Math"/>
          <w:bCs/>
          <w:szCs w:val="18"/>
        </w:rPr>
        <w:t>的潜在</w:t>
      </w:r>
      <w:r>
        <w:rPr>
          <w:rFonts w:hint="eastAsia" w:ascii="Times New Roman" w:hAnsi="Times New Roman" w:cs="Cambria Math"/>
          <w:bCs/>
          <w:szCs w:val="18"/>
        </w:rPr>
        <w:t>响应人参与响应</w:t>
      </w:r>
      <w:r>
        <w:rPr>
          <w:rFonts w:ascii="Times New Roman" w:hAnsi="Times New Roman" w:cs="Cambria Math"/>
          <w:bCs/>
          <w:szCs w:val="18"/>
        </w:rPr>
        <w:t>。</w:t>
      </w:r>
    </w:p>
    <w:p w14:paraId="24113E2E">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 询比项目内容</w:t>
      </w:r>
      <w:bookmarkEnd w:id="7"/>
      <w:bookmarkEnd w:id="8"/>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020"/>
        <w:gridCol w:w="1950"/>
        <w:gridCol w:w="1320"/>
        <w:gridCol w:w="977"/>
      </w:tblGrid>
      <w:tr w14:paraId="4CEB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bottom w:val="single" w:color="auto" w:sz="4" w:space="0"/>
            </w:tcBorders>
            <w:vAlign w:val="center"/>
          </w:tcPr>
          <w:p w14:paraId="0740FE28">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序号</w:t>
            </w:r>
          </w:p>
        </w:tc>
        <w:tc>
          <w:tcPr>
            <w:tcW w:w="4020" w:type="dxa"/>
            <w:tcBorders>
              <w:bottom w:val="single" w:color="auto" w:sz="4" w:space="0"/>
            </w:tcBorders>
            <w:vAlign w:val="center"/>
          </w:tcPr>
          <w:p w14:paraId="716BEDD8">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项目名称</w:t>
            </w:r>
          </w:p>
        </w:tc>
        <w:tc>
          <w:tcPr>
            <w:tcW w:w="1950" w:type="dxa"/>
            <w:tcBorders>
              <w:bottom w:val="single" w:color="auto" w:sz="4" w:space="0"/>
            </w:tcBorders>
            <w:vAlign w:val="center"/>
          </w:tcPr>
          <w:p w14:paraId="13D030B2">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最高限价</w:t>
            </w:r>
          </w:p>
        </w:tc>
        <w:tc>
          <w:tcPr>
            <w:tcW w:w="1320" w:type="dxa"/>
            <w:tcBorders>
              <w:bottom w:val="single" w:color="auto" w:sz="4" w:space="0"/>
            </w:tcBorders>
            <w:vAlign w:val="center"/>
          </w:tcPr>
          <w:p w14:paraId="42ABF66C">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入围供应商数量</w:t>
            </w:r>
          </w:p>
        </w:tc>
        <w:tc>
          <w:tcPr>
            <w:tcW w:w="977" w:type="dxa"/>
            <w:tcBorders>
              <w:bottom w:val="single" w:color="auto" w:sz="4" w:space="0"/>
            </w:tcBorders>
            <w:vAlign w:val="center"/>
          </w:tcPr>
          <w:p w14:paraId="33A0EF40">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备注</w:t>
            </w:r>
          </w:p>
        </w:tc>
      </w:tr>
      <w:tr w14:paraId="6025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63354732">
            <w:pPr>
              <w:autoSpaceDE w:val="0"/>
              <w:autoSpaceDN w:val="0"/>
              <w:jc w:val="center"/>
              <w:rPr>
                <w:rFonts w:ascii="Times New Roman" w:hAnsi="Times New Roman" w:cs="Cambria Math"/>
                <w:bCs/>
                <w:szCs w:val="18"/>
              </w:rPr>
            </w:pPr>
            <w:r>
              <w:rPr>
                <w:rFonts w:hint="eastAsia" w:ascii="Times New Roman" w:hAnsi="Times New Roman" w:cs="Cambria Math"/>
                <w:bCs/>
                <w:szCs w:val="18"/>
              </w:rPr>
              <w:t>1</w:t>
            </w:r>
          </w:p>
        </w:tc>
        <w:tc>
          <w:tcPr>
            <w:tcW w:w="4020" w:type="dxa"/>
            <w:vAlign w:val="center"/>
          </w:tcPr>
          <w:p w14:paraId="0859FC9F">
            <w:pPr>
              <w:autoSpaceDE w:val="0"/>
              <w:autoSpaceDN w:val="0"/>
              <w:rPr>
                <w:rFonts w:ascii="Times New Roman" w:hAnsi="Times New Roman" w:cs="Cambria Math"/>
                <w:bCs/>
                <w:szCs w:val="18"/>
              </w:rPr>
            </w:pPr>
            <w:r>
              <w:rPr>
                <w:rFonts w:hint="eastAsia" w:ascii="Times New Roman" w:hAnsi="Times New Roman" w:cs="Cambria Math"/>
                <w:bCs/>
                <w:szCs w:val="18"/>
              </w:rPr>
              <w:t>重庆三峡银行2025年金融债券联席主承销商补充选聘项目</w:t>
            </w:r>
            <w:r>
              <w:rPr>
                <w:rFonts w:hint="eastAsia" w:ascii="Times New Roman" w:hAnsi="Times New Roman" w:cs="Cambria Math"/>
                <w:bCs/>
                <w:szCs w:val="18"/>
                <w:u w:val="single"/>
              </w:rPr>
              <w:t>（标段1：券商类联席主承销商）</w:t>
            </w:r>
          </w:p>
        </w:tc>
        <w:tc>
          <w:tcPr>
            <w:tcW w:w="1950" w:type="dxa"/>
            <w:vAlign w:val="center"/>
          </w:tcPr>
          <w:p w14:paraId="10BCBCF1">
            <w:pPr>
              <w:autoSpaceDE w:val="0"/>
              <w:autoSpaceDN w:val="0"/>
              <w:jc w:val="center"/>
              <w:rPr>
                <w:rFonts w:ascii="Times New Roman" w:hAnsi="Times New Roman" w:cs="Cambria Math"/>
                <w:bCs/>
                <w:szCs w:val="18"/>
              </w:rPr>
            </w:pPr>
            <w:r>
              <w:rPr>
                <w:rFonts w:hint="eastAsia" w:ascii="Times New Roman" w:hAnsi="Times New Roman" w:cs="Cambria Math"/>
                <w:bCs/>
                <w:szCs w:val="18"/>
              </w:rPr>
              <w:t>/</w:t>
            </w:r>
          </w:p>
        </w:tc>
        <w:tc>
          <w:tcPr>
            <w:tcW w:w="1320" w:type="dxa"/>
            <w:vAlign w:val="center"/>
          </w:tcPr>
          <w:p w14:paraId="17385BD2">
            <w:pPr>
              <w:autoSpaceDE w:val="0"/>
              <w:autoSpaceDN w:val="0"/>
              <w:jc w:val="center"/>
              <w:rPr>
                <w:rFonts w:ascii="Times New Roman" w:hAnsi="Times New Roman" w:cs="Cambria Math"/>
                <w:bCs/>
                <w:szCs w:val="18"/>
              </w:rPr>
            </w:pPr>
            <w:r>
              <w:rPr>
                <w:rFonts w:ascii="Times New Roman" w:hAnsi="Times New Roman" w:cs="Cambria Math"/>
                <w:bCs/>
                <w:szCs w:val="18"/>
              </w:rPr>
              <w:t>1-5</w:t>
            </w:r>
          </w:p>
        </w:tc>
        <w:tc>
          <w:tcPr>
            <w:tcW w:w="977" w:type="dxa"/>
            <w:vAlign w:val="center"/>
          </w:tcPr>
          <w:p w14:paraId="73AAC33D">
            <w:pPr>
              <w:autoSpaceDE w:val="0"/>
              <w:autoSpaceDN w:val="0"/>
              <w:rPr>
                <w:rFonts w:ascii="Times New Roman" w:hAnsi="Times New Roman" w:cs="Cambria Math"/>
                <w:bCs/>
                <w:szCs w:val="18"/>
              </w:rPr>
            </w:pPr>
            <w:r>
              <w:rPr>
                <w:rFonts w:hint="eastAsia" w:ascii="Times New Roman" w:hAnsi="Times New Roman" w:cs="Cambria Math"/>
                <w:bCs/>
                <w:szCs w:val="18"/>
              </w:rPr>
              <w:t>（含税）</w:t>
            </w:r>
          </w:p>
        </w:tc>
      </w:tr>
      <w:tr w14:paraId="4402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214832A4">
            <w:pPr>
              <w:autoSpaceDE w:val="0"/>
              <w:autoSpaceDN w:val="0"/>
              <w:jc w:val="center"/>
              <w:rPr>
                <w:rFonts w:hint="eastAsia" w:ascii="Times New Roman" w:hAnsi="Times New Roman" w:eastAsia="宋体" w:cs="Cambria Math"/>
                <w:bCs/>
                <w:szCs w:val="18"/>
                <w:lang w:eastAsia="zh-CN"/>
              </w:rPr>
            </w:pPr>
            <w:r>
              <w:rPr>
                <w:rFonts w:hint="eastAsia" w:ascii="Times New Roman" w:hAnsi="Times New Roman" w:cs="Cambria Math"/>
                <w:bCs/>
                <w:szCs w:val="18"/>
                <w:lang w:val="en-US" w:eastAsia="zh-CN"/>
              </w:rPr>
              <w:t>2</w:t>
            </w:r>
          </w:p>
        </w:tc>
        <w:tc>
          <w:tcPr>
            <w:tcW w:w="4020" w:type="dxa"/>
            <w:vAlign w:val="center"/>
          </w:tcPr>
          <w:p w14:paraId="030BC001">
            <w:pPr>
              <w:autoSpaceDE w:val="0"/>
              <w:autoSpaceDN w:val="0"/>
              <w:rPr>
                <w:rFonts w:ascii="Times New Roman" w:hAnsi="Times New Roman" w:cs="Cambria Math"/>
                <w:bCs/>
                <w:szCs w:val="18"/>
              </w:rPr>
            </w:pPr>
            <w:r>
              <w:rPr>
                <w:rFonts w:hint="eastAsia" w:ascii="Times New Roman" w:hAnsi="Times New Roman" w:cs="Cambria Math"/>
                <w:bCs/>
                <w:szCs w:val="18"/>
              </w:rPr>
              <w:t>重庆三峡银行2025年金融债券联席主承销商补充选聘项目</w:t>
            </w:r>
            <w:r>
              <w:rPr>
                <w:rFonts w:hint="eastAsia" w:ascii="Times New Roman" w:hAnsi="Times New Roman" w:cs="Cambria Math"/>
                <w:bCs/>
                <w:szCs w:val="18"/>
                <w:u w:val="single"/>
              </w:rPr>
              <w:t>（标段2：银行类联席主承销商）</w:t>
            </w:r>
          </w:p>
        </w:tc>
        <w:tc>
          <w:tcPr>
            <w:tcW w:w="1950" w:type="dxa"/>
            <w:vAlign w:val="center"/>
          </w:tcPr>
          <w:p w14:paraId="473E0932">
            <w:pPr>
              <w:autoSpaceDE w:val="0"/>
              <w:autoSpaceDN w:val="0"/>
              <w:jc w:val="center"/>
              <w:rPr>
                <w:rFonts w:ascii="Times New Roman" w:hAnsi="Times New Roman" w:cs="Cambria Math"/>
                <w:bCs/>
                <w:szCs w:val="18"/>
              </w:rPr>
            </w:pPr>
            <w:r>
              <w:rPr>
                <w:rFonts w:hint="eastAsia" w:ascii="Times New Roman" w:hAnsi="Times New Roman" w:cs="Cambria Math"/>
                <w:bCs/>
                <w:szCs w:val="18"/>
              </w:rPr>
              <w:t>/</w:t>
            </w:r>
          </w:p>
        </w:tc>
        <w:tc>
          <w:tcPr>
            <w:tcW w:w="1320" w:type="dxa"/>
            <w:vAlign w:val="center"/>
          </w:tcPr>
          <w:p w14:paraId="3525BF09">
            <w:pPr>
              <w:autoSpaceDE w:val="0"/>
              <w:autoSpaceDN w:val="0"/>
              <w:jc w:val="center"/>
              <w:rPr>
                <w:rFonts w:ascii="Times New Roman" w:hAnsi="Times New Roman" w:cs="Cambria Math"/>
                <w:bCs/>
                <w:szCs w:val="18"/>
              </w:rPr>
            </w:pPr>
            <w:r>
              <w:rPr>
                <w:rFonts w:ascii="Times New Roman" w:hAnsi="Times New Roman" w:cs="Cambria Math"/>
                <w:bCs/>
                <w:szCs w:val="18"/>
              </w:rPr>
              <w:t>1-5</w:t>
            </w:r>
          </w:p>
        </w:tc>
        <w:tc>
          <w:tcPr>
            <w:tcW w:w="977" w:type="dxa"/>
            <w:vAlign w:val="center"/>
          </w:tcPr>
          <w:p w14:paraId="2608CBF2">
            <w:pPr>
              <w:autoSpaceDE w:val="0"/>
              <w:autoSpaceDN w:val="0"/>
              <w:rPr>
                <w:rFonts w:ascii="Times New Roman" w:hAnsi="Times New Roman" w:cs="Cambria Math"/>
                <w:bCs/>
                <w:szCs w:val="18"/>
              </w:rPr>
            </w:pPr>
            <w:r>
              <w:rPr>
                <w:rFonts w:hint="eastAsia" w:ascii="Times New Roman" w:hAnsi="Times New Roman" w:cs="Cambria Math"/>
                <w:bCs/>
                <w:szCs w:val="18"/>
              </w:rPr>
              <w:t>（含税）</w:t>
            </w:r>
          </w:p>
        </w:tc>
      </w:tr>
    </w:tbl>
    <w:p w14:paraId="1DB1FF9B">
      <w:pPr>
        <w:autoSpaceDE w:val="0"/>
        <w:autoSpaceDN w:val="0"/>
        <w:spacing w:line="600" w:lineRule="exact"/>
        <w:outlineLvl w:val="1"/>
        <w:rPr>
          <w:rFonts w:ascii="Times New Roman" w:hAnsi="Times New Roman" w:cs="Times New Roman"/>
          <w:b/>
          <w:bCs/>
          <w:snapToGrid w:val="0"/>
          <w:szCs w:val="24"/>
        </w:rPr>
      </w:pPr>
      <w:bookmarkStart w:id="10" w:name="_Toc55379219"/>
      <w:bookmarkStart w:id="11" w:name="_Toc297817088"/>
      <w:bookmarkStart w:id="12" w:name="_Toc288224935"/>
      <w:bookmarkStart w:id="13" w:name="_Toc89675128"/>
      <w:bookmarkStart w:id="14" w:name="_Toc469574664"/>
      <w:r>
        <w:rPr>
          <w:rFonts w:hint="eastAsia" w:ascii="Times New Roman" w:hAnsi="Times New Roman" w:cs="Times New Roman"/>
          <w:b/>
          <w:bCs/>
          <w:snapToGrid w:val="0"/>
          <w:szCs w:val="24"/>
        </w:rPr>
        <w:t>2. 响应人资格要求</w:t>
      </w:r>
      <w:bookmarkEnd w:id="10"/>
      <w:bookmarkEnd w:id="11"/>
      <w:bookmarkEnd w:id="12"/>
      <w:bookmarkEnd w:id="13"/>
      <w:bookmarkEnd w:id="14"/>
    </w:p>
    <w:p w14:paraId="2F8AC7CE">
      <w:pPr>
        <w:autoSpaceDE w:val="0"/>
        <w:autoSpaceDN w:val="0"/>
        <w:spacing w:line="360" w:lineRule="auto"/>
        <w:ind w:firstLine="420" w:firstLineChars="200"/>
        <w:rPr>
          <w:rFonts w:ascii="Times New Roman" w:hAnsi="Times New Roman" w:cs="Cambria Math"/>
          <w:bCs/>
          <w:szCs w:val="18"/>
        </w:rPr>
      </w:pPr>
      <w:bookmarkStart w:id="15" w:name="_Hlk55488870"/>
      <w:r>
        <w:rPr>
          <w:rFonts w:hint="eastAsia" w:ascii="Times New Roman" w:hAnsi="Times New Roman" w:cs="Cambria Math"/>
          <w:bCs/>
          <w:szCs w:val="18"/>
        </w:rPr>
        <w:t>2.1 响应人应当具备承担询比项目的能力</w:t>
      </w:r>
    </w:p>
    <w:p w14:paraId="4A6AA93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7E6A3E5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4DCF7ED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2.3 本项目不允许任何形式的转包【提供书面声明】。</w:t>
      </w:r>
    </w:p>
    <w:p w14:paraId="7731B2F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2.4 法人及法定代表人没有被人民法院列为失信被执行人名单【提供：1、法人在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并加盖单位鲜章；2、法定代表人在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w:t>
      </w:r>
    </w:p>
    <w:p w14:paraId="2EFA7EE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2.5 本次询比不接受联合体响应。</w:t>
      </w:r>
    </w:p>
    <w:bookmarkEnd w:id="15"/>
    <w:p w14:paraId="4A04D2C2">
      <w:pPr>
        <w:autoSpaceDE w:val="0"/>
        <w:autoSpaceDN w:val="0"/>
        <w:spacing w:line="360" w:lineRule="auto"/>
        <w:ind w:firstLine="420" w:firstLineChars="200"/>
        <w:rPr>
          <w:rFonts w:ascii="Times New Roman" w:hAnsi="Times New Roman" w:cs="Cambria Math"/>
          <w:bCs/>
          <w:szCs w:val="18"/>
        </w:rPr>
      </w:pPr>
      <w:bookmarkStart w:id="16" w:name="_Toc55379220"/>
      <w:bookmarkStart w:id="17" w:name="_Toc469574667"/>
      <w:bookmarkStart w:id="18" w:name="_Toc297817090"/>
      <w:bookmarkStart w:id="19" w:name="_Toc89675130"/>
      <w:r>
        <w:rPr>
          <w:rFonts w:hint="eastAsia" w:ascii="Times New Roman" w:hAnsi="Times New Roman" w:cs="Cambria Math"/>
          <w:bCs/>
          <w:szCs w:val="18"/>
        </w:rPr>
        <w:t>注:以上证明文件若采购人存疑，响应人需提供原件备查，响应文件中须附相关证明文件复印件并逐页加盖公章。</w:t>
      </w:r>
    </w:p>
    <w:bookmarkEnd w:id="16"/>
    <w:p w14:paraId="674197D6">
      <w:pPr>
        <w:autoSpaceDE w:val="0"/>
        <w:autoSpaceDN w:val="0"/>
        <w:spacing w:line="600" w:lineRule="exact"/>
        <w:outlineLvl w:val="1"/>
        <w:rPr>
          <w:rFonts w:ascii="Times New Roman" w:hAnsi="Times New Roman" w:cs="Times New Roman"/>
          <w:b/>
          <w:bCs/>
          <w:snapToGrid w:val="0"/>
          <w:szCs w:val="24"/>
        </w:rPr>
      </w:pPr>
      <w:bookmarkStart w:id="20" w:name="_Toc55379221"/>
      <w:r>
        <w:rPr>
          <w:rFonts w:hint="eastAsia" w:ascii="Times New Roman" w:hAnsi="Times New Roman" w:cs="Times New Roman"/>
          <w:b/>
          <w:bCs/>
          <w:snapToGrid w:val="0"/>
          <w:szCs w:val="24"/>
        </w:rPr>
        <w:t>3. 询比文件的获取</w:t>
      </w:r>
    </w:p>
    <w:p w14:paraId="3D4A4B92">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3.1 响应截止时间：</w:t>
      </w:r>
      <w:r>
        <w:rPr>
          <w:rFonts w:hint="eastAsia" w:ascii="Times New Roman" w:hAnsi="Times New Roman" w:cs="Cambria Math"/>
          <w:szCs w:val="20"/>
          <w:u w:val="single"/>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6</w:t>
      </w:r>
      <w:r>
        <w:rPr>
          <w:rFonts w:hint="eastAsia" w:ascii="Times New Roman" w:hAnsi="Times New Roman" w:cs="Cambria Math"/>
          <w:szCs w:val="20"/>
        </w:rPr>
        <w:t>月</w:t>
      </w:r>
      <w:r>
        <w:rPr>
          <w:rFonts w:hint="eastAsia" w:ascii="Times New Roman" w:hAnsi="Times New Roman" w:cs="Cambria Math"/>
          <w:szCs w:val="20"/>
          <w:u w:val="single"/>
          <w:lang w:val="en-US" w:eastAsia="zh-CN"/>
        </w:rPr>
        <w:t>30</w:t>
      </w:r>
      <w:r>
        <w:rPr>
          <w:rFonts w:hint="eastAsia" w:ascii="Times New Roman" w:hAnsi="Times New Roman" w:cs="Cambria Math"/>
          <w:szCs w:val="20"/>
        </w:rPr>
        <w:t>日</w:t>
      </w:r>
      <w:r>
        <w:rPr>
          <w:rFonts w:hint="eastAsia" w:ascii="Times New Roman" w:hAnsi="Times New Roman" w:cs="Cambria Math"/>
          <w:szCs w:val="20"/>
          <w:lang w:val="en-US" w:eastAsia="zh-CN"/>
        </w:rPr>
        <w:t>9</w:t>
      </w:r>
      <w:r>
        <w:rPr>
          <w:rFonts w:hint="eastAsia" w:ascii="Times New Roman" w:hAnsi="Times New Roman" w:cs="Cambria Math"/>
          <w:szCs w:val="20"/>
        </w:rPr>
        <w:t>时</w:t>
      </w:r>
      <w:r>
        <w:rPr>
          <w:rFonts w:hint="eastAsia" w:ascii="Times New Roman" w:hAnsi="Times New Roman" w:cs="Cambria Math"/>
          <w:szCs w:val="20"/>
          <w:u w:val="single"/>
          <w:lang w:val="en-US" w:eastAsia="zh-CN"/>
        </w:rPr>
        <w:t>30</w:t>
      </w:r>
      <w:r>
        <w:rPr>
          <w:rFonts w:hint="eastAsia" w:ascii="Times New Roman" w:hAnsi="Times New Roman" w:cs="Cambria Math"/>
          <w:szCs w:val="20"/>
        </w:rPr>
        <w:t>分（北京时间）</w:t>
      </w:r>
    </w:p>
    <w:p w14:paraId="153FB0D3">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3.2 获取时间和方式：从</w:t>
      </w:r>
      <w:r>
        <w:rPr>
          <w:rFonts w:hint="eastAsia" w:ascii="Times New Roman" w:hAnsi="Times New Roman" w:cs="Cambria Math"/>
          <w:szCs w:val="20"/>
          <w:u w:val="single"/>
        </w:rPr>
        <w:t>2025</w:t>
      </w:r>
      <w:r>
        <w:rPr>
          <w:rFonts w:hint="eastAsia" w:ascii="Times New Roman" w:hAnsi="Times New Roman" w:cs="Cambria Math"/>
          <w:szCs w:val="20"/>
        </w:rPr>
        <w:t>年</w:t>
      </w:r>
      <w:r>
        <w:rPr>
          <w:rFonts w:hint="eastAsia" w:ascii="Times New Roman" w:hAnsi="Times New Roman" w:cs="Cambria Math"/>
          <w:szCs w:val="20"/>
          <w:lang w:val="en-US" w:eastAsia="zh-CN"/>
        </w:rPr>
        <w:t>6</w:t>
      </w:r>
      <w:r>
        <w:rPr>
          <w:rFonts w:hint="eastAsia" w:ascii="Times New Roman" w:hAnsi="Times New Roman" w:cs="Cambria Math"/>
          <w:szCs w:val="20"/>
        </w:rPr>
        <w:t>月</w:t>
      </w:r>
      <w:r>
        <w:rPr>
          <w:rFonts w:hint="eastAsia" w:ascii="Times New Roman" w:hAnsi="Times New Roman" w:cs="Cambria Math"/>
          <w:szCs w:val="20"/>
          <w:u w:val="single"/>
          <w:lang w:val="en-US" w:eastAsia="zh-CN"/>
        </w:rPr>
        <w:t>13</w:t>
      </w:r>
      <w:r>
        <w:rPr>
          <w:rFonts w:hint="eastAsia" w:ascii="Times New Roman" w:hAnsi="Times New Roman" w:cs="Cambria Math"/>
          <w:szCs w:val="20"/>
        </w:rPr>
        <w:t>日到响应截止时间，在重庆市公共资源交易网（www.cqggzy.com）下载询比文件。</w:t>
      </w:r>
    </w:p>
    <w:p w14:paraId="6A495942">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3.3 响应人在下载询比文件后，应仔细检查询比文件的所有内容，如有残缺或文字表述不清，以及存在错、碰、漏、缺、概念模糊和有可能出现歧义或理解上的偏差的内容等应在</w:t>
      </w:r>
      <w:r>
        <w:rPr>
          <w:rFonts w:hint="eastAsia" w:ascii="Times New Roman" w:hAnsi="Times New Roman" w:cs="Cambria Math"/>
          <w:szCs w:val="20"/>
          <w:u w:val="single"/>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6</w:t>
      </w:r>
      <w:r>
        <w:rPr>
          <w:rFonts w:hint="eastAsia" w:ascii="Times New Roman" w:hAnsi="Times New Roman" w:cs="Cambria Math"/>
          <w:szCs w:val="20"/>
        </w:rPr>
        <w:t>月</w:t>
      </w:r>
      <w:r>
        <w:rPr>
          <w:rFonts w:hint="eastAsia" w:ascii="Times New Roman" w:hAnsi="Times New Roman" w:cs="Cambria Math"/>
          <w:szCs w:val="20"/>
          <w:u w:val="single"/>
          <w:lang w:val="en-US" w:eastAsia="zh-CN"/>
        </w:rPr>
        <w:t>16</w:t>
      </w:r>
      <w:r>
        <w:rPr>
          <w:rFonts w:hint="eastAsia" w:ascii="Times New Roman" w:hAnsi="Times New Roman" w:cs="Cambria Math"/>
          <w:szCs w:val="20"/>
        </w:rPr>
        <w:t>日</w:t>
      </w:r>
      <w:r>
        <w:rPr>
          <w:rFonts w:hint="eastAsia" w:ascii="Times New Roman" w:hAnsi="Times New Roman" w:cs="Cambria Math"/>
          <w:szCs w:val="20"/>
          <w:u w:val="single"/>
          <w:lang w:val="en-US" w:eastAsia="zh-CN"/>
        </w:rPr>
        <w:t>17</w:t>
      </w:r>
      <w:r>
        <w:rPr>
          <w:rFonts w:hint="eastAsia" w:ascii="Times New Roman" w:hAnsi="Times New Roman" w:cs="Cambria Math"/>
          <w:szCs w:val="20"/>
        </w:rPr>
        <w:t>时</w:t>
      </w:r>
      <w:r>
        <w:rPr>
          <w:rFonts w:hint="eastAsia" w:ascii="Times New Roman" w:hAnsi="Times New Roman" w:cs="Cambria Math"/>
          <w:szCs w:val="20"/>
          <w:u w:val="single"/>
        </w:rPr>
        <w:t>00</w:t>
      </w:r>
      <w:r>
        <w:rPr>
          <w:rFonts w:hint="eastAsia" w:ascii="Times New Roman" w:hAnsi="Times New Roman" w:cs="Cambria Math"/>
          <w:szCs w:val="20"/>
        </w:rPr>
        <w:t>分（北京时间）前自行在重庆市公共资源交易网（http://www.cqggzy.com/）询比公告的“我要提问”栏目匿名提出。响应人未提出，则视为响应人已全面确认询比文件内容。</w:t>
      </w:r>
    </w:p>
    <w:p w14:paraId="1897736D">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23FFFD0">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4. 响应保证金的递交</w:t>
      </w:r>
      <w:bookmarkEnd w:id="17"/>
      <w:bookmarkEnd w:id="18"/>
      <w:bookmarkEnd w:id="19"/>
      <w:bookmarkEnd w:id="20"/>
    </w:p>
    <w:p w14:paraId="7592BBB4">
      <w:pPr>
        <w:autoSpaceDE w:val="0"/>
        <w:autoSpaceDN w:val="0"/>
        <w:spacing w:line="360" w:lineRule="auto"/>
        <w:ind w:firstLine="420" w:firstLineChars="200"/>
        <w:jc w:val="left"/>
        <w:rPr>
          <w:rFonts w:ascii="Times New Roman" w:hAnsi="Times New Roman" w:cs="Cambria Math"/>
          <w:bCs/>
          <w:szCs w:val="18"/>
        </w:rPr>
      </w:pPr>
      <w:bookmarkStart w:id="21" w:name="_Toc55379222"/>
      <w:bookmarkStart w:id="22" w:name="_Toc297817091"/>
      <w:bookmarkStart w:id="23" w:name="_Toc469574668"/>
      <w:bookmarkStart w:id="24" w:name="_Toc89675131"/>
      <w:r>
        <w:rPr>
          <w:rFonts w:hint="eastAsia" w:ascii="Times New Roman" w:hAnsi="Times New Roman" w:cs="Cambria Math"/>
          <w:bCs/>
          <w:szCs w:val="18"/>
        </w:rPr>
        <w:t>4.1响应保证金的金额：</w:t>
      </w:r>
    </w:p>
    <w:p w14:paraId="6006E174">
      <w:pPr>
        <w:autoSpaceDE w:val="0"/>
        <w:autoSpaceDN w:val="0"/>
        <w:spacing w:line="360" w:lineRule="auto"/>
        <w:ind w:firstLine="420" w:firstLineChars="200"/>
        <w:jc w:val="left"/>
        <w:rPr>
          <w:rFonts w:ascii="Times New Roman" w:hAnsi="Times New Roman" w:cs="Cambria"/>
          <w:snapToGrid w:val="0"/>
          <w:kern w:val="0"/>
          <w:szCs w:val="18"/>
        </w:rPr>
      </w:pPr>
      <w:r>
        <w:rPr>
          <w:rFonts w:hint="eastAsia" w:ascii="Times New Roman" w:hAnsi="Times New Roman" w:cs="宋体"/>
          <w:szCs w:val="21"/>
        </w:rPr>
        <w:t>标段</w:t>
      </w:r>
      <w:r>
        <w:rPr>
          <w:rFonts w:hint="eastAsia" w:ascii="宋体" w:hAnsi="Times New Roman" w:cs="Cambria"/>
          <w:snapToGrid w:val="0"/>
          <w:kern w:val="0"/>
          <w:szCs w:val="28"/>
        </w:rPr>
        <w:t>1</w:t>
      </w:r>
      <w:r>
        <w:rPr>
          <w:rFonts w:ascii="宋体" w:hAnsi="Times New Roman" w:cs="Cambria"/>
          <w:snapToGrid w:val="0"/>
          <w:kern w:val="0"/>
          <w:szCs w:val="28"/>
        </w:rPr>
        <w:t>：</w:t>
      </w:r>
      <w:r>
        <w:rPr>
          <w:rFonts w:hint="eastAsia" w:ascii="Times New Roman" w:hAnsi="Times New Roman" w:cs="Cambria Math"/>
          <w:bCs/>
          <w:szCs w:val="18"/>
        </w:rPr>
        <w:t>2000</w:t>
      </w:r>
      <w:r>
        <w:rPr>
          <w:rFonts w:hint="eastAsia" w:ascii="Times New Roman" w:hAnsi="Times New Roman" w:cs="Cambria Math"/>
          <w:b/>
          <w:bCs/>
          <w:szCs w:val="18"/>
          <w:u w:val="single"/>
        </w:rPr>
        <w:t>元整（大写：贰仟元整）</w:t>
      </w:r>
      <w:r>
        <w:rPr>
          <w:rFonts w:hint="eastAsia" w:ascii="Times New Roman" w:hAnsi="Times New Roman" w:cs="Cambria"/>
          <w:snapToGrid w:val="0"/>
          <w:kern w:val="0"/>
          <w:szCs w:val="18"/>
        </w:rPr>
        <w:t>；</w:t>
      </w:r>
    </w:p>
    <w:p w14:paraId="3F0FD8D5">
      <w:pPr>
        <w:autoSpaceDE w:val="0"/>
        <w:autoSpaceDN w:val="0"/>
        <w:spacing w:line="360" w:lineRule="auto"/>
        <w:ind w:firstLine="420" w:firstLineChars="200"/>
        <w:jc w:val="left"/>
        <w:rPr>
          <w:rFonts w:ascii="Times New Roman" w:hAnsi="Times New Roman" w:cs="Cambria Math"/>
          <w:szCs w:val="18"/>
        </w:rPr>
      </w:pPr>
      <w:r>
        <w:rPr>
          <w:rFonts w:hint="eastAsia" w:ascii="Times New Roman" w:hAnsi="Times New Roman" w:cs="Cambria Math"/>
          <w:szCs w:val="18"/>
        </w:rPr>
        <w:t>标段2</w:t>
      </w:r>
      <w:r>
        <w:rPr>
          <w:rFonts w:hint="eastAsia" w:ascii="Times New Roman" w:hAnsi="Times New Roman" w:cs="Cambria"/>
          <w:snapToGrid w:val="0"/>
          <w:kern w:val="0"/>
          <w:szCs w:val="18"/>
        </w:rPr>
        <w:t>：</w:t>
      </w:r>
      <w:r>
        <w:rPr>
          <w:rFonts w:hint="eastAsia" w:ascii="Times New Roman" w:hAnsi="Times New Roman" w:cs="Cambria Math"/>
          <w:bCs/>
          <w:szCs w:val="18"/>
        </w:rPr>
        <w:t>2000</w:t>
      </w:r>
      <w:r>
        <w:rPr>
          <w:rFonts w:hint="eastAsia" w:ascii="Times New Roman" w:hAnsi="Times New Roman" w:cs="Cambria Math"/>
          <w:b/>
          <w:bCs/>
          <w:szCs w:val="18"/>
          <w:u w:val="single"/>
        </w:rPr>
        <w:t>元整（大写：贰仟元整）</w:t>
      </w:r>
      <w:r>
        <w:rPr>
          <w:rFonts w:hint="eastAsia" w:ascii="Times New Roman" w:hAnsi="Times New Roman" w:cs="Cambria Math"/>
          <w:szCs w:val="18"/>
        </w:rPr>
        <w:t>；</w:t>
      </w:r>
    </w:p>
    <w:p w14:paraId="42365B5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4.2响应保证金缴纳方式：响应人从响应人的银行账户，通过转账或电汇方式直接划付至</w:t>
      </w:r>
      <w:r>
        <w:rPr>
          <w:rFonts w:hint="eastAsia" w:ascii="Times New Roman" w:hAnsi="Times New Roman" w:cs="Cambria Math"/>
          <w:b/>
          <w:szCs w:val="18"/>
        </w:rPr>
        <w:t>对应标段公告下方指定的账户（任选其一）</w:t>
      </w:r>
      <w:r>
        <w:rPr>
          <w:rFonts w:hint="eastAsia" w:ascii="Times New Roman" w:hAnsi="Times New Roman" w:cs="Cambria Math"/>
          <w:bCs/>
          <w:szCs w:val="18"/>
        </w:rPr>
        <w:t>，否则，响应保证金无效。响应人自行考虑汇入到账时间风险，本项目响应保证金不接受任何形式保函（包括电子保函）；</w:t>
      </w:r>
    </w:p>
    <w:p w14:paraId="14A4DDB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响应人可在付款凭证备注栏中注明项目简称。可简写成：</w:t>
      </w:r>
      <w:r>
        <w:rPr>
          <w:rFonts w:hint="eastAsia" w:ascii="Times New Roman" w:hAnsi="Times New Roman" w:cs="Cambria Math"/>
          <w:bCs/>
          <w:szCs w:val="18"/>
          <w:u w:val="single"/>
        </w:rPr>
        <w:t>重庆三峡银行2025年金融债券联席主承销商补充选聘项目</w:t>
      </w:r>
      <w:r>
        <w:rPr>
          <w:rFonts w:hint="eastAsia" w:ascii="Times New Roman" w:hAnsi="Times New Roman" w:cs="Cambria Math"/>
          <w:b/>
          <w:bCs/>
          <w:szCs w:val="18"/>
          <w:u w:val="single"/>
        </w:rPr>
        <w:t>（标段X）</w:t>
      </w:r>
      <w:r>
        <w:rPr>
          <w:rFonts w:hint="eastAsia" w:ascii="Times New Roman" w:hAnsi="Times New Roman" w:cs="Cambria Math"/>
          <w:bCs/>
          <w:szCs w:val="18"/>
        </w:rPr>
        <w:t>。</w:t>
      </w:r>
    </w:p>
    <w:p w14:paraId="4872D1C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4.3响应保证金递交的截止时间同响应截止时间。响应保证金以重庆市公共资源交易中心询比现场展示的保证金交纳情况为准。</w:t>
      </w:r>
    </w:p>
    <w:p w14:paraId="61537FC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w:t>
      </w:r>
      <w:r>
        <w:rPr>
          <w:rFonts w:ascii="Times New Roman" w:hAnsi="Times New Roman" w:cs="Cambria Math"/>
          <w:bCs/>
          <w:szCs w:val="18"/>
        </w:rPr>
        <w:t>4</w:t>
      </w:r>
      <w:r>
        <w:rPr>
          <w:rFonts w:hint="eastAsia" w:ascii="Times New Roman" w:hAnsi="Times New Roman" w:cs="Cambria Math"/>
          <w:bCs/>
          <w:szCs w:val="18"/>
        </w:rPr>
        <w:t>响应保证金专用账户如下：</w:t>
      </w:r>
    </w:p>
    <w:p w14:paraId="31F15C9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详见重庆市公共资源交易网（www.cqggzy.com）对应本项目询比公告信息栏中的保证金信息。</w:t>
      </w:r>
    </w:p>
    <w:p w14:paraId="7D6228BB">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5. 市场主体信息登记</w:t>
      </w:r>
    </w:p>
    <w:p w14:paraId="7F5CFB8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1"/>
    <w:bookmarkEnd w:id="22"/>
    <w:bookmarkEnd w:id="23"/>
    <w:bookmarkEnd w:id="24"/>
    <w:p w14:paraId="7333E47D">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6. 响应文件的递交</w:t>
      </w:r>
    </w:p>
    <w:p w14:paraId="190E5CFA">
      <w:pPr>
        <w:autoSpaceDE w:val="0"/>
        <w:autoSpaceDN w:val="0"/>
        <w:spacing w:line="360" w:lineRule="auto"/>
        <w:ind w:firstLine="420" w:firstLineChars="200"/>
        <w:rPr>
          <w:rFonts w:ascii="Times New Roman" w:hAnsi="Times New Roman" w:cs="Cambria Math"/>
          <w:bCs/>
          <w:szCs w:val="18"/>
        </w:rPr>
      </w:pPr>
      <w:bookmarkStart w:id="25" w:name="_Toc469574669"/>
      <w:bookmarkStart w:id="26" w:name="_Toc55379223"/>
      <w:bookmarkStart w:id="27" w:name="_Toc89675132"/>
      <w:r>
        <w:rPr>
          <w:rFonts w:hint="eastAsia" w:ascii="Times New Roman" w:hAnsi="Times New Roman" w:cs="Cambria Math"/>
          <w:bCs/>
          <w:szCs w:val="18"/>
        </w:rPr>
        <w:t>6.1 响应文件现场递交时间为</w:t>
      </w:r>
      <w:r>
        <w:rPr>
          <w:rFonts w:hint="eastAsia" w:ascii="Times New Roman" w:hAnsi="Times New Roman" w:cs="Cambria Math"/>
          <w:szCs w:val="20"/>
          <w:u w:val="single"/>
        </w:rPr>
        <w:t>2025</w:t>
      </w:r>
      <w:r>
        <w:rPr>
          <w:rFonts w:hint="eastAsia" w:ascii="Times New Roman" w:hAnsi="Times New Roman" w:cs="Cambria Math"/>
          <w:szCs w:val="20"/>
        </w:rPr>
        <w:t>年</w:t>
      </w:r>
      <w:r>
        <w:rPr>
          <w:rFonts w:hint="eastAsia" w:ascii="Times New Roman" w:hAnsi="Times New Roman" w:cs="Cambria Math"/>
          <w:szCs w:val="20"/>
          <w:u w:val="single"/>
          <w:lang w:val="en-US" w:eastAsia="zh-CN"/>
        </w:rPr>
        <w:t>6</w:t>
      </w:r>
      <w:r>
        <w:rPr>
          <w:rFonts w:hint="eastAsia" w:ascii="Times New Roman" w:hAnsi="Times New Roman" w:cs="Cambria Math"/>
          <w:szCs w:val="20"/>
        </w:rPr>
        <w:t>月</w:t>
      </w:r>
      <w:r>
        <w:rPr>
          <w:rFonts w:hint="eastAsia" w:ascii="Times New Roman" w:hAnsi="Times New Roman" w:cs="Cambria Math"/>
          <w:szCs w:val="20"/>
          <w:u w:val="single"/>
          <w:lang w:val="en-US" w:eastAsia="zh-CN"/>
        </w:rPr>
        <w:t>30</w:t>
      </w:r>
      <w:r>
        <w:rPr>
          <w:rFonts w:hint="eastAsia" w:ascii="Times New Roman" w:hAnsi="Times New Roman" w:cs="Cambria Math"/>
          <w:szCs w:val="20"/>
        </w:rPr>
        <w:t>日</w:t>
      </w:r>
      <w:r>
        <w:rPr>
          <w:rFonts w:hint="eastAsia" w:ascii="Times New Roman" w:hAnsi="Times New Roman" w:cs="Cambria Math"/>
          <w:szCs w:val="20"/>
          <w:u w:val="single"/>
          <w:lang w:val="en-US" w:eastAsia="zh-CN"/>
        </w:rPr>
        <w:t>9</w:t>
      </w:r>
      <w:r>
        <w:rPr>
          <w:rFonts w:hint="eastAsia" w:ascii="Times New Roman" w:hAnsi="Times New Roman" w:cs="Cambria Math"/>
          <w:szCs w:val="20"/>
        </w:rPr>
        <w:t>时</w:t>
      </w:r>
      <w:r>
        <w:rPr>
          <w:rFonts w:hint="eastAsia" w:ascii="Times New Roman" w:hAnsi="Times New Roman" w:cs="Cambria Math"/>
          <w:szCs w:val="20"/>
          <w:u w:val="single"/>
          <w:lang w:val="en-US" w:eastAsia="zh-CN"/>
        </w:rPr>
        <w:t>00</w:t>
      </w:r>
      <w:r>
        <w:rPr>
          <w:rFonts w:hint="eastAsia" w:ascii="Times New Roman" w:hAnsi="Times New Roman" w:cs="Cambria Math"/>
          <w:szCs w:val="20"/>
        </w:rPr>
        <w:t>分</w:t>
      </w:r>
      <w:r>
        <w:rPr>
          <w:rFonts w:hint="eastAsia" w:ascii="Times New Roman" w:hAnsi="Times New Roman" w:cs="Cambria Math"/>
          <w:bCs/>
          <w:szCs w:val="18"/>
        </w:rPr>
        <w:t>(北京时间)至响应截止时间。</w:t>
      </w:r>
    </w:p>
    <w:p w14:paraId="1872B9C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6.2 递交地点为重庆市渝北区青枫北路6号渝兴广场B10栋重庆市公共资源交易中心开标区（具体请登录重庆市公共资源交易网（www.cqggzy.com）查询或递交文件当日见交易中心大厅电子显示屏）。</w:t>
      </w:r>
    </w:p>
    <w:p w14:paraId="3D4D096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6.3 逾期送达的响应文件，不予接收。</w:t>
      </w:r>
    </w:p>
    <w:p w14:paraId="08541CF5">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7. 特别说明</w:t>
      </w:r>
    </w:p>
    <w:p w14:paraId="5DC138D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关于本项目标段参与规则的要求如下：</w:t>
      </w:r>
    </w:p>
    <w:p w14:paraId="7523FF7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7.1 标段互斥规则：标段一与标段二实行互斥机制，同一响应人仅可选择标段一或标段二中的一个参与，不得同时参与。</w:t>
      </w:r>
    </w:p>
    <w:p w14:paraId="26934F4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7.2 响应文件要求：未在询比文件中按标段单独列明的要求、评审规则及办法，均默认为适用于所有参与标段。</w:t>
      </w:r>
    </w:p>
    <w:p w14:paraId="32544697">
      <w:pPr>
        <w:autoSpaceDE w:val="0"/>
        <w:autoSpaceDN w:val="0"/>
        <w:spacing w:line="360" w:lineRule="auto"/>
        <w:ind w:firstLine="420" w:firstLineChars="200"/>
        <w:rPr>
          <w:rFonts w:ascii="Times New Roman" w:hAnsi="Times New Roman" w:cs="Times New Roman"/>
          <w:b/>
          <w:bCs/>
          <w:snapToGrid w:val="0"/>
          <w:szCs w:val="24"/>
        </w:rPr>
      </w:pPr>
      <w:r>
        <w:rPr>
          <w:rFonts w:hint="eastAsia" w:ascii="Times New Roman" w:hAnsi="Times New Roman" w:cs="Cambria Math"/>
          <w:bCs/>
          <w:szCs w:val="18"/>
        </w:rPr>
        <w:t>7.3 违规处理：同时参与标段一和标段二的，其所有标段响应文件均视为无效；</w:t>
      </w:r>
    </w:p>
    <w:p w14:paraId="1EE522F3">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8. 发布公告的媒介</w:t>
      </w:r>
      <w:bookmarkEnd w:id="25"/>
      <w:bookmarkEnd w:id="26"/>
      <w:bookmarkEnd w:id="27"/>
    </w:p>
    <w:p w14:paraId="34E73374">
      <w:pPr>
        <w:autoSpaceDE w:val="0"/>
        <w:autoSpaceDN w:val="0"/>
        <w:spacing w:line="360" w:lineRule="auto"/>
        <w:ind w:firstLine="420" w:firstLineChars="200"/>
        <w:rPr>
          <w:rFonts w:ascii="Times New Roman" w:hAnsi="Times New Roman" w:cs="Cambria Math"/>
          <w:bCs/>
          <w:szCs w:val="18"/>
        </w:rPr>
      </w:pPr>
      <w:bookmarkStart w:id="28" w:name="_Toc89675133"/>
      <w:bookmarkStart w:id="29" w:name="_Toc250565211"/>
      <w:bookmarkStart w:id="30" w:name="_Toc55379224"/>
      <w:bookmarkStart w:id="31" w:name="_Toc469574670"/>
      <w:r>
        <w:rPr>
          <w:rFonts w:hint="eastAsia" w:ascii="Times New Roman" w:hAnsi="Times New Roman" w:cs="Cambria Math"/>
          <w:bCs/>
          <w:szCs w:val="18"/>
        </w:rPr>
        <w:t>本次询比公告同时在《重庆市公共资源交易网（www.cqggzy.com）》《重庆三峡银行官网（https://www.ccqtgb.com）》和《中国招标响应公共服务平台（http://www.cebpubservice.com）》上发布。</w:t>
      </w:r>
    </w:p>
    <w:p w14:paraId="1EEE01BA">
      <w:pPr>
        <w:autoSpaceDE w:val="0"/>
        <w:autoSpaceDN w:val="0"/>
        <w:spacing w:line="600" w:lineRule="exact"/>
        <w:outlineLvl w:val="1"/>
        <w:rPr>
          <w:rFonts w:ascii="Times New Roman" w:hAnsi="Times New Roman" w:cs="Cambria Math"/>
          <w:bCs/>
          <w:szCs w:val="18"/>
        </w:rPr>
      </w:pPr>
      <w:r>
        <w:rPr>
          <w:rFonts w:hint="eastAsia" w:ascii="Times New Roman" w:hAnsi="Times New Roman" w:cs="Times New Roman"/>
          <w:b/>
          <w:bCs/>
          <w:snapToGrid w:val="0"/>
          <w:szCs w:val="24"/>
        </w:rPr>
        <w:t>9. 联系方式</w:t>
      </w:r>
      <w:bookmarkEnd w:id="28"/>
      <w:bookmarkEnd w:id="29"/>
      <w:bookmarkEnd w:id="30"/>
      <w:bookmarkEnd w:id="31"/>
    </w:p>
    <w:tbl>
      <w:tblPr>
        <w:tblStyle w:val="23"/>
        <w:tblW w:w="0" w:type="auto"/>
        <w:tblInd w:w="0" w:type="dxa"/>
        <w:tblLayout w:type="fixed"/>
        <w:tblCellMar>
          <w:top w:w="0" w:type="dxa"/>
          <w:left w:w="108" w:type="dxa"/>
          <w:bottom w:w="0" w:type="dxa"/>
          <w:right w:w="108" w:type="dxa"/>
        </w:tblCellMar>
      </w:tblPr>
      <w:tblGrid>
        <w:gridCol w:w="3943"/>
        <w:gridCol w:w="4480"/>
      </w:tblGrid>
      <w:tr w14:paraId="656B2E0C">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203AC4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8.1 项目需求咨询</w:t>
            </w:r>
          </w:p>
        </w:tc>
      </w:tr>
      <w:tr w14:paraId="2E4646FB">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7763213">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项目联系人：孙老师</w:t>
            </w:r>
          </w:p>
        </w:tc>
        <w:tc>
          <w:tcPr>
            <w:tcW w:w="4480" w:type="dxa"/>
            <w:tcBorders>
              <w:top w:val="nil"/>
              <w:left w:val="nil"/>
              <w:bottom w:val="nil"/>
              <w:right w:val="single" w:color="auto" w:sz="4" w:space="0"/>
            </w:tcBorders>
          </w:tcPr>
          <w:p w14:paraId="5B62B2F5">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联系方式：023-8889</w:t>
            </w:r>
            <w:r>
              <w:rPr>
                <w:rFonts w:ascii="Times New Roman" w:hAnsi="Times New Roman" w:cs="Cambria Math"/>
                <w:bCs/>
                <w:szCs w:val="18"/>
              </w:rPr>
              <w:t>0387</w:t>
            </w:r>
          </w:p>
        </w:tc>
      </w:tr>
      <w:tr w14:paraId="56999B6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495BC78">
            <w:pPr>
              <w:autoSpaceDE w:val="0"/>
              <w:autoSpaceDN w:val="0"/>
              <w:spacing w:line="360" w:lineRule="auto"/>
              <w:ind w:firstLine="420" w:firstLineChars="200"/>
              <w:rPr>
                <w:rFonts w:ascii="Times New Roman" w:hAnsi="Times New Roman" w:cs="Cambria Math"/>
                <w:bCs/>
                <w:szCs w:val="18"/>
              </w:rPr>
            </w:pPr>
          </w:p>
        </w:tc>
      </w:tr>
      <w:tr w14:paraId="40AEF17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2016C7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8.2 项目流程咨询</w:t>
            </w:r>
          </w:p>
        </w:tc>
      </w:tr>
      <w:tr w14:paraId="3658C1C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E560C5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平台服务机构：重庆联合产权交易所集团股份有限公司</w:t>
            </w:r>
          </w:p>
        </w:tc>
      </w:tr>
      <w:tr w14:paraId="78DB634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FD7E76B">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平台联系人：吴老师</w:t>
            </w:r>
          </w:p>
        </w:tc>
        <w:tc>
          <w:tcPr>
            <w:tcW w:w="4480" w:type="dxa"/>
            <w:tcBorders>
              <w:top w:val="nil"/>
              <w:left w:val="nil"/>
              <w:bottom w:val="nil"/>
              <w:right w:val="single" w:color="auto" w:sz="4" w:space="0"/>
            </w:tcBorders>
          </w:tcPr>
          <w:p w14:paraId="38444B40">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联系方式：023-63621694</w:t>
            </w:r>
          </w:p>
        </w:tc>
      </w:tr>
      <w:tr w14:paraId="20801E8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4CEF165">
            <w:pPr>
              <w:autoSpaceDE w:val="0"/>
              <w:autoSpaceDN w:val="0"/>
              <w:spacing w:line="360" w:lineRule="auto"/>
              <w:ind w:firstLine="420" w:firstLineChars="200"/>
              <w:rPr>
                <w:rFonts w:ascii="Times New Roman" w:hAnsi="Times New Roman" w:cs="Cambria Math"/>
                <w:bCs/>
                <w:szCs w:val="18"/>
              </w:rPr>
            </w:pPr>
          </w:p>
        </w:tc>
      </w:tr>
      <w:tr w14:paraId="2982AF5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E23314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8.3 采购人联系方式</w:t>
            </w:r>
          </w:p>
        </w:tc>
      </w:tr>
      <w:tr w14:paraId="0D1AC805">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2F66F52">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联系人：敬老师</w:t>
            </w:r>
          </w:p>
        </w:tc>
        <w:tc>
          <w:tcPr>
            <w:tcW w:w="4480" w:type="dxa"/>
            <w:tcBorders>
              <w:top w:val="nil"/>
              <w:left w:val="nil"/>
              <w:bottom w:val="nil"/>
              <w:right w:val="single" w:color="auto" w:sz="4" w:space="0"/>
            </w:tcBorders>
          </w:tcPr>
          <w:p w14:paraId="6E778033">
            <w:pPr>
              <w:autoSpaceDE w:val="0"/>
              <w:autoSpaceDN w:val="0"/>
              <w:spacing w:line="360" w:lineRule="auto"/>
              <w:ind w:firstLine="420" w:firstLineChars="200"/>
              <w:rPr>
                <w:rFonts w:ascii="Times New Roman" w:hAnsi="Times New Roman" w:cs="宋体"/>
                <w:bCs/>
                <w:szCs w:val="21"/>
              </w:rPr>
            </w:pPr>
            <w:r>
              <w:rPr>
                <w:rFonts w:hint="eastAsia" w:ascii="Times New Roman" w:hAnsi="Times New Roman" w:cs="Cambria Math"/>
                <w:bCs/>
                <w:szCs w:val="18"/>
              </w:rPr>
              <w:t>联系方式：023-88890395</w:t>
            </w:r>
          </w:p>
        </w:tc>
      </w:tr>
      <w:tr w14:paraId="2DA2A50E">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C5AE1F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采购人地址：重庆市渝北区嘉州路88号中渝国际都会4号写字楼21层</w:t>
            </w:r>
          </w:p>
        </w:tc>
      </w:tr>
    </w:tbl>
    <w:p w14:paraId="4CBC85C4">
      <w:pPr>
        <w:autoSpaceDE w:val="0"/>
        <w:autoSpaceDN w:val="0"/>
        <w:spacing w:line="360" w:lineRule="auto"/>
        <w:ind w:firstLine="420" w:firstLineChars="200"/>
        <w:rPr>
          <w:rFonts w:ascii="Times New Roman" w:hAnsi="Times New Roman" w:cs="Cambria Math"/>
          <w:bCs/>
          <w:szCs w:val="18"/>
        </w:rPr>
      </w:pPr>
    </w:p>
    <w:p w14:paraId="108DD220">
      <w:pPr>
        <w:autoSpaceDE w:val="0"/>
        <w:autoSpaceDN w:val="0"/>
        <w:spacing w:line="360" w:lineRule="auto"/>
        <w:ind w:firstLine="420" w:firstLineChars="200"/>
        <w:jc w:val="right"/>
        <w:rPr>
          <w:rFonts w:ascii="Times New Roman" w:hAnsi="Times New Roman" w:cs="Cambria Math"/>
          <w:bCs/>
          <w:szCs w:val="18"/>
        </w:rPr>
      </w:pPr>
      <w:r>
        <w:rPr>
          <w:rFonts w:hint="eastAsia" w:ascii="Times New Roman" w:hAnsi="Times New Roman" w:cs="Cambria Math"/>
          <w:bCs/>
          <w:szCs w:val="18"/>
        </w:rPr>
        <w:t>重庆三峡银行股份有限公司</w:t>
      </w:r>
    </w:p>
    <w:p w14:paraId="01511C32">
      <w:pPr>
        <w:autoSpaceDE w:val="0"/>
        <w:autoSpaceDN w:val="0"/>
        <w:spacing w:line="360" w:lineRule="auto"/>
        <w:ind w:firstLine="420" w:firstLineChars="200"/>
        <w:jc w:val="right"/>
        <w:rPr>
          <w:rFonts w:ascii="Times New Roman" w:hAnsi="Times New Roman" w:cs="Cambria Math"/>
          <w:bCs/>
          <w:szCs w:val="18"/>
        </w:rPr>
      </w:pPr>
      <w:r>
        <w:rPr>
          <w:rFonts w:hint="eastAsia" w:ascii="Times New Roman" w:hAnsi="Times New Roman" w:cs="Cambria Math"/>
          <w:bCs/>
          <w:szCs w:val="18"/>
        </w:rPr>
        <w:t>2025年</w:t>
      </w:r>
      <w:r>
        <w:rPr>
          <w:rFonts w:hint="eastAsia" w:ascii="Times New Roman" w:hAnsi="Times New Roman" w:cs="Cambria Math"/>
          <w:bCs/>
          <w:szCs w:val="18"/>
          <w:lang w:val="en-US" w:eastAsia="zh-CN"/>
        </w:rPr>
        <w:t>6</w:t>
      </w:r>
      <w:r>
        <w:rPr>
          <w:rFonts w:hint="eastAsia" w:ascii="Times New Roman" w:hAnsi="Times New Roman" w:cs="Cambria Math"/>
          <w:bCs/>
          <w:szCs w:val="18"/>
        </w:rPr>
        <w:t>月</w:t>
      </w:r>
      <w:r>
        <w:rPr>
          <w:rFonts w:hint="eastAsia" w:ascii="Times New Roman" w:hAnsi="Times New Roman" w:cs="Cambria Math"/>
          <w:bCs/>
          <w:szCs w:val="18"/>
          <w:lang w:val="en-US" w:eastAsia="zh-CN"/>
        </w:rPr>
        <w:t>13</w:t>
      </w:r>
      <w:bookmarkStart w:id="244" w:name="_GoBack"/>
      <w:bookmarkEnd w:id="244"/>
      <w:r>
        <w:rPr>
          <w:rFonts w:hint="eastAsia" w:ascii="Times New Roman" w:hAnsi="Times New Roman" w:cs="Cambria Math"/>
          <w:bCs/>
          <w:szCs w:val="18"/>
        </w:rPr>
        <w:t>日</w:t>
      </w:r>
      <w:bookmarkStart w:id="32" w:name="_Toc303066033"/>
      <w:bookmarkStart w:id="33" w:name="_Toc89675159"/>
    </w:p>
    <w:p w14:paraId="54C650E4">
      <w:pPr>
        <w:rPr>
          <w:rFonts w:ascii="Times New Roman" w:hAnsi="Times New Roman" w:cs="Cambria Math"/>
          <w:bCs/>
          <w:szCs w:val="18"/>
        </w:rPr>
      </w:pPr>
      <w:r>
        <w:rPr>
          <w:rFonts w:ascii="Times New Roman" w:hAnsi="Times New Roman" w:cs="Cambria Math"/>
          <w:bCs/>
          <w:szCs w:val="18"/>
        </w:rPr>
        <w:br w:type="page"/>
      </w:r>
    </w:p>
    <w:p w14:paraId="21F04C91">
      <w:pPr>
        <w:autoSpaceDE w:val="0"/>
        <w:autoSpaceDN w:val="0"/>
        <w:spacing w:line="360" w:lineRule="auto"/>
        <w:ind w:firstLine="420" w:firstLineChars="200"/>
        <w:rPr>
          <w:rFonts w:ascii="Times New Roman" w:hAnsi="Times New Roman" w:cs="Cambria Math"/>
          <w:bCs/>
          <w:szCs w:val="18"/>
        </w:rPr>
        <w:sectPr>
          <w:footerReference r:id="rId3" w:type="default"/>
          <w:pgSz w:w="11906" w:h="16838"/>
          <w:pgMar w:top="1440" w:right="1800" w:bottom="1440" w:left="1800" w:header="851" w:footer="992" w:gutter="0"/>
          <w:pgNumType w:start="1"/>
          <w:cols w:space="720" w:num="1"/>
          <w:docGrid w:type="lines" w:linePitch="312" w:charSpace="0"/>
        </w:sectPr>
      </w:pPr>
    </w:p>
    <w:p w14:paraId="0855927C">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34" w:name="_Toc10496"/>
      <w:bookmarkStart w:id="35" w:name="_Toc10417"/>
      <w:r>
        <w:rPr>
          <w:rFonts w:hint="eastAsia" w:ascii="Times New Roman" w:hAnsi="Times New Roman" w:cs="等线 Light"/>
          <w:b/>
          <w:bCs/>
          <w:snapToGrid w:val="0"/>
          <w:kern w:val="0"/>
          <w:sz w:val="44"/>
          <w:szCs w:val="44"/>
        </w:rPr>
        <w:t>第二章 响应人须知</w:t>
      </w:r>
      <w:bookmarkEnd w:id="32"/>
      <w:bookmarkEnd w:id="33"/>
      <w:bookmarkEnd w:id="34"/>
      <w:bookmarkEnd w:id="35"/>
    </w:p>
    <w:p w14:paraId="762159EB">
      <w:pPr>
        <w:autoSpaceDE w:val="0"/>
        <w:autoSpaceDN w:val="0"/>
        <w:spacing w:line="600" w:lineRule="exact"/>
        <w:outlineLvl w:val="1"/>
        <w:rPr>
          <w:rFonts w:ascii="Times New Roman" w:hAnsi="Times New Roman" w:cs="Times New Roman"/>
          <w:b/>
          <w:bCs/>
          <w:snapToGrid w:val="0"/>
          <w:szCs w:val="24"/>
        </w:rPr>
      </w:pPr>
      <w:bookmarkStart w:id="36" w:name="_Toc89675160"/>
      <w:r>
        <w:rPr>
          <w:rFonts w:hint="eastAsia" w:ascii="Times New Roman" w:hAnsi="Times New Roman" w:cs="Times New Roman"/>
          <w:b/>
          <w:bCs/>
          <w:snapToGrid w:val="0"/>
          <w:szCs w:val="24"/>
        </w:rPr>
        <w:t>1. 采购人</w:t>
      </w:r>
    </w:p>
    <w:p w14:paraId="11A5AA77">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t>重庆三峡银行股份有限公司</w:t>
      </w:r>
      <w:r>
        <w:rPr>
          <w:rFonts w:hint="eastAsia" w:ascii="Times New Roman" w:hAnsi="Times New Roman" w:cs="Cambria Math"/>
          <w:bCs/>
          <w:szCs w:val="18"/>
        </w:rPr>
        <w:t>。</w:t>
      </w:r>
    </w:p>
    <w:bookmarkEnd w:id="36"/>
    <w:p w14:paraId="69B874AD">
      <w:pPr>
        <w:autoSpaceDE w:val="0"/>
        <w:autoSpaceDN w:val="0"/>
        <w:spacing w:line="600" w:lineRule="exact"/>
        <w:outlineLvl w:val="1"/>
        <w:rPr>
          <w:rFonts w:ascii="Times New Roman" w:hAnsi="Times New Roman" w:cs="Times New Roman"/>
          <w:b/>
          <w:bCs/>
          <w:snapToGrid w:val="0"/>
          <w:szCs w:val="24"/>
        </w:rPr>
      </w:pPr>
      <w:bookmarkStart w:id="37" w:name="_Toc89675161"/>
      <w:r>
        <w:rPr>
          <w:rFonts w:hint="eastAsia" w:ascii="Times New Roman" w:hAnsi="Times New Roman" w:cs="Times New Roman"/>
          <w:b/>
          <w:bCs/>
          <w:snapToGrid w:val="0"/>
          <w:szCs w:val="24"/>
        </w:rPr>
        <w:t xml:space="preserve">2. </w:t>
      </w:r>
      <w:bookmarkEnd w:id="37"/>
      <w:r>
        <w:rPr>
          <w:rFonts w:hint="eastAsia" w:ascii="Times New Roman" w:hAnsi="Times New Roman" w:cs="Times New Roman"/>
          <w:b/>
          <w:bCs/>
          <w:snapToGrid w:val="0"/>
          <w:szCs w:val="24"/>
        </w:rPr>
        <w:t>响应人</w:t>
      </w:r>
    </w:p>
    <w:p w14:paraId="5FFAA95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为采购人提供工程、货物和服务的承包商、供货商和服务商。</w:t>
      </w:r>
    </w:p>
    <w:p w14:paraId="279A0076">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2.1 合格响应人条件</w:t>
      </w:r>
    </w:p>
    <w:p w14:paraId="3CA4196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合格响应人应完全符合询比文件第一章中规定的响应人资格条件，并对询比文件作出实质性响应。</w:t>
      </w:r>
    </w:p>
    <w:p w14:paraId="67133CDF">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2.2 响应人的风险</w:t>
      </w:r>
    </w:p>
    <w:p w14:paraId="1216A64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响应人没有按照询比文件要求提供全部资料，或者响应人没有对询比文件在各方面作出实质性响应，可能导致响应被拒绝或评定为无效响应。</w:t>
      </w:r>
    </w:p>
    <w:p w14:paraId="47EB0DEA">
      <w:pPr>
        <w:autoSpaceDE w:val="0"/>
        <w:autoSpaceDN w:val="0"/>
        <w:spacing w:line="600" w:lineRule="exact"/>
        <w:outlineLvl w:val="1"/>
        <w:rPr>
          <w:rFonts w:ascii="Times New Roman" w:hAnsi="Times New Roman" w:cs="Times New Roman"/>
          <w:b/>
          <w:bCs/>
          <w:snapToGrid w:val="0"/>
          <w:szCs w:val="24"/>
        </w:rPr>
      </w:pPr>
      <w:bookmarkStart w:id="38" w:name="_Toc89675162"/>
      <w:r>
        <w:rPr>
          <w:rFonts w:hint="eastAsia" w:ascii="Times New Roman" w:hAnsi="Times New Roman" w:cs="Times New Roman"/>
          <w:b/>
          <w:bCs/>
          <w:snapToGrid w:val="0"/>
          <w:szCs w:val="24"/>
        </w:rPr>
        <w:t xml:space="preserve">3. </w:t>
      </w:r>
      <w:bookmarkEnd w:id="38"/>
      <w:r>
        <w:rPr>
          <w:rFonts w:hint="eastAsia" w:ascii="Times New Roman" w:hAnsi="Times New Roman" w:cs="Times New Roman"/>
          <w:b/>
          <w:bCs/>
          <w:snapToGrid w:val="0"/>
          <w:szCs w:val="24"/>
        </w:rPr>
        <w:t>询比文件</w:t>
      </w:r>
    </w:p>
    <w:p w14:paraId="51BEE29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采购人根据自身采购方案或需求编制的采购文件。</w:t>
      </w:r>
    </w:p>
    <w:p w14:paraId="1DE8357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询比文件是响应人编制响应文件的依据，是评审委员会评判依据和标准。询比文件也是采购人与入围供应商签订合同的基础。</w:t>
      </w:r>
    </w:p>
    <w:p w14:paraId="1CAC435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采购人对询比文件所作的一切有效的书面通知、修改及补充，都是询比文件不可分割的部分。</w:t>
      </w:r>
    </w:p>
    <w:p w14:paraId="1334A483">
      <w:pPr>
        <w:autoSpaceDE w:val="0"/>
        <w:autoSpaceDN w:val="0"/>
        <w:spacing w:line="600" w:lineRule="exact"/>
        <w:outlineLvl w:val="1"/>
        <w:rPr>
          <w:rFonts w:ascii="Times New Roman" w:hAnsi="Times New Roman" w:cs="Times New Roman"/>
          <w:b/>
          <w:bCs/>
          <w:snapToGrid w:val="0"/>
          <w:szCs w:val="24"/>
        </w:rPr>
      </w:pPr>
      <w:bookmarkStart w:id="39" w:name="_Toc89675163"/>
      <w:r>
        <w:rPr>
          <w:rFonts w:hint="eastAsia" w:ascii="Times New Roman" w:hAnsi="Times New Roman" w:cs="Times New Roman"/>
          <w:b/>
          <w:bCs/>
          <w:snapToGrid w:val="0"/>
          <w:szCs w:val="24"/>
        </w:rPr>
        <w:t xml:space="preserve">4. </w:t>
      </w:r>
      <w:bookmarkEnd w:id="39"/>
      <w:r>
        <w:rPr>
          <w:rFonts w:hint="eastAsia" w:ascii="Times New Roman" w:hAnsi="Times New Roman" w:cs="Times New Roman"/>
          <w:b/>
          <w:bCs/>
          <w:snapToGrid w:val="0"/>
          <w:szCs w:val="24"/>
        </w:rPr>
        <w:t>响应</w:t>
      </w:r>
    </w:p>
    <w:p w14:paraId="3C32E3F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响应人应当按照询比文件的要求编制响应文件，并对询比文件提出的要求和条件作出实质性响应。</w:t>
      </w:r>
    </w:p>
    <w:p w14:paraId="2521D549">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4.1 响应文件</w:t>
      </w:r>
    </w:p>
    <w:p w14:paraId="036E99A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参与询比活动的响应人按照询比文件的要求编制提交的要约文件的统称。</w:t>
      </w:r>
    </w:p>
    <w:p w14:paraId="14CC5347">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4.2 响应文件组成</w:t>
      </w:r>
    </w:p>
    <w:p w14:paraId="0F1320E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响应文件由响应人所作的一切有效补充、修改和承诺等文件组成，响应人应按照第六章“响应文件格式”规定的目录顺序组织编写和装订，否则有可能影响响应人的响应文件评审。</w:t>
      </w:r>
    </w:p>
    <w:p w14:paraId="69EB6081">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4.3 联合响应</w:t>
      </w:r>
    </w:p>
    <w:p w14:paraId="667BBA1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本询比项目不接受联合响应</w:t>
      </w:r>
    </w:p>
    <w:p w14:paraId="4D0C4A53">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4.4 响应有效期</w:t>
      </w:r>
    </w:p>
    <w:p w14:paraId="5E8CA7F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响应有效期为响应截止时间后90天内。</w:t>
      </w:r>
    </w:p>
    <w:p w14:paraId="05725156">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4.5 响应保证金</w:t>
      </w:r>
    </w:p>
    <w:p w14:paraId="1DAF32D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4.5.1 响应人应在响应截止时间前，按询比文件第一章规定向采购人缴纳响应保证金。</w:t>
      </w:r>
    </w:p>
    <w:p w14:paraId="57C456E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4.5.2 响应保证金为响应的有效约束条件。</w:t>
      </w:r>
    </w:p>
    <w:p w14:paraId="1C11B6F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4.5.3 响应保证金有效期与响应文件有效期一致。</w:t>
      </w:r>
    </w:p>
    <w:p w14:paraId="5BD24F5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4.5.4 响应保证金币种应与响应报价币种相同。</w:t>
      </w:r>
    </w:p>
    <w:p w14:paraId="086F2F2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4.5.5 响应保证金的退还：</w:t>
      </w:r>
    </w:p>
    <w:p w14:paraId="05FEAC3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在入围通知书发出后2个工作日内将入围通知书和保证金退还通知抄告重庆市公共资源交易中心，重庆市公共资源交易中心在收到保证金退还通知后2个工作日内，向除入围供应商和入围候选人以外的响应人，退还响应保证金。</w:t>
      </w:r>
    </w:p>
    <w:p w14:paraId="77273F2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采购人在合同生效后2个工作日内将签订的合同和保证金退还通知抄告重庆市公共资源交易中心，重庆市公共资源交易中心在收到保证金退还通知后2个工作日内，向入围供应商和入围候选人退还响应保证金。</w:t>
      </w:r>
    </w:p>
    <w:p w14:paraId="5AD0690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响应保证金专用账户由重庆市公共资源交易中心制定，关于保证金相关情况的问题请咨询重庆市公共资源交易中心，联系电话023-63621694。</w:t>
      </w:r>
    </w:p>
    <w:p w14:paraId="01DB045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 响应人有下列情形之一的，响应保证金将不予退还：</w:t>
      </w:r>
    </w:p>
    <w:p w14:paraId="0780063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4.5.6.1 响应人在响应有效期内撤销响应文件的；</w:t>
      </w:r>
    </w:p>
    <w:p w14:paraId="55EC949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4.5.6.2 响应人在响应过程中弄虚作假，提供虚假材料的；</w:t>
      </w:r>
    </w:p>
    <w:p w14:paraId="4519B53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4.5.6.3 入围供应商无故弃选或无正当理由不与采购人签订合同的；</w:t>
      </w:r>
    </w:p>
    <w:p w14:paraId="1109724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4.5.6.4 入围供应商将入围项目转让给他人或者在响应文件中未说明且未经询比单位同意，将入围项目分包给他人的；</w:t>
      </w:r>
    </w:p>
    <w:p w14:paraId="062BA80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4.5.6.5 入围供应商拒绝履行合同义务的；</w:t>
      </w:r>
    </w:p>
    <w:p w14:paraId="104E30F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4.5.6.6 其他严重扰乱询比程序的；</w:t>
      </w:r>
    </w:p>
    <w:p w14:paraId="457B7711">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4.6 响应文件的份数和签署</w:t>
      </w:r>
    </w:p>
    <w:p w14:paraId="512812A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822B22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4.6.2 响应文件正本中，每一页均应由响应人加盖公章，其中规定格式的文件应当按要求签名和加盖响应人公章。</w:t>
      </w:r>
    </w:p>
    <w:p w14:paraId="015CCBA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4.6.3 若响应人对响应文件的错处作必要修改，则应在修改处加盖响应人公章或由法人或委托代理人签字确认。</w:t>
      </w:r>
    </w:p>
    <w:p w14:paraId="6A981F3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4.6.4 电报、电话、邮寄、传真形式的响应文件概不接受。</w:t>
      </w:r>
    </w:p>
    <w:p w14:paraId="4A487BFD">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4.7 响应文件的密封与标记</w:t>
      </w:r>
    </w:p>
    <w:p w14:paraId="0292B77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响应文件的正本、副本、电子文件装入一个文件大袋进行密封。密封袋上注明项目名称、响应人名称及“不准提前启封”字样。信封的封口须加盖响应人公章或授权代表签字。</w:t>
      </w:r>
    </w:p>
    <w:p w14:paraId="3E14696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如果未按上述规定进行密封和标记，则其响应将作为无效响应处理。</w:t>
      </w:r>
    </w:p>
    <w:p w14:paraId="5CD6F720">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4.8 响应报价</w:t>
      </w:r>
    </w:p>
    <w:p w14:paraId="1C4C025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4.8.1 响应人应严格按照“响应文件格式”填写报价。</w:t>
      </w:r>
    </w:p>
    <w:p w14:paraId="69948E1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4.8.2 响应人的报价为一次性报价，即在响应有效期内响应价格固定不变。</w:t>
      </w:r>
    </w:p>
    <w:p w14:paraId="27D1F27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4.8.3 本项目只接受一个响应报价，有选择的或有条件的响应将不予接受。</w:t>
      </w:r>
    </w:p>
    <w:p w14:paraId="1D6FB10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4.8.4 响应报价不得高于最高限价。</w:t>
      </w:r>
    </w:p>
    <w:p w14:paraId="1AA8E2F2">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4.9 修正错误</w:t>
      </w:r>
    </w:p>
    <w:p w14:paraId="5E5C158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若响应文件出现计算或表达上的错误，修正错误的原则如下：</w:t>
      </w:r>
    </w:p>
    <w:p w14:paraId="28392D6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4.9.1 响应文件的大写金额和小写金额不一致的，以大写金额为准；</w:t>
      </w:r>
    </w:p>
    <w:p w14:paraId="1C03941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4.9.2 总价金额与按单价汇总金额不一致的，以单价金额计算结果为准；</w:t>
      </w:r>
    </w:p>
    <w:p w14:paraId="42F0115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4.9.3 单价金额小数点有明显错位的，应以总价为准，并修正单价；</w:t>
      </w:r>
    </w:p>
    <w:p w14:paraId="611CDDA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4.9.4 对不同文字文本响应文件的解释发生异议的，以中文文本为准。</w:t>
      </w:r>
    </w:p>
    <w:p w14:paraId="1B2C6C8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4.9.5 含税金额与不含税金额不一致的，以含税金额为准。</w:t>
      </w:r>
    </w:p>
    <w:p w14:paraId="72A5EA0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5F62260A">
      <w:pPr>
        <w:autoSpaceDE w:val="0"/>
        <w:autoSpaceDN w:val="0"/>
        <w:spacing w:line="600" w:lineRule="exact"/>
        <w:outlineLvl w:val="1"/>
        <w:rPr>
          <w:rFonts w:ascii="Times New Roman" w:hAnsi="Times New Roman" w:cs="Times New Roman"/>
          <w:b/>
          <w:bCs/>
          <w:snapToGrid w:val="0"/>
          <w:szCs w:val="24"/>
        </w:rPr>
      </w:pPr>
      <w:bookmarkStart w:id="40" w:name="_Toc89675166"/>
      <w:r>
        <w:rPr>
          <w:rFonts w:hint="eastAsia" w:ascii="Times New Roman" w:hAnsi="Times New Roman" w:cs="Times New Roman"/>
          <w:b/>
          <w:bCs/>
          <w:snapToGrid w:val="0"/>
          <w:szCs w:val="24"/>
        </w:rPr>
        <w:t>5. 询比程序</w:t>
      </w:r>
    </w:p>
    <w:p w14:paraId="3231134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主持人按下列程序进行询比：</w:t>
      </w:r>
    </w:p>
    <w:p w14:paraId="0CF34DD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5.1 宣布询比纪律；</w:t>
      </w:r>
    </w:p>
    <w:p w14:paraId="6E2546B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5.2 宣布采购人、唱标人、记录人、监督人等有关人员姓名；</w:t>
      </w:r>
    </w:p>
    <w:p w14:paraId="24D65F1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5.3 公布在响应截止时间前递交响应文件的响应人名称，并点名确认响应人是否派人到场；</w:t>
      </w:r>
    </w:p>
    <w:p w14:paraId="225D094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5.4 展示响应保证金，响应保证金缴款不全或有误的，则记录在案交由评审委员会评审；</w:t>
      </w:r>
    </w:p>
    <w:p w14:paraId="772CA77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5.5 封装情况检查：响应人或者其推选的代表检查各响应文件的封装情况并确认；</w:t>
      </w:r>
    </w:p>
    <w:p w14:paraId="47C8D1B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5.6 设有最高限价的，公布最高限价；</w:t>
      </w:r>
    </w:p>
    <w:p w14:paraId="0B27E9D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5.7 开启响应文件；</w:t>
      </w:r>
    </w:p>
    <w:p w14:paraId="274F1E4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5.8 采购人代表、响应人代表、监督人、记录人等有关人员在询比记录上签字确认；</w:t>
      </w:r>
    </w:p>
    <w:p w14:paraId="2163C3E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5.9 询比结束。</w:t>
      </w:r>
    </w:p>
    <w:p w14:paraId="63712D36">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6. 评审</w:t>
      </w:r>
    </w:p>
    <w:p w14:paraId="2E49CED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见第四章内容。</w:t>
      </w:r>
    </w:p>
    <w:p w14:paraId="0D026698">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 xml:space="preserve">7. </w:t>
      </w:r>
      <w:bookmarkEnd w:id="40"/>
      <w:r>
        <w:rPr>
          <w:rFonts w:hint="eastAsia" w:ascii="Times New Roman" w:hAnsi="Times New Roman" w:cs="Times New Roman"/>
          <w:b/>
          <w:bCs/>
          <w:snapToGrid w:val="0"/>
          <w:szCs w:val="24"/>
        </w:rPr>
        <w:t>确定入围供应商</w:t>
      </w:r>
    </w:p>
    <w:p w14:paraId="77C97B0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7.1 确定入围供应商原则</w:t>
      </w:r>
    </w:p>
    <w:p w14:paraId="14D8890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采购人按照评审报告中推荐的入围候选人排名顺序确定入围供应商，如入围供应商因不可抗力或者自身原因不能履行合同的，采购人可以重新采购或确定依次其后的候选人为入围供应商，以此类推。</w:t>
      </w:r>
    </w:p>
    <w:p w14:paraId="0E11AD0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7.2 不承诺最低价格入围。</w:t>
      </w:r>
    </w:p>
    <w:p w14:paraId="68C0192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7.3 若入围供应商响应材料出现造假、不实等与实际查询结果不符或无故弃选的情况，采购人有权选择重新询比或顺延下一入围候选人，由此带来的损失采购人有权通过没收响应保证金等方式进行追溯。</w:t>
      </w:r>
    </w:p>
    <w:p w14:paraId="082C79C8">
      <w:pPr>
        <w:autoSpaceDE w:val="0"/>
        <w:autoSpaceDN w:val="0"/>
        <w:spacing w:line="600" w:lineRule="exact"/>
        <w:outlineLvl w:val="1"/>
        <w:rPr>
          <w:rFonts w:ascii="Times New Roman" w:hAnsi="Times New Roman" w:cs="Times New Roman"/>
          <w:b/>
          <w:bCs/>
          <w:snapToGrid w:val="0"/>
          <w:szCs w:val="24"/>
        </w:rPr>
      </w:pPr>
      <w:bookmarkStart w:id="41" w:name="_Toc12245"/>
      <w:bookmarkStart w:id="42" w:name="_Toc89675168"/>
      <w:r>
        <w:rPr>
          <w:rFonts w:hint="eastAsia" w:ascii="Times New Roman" w:hAnsi="Times New Roman" w:cs="Times New Roman"/>
          <w:b/>
          <w:bCs/>
          <w:snapToGrid w:val="0"/>
          <w:szCs w:val="24"/>
        </w:rPr>
        <w:t>8. 签订合同</w:t>
      </w:r>
      <w:bookmarkEnd w:id="41"/>
      <w:bookmarkEnd w:id="42"/>
    </w:p>
    <w:p w14:paraId="55A1990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8.1 采购人指定的使用单位将在自入围通知发出之日起，依据询比文件和入围供应商响应文件的约定，按照采购人内部流程与入围供应商签订书面合同。所签订的合同不得对询比文件和入围供应商响应文件作实质性修改。</w:t>
      </w:r>
    </w:p>
    <w:p w14:paraId="1A9B69B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8.2 入围供应商在领取入围通知书后，应根据第一章中“联系方式”内容，及时与项目联系人对接，并按采购人要求在规定时间完成合同的签订。如未在规定时间内签订合同，且经采购人书面通知后仍不按照通知要求签订合同的，可视为入围供应商无故弃选。</w:t>
      </w:r>
    </w:p>
    <w:p w14:paraId="259EE2E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8.3 询比文件、入围供应商的响应文件及澄清文件等，均为签订合同的依据。</w:t>
      </w:r>
    </w:p>
    <w:p w14:paraId="658D790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8.4 合同生效条款由供需双方约定，法律、行政法规规定应当办理批准、登记等手续后生效的合同，依照其规定。</w:t>
      </w:r>
    </w:p>
    <w:p w14:paraId="7DDF374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8.5 签订合同前后，若入围供应商无法按要求履约，采购人可以废除入围供应商资格，并可重新采购或选择按照入围候选人顺位与下一候选人签订合同。</w:t>
      </w:r>
    </w:p>
    <w:p w14:paraId="3036A4B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8.6 该项目不允许任何形式的转包。</w:t>
      </w:r>
    </w:p>
    <w:p w14:paraId="298CC1F6">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9. 纪律与要求</w:t>
      </w:r>
    </w:p>
    <w:p w14:paraId="1CE5935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响应人不得相互串通响应或者与采购人串通响应，不得向采购人行贿谋取入围，不得以他人名义响应或者以其他方式弄虚作假骗取入围；响应人不得以任何方式干扰、影响评审工作。</w:t>
      </w:r>
    </w:p>
    <w:p w14:paraId="0801D83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 有下列情形之一的，属于响应人相互串通响应：</w:t>
      </w:r>
    </w:p>
    <w:p w14:paraId="0B82D18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9.1.1 响应人之间协商响应报价等响应文件的实质性内容；</w:t>
      </w:r>
    </w:p>
    <w:p w14:paraId="68913B0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9.1.2 响应人之间约定入围供应商；</w:t>
      </w:r>
    </w:p>
    <w:p w14:paraId="2720B5D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9.1.3 响应人之间约定部分响应人放弃响应或者入围；</w:t>
      </w:r>
    </w:p>
    <w:p w14:paraId="196206A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9.1.4 属于同一集团、协会、商会等组织成员的响应人按照该组织要求协同响应；</w:t>
      </w:r>
    </w:p>
    <w:p w14:paraId="3D4B02A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9.1.5 响应人之间为谋取入围或者排斥特定响应人而采取的其他联合行动。</w:t>
      </w:r>
    </w:p>
    <w:p w14:paraId="08D8458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 有下列情形之一的，视为响应人相互串通响应：</w:t>
      </w:r>
    </w:p>
    <w:p w14:paraId="66AB1F8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9.2.1 不同响应人的响应文件由同一单位或者个人编制；</w:t>
      </w:r>
    </w:p>
    <w:p w14:paraId="258F928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9.2.2 不同响应人委托同一单位或者个人办理响应事宜；</w:t>
      </w:r>
    </w:p>
    <w:p w14:paraId="5A62081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9.2.3 不同响应人的响应文件载明的项目管理成员为同一人；</w:t>
      </w:r>
    </w:p>
    <w:p w14:paraId="20D463E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9.2.4 不同响应人的响应文件相互混装；</w:t>
      </w:r>
    </w:p>
    <w:p w14:paraId="3CD780E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9.2.5 不同响应人的响应保证金从同一单位或者个人的账户转出。</w:t>
      </w:r>
    </w:p>
    <w:p w14:paraId="63BCFD7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9.3 使用通过受让或者租借等方式获取的资格、资质证书响应的，属于以他人名义响应。</w:t>
      </w:r>
    </w:p>
    <w:p w14:paraId="2E1D7BD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 响应人有下列情形之一的，属于弄虚作假的行为：</w:t>
      </w:r>
    </w:p>
    <w:p w14:paraId="73482B4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9.4.1 使用伪造、变造的许可证件；</w:t>
      </w:r>
    </w:p>
    <w:p w14:paraId="3E38106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9.4.2 提供虚假的财务状况或者虚假业绩；</w:t>
      </w:r>
    </w:p>
    <w:p w14:paraId="271BC97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9.4.3 提供虚假的项目负责人或者主要技术人员简历、劳动关系证明；</w:t>
      </w:r>
    </w:p>
    <w:p w14:paraId="2573028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9.4.4 提供虚假的信用状况；</w:t>
      </w:r>
    </w:p>
    <w:p w14:paraId="4FA3B5A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9.4.5 其它弄虚作假的行为。</w:t>
      </w:r>
    </w:p>
    <w:p w14:paraId="3A7E2EC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针对以上情况，采购人有权没收响应人的响应保证金，并保留进一步追究由此带来损失的权利。</w:t>
      </w:r>
    </w:p>
    <w:p w14:paraId="0A8FD621">
      <w:pPr>
        <w:autoSpaceDE w:val="0"/>
        <w:autoSpaceDN w:val="0"/>
        <w:spacing w:line="600" w:lineRule="exact"/>
        <w:outlineLvl w:val="1"/>
        <w:rPr>
          <w:rFonts w:ascii="Times New Roman" w:hAnsi="Times New Roman" w:cs="Times New Roman"/>
          <w:b/>
          <w:bCs/>
          <w:snapToGrid w:val="0"/>
          <w:szCs w:val="24"/>
        </w:rPr>
      </w:pPr>
      <w:bookmarkStart w:id="43" w:name="_Toc89675169"/>
      <w:r>
        <w:rPr>
          <w:rFonts w:hint="eastAsia" w:ascii="Times New Roman" w:hAnsi="Times New Roman" w:cs="Times New Roman"/>
          <w:b/>
          <w:bCs/>
          <w:snapToGrid w:val="0"/>
          <w:szCs w:val="24"/>
        </w:rPr>
        <w:t>10. 提问、质疑、投诉</w:t>
      </w:r>
    </w:p>
    <w:p w14:paraId="3996BEB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10.1 补遗内容可能影响响应文件编制的，须在响应截止时间3日前发布，发布时间至响应截止时间不足3日的，须相应延后响应截止时间。</w:t>
      </w:r>
    </w:p>
    <w:p w14:paraId="1E90C90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7EAF954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10.3 响应人对公示的入围结果有质疑，响应人需在公示期内以书面形式向采购人提出质疑。采购人认为有必要对响应人所提质疑进行答复时，将以书面形式进行答复。</w:t>
      </w:r>
    </w:p>
    <w:p w14:paraId="59FFC6E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10.4 响应人对采购人的答复不满意或者有质疑，可向采购人纪检监察部投诉。</w:t>
      </w:r>
    </w:p>
    <w:p w14:paraId="1025E0E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采购质疑邮箱：</w:t>
      </w:r>
      <w:r>
        <w:rPr>
          <w:rFonts w:ascii="Times New Roman" w:hAnsi="Times New Roman" w:cs="Cambria Math"/>
          <w:bCs/>
          <w:szCs w:val="18"/>
        </w:rPr>
        <w:t>sx.jcb@ccqtgb.com</w:t>
      </w:r>
    </w:p>
    <w:p w14:paraId="1E4D8BD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采购投诉邮箱：</w:t>
      </w:r>
      <w:bookmarkStart w:id="44" w:name="_Hlk74215856"/>
      <w:r>
        <w:rPr>
          <w:rFonts w:hint="eastAsia" w:ascii="Times New Roman" w:hAnsi="Times New Roman" w:cs="Cambria Math"/>
          <w:bCs/>
          <w:szCs w:val="18"/>
        </w:rPr>
        <w:t>sxyhjjz@</w:t>
      </w:r>
      <w:r>
        <w:rPr>
          <w:rFonts w:ascii="Times New Roman" w:hAnsi="Times New Roman" w:cs="Cambria Math"/>
          <w:bCs/>
          <w:szCs w:val="18"/>
        </w:rPr>
        <w:t>ccqtgb</w:t>
      </w:r>
      <w:r>
        <w:rPr>
          <w:rFonts w:hint="eastAsia" w:ascii="Times New Roman" w:hAnsi="Times New Roman" w:cs="Cambria Math"/>
          <w:bCs/>
          <w:szCs w:val="18"/>
        </w:rPr>
        <w:t>.com</w:t>
      </w:r>
      <w:bookmarkEnd w:id="44"/>
    </w:p>
    <w:p w14:paraId="445B9053">
      <w:pPr>
        <w:autoSpaceDE w:val="0"/>
        <w:autoSpaceDN w:val="0"/>
        <w:spacing w:line="600" w:lineRule="exact"/>
        <w:outlineLvl w:val="1"/>
        <w:rPr>
          <w:rFonts w:ascii="Times New Roman" w:hAnsi="Times New Roman" w:cs="Times New Roman"/>
          <w:b/>
          <w:bCs/>
          <w:snapToGrid w:val="0"/>
          <w:szCs w:val="24"/>
        </w:rPr>
      </w:pPr>
      <w:bookmarkStart w:id="45" w:name="_Toc11439"/>
      <w:bookmarkStart w:id="46" w:name="_Toc440628924"/>
      <w:bookmarkStart w:id="47" w:name="_Toc15059431"/>
      <w:bookmarkStart w:id="48" w:name="_Toc89675157"/>
      <w:bookmarkStart w:id="49" w:name="_Toc275199618"/>
      <w:r>
        <w:rPr>
          <w:rFonts w:hint="eastAsia" w:ascii="Times New Roman" w:hAnsi="Times New Roman" w:cs="Times New Roman"/>
          <w:b/>
          <w:bCs/>
          <w:snapToGrid w:val="0"/>
          <w:szCs w:val="24"/>
        </w:rPr>
        <w:t>11. 无效响应条款</w:t>
      </w:r>
      <w:bookmarkEnd w:id="45"/>
      <w:bookmarkEnd w:id="46"/>
      <w:bookmarkEnd w:id="47"/>
      <w:bookmarkEnd w:id="48"/>
      <w:bookmarkEnd w:id="49"/>
    </w:p>
    <w:p w14:paraId="1681711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响应人或其响应文件出现下列情况之一者，应为无效响应：</w:t>
      </w:r>
    </w:p>
    <w:p w14:paraId="3D4E6B1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 响应人</w:t>
      </w:r>
      <w:r>
        <w:rPr>
          <w:rFonts w:ascii="Times New Roman" w:hAnsi="Times New Roman" w:cs="Cambria Math"/>
          <w:bCs/>
          <w:szCs w:val="18"/>
        </w:rPr>
        <w:t>未按</w:t>
      </w:r>
      <w:r>
        <w:rPr>
          <w:rFonts w:hint="eastAsia" w:ascii="Times New Roman" w:hAnsi="Times New Roman" w:cs="Cambria Math"/>
          <w:bCs/>
          <w:szCs w:val="18"/>
        </w:rPr>
        <w:t>询比文件</w:t>
      </w:r>
      <w:r>
        <w:rPr>
          <w:rFonts w:ascii="Times New Roman" w:hAnsi="Times New Roman" w:cs="Cambria Math"/>
          <w:bCs/>
          <w:szCs w:val="18"/>
        </w:rPr>
        <w:t>规定</w:t>
      </w:r>
      <w:r>
        <w:rPr>
          <w:rFonts w:hint="eastAsia" w:ascii="Times New Roman" w:hAnsi="Times New Roman" w:cs="Cambria Math"/>
          <w:bCs/>
          <w:szCs w:val="18"/>
        </w:rPr>
        <w:t>在响应保证金递交截止时间内</w:t>
      </w:r>
      <w:r>
        <w:rPr>
          <w:rFonts w:ascii="Times New Roman" w:hAnsi="Times New Roman" w:cs="Cambria Math"/>
          <w:bCs/>
          <w:szCs w:val="18"/>
        </w:rPr>
        <w:t>提交足额</w:t>
      </w:r>
      <w:r>
        <w:rPr>
          <w:rFonts w:hint="eastAsia" w:ascii="Times New Roman" w:hAnsi="Times New Roman" w:cs="Cambria Math"/>
          <w:bCs/>
          <w:szCs w:val="18"/>
        </w:rPr>
        <w:t>响应保证金</w:t>
      </w:r>
      <w:r>
        <w:rPr>
          <w:rFonts w:ascii="Times New Roman" w:hAnsi="Times New Roman" w:cs="Cambria Math"/>
          <w:bCs/>
          <w:szCs w:val="18"/>
        </w:rPr>
        <w:t>的</w:t>
      </w:r>
      <w:r>
        <w:rPr>
          <w:rFonts w:hint="eastAsia" w:ascii="Times New Roman" w:hAnsi="Times New Roman" w:cs="Cambria Math"/>
          <w:bCs/>
          <w:szCs w:val="18"/>
        </w:rPr>
        <w:t>。</w:t>
      </w:r>
    </w:p>
    <w:p w14:paraId="1BCBC46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11.2 响应人</w:t>
      </w:r>
      <w:r>
        <w:rPr>
          <w:rFonts w:ascii="Times New Roman" w:hAnsi="Times New Roman" w:cs="Cambria Math"/>
          <w:bCs/>
          <w:szCs w:val="18"/>
        </w:rPr>
        <w:t>未通过</w:t>
      </w:r>
      <w:r>
        <w:rPr>
          <w:rFonts w:hint="eastAsia" w:ascii="Times New Roman" w:hAnsi="Times New Roman" w:cs="Cambria Math"/>
          <w:bCs/>
          <w:szCs w:val="18"/>
        </w:rPr>
        <w:t>资格评审、形式评审、响应性评审</w:t>
      </w:r>
      <w:r>
        <w:rPr>
          <w:rFonts w:ascii="Times New Roman" w:hAnsi="Times New Roman" w:cs="Cambria Math"/>
          <w:bCs/>
          <w:szCs w:val="18"/>
        </w:rPr>
        <w:t>或</w:t>
      </w:r>
      <w:r>
        <w:rPr>
          <w:rFonts w:hint="eastAsia" w:ascii="Times New Roman" w:hAnsi="Times New Roman" w:cs="Cambria Math"/>
          <w:bCs/>
          <w:szCs w:val="18"/>
        </w:rPr>
        <w:t>响应文件</w:t>
      </w:r>
      <w:r>
        <w:rPr>
          <w:rFonts w:ascii="Times New Roman" w:hAnsi="Times New Roman" w:cs="Cambria Math"/>
          <w:bCs/>
          <w:szCs w:val="18"/>
        </w:rPr>
        <w:t>经证实存在弄虚作假的</w:t>
      </w:r>
      <w:r>
        <w:rPr>
          <w:rFonts w:hint="eastAsia" w:ascii="Times New Roman" w:hAnsi="Times New Roman" w:cs="Cambria Math"/>
          <w:bCs/>
          <w:szCs w:val="18"/>
        </w:rPr>
        <w:t>。</w:t>
      </w:r>
    </w:p>
    <w:p w14:paraId="6A0C0C0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11.3 响应人超出其营业执照或事业单位法人证书上经营范围（业务范围）响应的。</w:t>
      </w:r>
    </w:p>
    <w:p w14:paraId="19B7677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11.4 单位负责人为同一人或者存在直接控股、管理关系的不同响应人，不得参加同一合同项下的采购活动。</w:t>
      </w:r>
    </w:p>
    <w:p w14:paraId="2BE2AB5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 xml:space="preserve">11.5 </w:t>
      </w:r>
      <w:r>
        <w:rPr>
          <w:rFonts w:ascii="Times New Roman" w:hAnsi="Times New Roman" w:cs="Cambria Math"/>
          <w:bCs/>
          <w:szCs w:val="18"/>
        </w:rPr>
        <w:t>同一分包的软件，制造商参与</w:t>
      </w:r>
      <w:r>
        <w:rPr>
          <w:rFonts w:hint="eastAsia" w:ascii="Times New Roman" w:hAnsi="Times New Roman" w:cs="Cambria Math"/>
          <w:bCs/>
          <w:szCs w:val="18"/>
        </w:rPr>
        <w:t>响应</w:t>
      </w:r>
      <w:r>
        <w:rPr>
          <w:rFonts w:ascii="Times New Roman" w:hAnsi="Times New Roman" w:cs="Cambria Math"/>
          <w:bCs/>
          <w:szCs w:val="18"/>
        </w:rPr>
        <w:t>，再委托代理商参与</w:t>
      </w:r>
      <w:r>
        <w:rPr>
          <w:rFonts w:hint="eastAsia" w:ascii="Times New Roman" w:hAnsi="Times New Roman" w:cs="Cambria Math"/>
          <w:bCs/>
          <w:szCs w:val="18"/>
        </w:rPr>
        <w:t>响应</w:t>
      </w:r>
      <w:r>
        <w:rPr>
          <w:rFonts w:ascii="Times New Roman" w:hAnsi="Times New Roman" w:cs="Cambria Math"/>
          <w:bCs/>
          <w:szCs w:val="18"/>
        </w:rPr>
        <w:t>的</w:t>
      </w:r>
      <w:r>
        <w:rPr>
          <w:rFonts w:hint="eastAsia" w:ascii="Times New Roman" w:hAnsi="Times New Roman" w:cs="Cambria Math"/>
          <w:bCs/>
          <w:szCs w:val="18"/>
        </w:rPr>
        <w:t>。</w:t>
      </w:r>
    </w:p>
    <w:p w14:paraId="2A4CA4C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11.6 响应文件</w:t>
      </w:r>
      <w:r>
        <w:rPr>
          <w:rFonts w:ascii="Times New Roman" w:hAnsi="Times New Roman" w:cs="Cambria Math"/>
          <w:bCs/>
          <w:szCs w:val="18"/>
        </w:rPr>
        <w:t>不满足</w:t>
      </w:r>
      <w:r>
        <w:rPr>
          <w:rFonts w:hint="eastAsia" w:ascii="Times New Roman" w:hAnsi="Times New Roman" w:cs="Cambria Math"/>
          <w:bCs/>
          <w:szCs w:val="18"/>
        </w:rPr>
        <w:t>询比文件</w:t>
      </w:r>
      <w:r>
        <w:rPr>
          <w:rFonts w:ascii="Times New Roman" w:hAnsi="Times New Roman" w:cs="Cambria Math"/>
          <w:bCs/>
          <w:szCs w:val="18"/>
        </w:rPr>
        <w:t>第</w:t>
      </w:r>
      <w:r>
        <w:rPr>
          <w:rFonts w:hint="eastAsia" w:ascii="Times New Roman" w:hAnsi="Times New Roman" w:cs="Cambria Math"/>
          <w:bCs/>
          <w:szCs w:val="18"/>
        </w:rPr>
        <w:t>六</w:t>
      </w:r>
      <w:r>
        <w:rPr>
          <w:rFonts w:ascii="Times New Roman" w:hAnsi="Times New Roman" w:cs="Cambria Math"/>
          <w:bCs/>
          <w:szCs w:val="18"/>
        </w:rPr>
        <w:t>章</w:t>
      </w:r>
      <w:r>
        <w:rPr>
          <w:rFonts w:hint="eastAsia" w:ascii="Times New Roman" w:hAnsi="Times New Roman" w:cs="Cambria Math"/>
          <w:bCs/>
          <w:szCs w:val="18"/>
        </w:rPr>
        <w:t>响应文件</w:t>
      </w:r>
      <w:r>
        <w:rPr>
          <w:rFonts w:ascii="Times New Roman" w:hAnsi="Times New Roman" w:cs="Cambria Math"/>
          <w:bCs/>
          <w:szCs w:val="18"/>
        </w:rPr>
        <w:t>格式中所规定签字、盖章的</w:t>
      </w:r>
      <w:r>
        <w:rPr>
          <w:rFonts w:hint="eastAsia" w:ascii="Times New Roman" w:hAnsi="Times New Roman" w:cs="Cambria Math"/>
          <w:bCs/>
          <w:szCs w:val="18"/>
        </w:rPr>
        <w:t>。</w:t>
      </w:r>
    </w:p>
    <w:p w14:paraId="4867451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11.7 响应文件</w:t>
      </w:r>
      <w:r>
        <w:rPr>
          <w:rFonts w:ascii="Times New Roman" w:hAnsi="Times New Roman" w:cs="Cambria Math"/>
          <w:bCs/>
          <w:szCs w:val="18"/>
        </w:rPr>
        <w:t>出现多个</w:t>
      </w:r>
      <w:r>
        <w:rPr>
          <w:rFonts w:hint="eastAsia" w:ascii="Times New Roman" w:hAnsi="Times New Roman" w:cs="Cambria Math"/>
          <w:bCs/>
          <w:szCs w:val="18"/>
        </w:rPr>
        <w:t>响应</w:t>
      </w:r>
      <w:r>
        <w:rPr>
          <w:rFonts w:ascii="Times New Roman" w:hAnsi="Times New Roman" w:cs="Cambria Math"/>
          <w:bCs/>
          <w:szCs w:val="18"/>
        </w:rPr>
        <w:t>方案或</w:t>
      </w:r>
      <w:r>
        <w:rPr>
          <w:rFonts w:hint="eastAsia" w:ascii="Times New Roman" w:hAnsi="Times New Roman" w:cs="Cambria Math"/>
          <w:bCs/>
          <w:szCs w:val="18"/>
        </w:rPr>
        <w:t>响应报价</w:t>
      </w:r>
      <w:r>
        <w:rPr>
          <w:rFonts w:ascii="Times New Roman" w:hAnsi="Times New Roman" w:cs="Cambria Math"/>
          <w:bCs/>
          <w:szCs w:val="18"/>
        </w:rPr>
        <w:t>的</w:t>
      </w:r>
      <w:r>
        <w:rPr>
          <w:rFonts w:hint="eastAsia" w:ascii="Times New Roman" w:hAnsi="Times New Roman" w:cs="Cambria Math"/>
          <w:bCs/>
          <w:szCs w:val="18"/>
        </w:rPr>
        <w:t>。</w:t>
      </w:r>
    </w:p>
    <w:p w14:paraId="10C4E17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11.8 响应报价</w:t>
      </w:r>
      <w:r>
        <w:rPr>
          <w:rFonts w:ascii="Times New Roman" w:hAnsi="Times New Roman" w:cs="Cambria Math"/>
          <w:bCs/>
          <w:szCs w:val="18"/>
        </w:rPr>
        <w:t>超出最高限价的</w:t>
      </w:r>
      <w:r>
        <w:rPr>
          <w:rFonts w:hint="eastAsia" w:ascii="Times New Roman" w:hAnsi="Times New Roman" w:cs="Cambria Math"/>
          <w:bCs/>
          <w:szCs w:val="18"/>
        </w:rPr>
        <w:t>。</w:t>
      </w:r>
    </w:p>
    <w:p w14:paraId="0AC7AA2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11.9 响应文件</w:t>
      </w:r>
      <w:r>
        <w:rPr>
          <w:rFonts w:ascii="Times New Roman" w:hAnsi="Times New Roman" w:cs="Cambria Math"/>
          <w:bCs/>
          <w:szCs w:val="18"/>
        </w:rPr>
        <w:t>含有违反国家法律、法规的内容，或附有</w:t>
      </w:r>
      <w:r>
        <w:rPr>
          <w:rFonts w:hint="eastAsia" w:ascii="Times New Roman" w:hAnsi="Times New Roman" w:cs="Cambria Math"/>
          <w:bCs/>
          <w:szCs w:val="18"/>
        </w:rPr>
        <w:t>采购人</w:t>
      </w:r>
      <w:r>
        <w:rPr>
          <w:rFonts w:ascii="Times New Roman" w:hAnsi="Times New Roman" w:cs="Cambria Math"/>
          <w:bCs/>
          <w:szCs w:val="18"/>
        </w:rPr>
        <w:t>不能接受的条件的。</w:t>
      </w:r>
    </w:p>
    <w:p w14:paraId="7EA9C7F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11.10 出现影响询比公正的违法、违规行为的。</w:t>
      </w:r>
    </w:p>
    <w:p w14:paraId="6C0C546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11.11 与采购人、评审专家、其他响应人恶意串通。</w:t>
      </w:r>
    </w:p>
    <w:p w14:paraId="5ACCB47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11.12 参与响应的法人发生合并、分立、破产等重大变化后，不再具备询比要求的资格条件的。</w:t>
      </w:r>
    </w:p>
    <w:p w14:paraId="318790C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11.13 提供虚假材料谋取入围资格的。</w:t>
      </w:r>
    </w:p>
    <w:p w14:paraId="6A8728C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11.14 响应文件含有采购人不能接受的附件条件的。</w:t>
      </w:r>
    </w:p>
    <w:p w14:paraId="375FCC25">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12. 询比失败情形</w:t>
      </w:r>
    </w:p>
    <w:p w14:paraId="7AF8AB1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12.1 出现以下情形本次询比失败：</w:t>
      </w:r>
    </w:p>
    <w:p w14:paraId="2B17246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12.1.1首次询比的项目，截至响应截止时间，响应人少于3个的。</w:t>
      </w:r>
    </w:p>
    <w:p w14:paraId="26979FF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12.1.2 经评审委员会评审后否决所有响应的。</w:t>
      </w:r>
    </w:p>
    <w:p w14:paraId="4966BF3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12.1.3 法律法规规定的其他情形。</w:t>
      </w:r>
    </w:p>
    <w:p w14:paraId="02ECAB6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12.2 重新询比和不再询比</w:t>
      </w:r>
    </w:p>
    <w:p w14:paraId="746A58CB">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t>重新</w:t>
      </w:r>
      <w:r>
        <w:rPr>
          <w:rFonts w:hint="eastAsia" w:ascii="Times New Roman" w:hAnsi="Times New Roman" w:cs="Cambria Math"/>
          <w:bCs/>
          <w:szCs w:val="18"/>
        </w:rPr>
        <w:t>询比（如第二次询比）</w:t>
      </w:r>
      <w:r>
        <w:rPr>
          <w:rFonts w:ascii="Times New Roman" w:hAnsi="Times New Roman" w:cs="Cambria Math"/>
          <w:bCs/>
          <w:szCs w:val="18"/>
        </w:rPr>
        <w:t>的</w:t>
      </w:r>
      <w:r>
        <w:rPr>
          <w:rFonts w:hint="eastAsia" w:ascii="Times New Roman" w:hAnsi="Times New Roman" w:cs="Cambria Math"/>
          <w:bCs/>
          <w:szCs w:val="18"/>
        </w:rPr>
        <w:t>响应人</w:t>
      </w:r>
      <w:r>
        <w:rPr>
          <w:rFonts w:ascii="Times New Roman" w:hAnsi="Times New Roman" w:cs="Cambria Math"/>
          <w:bCs/>
          <w:szCs w:val="18"/>
        </w:rPr>
        <w:t>仍然少于三个的，按照有关规定的程序开标和评审。重新</w:t>
      </w:r>
      <w:r>
        <w:rPr>
          <w:rFonts w:hint="eastAsia" w:ascii="Times New Roman" w:hAnsi="Times New Roman" w:cs="Cambria Math"/>
          <w:bCs/>
          <w:szCs w:val="18"/>
        </w:rPr>
        <w:t>询比</w:t>
      </w:r>
      <w:r>
        <w:rPr>
          <w:rFonts w:ascii="Times New Roman" w:hAnsi="Times New Roman" w:cs="Cambria Math"/>
          <w:bCs/>
          <w:szCs w:val="18"/>
        </w:rPr>
        <w:t>经评审有有效</w:t>
      </w:r>
      <w:r>
        <w:rPr>
          <w:rFonts w:hint="eastAsia" w:ascii="Times New Roman" w:hAnsi="Times New Roman" w:cs="Cambria Math"/>
          <w:bCs/>
          <w:szCs w:val="18"/>
        </w:rPr>
        <w:t>响应人</w:t>
      </w:r>
      <w:r>
        <w:rPr>
          <w:rFonts w:ascii="Times New Roman" w:hAnsi="Times New Roman" w:cs="Cambria Math"/>
          <w:bCs/>
          <w:szCs w:val="18"/>
        </w:rPr>
        <w:t>的，应当确定</w:t>
      </w:r>
      <w:r>
        <w:rPr>
          <w:rFonts w:hint="eastAsia" w:ascii="Times New Roman" w:hAnsi="Times New Roman" w:cs="Cambria Math"/>
          <w:bCs/>
          <w:szCs w:val="18"/>
        </w:rPr>
        <w:t>入围候选人</w:t>
      </w:r>
      <w:r>
        <w:rPr>
          <w:rFonts w:ascii="Times New Roman" w:hAnsi="Times New Roman" w:cs="Cambria Math"/>
          <w:bCs/>
          <w:szCs w:val="18"/>
        </w:rPr>
        <w:t>；无有效</w:t>
      </w:r>
      <w:r>
        <w:rPr>
          <w:rFonts w:hint="eastAsia" w:ascii="Times New Roman" w:hAnsi="Times New Roman" w:cs="Cambria Math"/>
          <w:bCs/>
          <w:szCs w:val="18"/>
        </w:rPr>
        <w:t>响应人</w:t>
      </w:r>
      <w:r>
        <w:rPr>
          <w:rFonts w:ascii="Times New Roman" w:hAnsi="Times New Roman" w:cs="Cambria Math"/>
          <w:bCs/>
          <w:szCs w:val="18"/>
        </w:rPr>
        <w:t>的，可以不再进行</w:t>
      </w:r>
      <w:r>
        <w:rPr>
          <w:rFonts w:hint="eastAsia" w:ascii="Times New Roman" w:hAnsi="Times New Roman" w:cs="Cambria Math"/>
          <w:bCs/>
          <w:szCs w:val="18"/>
        </w:rPr>
        <w:t>询比</w:t>
      </w:r>
      <w:r>
        <w:rPr>
          <w:rFonts w:ascii="Times New Roman" w:hAnsi="Times New Roman" w:cs="Cambria Math"/>
          <w:bCs/>
          <w:szCs w:val="18"/>
        </w:rPr>
        <w:t>。</w:t>
      </w:r>
    </w:p>
    <w:p w14:paraId="29B5B609">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13. 终止</w:t>
      </w:r>
      <w:bookmarkEnd w:id="43"/>
      <w:r>
        <w:rPr>
          <w:rFonts w:hint="eastAsia" w:ascii="Times New Roman" w:hAnsi="Times New Roman" w:cs="Times New Roman"/>
          <w:b/>
          <w:bCs/>
          <w:snapToGrid w:val="0"/>
          <w:szCs w:val="24"/>
        </w:rPr>
        <w:t>询比</w:t>
      </w:r>
    </w:p>
    <w:p w14:paraId="798B2BD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13.1 因情况发生变化或其他原因造成该项目取消的，本次询比自动终止，双方互不承担责任，采购人有息退还响应保证金。</w:t>
      </w:r>
    </w:p>
    <w:p w14:paraId="19B273F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13.2 签订合同之前，采购人发现入围候选人经营、财务状况发生较大变化或存在违法行为，采购人认为可能影响其履约能力的，采购人可废除入围供应商或入围候选人资格。</w:t>
      </w:r>
    </w:p>
    <w:p w14:paraId="5420BADD">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14. 参与项目费用</w:t>
      </w:r>
    </w:p>
    <w:p w14:paraId="17AE0AE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响应人参与本询比项目时，一切与响应有关的费用均由响应人自理。</w:t>
      </w:r>
    </w:p>
    <w:p w14:paraId="4D2AC31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本项目平台服务费按标段收取，</w:t>
      </w:r>
      <w:r>
        <w:rPr>
          <w:rFonts w:hint="eastAsia"/>
        </w:rPr>
        <w:t>入围单位均摊平台服务费（标段1、标段2），</w:t>
      </w:r>
      <w:r>
        <w:rPr>
          <w:rFonts w:hint="eastAsia" w:ascii="Times New Roman" w:hAnsi="Times New Roman" w:cs="Cambria Math"/>
          <w:bCs/>
          <w:szCs w:val="18"/>
        </w:rPr>
        <w:t>下表中每个标段的平台服务费由该标段入围供应商向重庆联合产权交易所集团股份有限公司支付。入围供应商应在领取入围通知书时一次性缴纳，请各响应人综合考虑进行报价。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2955"/>
      </w:tblGrid>
      <w:tr w14:paraId="6D2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14:paraId="51532C85">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平台服务费</w:t>
            </w:r>
          </w:p>
        </w:tc>
      </w:tr>
      <w:tr w14:paraId="743D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14:paraId="530AD966">
            <w:pPr>
              <w:autoSpaceDE w:val="0"/>
              <w:autoSpaceDN w:val="0"/>
              <w:jc w:val="right"/>
              <w:rPr>
                <w:rFonts w:ascii="Times New Roman" w:hAnsi="Times New Roman" w:cs="Cambria Math"/>
                <w:bCs/>
                <w:szCs w:val="18"/>
              </w:rPr>
            </w:pPr>
            <w:r>
              <w:rPr>
                <w:rFonts w:hint="eastAsia" w:ascii="Times New Roman" w:hAnsi="Times New Roman" w:cs="Cambria Math"/>
                <w:bCs/>
                <w:szCs w:val="18"/>
              </w:rPr>
              <w:t>人民币：元</w:t>
            </w:r>
          </w:p>
        </w:tc>
      </w:tr>
      <w:tr w14:paraId="3FBF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6887B872">
            <w:pPr>
              <w:autoSpaceDE w:val="0"/>
              <w:autoSpaceDN w:val="0"/>
              <w:jc w:val="center"/>
              <w:rPr>
                <w:rFonts w:ascii="Times New Roman" w:hAnsi="Times New Roman" w:cs="Cambria Math"/>
                <w:bCs/>
                <w:szCs w:val="18"/>
              </w:rPr>
            </w:pPr>
            <w:r>
              <w:rPr>
                <w:rFonts w:hint="eastAsia" w:ascii="Times New Roman" w:hAnsi="Times New Roman" w:cs="Cambria Math"/>
                <w:bCs/>
                <w:szCs w:val="18"/>
              </w:rPr>
              <w:t>标段1</w:t>
            </w:r>
          </w:p>
        </w:tc>
        <w:tc>
          <w:tcPr>
            <w:tcW w:w="2955" w:type="dxa"/>
          </w:tcPr>
          <w:p w14:paraId="11C25741">
            <w:pPr>
              <w:autoSpaceDE w:val="0"/>
              <w:autoSpaceDN w:val="0"/>
              <w:jc w:val="center"/>
              <w:rPr>
                <w:rFonts w:ascii="Times New Roman" w:hAnsi="Times New Roman" w:cs="Cambria Math"/>
                <w:bCs/>
                <w:szCs w:val="18"/>
              </w:rPr>
            </w:pPr>
            <w:r>
              <w:rPr>
                <w:rFonts w:hint="eastAsia" w:ascii="Times New Roman" w:hAnsi="Times New Roman" w:cs="Cambria Math"/>
                <w:bCs/>
                <w:szCs w:val="18"/>
              </w:rPr>
              <w:t>8000.00</w:t>
            </w:r>
          </w:p>
        </w:tc>
      </w:tr>
      <w:tr w14:paraId="5072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5BA97611">
            <w:pPr>
              <w:autoSpaceDE w:val="0"/>
              <w:autoSpaceDN w:val="0"/>
              <w:jc w:val="center"/>
              <w:rPr>
                <w:rFonts w:ascii="Times New Roman" w:hAnsi="Times New Roman" w:cs="Cambria Math"/>
                <w:bCs/>
                <w:szCs w:val="18"/>
              </w:rPr>
            </w:pPr>
            <w:r>
              <w:rPr>
                <w:rFonts w:hint="eastAsia" w:ascii="Times New Roman" w:hAnsi="Times New Roman" w:cs="Cambria Math"/>
                <w:bCs/>
                <w:szCs w:val="18"/>
              </w:rPr>
              <w:t>标段2</w:t>
            </w:r>
          </w:p>
        </w:tc>
        <w:tc>
          <w:tcPr>
            <w:tcW w:w="2955" w:type="dxa"/>
          </w:tcPr>
          <w:p w14:paraId="2B2F7D66">
            <w:pPr>
              <w:autoSpaceDE w:val="0"/>
              <w:autoSpaceDN w:val="0"/>
              <w:jc w:val="center"/>
              <w:rPr>
                <w:rFonts w:ascii="Times New Roman" w:hAnsi="Times New Roman" w:cs="Cambria Math"/>
                <w:bCs/>
                <w:szCs w:val="18"/>
              </w:rPr>
            </w:pPr>
            <w:r>
              <w:rPr>
                <w:rFonts w:hint="eastAsia" w:ascii="Times New Roman" w:hAnsi="Times New Roman" w:cs="Cambria Math"/>
                <w:bCs/>
                <w:szCs w:val="18"/>
              </w:rPr>
              <w:t>8000.00</w:t>
            </w:r>
          </w:p>
        </w:tc>
      </w:tr>
    </w:tbl>
    <w:p w14:paraId="265E4231">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br w:type="page"/>
      </w:r>
    </w:p>
    <w:p w14:paraId="31606B26">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50" w:name="_Toc30519"/>
      <w:bookmarkStart w:id="51" w:name="_Toc6917"/>
      <w:r>
        <w:rPr>
          <w:rFonts w:hint="eastAsia" w:ascii="Times New Roman" w:hAnsi="Times New Roman" w:cs="等线 Light"/>
          <w:b/>
          <w:bCs/>
          <w:snapToGrid w:val="0"/>
          <w:kern w:val="0"/>
          <w:sz w:val="44"/>
          <w:szCs w:val="44"/>
        </w:rPr>
        <w:t>第三章 项目要求</w:t>
      </w:r>
      <w:bookmarkEnd w:id="50"/>
      <w:bookmarkEnd w:id="51"/>
    </w:p>
    <w:p w14:paraId="16BFE355">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1.项目概况</w:t>
      </w:r>
    </w:p>
    <w:p w14:paraId="4A4BD94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2025年采购人拟发行不超过110亿元金融债券（含资本债券和普通金融债）（最终发行额度、债券发行品种和金额以中国人民银行的批复和采购人发行安排为准），发行金融债券需聘请联席主承销商。</w:t>
      </w:r>
    </w:p>
    <w:p w14:paraId="55368E17">
      <w:pPr>
        <w:autoSpaceDE w:val="0"/>
        <w:autoSpaceDN w:val="0"/>
        <w:spacing w:line="600" w:lineRule="exact"/>
        <w:outlineLvl w:val="1"/>
        <w:rPr>
          <w:rFonts w:ascii="Times New Roman" w:hAnsi="Times New Roman" w:cs="Times New Roman"/>
          <w:b/>
          <w:bCs/>
          <w:snapToGrid w:val="0"/>
          <w:szCs w:val="24"/>
        </w:rPr>
      </w:pPr>
      <w:r>
        <w:rPr>
          <w:rFonts w:ascii="Times New Roman" w:hAnsi="Times New Roman" w:cs="Times New Roman"/>
          <w:b/>
          <w:bCs/>
          <w:snapToGrid w:val="0"/>
          <w:szCs w:val="24"/>
        </w:rPr>
        <w:t xml:space="preserve">2. </w:t>
      </w:r>
      <w:r>
        <w:rPr>
          <w:rFonts w:hint="eastAsia" w:ascii="Times New Roman" w:hAnsi="Times New Roman" w:cs="Times New Roman"/>
          <w:b/>
          <w:bCs/>
          <w:snapToGrid w:val="0"/>
          <w:szCs w:val="24"/>
        </w:rPr>
        <w:t>项目目标</w:t>
      </w:r>
    </w:p>
    <w:p w14:paraId="03B421E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本项目分为两个标段完成采购，每个标段独立进行询比。</w:t>
      </w:r>
    </w:p>
    <w:p w14:paraId="7A59BD47">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3. 项目要求</w:t>
      </w:r>
    </w:p>
    <w:p w14:paraId="169DD59B">
      <w:pPr>
        <w:autoSpaceDE w:val="0"/>
        <w:autoSpaceDN w:val="0"/>
        <w:spacing w:line="360" w:lineRule="auto"/>
        <w:ind w:firstLine="420" w:firstLineChars="200"/>
        <w:rPr>
          <w:rFonts w:ascii="Times New Roman" w:hAnsi="Times New Roman" w:cs="Cambria Math"/>
          <w:szCs w:val="18"/>
        </w:rPr>
      </w:pPr>
      <w:r>
        <w:rPr>
          <w:rFonts w:hint="eastAsia" w:ascii="Times New Roman" w:hAnsi="Times New Roman" w:cs="Cambria Math"/>
          <w:szCs w:val="18"/>
        </w:rPr>
        <w:t>按照发行金融债券的需要，本项目需要若干联席主承销商，主要负责配合牵头主承销商撰写发行材料和推进簿记销售。拟通过公开询比选聘券商类联席主承销商1</w:t>
      </w:r>
      <w:r>
        <w:rPr>
          <w:rFonts w:ascii="Times New Roman" w:hAnsi="Times New Roman" w:cs="Cambria Math"/>
          <w:szCs w:val="18"/>
        </w:rPr>
        <w:t>-</w:t>
      </w:r>
      <w:r>
        <w:rPr>
          <w:rFonts w:hint="eastAsia" w:ascii="Times New Roman" w:hAnsi="Times New Roman" w:cs="Cambria Math"/>
          <w:szCs w:val="18"/>
        </w:rPr>
        <w:t>5家，银行类联席主承销商1</w:t>
      </w:r>
      <w:r>
        <w:rPr>
          <w:rFonts w:ascii="Times New Roman" w:hAnsi="Times New Roman" w:cs="Cambria Math"/>
          <w:szCs w:val="18"/>
        </w:rPr>
        <w:t>-</w:t>
      </w:r>
      <w:r>
        <w:rPr>
          <w:rFonts w:hint="eastAsia" w:ascii="Times New Roman" w:hAnsi="Times New Roman" w:cs="Cambria Math"/>
          <w:szCs w:val="18"/>
        </w:rPr>
        <w:t>5家，补充进入2025年联席主承销商遴选库。每期债券发行时，采购人从销售支持和业务合作综合考虑，从遴选库中选择联席承销商。</w:t>
      </w:r>
    </w:p>
    <w:p w14:paraId="7B0BF9F7">
      <w:pPr>
        <w:autoSpaceDE w:val="0"/>
        <w:autoSpaceDN w:val="0"/>
        <w:spacing w:line="360" w:lineRule="auto"/>
        <w:ind w:firstLine="420" w:firstLineChars="200"/>
        <w:rPr>
          <w:rFonts w:ascii="Times New Roman" w:hAnsi="Times New Roman" w:cs="Cambria Math"/>
          <w:szCs w:val="18"/>
        </w:rPr>
      </w:pPr>
      <w:r>
        <w:rPr>
          <w:rFonts w:ascii="Times New Roman" w:hAnsi="Times New Roman" w:cs="Cambria Math"/>
          <w:szCs w:val="18"/>
        </w:rPr>
        <w:t>每支债券发行，联席承销商不超过</w:t>
      </w:r>
      <w:r>
        <w:rPr>
          <w:rFonts w:hint="eastAsia" w:ascii="Times New Roman" w:hAnsi="Times New Roman" w:cs="Cambria Math"/>
          <w:szCs w:val="18"/>
        </w:rPr>
        <w:t>9</w:t>
      </w:r>
      <w:r>
        <w:rPr>
          <w:rFonts w:ascii="Times New Roman" w:hAnsi="Times New Roman" w:cs="Cambria Math"/>
          <w:szCs w:val="18"/>
        </w:rPr>
        <w:t>家（含</w:t>
      </w:r>
      <w:r>
        <w:rPr>
          <w:rFonts w:hint="eastAsia" w:ascii="Times New Roman" w:hAnsi="Times New Roman" w:cs="Cambria Math"/>
          <w:szCs w:val="18"/>
        </w:rPr>
        <w:t>9</w:t>
      </w:r>
      <w:r>
        <w:rPr>
          <w:rFonts w:ascii="Times New Roman" w:hAnsi="Times New Roman" w:cs="Cambria Math"/>
          <w:szCs w:val="18"/>
        </w:rPr>
        <w:t>家），其中券商类联席承销商不超过</w:t>
      </w:r>
      <w:r>
        <w:rPr>
          <w:rFonts w:hint="eastAsia" w:ascii="Times New Roman" w:hAnsi="Times New Roman" w:cs="Cambria Math"/>
          <w:szCs w:val="18"/>
        </w:rPr>
        <w:t>7家（含7家），余下为银行类联席承销商。</w:t>
      </w:r>
    </w:p>
    <w:p w14:paraId="308831FE">
      <w:pPr>
        <w:autoSpaceDE w:val="0"/>
        <w:autoSpaceDN w:val="0"/>
        <w:spacing w:line="360" w:lineRule="auto"/>
        <w:ind w:firstLine="420" w:firstLineChars="200"/>
        <w:rPr>
          <w:rFonts w:ascii="Times New Roman" w:hAnsi="Times New Roman" w:cs="Cambria Math"/>
          <w:szCs w:val="18"/>
        </w:rPr>
      </w:pPr>
      <w:r>
        <w:rPr>
          <w:rFonts w:hint="eastAsia" w:ascii="Times New Roman" w:hAnsi="Times New Roman" w:cs="Cambria Math"/>
          <w:bCs/>
          <w:szCs w:val="24"/>
        </w:rPr>
        <w:t>采购人有权在服务期内对入围供应商的服务水平情况进行综合评议，</w:t>
      </w:r>
      <w:r>
        <w:rPr>
          <w:rFonts w:ascii="Times New Roman" w:hAnsi="Times New Roman" w:cs="Cambria Math"/>
          <w:bCs/>
          <w:szCs w:val="24"/>
        </w:rPr>
        <w:t>对承销能力弱、态度不积极的承销商经</w:t>
      </w:r>
      <w:r>
        <w:rPr>
          <w:rFonts w:hint="eastAsia" w:ascii="Times New Roman" w:hAnsi="Times New Roman" w:cs="Cambria Math"/>
          <w:bCs/>
          <w:szCs w:val="24"/>
        </w:rPr>
        <w:t>综合商议后不再继续合作。</w:t>
      </w:r>
    </w:p>
    <w:p w14:paraId="14FBA5C6">
      <w:pPr>
        <w:autoSpaceDE w:val="0"/>
        <w:autoSpaceDN w:val="0"/>
        <w:spacing w:line="600" w:lineRule="exact"/>
        <w:outlineLvl w:val="1"/>
        <w:rPr>
          <w:rFonts w:ascii="Times New Roman" w:hAnsi="Times New Roman" w:cs="Times New Roman"/>
          <w:b/>
          <w:bCs/>
          <w:snapToGrid w:val="0"/>
          <w:szCs w:val="24"/>
        </w:rPr>
      </w:pPr>
      <w:bookmarkStart w:id="52" w:name="_Toc89675153"/>
      <w:bookmarkStart w:id="53" w:name="_Toc15059427"/>
      <w:r>
        <w:rPr>
          <w:rFonts w:hint="eastAsia" w:ascii="Times New Roman" w:hAnsi="Times New Roman" w:cs="Times New Roman"/>
          <w:b/>
          <w:bCs/>
          <w:snapToGrid w:val="0"/>
          <w:szCs w:val="24"/>
        </w:rPr>
        <w:t>4. 其他</w:t>
      </w:r>
      <w:bookmarkEnd w:id="52"/>
      <w:bookmarkEnd w:id="53"/>
    </w:p>
    <w:p w14:paraId="6446E26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4.1 响应人必须在响应承诺函中对本章内容做出整体性响应和承诺，承诺内容必须达到本章及询比文件其他条款的要求。</w:t>
      </w:r>
    </w:p>
    <w:p w14:paraId="7AD9B30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4.2 响应人应根据本章内容和要求，提供对应资料，无遗漏。</w:t>
      </w:r>
    </w:p>
    <w:p w14:paraId="645070F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4.3 其他未尽事宜由供需双方在合同中详细约定。</w:t>
      </w:r>
      <w:r>
        <w:rPr>
          <w:rFonts w:hint="eastAsia" w:ascii="Times New Roman" w:hAnsi="Times New Roman" w:cs="Cambria Math"/>
          <w:bCs/>
          <w:szCs w:val="18"/>
        </w:rPr>
        <w:br w:type="page"/>
      </w:r>
    </w:p>
    <w:p w14:paraId="52DF55F3">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54" w:name="_Toc22407"/>
      <w:bookmarkStart w:id="55" w:name="_Toc29189"/>
      <w:bookmarkStart w:id="56" w:name="_Toc7079"/>
      <w:r>
        <w:rPr>
          <w:rFonts w:hint="eastAsia" w:ascii="Times New Roman" w:hAnsi="Times New Roman" w:cs="等线 Light"/>
          <w:b/>
          <w:bCs/>
          <w:snapToGrid w:val="0"/>
          <w:kern w:val="0"/>
          <w:sz w:val="44"/>
          <w:szCs w:val="44"/>
        </w:rPr>
        <w:t>第四章 评审办法（综合评估法）</w:t>
      </w:r>
      <w:bookmarkEnd w:id="54"/>
      <w:bookmarkEnd w:id="55"/>
      <w:bookmarkEnd w:id="56"/>
    </w:p>
    <w:p w14:paraId="413B6A12">
      <w:pPr>
        <w:autoSpaceDE w:val="0"/>
        <w:autoSpaceDN w:val="0"/>
        <w:spacing w:line="600" w:lineRule="exact"/>
        <w:outlineLvl w:val="1"/>
        <w:rPr>
          <w:rFonts w:ascii="Times New Roman" w:hAnsi="Times New Roman" w:cs="Times New Roman"/>
          <w:b/>
          <w:bCs/>
          <w:snapToGrid w:val="0"/>
          <w:szCs w:val="24"/>
        </w:rPr>
      </w:pPr>
      <w:bookmarkStart w:id="57" w:name="_Toc2028"/>
      <w:bookmarkStart w:id="58" w:name="_Toc14810"/>
      <w:bookmarkStart w:id="59" w:name="_Toc11471"/>
      <w:bookmarkStart w:id="60" w:name="_Toc27076"/>
      <w:r>
        <w:rPr>
          <w:rFonts w:hint="eastAsia" w:ascii="Times New Roman" w:hAnsi="Times New Roman" w:cs="Times New Roman"/>
          <w:b/>
          <w:bCs/>
          <w:snapToGrid w:val="0"/>
          <w:szCs w:val="24"/>
        </w:rPr>
        <w:t>评审办法前附表</w:t>
      </w:r>
      <w:bookmarkEnd w:id="57"/>
      <w:bookmarkEnd w:id="58"/>
      <w:bookmarkEnd w:id="59"/>
      <w:bookmarkEnd w:id="60"/>
    </w:p>
    <w:p w14:paraId="1150E72A">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t>若</w:t>
      </w:r>
      <w:r>
        <w:rPr>
          <w:rFonts w:hint="eastAsia" w:ascii="Times New Roman" w:hAnsi="Times New Roman" w:cs="Cambria Math"/>
          <w:bCs/>
          <w:szCs w:val="18"/>
        </w:rPr>
        <w:t>评审办法前附表</w:t>
      </w:r>
      <w:r>
        <w:rPr>
          <w:rFonts w:ascii="Times New Roman" w:hAnsi="Times New Roman" w:cs="Cambria Math"/>
          <w:bCs/>
          <w:szCs w:val="18"/>
        </w:rPr>
        <w:t>与正文不一致的地方，以</w:t>
      </w:r>
      <w:r>
        <w:rPr>
          <w:rFonts w:hint="eastAsia" w:ascii="Times New Roman" w:hAnsi="Times New Roman" w:cs="Cambria Math"/>
          <w:bCs/>
          <w:szCs w:val="18"/>
        </w:rPr>
        <w:t>评审办法前附表</w:t>
      </w:r>
      <w:r>
        <w:rPr>
          <w:rFonts w:ascii="Times New Roman" w:hAnsi="Times New Roman" w:cs="Cambria Math"/>
          <w:bCs/>
          <w:szCs w:val="18"/>
        </w:rPr>
        <w:t>为准。</w:t>
      </w:r>
    </w:p>
    <w:tbl>
      <w:tblPr>
        <w:tblStyle w:val="2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13DF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46F2918">
            <w:pPr>
              <w:autoSpaceDE w:val="0"/>
              <w:autoSpaceDN w:val="0"/>
              <w:jc w:val="center"/>
              <w:rPr>
                <w:rFonts w:ascii="Times New Roman" w:hAnsi="Times New Roman" w:cs="Cambria Math"/>
                <w:b/>
                <w:bCs/>
                <w:szCs w:val="18"/>
              </w:rPr>
            </w:pPr>
            <w:bookmarkStart w:id="61" w:name="_Toc21111"/>
            <w:bookmarkStart w:id="62" w:name="_Toc636"/>
            <w:r>
              <w:rPr>
                <w:rFonts w:hint="eastAsia" w:ascii="Times New Roman" w:hAnsi="Times New Roman" w:cs="Cambria Math"/>
                <w:b/>
                <w:bCs/>
                <w:szCs w:val="18"/>
              </w:rPr>
              <w:t>条款号</w:t>
            </w:r>
          </w:p>
        </w:tc>
        <w:tc>
          <w:tcPr>
            <w:tcW w:w="1482" w:type="dxa"/>
            <w:vAlign w:val="center"/>
          </w:tcPr>
          <w:p w14:paraId="72B060CD">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评审因素</w:t>
            </w:r>
          </w:p>
        </w:tc>
        <w:tc>
          <w:tcPr>
            <w:tcW w:w="7162" w:type="dxa"/>
            <w:gridSpan w:val="3"/>
            <w:vAlign w:val="center"/>
          </w:tcPr>
          <w:p w14:paraId="10B55DEE">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评审标准</w:t>
            </w:r>
          </w:p>
        </w:tc>
      </w:tr>
      <w:tr w14:paraId="25B9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CD45D91">
            <w:pPr>
              <w:autoSpaceDE w:val="0"/>
              <w:autoSpaceDN w:val="0"/>
              <w:rPr>
                <w:rFonts w:ascii="Times New Roman" w:hAnsi="Times New Roman" w:cs="Cambria Math"/>
                <w:bCs/>
                <w:szCs w:val="18"/>
              </w:rPr>
            </w:pPr>
            <w:r>
              <w:rPr>
                <w:rFonts w:hint="eastAsia" w:ascii="Times New Roman" w:hAnsi="Times New Roman" w:cs="Cambria Math"/>
                <w:bCs/>
                <w:szCs w:val="18"/>
              </w:rPr>
              <w:t>1</w:t>
            </w:r>
          </w:p>
        </w:tc>
        <w:tc>
          <w:tcPr>
            <w:tcW w:w="1482" w:type="dxa"/>
            <w:vAlign w:val="center"/>
          </w:tcPr>
          <w:p w14:paraId="66E527FC">
            <w:pPr>
              <w:autoSpaceDE w:val="0"/>
              <w:autoSpaceDN w:val="0"/>
              <w:rPr>
                <w:rFonts w:ascii="Times New Roman" w:hAnsi="Times New Roman" w:cs="Cambria Math"/>
                <w:bCs/>
                <w:szCs w:val="18"/>
              </w:rPr>
            </w:pPr>
            <w:r>
              <w:rPr>
                <w:rFonts w:hint="eastAsia" w:ascii="Times New Roman" w:hAnsi="Times New Roman" w:cs="Cambria Math"/>
                <w:bCs/>
                <w:szCs w:val="18"/>
              </w:rPr>
              <w:t>评审办法</w:t>
            </w:r>
          </w:p>
        </w:tc>
        <w:tc>
          <w:tcPr>
            <w:tcW w:w="7162" w:type="dxa"/>
            <w:gridSpan w:val="3"/>
            <w:vAlign w:val="center"/>
          </w:tcPr>
          <w:p w14:paraId="6803B644">
            <w:pPr>
              <w:autoSpaceDE w:val="0"/>
              <w:autoSpaceDN w:val="0"/>
              <w:rPr>
                <w:rFonts w:ascii="Times New Roman" w:hAnsi="Times New Roman" w:cs="Cambria Math"/>
                <w:bCs/>
                <w:szCs w:val="18"/>
              </w:rPr>
            </w:pPr>
            <w:r>
              <w:rPr>
                <w:rFonts w:hint="eastAsia" w:ascii="Times New Roman" w:hAnsi="Times New Roman" w:cs="Cambria Math"/>
                <w:bCs/>
                <w:szCs w:val="18"/>
              </w:rPr>
              <w:t>本次评审采用综合评估法。评审委员会按照评审办法前附表第2.1 条规定的标准进行初步评审，初步评审合格的响应人评审委员会按照评审办法前附表第2.2 条规定的评分标准进行打分，按得分由高到低顺序推荐入围候选人，</w:t>
            </w:r>
            <w:r>
              <w:rPr>
                <w:rFonts w:hint="eastAsia"/>
              </w:rPr>
              <w:t>标段一、标段二各推荐1-7名，</w:t>
            </w:r>
            <w:r>
              <w:rPr>
                <w:rFonts w:hint="eastAsia" w:ascii="Times New Roman" w:hAnsi="Times New Roman" w:cs="Cambria Math"/>
                <w:bCs/>
                <w:szCs w:val="18"/>
              </w:rPr>
              <w:t>综合评分相等时，标段一、标段二按2</w:t>
            </w:r>
            <w:r>
              <w:rPr>
                <w:rFonts w:ascii="Times New Roman" w:hAnsi="Times New Roman" w:cs="Cambria Math"/>
                <w:bCs/>
                <w:szCs w:val="18"/>
              </w:rPr>
              <w:t>024年</w:t>
            </w:r>
            <w:r>
              <w:rPr>
                <w:rFonts w:hint="eastAsia" w:ascii="Times New Roman" w:hAnsi="Times New Roman" w:cs="Cambria Math"/>
                <w:bCs/>
                <w:szCs w:val="18"/>
              </w:rPr>
              <w:t>非政策性金融债券承销规模大的优先。</w:t>
            </w:r>
          </w:p>
        </w:tc>
      </w:tr>
      <w:tr w14:paraId="346C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4F7AF9A">
            <w:pPr>
              <w:autoSpaceDE w:val="0"/>
              <w:autoSpaceDN w:val="0"/>
              <w:rPr>
                <w:rFonts w:ascii="Times New Roman" w:hAnsi="Times New Roman" w:cs="Cambria Math"/>
                <w:bCs/>
                <w:szCs w:val="18"/>
              </w:rPr>
            </w:pPr>
            <w:r>
              <w:rPr>
                <w:rFonts w:hint="eastAsia" w:ascii="Times New Roman" w:hAnsi="Times New Roman" w:cs="Cambria Math"/>
                <w:bCs/>
                <w:szCs w:val="18"/>
              </w:rPr>
              <w:t>2.1</w:t>
            </w:r>
          </w:p>
        </w:tc>
        <w:tc>
          <w:tcPr>
            <w:tcW w:w="1482" w:type="dxa"/>
            <w:vAlign w:val="center"/>
          </w:tcPr>
          <w:p w14:paraId="57CB4AF0">
            <w:pPr>
              <w:autoSpaceDE w:val="0"/>
              <w:autoSpaceDN w:val="0"/>
              <w:rPr>
                <w:rFonts w:ascii="Times New Roman" w:hAnsi="Times New Roman" w:cs="Cambria Math"/>
                <w:bCs/>
                <w:szCs w:val="18"/>
              </w:rPr>
            </w:pPr>
            <w:r>
              <w:rPr>
                <w:rFonts w:hint="eastAsia" w:ascii="Times New Roman" w:hAnsi="Times New Roman" w:cs="Cambria Math"/>
                <w:bCs/>
                <w:szCs w:val="18"/>
              </w:rPr>
              <w:t>初步评审标准</w:t>
            </w:r>
          </w:p>
        </w:tc>
        <w:tc>
          <w:tcPr>
            <w:tcW w:w="7162" w:type="dxa"/>
            <w:gridSpan w:val="3"/>
            <w:vAlign w:val="center"/>
          </w:tcPr>
          <w:p w14:paraId="32E280C5">
            <w:pPr>
              <w:autoSpaceDE w:val="0"/>
              <w:autoSpaceDN w:val="0"/>
              <w:rPr>
                <w:rFonts w:ascii="Times New Roman" w:hAnsi="Times New Roman" w:cs="Cambria Math"/>
                <w:bCs/>
                <w:szCs w:val="18"/>
              </w:rPr>
            </w:pPr>
            <w:r>
              <w:rPr>
                <w:rFonts w:hint="eastAsia" w:ascii="Times New Roman" w:hAnsi="Times New Roman" w:cs="Cambria Math"/>
                <w:bCs/>
                <w:szCs w:val="18"/>
              </w:rPr>
              <w:t>所有响应单位进行初步评审。初步评审内容：资格评审、形式评审、响应性评审。</w:t>
            </w:r>
          </w:p>
        </w:tc>
      </w:tr>
      <w:tr w14:paraId="0395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C2132DF">
            <w:pPr>
              <w:autoSpaceDE w:val="0"/>
              <w:autoSpaceDN w:val="0"/>
              <w:rPr>
                <w:rFonts w:ascii="Times New Roman" w:hAnsi="Times New Roman" w:cs="Cambria Math"/>
                <w:bCs/>
                <w:szCs w:val="18"/>
              </w:rPr>
            </w:pPr>
            <w:r>
              <w:rPr>
                <w:rFonts w:hint="eastAsia" w:ascii="Times New Roman" w:hAnsi="Times New Roman" w:cs="Cambria Math"/>
                <w:bCs/>
                <w:szCs w:val="18"/>
              </w:rPr>
              <w:t>2.1.1</w:t>
            </w:r>
          </w:p>
        </w:tc>
        <w:tc>
          <w:tcPr>
            <w:tcW w:w="1482" w:type="dxa"/>
            <w:vAlign w:val="center"/>
          </w:tcPr>
          <w:p w14:paraId="51195ED1">
            <w:pPr>
              <w:autoSpaceDE w:val="0"/>
              <w:autoSpaceDN w:val="0"/>
              <w:rPr>
                <w:rFonts w:ascii="Times New Roman" w:hAnsi="Times New Roman" w:cs="Cambria Math"/>
                <w:bCs/>
                <w:szCs w:val="18"/>
              </w:rPr>
            </w:pPr>
            <w:r>
              <w:rPr>
                <w:rFonts w:hint="eastAsia" w:ascii="Times New Roman" w:hAnsi="Times New Roman" w:cs="Cambria Math"/>
                <w:bCs/>
                <w:szCs w:val="18"/>
              </w:rPr>
              <w:t>资格评审标准</w:t>
            </w:r>
          </w:p>
        </w:tc>
        <w:tc>
          <w:tcPr>
            <w:tcW w:w="1686" w:type="dxa"/>
            <w:gridSpan w:val="2"/>
            <w:vAlign w:val="center"/>
          </w:tcPr>
          <w:p w14:paraId="267ECA4E">
            <w:pPr>
              <w:autoSpaceDE w:val="0"/>
              <w:autoSpaceDN w:val="0"/>
              <w:rPr>
                <w:rFonts w:ascii="Times New Roman" w:hAnsi="Times New Roman" w:cs="Cambria Math"/>
                <w:bCs/>
                <w:szCs w:val="18"/>
              </w:rPr>
            </w:pPr>
            <w:r>
              <w:rPr>
                <w:rFonts w:hint="eastAsia" w:ascii="Times New Roman" w:hAnsi="Times New Roman" w:cs="Cambria Math"/>
                <w:bCs/>
                <w:szCs w:val="18"/>
              </w:rPr>
              <w:t>资格条件要求</w:t>
            </w:r>
          </w:p>
        </w:tc>
        <w:tc>
          <w:tcPr>
            <w:tcW w:w="5476" w:type="dxa"/>
            <w:vAlign w:val="center"/>
          </w:tcPr>
          <w:p w14:paraId="6861038A">
            <w:pPr>
              <w:autoSpaceDE w:val="0"/>
              <w:autoSpaceDN w:val="0"/>
              <w:rPr>
                <w:rFonts w:ascii="Times New Roman" w:hAnsi="Times New Roman" w:cs="Cambria Math"/>
                <w:bCs/>
                <w:szCs w:val="18"/>
              </w:rPr>
            </w:pPr>
            <w:r>
              <w:rPr>
                <w:rFonts w:hint="eastAsia" w:ascii="Times New Roman" w:hAnsi="Times New Roman" w:cs="Cambria Math"/>
                <w:bCs/>
                <w:szCs w:val="18"/>
              </w:rPr>
              <w:t>符合第一章“2. 响应人资格要求”规定</w:t>
            </w:r>
          </w:p>
        </w:tc>
      </w:tr>
      <w:tr w14:paraId="19F3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27417D8F">
            <w:pPr>
              <w:autoSpaceDE w:val="0"/>
              <w:autoSpaceDN w:val="0"/>
              <w:rPr>
                <w:rFonts w:ascii="Times New Roman" w:hAnsi="Times New Roman" w:cs="Cambria Math"/>
                <w:bCs/>
                <w:szCs w:val="18"/>
              </w:rPr>
            </w:pPr>
            <w:r>
              <w:rPr>
                <w:rFonts w:hint="eastAsia" w:ascii="Times New Roman" w:hAnsi="Times New Roman" w:cs="Cambria Math"/>
                <w:bCs/>
                <w:szCs w:val="18"/>
              </w:rPr>
              <w:t>2.1.2</w:t>
            </w:r>
          </w:p>
        </w:tc>
        <w:tc>
          <w:tcPr>
            <w:tcW w:w="1482" w:type="dxa"/>
            <w:vMerge w:val="restart"/>
            <w:vAlign w:val="center"/>
          </w:tcPr>
          <w:p w14:paraId="3CB97EC8">
            <w:pPr>
              <w:autoSpaceDE w:val="0"/>
              <w:autoSpaceDN w:val="0"/>
              <w:rPr>
                <w:rFonts w:ascii="Times New Roman" w:hAnsi="Times New Roman" w:cs="Cambria Math"/>
                <w:bCs/>
                <w:szCs w:val="18"/>
              </w:rPr>
            </w:pPr>
            <w:r>
              <w:rPr>
                <w:rFonts w:hint="eastAsia" w:ascii="Times New Roman" w:hAnsi="Times New Roman" w:cs="Cambria Math"/>
                <w:bCs/>
                <w:szCs w:val="18"/>
              </w:rPr>
              <w:t>形式评审标准</w:t>
            </w:r>
          </w:p>
        </w:tc>
        <w:tc>
          <w:tcPr>
            <w:tcW w:w="1686" w:type="dxa"/>
            <w:gridSpan w:val="2"/>
            <w:vAlign w:val="center"/>
          </w:tcPr>
          <w:p w14:paraId="1D3B7B21">
            <w:pPr>
              <w:autoSpaceDE w:val="0"/>
              <w:autoSpaceDN w:val="0"/>
              <w:rPr>
                <w:rFonts w:ascii="Times New Roman" w:hAnsi="Times New Roman" w:cs="Cambria Math"/>
                <w:bCs/>
                <w:szCs w:val="18"/>
              </w:rPr>
            </w:pPr>
            <w:r>
              <w:rPr>
                <w:rFonts w:hint="eastAsia" w:ascii="Times New Roman" w:hAnsi="Times New Roman" w:cs="Cambria Math"/>
                <w:bCs/>
                <w:szCs w:val="18"/>
              </w:rPr>
              <w:t>响应人名称</w:t>
            </w:r>
          </w:p>
        </w:tc>
        <w:tc>
          <w:tcPr>
            <w:tcW w:w="5476" w:type="dxa"/>
            <w:vAlign w:val="center"/>
          </w:tcPr>
          <w:p w14:paraId="24C4CF10">
            <w:pPr>
              <w:autoSpaceDE w:val="0"/>
              <w:autoSpaceDN w:val="0"/>
              <w:rPr>
                <w:rFonts w:ascii="Times New Roman" w:hAnsi="Times New Roman" w:cs="Cambria Math"/>
                <w:bCs/>
                <w:szCs w:val="18"/>
              </w:rPr>
            </w:pPr>
            <w:r>
              <w:rPr>
                <w:rFonts w:hint="eastAsia" w:ascii="Times New Roman" w:hAnsi="Times New Roman" w:cs="Cambria Math"/>
                <w:bCs/>
                <w:szCs w:val="18"/>
              </w:rPr>
              <w:t>与营业执照、资格证明材料一致</w:t>
            </w:r>
          </w:p>
        </w:tc>
      </w:tr>
      <w:tr w14:paraId="4D85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F45E996">
            <w:pPr>
              <w:autoSpaceDE w:val="0"/>
              <w:autoSpaceDN w:val="0"/>
              <w:rPr>
                <w:rFonts w:ascii="Times New Roman" w:hAnsi="Times New Roman" w:cs="Cambria Math"/>
                <w:bCs/>
                <w:szCs w:val="18"/>
              </w:rPr>
            </w:pPr>
          </w:p>
        </w:tc>
        <w:tc>
          <w:tcPr>
            <w:tcW w:w="1482" w:type="dxa"/>
            <w:vMerge w:val="continue"/>
            <w:textDirection w:val="tbRlV"/>
            <w:vAlign w:val="center"/>
          </w:tcPr>
          <w:p w14:paraId="129502B4">
            <w:pPr>
              <w:autoSpaceDE w:val="0"/>
              <w:autoSpaceDN w:val="0"/>
              <w:rPr>
                <w:rFonts w:ascii="Times New Roman" w:hAnsi="Times New Roman" w:cs="Cambria Math"/>
                <w:bCs/>
                <w:szCs w:val="18"/>
              </w:rPr>
            </w:pPr>
          </w:p>
        </w:tc>
        <w:tc>
          <w:tcPr>
            <w:tcW w:w="1686" w:type="dxa"/>
            <w:gridSpan w:val="2"/>
            <w:vAlign w:val="center"/>
          </w:tcPr>
          <w:p w14:paraId="7917C4D3">
            <w:pPr>
              <w:autoSpaceDE w:val="0"/>
              <w:autoSpaceDN w:val="0"/>
              <w:rPr>
                <w:rFonts w:ascii="Times New Roman" w:hAnsi="Times New Roman" w:cs="Cambria Math"/>
                <w:bCs/>
                <w:szCs w:val="18"/>
              </w:rPr>
            </w:pPr>
            <w:r>
              <w:rPr>
                <w:rFonts w:hint="eastAsia" w:ascii="Times New Roman" w:hAnsi="Times New Roman" w:cs="Cambria Math"/>
                <w:bCs/>
                <w:szCs w:val="18"/>
              </w:rPr>
              <w:t>响应文件的签字盖章</w:t>
            </w:r>
          </w:p>
        </w:tc>
        <w:tc>
          <w:tcPr>
            <w:tcW w:w="5476" w:type="dxa"/>
            <w:vAlign w:val="center"/>
          </w:tcPr>
          <w:p w14:paraId="06337FDA">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符合第二章“响应人须知”4.6 条规定</w:t>
            </w:r>
          </w:p>
        </w:tc>
      </w:tr>
      <w:tr w14:paraId="1D2A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5C46898">
            <w:pPr>
              <w:autoSpaceDE w:val="0"/>
              <w:autoSpaceDN w:val="0"/>
              <w:rPr>
                <w:rFonts w:ascii="Times New Roman" w:hAnsi="Times New Roman" w:cs="Cambria Math"/>
                <w:bCs/>
                <w:szCs w:val="18"/>
              </w:rPr>
            </w:pPr>
          </w:p>
        </w:tc>
        <w:tc>
          <w:tcPr>
            <w:tcW w:w="1482" w:type="dxa"/>
            <w:vMerge w:val="continue"/>
            <w:textDirection w:val="tbRlV"/>
            <w:vAlign w:val="center"/>
          </w:tcPr>
          <w:p w14:paraId="64BA4A1A">
            <w:pPr>
              <w:autoSpaceDE w:val="0"/>
              <w:autoSpaceDN w:val="0"/>
              <w:rPr>
                <w:rFonts w:ascii="Times New Roman" w:hAnsi="Times New Roman" w:cs="Cambria Math"/>
                <w:bCs/>
                <w:szCs w:val="18"/>
              </w:rPr>
            </w:pPr>
          </w:p>
        </w:tc>
        <w:tc>
          <w:tcPr>
            <w:tcW w:w="1686" w:type="dxa"/>
            <w:gridSpan w:val="2"/>
            <w:vAlign w:val="center"/>
          </w:tcPr>
          <w:p w14:paraId="1C62635A">
            <w:pPr>
              <w:autoSpaceDE w:val="0"/>
              <w:autoSpaceDN w:val="0"/>
              <w:rPr>
                <w:rFonts w:ascii="Times New Roman" w:hAnsi="Times New Roman" w:cs="Cambria Math"/>
                <w:bCs/>
                <w:szCs w:val="18"/>
              </w:rPr>
            </w:pPr>
            <w:r>
              <w:rPr>
                <w:rFonts w:hint="eastAsia" w:ascii="Times New Roman" w:hAnsi="Times New Roman" w:cs="Cambria Math"/>
                <w:bCs/>
                <w:szCs w:val="18"/>
              </w:rPr>
              <w:t>响应文件的密封</w:t>
            </w:r>
          </w:p>
        </w:tc>
        <w:tc>
          <w:tcPr>
            <w:tcW w:w="5476" w:type="dxa"/>
            <w:vAlign w:val="center"/>
          </w:tcPr>
          <w:p w14:paraId="0F6D0F4C">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符合第二章“响应人须知”4.7 条规定</w:t>
            </w:r>
          </w:p>
        </w:tc>
      </w:tr>
      <w:tr w14:paraId="098C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0764768">
            <w:pPr>
              <w:autoSpaceDE w:val="0"/>
              <w:autoSpaceDN w:val="0"/>
              <w:rPr>
                <w:rFonts w:ascii="Times New Roman" w:hAnsi="Times New Roman" w:cs="Cambria Math"/>
                <w:bCs/>
                <w:szCs w:val="18"/>
              </w:rPr>
            </w:pPr>
          </w:p>
        </w:tc>
        <w:tc>
          <w:tcPr>
            <w:tcW w:w="1482" w:type="dxa"/>
            <w:vMerge w:val="continue"/>
            <w:textDirection w:val="tbRlV"/>
            <w:vAlign w:val="center"/>
          </w:tcPr>
          <w:p w14:paraId="3F90BA71">
            <w:pPr>
              <w:autoSpaceDE w:val="0"/>
              <w:autoSpaceDN w:val="0"/>
              <w:rPr>
                <w:rFonts w:ascii="Times New Roman" w:hAnsi="Times New Roman" w:cs="Cambria Math"/>
                <w:bCs/>
                <w:szCs w:val="18"/>
              </w:rPr>
            </w:pPr>
          </w:p>
        </w:tc>
        <w:tc>
          <w:tcPr>
            <w:tcW w:w="1686" w:type="dxa"/>
            <w:gridSpan w:val="2"/>
            <w:vAlign w:val="center"/>
          </w:tcPr>
          <w:p w14:paraId="7F5C6D38">
            <w:pPr>
              <w:autoSpaceDE w:val="0"/>
              <w:autoSpaceDN w:val="0"/>
              <w:rPr>
                <w:rFonts w:ascii="Times New Roman" w:hAnsi="Times New Roman" w:cs="Cambria Math"/>
                <w:bCs/>
                <w:szCs w:val="18"/>
              </w:rPr>
            </w:pPr>
            <w:r>
              <w:rPr>
                <w:rFonts w:hint="eastAsia" w:ascii="Times New Roman" w:hAnsi="Times New Roman" w:cs="Cambria Math"/>
                <w:bCs/>
                <w:szCs w:val="18"/>
              </w:rPr>
              <w:t>响应文件格式</w:t>
            </w:r>
          </w:p>
        </w:tc>
        <w:tc>
          <w:tcPr>
            <w:tcW w:w="5476" w:type="dxa"/>
            <w:vAlign w:val="center"/>
          </w:tcPr>
          <w:p w14:paraId="215A64E6">
            <w:pPr>
              <w:autoSpaceDE w:val="0"/>
              <w:autoSpaceDN w:val="0"/>
              <w:rPr>
                <w:rFonts w:ascii="Times New Roman" w:hAnsi="Times New Roman" w:cs="Cambria Math"/>
                <w:bCs/>
                <w:szCs w:val="18"/>
              </w:rPr>
            </w:pPr>
            <w:r>
              <w:rPr>
                <w:rFonts w:hint="eastAsia" w:ascii="Times New Roman" w:hAnsi="Times New Roman" w:cs="Cambria Math"/>
                <w:bCs/>
                <w:szCs w:val="18"/>
              </w:rPr>
              <w:t>符合第六章“响应文件格式”的要求</w:t>
            </w:r>
          </w:p>
        </w:tc>
      </w:tr>
      <w:tr w14:paraId="1F2C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9C6F112">
            <w:pPr>
              <w:autoSpaceDE w:val="0"/>
              <w:autoSpaceDN w:val="0"/>
              <w:rPr>
                <w:rFonts w:ascii="Times New Roman" w:hAnsi="Times New Roman" w:cs="Cambria Math"/>
                <w:bCs/>
                <w:szCs w:val="18"/>
              </w:rPr>
            </w:pPr>
          </w:p>
        </w:tc>
        <w:tc>
          <w:tcPr>
            <w:tcW w:w="1482" w:type="dxa"/>
            <w:vMerge w:val="continue"/>
            <w:textDirection w:val="tbRlV"/>
            <w:vAlign w:val="center"/>
          </w:tcPr>
          <w:p w14:paraId="1774D7BE">
            <w:pPr>
              <w:autoSpaceDE w:val="0"/>
              <w:autoSpaceDN w:val="0"/>
              <w:rPr>
                <w:rFonts w:ascii="Times New Roman" w:hAnsi="Times New Roman" w:cs="Cambria Math"/>
                <w:bCs/>
                <w:szCs w:val="18"/>
              </w:rPr>
            </w:pPr>
          </w:p>
        </w:tc>
        <w:tc>
          <w:tcPr>
            <w:tcW w:w="1686" w:type="dxa"/>
            <w:gridSpan w:val="2"/>
            <w:vAlign w:val="center"/>
          </w:tcPr>
          <w:p w14:paraId="0C8DEE1A">
            <w:pPr>
              <w:autoSpaceDE w:val="0"/>
              <w:autoSpaceDN w:val="0"/>
              <w:rPr>
                <w:rFonts w:ascii="Times New Roman" w:hAnsi="Times New Roman" w:cs="Cambria Math"/>
                <w:bCs/>
                <w:szCs w:val="18"/>
              </w:rPr>
            </w:pPr>
            <w:r>
              <w:rPr>
                <w:rFonts w:hint="eastAsia" w:ascii="Times New Roman" w:hAnsi="Times New Roman" w:cs="Cambria Math"/>
                <w:bCs/>
                <w:szCs w:val="18"/>
              </w:rPr>
              <w:t>响应文件组成</w:t>
            </w:r>
          </w:p>
        </w:tc>
        <w:tc>
          <w:tcPr>
            <w:tcW w:w="5476" w:type="dxa"/>
            <w:vAlign w:val="center"/>
          </w:tcPr>
          <w:p w14:paraId="6C0952D9">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符合第二章“响应人须知”4.2 条规定，内容齐全、无遗漏</w:t>
            </w:r>
          </w:p>
        </w:tc>
      </w:tr>
      <w:tr w14:paraId="6D3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B50980D">
            <w:pPr>
              <w:autoSpaceDE w:val="0"/>
              <w:autoSpaceDN w:val="0"/>
              <w:rPr>
                <w:rFonts w:ascii="Times New Roman" w:hAnsi="Times New Roman" w:cs="Cambria Math"/>
                <w:bCs/>
                <w:szCs w:val="18"/>
              </w:rPr>
            </w:pPr>
          </w:p>
        </w:tc>
        <w:tc>
          <w:tcPr>
            <w:tcW w:w="1482" w:type="dxa"/>
            <w:vMerge w:val="continue"/>
            <w:textDirection w:val="tbRlV"/>
            <w:vAlign w:val="center"/>
          </w:tcPr>
          <w:p w14:paraId="440E71E4">
            <w:pPr>
              <w:autoSpaceDE w:val="0"/>
              <w:autoSpaceDN w:val="0"/>
              <w:rPr>
                <w:rFonts w:ascii="Times New Roman" w:hAnsi="Times New Roman" w:cs="Cambria Math"/>
                <w:bCs/>
                <w:szCs w:val="18"/>
              </w:rPr>
            </w:pPr>
          </w:p>
        </w:tc>
        <w:tc>
          <w:tcPr>
            <w:tcW w:w="1686" w:type="dxa"/>
            <w:gridSpan w:val="2"/>
            <w:vAlign w:val="center"/>
          </w:tcPr>
          <w:p w14:paraId="6639D696">
            <w:pPr>
              <w:autoSpaceDE w:val="0"/>
              <w:autoSpaceDN w:val="0"/>
              <w:rPr>
                <w:rFonts w:ascii="Times New Roman" w:hAnsi="Times New Roman" w:cs="Cambria Math"/>
                <w:bCs/>
                <w:szCs w:val="18"/>
              </w:rPr>
            </w:pPr>
            <w:r>
              <w:rPr>
                <w:rFonts w:hint="eastAsia" w:ascii="Times New Roman" w:hAnsi="Times New Roman" w:cs="Cambria Math"/>
                <w:bCs/>
                <w:szCs w:val="18"/>
              </w:rPr>
              <w:t>联合体响应</w:t>
            </w:r>
          </w:p>
        </w:tc>
        <w:tc>
          <w:tcPr>
            <w:tcW w:w="5476" w:type="dxa"/>
            <w:vAlign w:val="center"/>
          </w:tcPr>
          <w:p w14:paraId="2EC3224C">
            <w:pPr>
              <w:autoSpaceDE w:val="0"/>
              <w:autoSpaceDN w:val="0"/>
              <w:rPr>
                <w:rFonts w:ascii="Times New Roman" w:hAnsi="Times New Roman" w:cs="Cambria Math"/>
                <w:bCs/>
                <w:szCs w:val="18"/>
              </w:rPr>
            </w:pPr>
            <w:r>
              <w:rPr>
                <w:rFonts w:hint="eastAsia" w:ascii="Times New Roman" w:hAnsi="Times New Roman" w:cs="Cambria Math"/>
                <w:bCs/>
                <w:szCs w:val="18"/>
              </w:rPr>
              <w:t>符合第一章“2. 响应人资格要求”2.5 条的要求</w:t>
            </w:r>
          </w:p>
        </w:tc>
      </w:tr>
      <w:tr w14:paraId="10C7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5AE0869">
            <w:pPr>
              <w:autoSpaceDE w:val="0"/>
              <w:autoSpaceDN w:val="0"/>
              <w:rPr>
                <w:rFonts w:ascii="Times New Roman" w:hAnsi="Times New Roman" w:cs="Cambria Math"/>
                <w:bCs/>
                <w:szCs w:val="18"/>
              </w:rPr>
            </w:pPr>
            <w:r>
              <w:rPr>
                <w:rFonts w:hint="eastAsia" w:ascii="Times New Roman" w:hAnsi="Times New Roman" w:cs="Cambria Math"/>
                <w:bCs/>
                <w:szCs w:val="18"/>
              </w:rPr>
              <w:t>2.1.3</w:t>
            </w:r>
          </w:p>
        </w:tc>
        <w:tc>
          <w:tcPr>
            <w:tcW w:w="1482" w:type="dxa"/>
            <w:vMerge w:val="restart"/>
            <w:vAlign w:val="center"/>
          </w:tcPr>
          <w:p w14:paraId="66DD522C">
            <w:pPr>
              <w:autoSpaceDE w:val="0"/>
              <w:autoSpaceDN w:val="0"/>
              <w:rPr>
                <w:rFonts w:ascii="Times New Roman" w:hAnsi="Times New Roman" w:cs="Cambria Math"/>
                <w:bCs/>
                <w:szCs w:val="18"/>
              </w:rPr>
            </w:pPr>
            <w:r>
              <w:rPr>
                <w:rFonts w:hint="eastAsia" w:ascii="Times New Roman" w:hAnsi="Times New Roman" w:cs="Cambria Math"/>
                <w:bCs/>
                <w:szCs w:val="18"/>
              </w:rPr>
              <w:t>响应性评审标准</w:t>
            </w:r>
          </w:p>
        </w:tc>
        <w:tc>
          <w:tcPr>
            <w:tcW w:w="1686" w:type="dxa"/>
            <w:gridSpan w:val="2"/>
            <w:vAlign w:val="center"/>
          </w:tcPr>
          <w:p w14:paraId="4480EFB2">
            <w:pPr>
              <w:autoSpaceDE w:val="0"/>
              <w:autoSpaceDN w:val="0"/>
              <w:rPr>
                <w:rFonts w:ascii="Times New Roman" w:hAnsi="Times New Roman" w:cs="Cambria Math"/>
                <w:bCs/>
                <w:szCs w:val="18"/>
              </w:rPr>
            </w:pPr>
            <w:r>
              <w:rPr>
                <w:rFonts w:hint="eastAsia" w:ascii="Times New Roman" w:hAnsi="Times New Roman" w:cs="Cambria Math"/>
                <w:bCs/>
                <w:szCs w:val="18"/>
              </w:rPr>
              <w:t>响应内容</w:t>
            </w:r>
          </w:p>
        </w:tc>
        <w:tc>
          <w:tcPr>
            <w:tcW w:w="5476" w:type="dxa"/>
            <w:vAlign w:val="center"/>
          </w:tcPr>
          <w:p w14:paraId="660E2CFE">
            <w:pPr>
              <w:autoSpaceDE w:val="0"/>
              <w:autoSpaceDN w:val="0"/>
              <w:rPr>
                <w:rFonts w:ascii="Times New Roman" w:hAnsi="Times New Roman" w:cs="Cambria Math"/>
                <w:bCs/>
                <w:szCs w:val="18"/>
              </w:rPr>
            </w:pPr>
            <w:r>
              <w:rPr>
                <w:rFonts w:hint="eastAsia" w:ascii="Times New Roman" w:hAnsi="Times New Roman" w:cs="Cambria Math"/>
                <w:bCs/>
                <w:szCs w:val="18"/>
              </w:rPr>
              <w:t>1. 在响应承诺函中对第三章“项目要求”内容做出整体承诺；</w:t>
            </w:r>
          </w:p>
          <w:p w14:paraId="411470C9">
            <w:pPr>
              <w:autoSpaceDE w:val="0"/>
              <w:autoSpaceDN w:val="0"/>
              <w:rPr>
                <w:rFonts w:ascii="Times New Roman" w:hAnsi="Times New Roman" w:cs="Cambria Math"/>
                <w:bCs/>
                <w:szCs w:val="18"/>
              </w:rPr>
            </w:pPr>
            <w:r>
              <w:rPr>
                <w:rFonts w:hint="eastAsia" w:ascii="Times New Roman" w:hAnsi="Times New Roman" w:cs="Cambria Math"/>
                <w:bCs/>
                <w:szCs w:val="18"/>
              </w:rPr>
              <w:t>2. 根据第一章“2. 响应人</w:t>
            </w:r>
            <w:r>
              <w:rPr>
                <w:rFonts w:ascii="Times New Roman" w:hAnsi="Times New Roman" w:cs="Cambria Math"/>
                <w:bCs/>
                <w:szCs w:val="18"/>
              </w:rPr>
              <w:t>资格要求”和第三章“项目要求”的要求规定，提供对应</w:t>
            </w:r>
            <w:r>
              <w:rPr>
                <w:rFonts w:hint="eastAsia" w:ascii="Times New Roman" w:hAnsi="Times New Roman" w:cs="Cambria Math"/>
                <w:bCs/>
                <w:szCs w:val="18"/>
              </w:rPr>
              <w:t>资料</w:t>
            </w:r>
            <w:r>
              <w:rPr>
                <w:rFonts w:ascii="Times New Roman" w:hAnsi="Times New Roman" w:cs="Cambria Math"/>
                <w:bCs/>
                <w:szCs w:val="18"/>
              </w:rPr>
              <w:t>，内容齐全、无遗漏。</w:t>
            </w:r>
          </w:p>
        </w:tc>
      </w:tr>
      <w:tr w14:paraId="3F36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CA1FFA1">
            <w:pPr>
              <w:autoSpaceDE w:val="0"/>
              <w:autoSpaceDN w:val="0"/>
              <w:rPr>
                <w:rFonts w:ascii="Times New Roman" w:hAnsi="Times New Roman" w:cs="Cambria Math"/>
                <w:bCs/>
                <w:szCs w:val="18"/>
              </w:rPr>
            </w:pPr>
          </w:p>
        </w:tc>
        <w:tc>
          <w:tcPr>
            <w:tcW w:w="1482" w:type="dxa"/>
            <w:vMerge w:val="continue"/>
          </w:tcPr>
          <w:p w14:paraId="1C261584">
            <w:pPr>
              <w:autoSpaceDE w:val="0"/>
              <w:autoSpaceDN w:val="0"/>
              <w:rPr>
                <w:rFonts w:ascii="Times New Roman" w:hAnsi="Times New Roman" w:cs="Cambria Math"/>
                <w:bCs/>
                <w:szCs w:val="18"/>
              </w:rPr>
            </w:pPr>
          </w:p>
        </w:tc>
        <w:tc>
          <w:tcPr>
            <w:tcW w:w="1686" w:type="dxa"/>
            <w:gridSpan w:val="2"/>
            <w:vAlign w:val="center"/>
          </w:tcPr>
          <w:p w14:paraId="169977C5">
            <w:pPr>
              <w:autoSpaceDE w:val="0"/>
              <w:autoSpaceDN w:val="0"/>
              <w:rPr>
                <w:rFonts w:ascii="Times New Roman" w:hAnsi="Times New Roman" w:cs="Cambria Math"/>
                <w:bCs/>
                <w:szCs w:val="18"/>
              </w:rPr>
            </w:pPr>
            <w:r>
              <w:rPr>
                <w:rFonts w:hint="eastAsia" w:ascii="Times New Roman" w:hAnsi="Times New Roman" w:cs="Cambria Math"/>
                <w:bCs/>
                <w:szCs w:val="18"/>
              </w:rPr>
              <w:t>响应文件份数</w:t>
            </w:r>
          </w:p>
        </w:tc>
        <w:tc>
          <w:tcPr>
            <w:tcW w:w="5476" w:type="dxa"/>
            <w:vAlign w:val="center"/>
          </w:tcPr>
          <w:p w14:paraId="0311B82C">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符合第二章“响应人须知”4.6 条规定</w:t>
            </w:r>
          </w:p>
        </w:tc>
      </w:tr>
      <w:tr w14:paraId="33FD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26DE002">
            <w:pPr>
              <w:autoSpaceDE w:val="0"/>
              <w:autoSpaceDN w:val="0"/>
              <w:rPr>
                <w:rFonts w:ascii="Times New Roman" w:hAnsi="Times New Roman" w:cs="Cambria Math"/>
                <w:bCs/>
                <w:szCs w:val="18"/>
              </w:rPr>
            </w:pPr>
          </w:p>
        </w:tc>
        <w:tc>
          <w:tcPr>
            <w:tcW w:w="1482" w:type="dxa"/>
            <w:vMerge w:val="continue"/>
          </w:tcPr>
          <w:p w14:paraId="5367542E">
            <w:pPr>
              <w:autoSpaceDE w:val="0"/>
              <w:autoSpaceDN w:val="0"/>
              <w:rPr>
                <w:rFonts w:ascii="Times New Roman" w:hAnsi="Times New Roman" w:cs="Cambria Math"/>
                <w:bCs/>
                <w:szCs w:val="18"/>
              </w:rPr>
            </w:pPr>
          </w:p>
        </w:tc>
        <w:tc>
          <w:tcPr>
            <w:tcW w:w="1686" w:type="dxa"/>
            <w:gridSpan w:val="2"/>
            <w:vAlign w:val="center"/>
          </w:tcPr>
          <w:p w14:paraId="6D451427">
            <w:pPr>
              <w:autoSpaceDE w:val="0"/>
              <w:autoSpaceDN w:val="0"/>
              <w:rPr>
                <w:rFonts w:ascii="Times New Roman" w:hAnsi="Times New Roman" w:cs="Cambria Math"/>
                <w:bCs/>
                <w:szCs w:val="18"/>
              </w:rPr>
            </w:pPr>
            <w:r>
              <w:rPr>
                <w:rFonts w:hint="eastAsia" w:ascii="Times New Roman" w:hAnsi="Times New Roman" w:cs="Cambria Math"/>
                <w:bCs/>
                <w:szCs w:val="18"/>
              </w:rPr>
              <w:t>响应方案唯一</w:t>
            </w:r>
          </w:p>
        </w:tc>
        <w:tc>
          <w:tcPr>
            <w:tcW w:w="5476" w:type="dxa"/>
            <w:vAlign w:val="center"/>
          </w:tcPr>
          <w:p w14:paraId="0C0A7CBC">
            <w:pPr>
              <w:autoSpaceDE w:val="0"/>
              <w:autoSpaceDN w:val="0"/>
              <w:rPr>
                <w:rFonts w:ascii="Times New Roman" w:hAnsi="Times New Roman" w:cs="Cambria Math"/>
                <w:bCs/>
                <w:szCs w:val="18"/>
              </w:rPr>
            </w:pPr>
            <w:r>
              <w:rPr>
                <w:rFonts w:hint="eastAsia" w:ascii="Times New Roman" w:hAnsi="Times New Roman" w:cs="Cambria Math"/>
                <w:bCs/>
                <w:szCs w:val="18"/>
              </w:rPr>
              <w:t>只能有一个方案响应。</w:t>
            </w:r>
          </w:p>
        </w:tc>
      </w:tr>
      <w:tr w14:paraId="258B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2658898">
            <w:pPr>
              <w:autoSpaceDE w:val="0"/>
              <w:autoSpaceDN w:val="0"/>
              <w:rPr>
                <w:rFonts w:ascii="Times New Roman" w:hAnsi="Times New Roman" w:cs="Cambria Math"/>
                <w:bCs/>
                <w:szCs w:val="18"/>
              </w:rPr>
            </w:pPr>
          </w:p>
        </w:tc>
        <w:tc>
          <w:tcPr>
            <w:tcW w:w="1482" w:type="dxa"/>
            <w:vMerge w:val="continue"/>
          </w:tcPr>
          <w:p w14:paraId="434BCD9E">
            <w:pPr>
              <w:autoSpaceDE w:val="0"/>
              <w:autoSpaceDN w:val="0"/>
              <w:rPr>
                <w:rFonts w:ascii="Times New Roman" w:hAnsi="Times New Roman" w:cs="Cambria Math"/>
                <w:bCs/>
                <w:szCs w:val="18"/>
              </w:rPr>
            </w:pPr>
          </w:p>
        </w:tc>
        <w:tc>
          <w:tcPr>
            <w:tcW w:w="1686" w:type="dxa"/>
            <w:gridSpan w:val="2"/>
            <w:vAlign w:val="center"/>
          </w:tcPr>
          <w:p w14:paraId="652C732A">
            <w:pPr>
              <w:autoSpaceDE w:val="0"/>
              <w:autoSpaceDN w:val="0"/>
              <w:rPr>
                <w:rFonts w:ascii="Times New Roman" w:hAnsi="Times New Roman" w:cs="Cambria Math"/>
                <w:bCs/>
                <w:szCs w:val="18"/>
              </w:rPr>
            </w:pPr>
            <w:r>
              <w:rPr>
                <w:rFonts w:hint="eastAsia" w:ascii="Times New Roman" w:hAnsi="Times New Roman" w:cs="Cambria Math"/>
                <w:bCs/>
                <w:szCs w:val="18"/>
              </w:rPr>
              <w:t>响应报价</w:t>
            </w:r>
          </w:p>
        </w:tc>
        <w:tc>
          <w:tcPr>
            <w:tcW w:w="5476" w:type="dxa"/>
            <w:vAlign w:val="center"/>
          </w:tcPr>
          <w:p w14:paraId="4342B4AC">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符合第二章“响应人须知”4.8 条规定</w:t>
            </w:r>
          </w:p>
        </w:tc>
      </w:tr>
      <w:tr w14:paraId="1341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38EF58F">
            <w:pPr>
              <w:autoSpaceDE w:val="0"/>
              <w:autoSpaceDN w:val="0"/>
              <w:rPr>
                <w:rFonts w:ascii="Times New Roman" w:hAnsi="Times New Roman" w:cs="Cambria Math"/>
                <w:bCs/>
                <w:szCs w:val="18"/>
              </w:rPr>
            </w:pPr>
          </w:p>
        </w:tc>
        <w:tc>
          <w:tcPr>
            <w:tcW w:w="1482" w:type="dxa"/>
            <w:vMerge w:val="continue"/>
          </w:tcPr>
          <w:p w14:paraId="4F1D82E7">
            <w:pPr>
              <w:autoSpaceDE w:val="0"/>
              <w:autoSpaceDN w:val="0"/>
              <w:rPr>
                <w:rFonts w:ascii="Times New Roman" w:hAnsi="Times New Roman" w:cs="Cambria Math"/>
                <w:bCs/>
                <w:szCs w:val="18"/>
              </w:rPr>
            </w:pPr>
          </w:p>
        </w:tc>
        <w:tc>
          <w:tcPr>
            <w:tcW w:w="1686" w:type="dxa"/>
            <w:gridSpan w:val="2"/>
            <w:vAlign w:val="center"/>
          </w:tcPr>
          <w:p w14:paraId="0F60F584">
            <w:pPr>
              <w:autoSpaceDE w:val="0"/>
              <w:autoSpaceDN w:val="0"/>
              <w:rPr>
                <w:rFonts w:ascii="Times New Roman" w:hAnsi="Times New Roman" w:cs="Cambria Math"/>
                <w:bCs/>
                <w:szCs w:val="18"/>
              </w:rPr>
            </w:pPr>
            <w:r>
              <w:rPr>
                <w:rFonts w:hint="eastAsia" w:ascii="Times New Roman" w:hAnsi="Times New Roman" w:cs="Cambria Math"/>
                <w:bCs/>
                <w:szCs w:val="18"/>
              </w:rPr>
              <w:t>响应有效期</w:t>
            </w:r>
          </w:p>
        </w:tc>
        <w:tc>
          <w:tcPr>
            <w:tcW w:w="5476" w:type="dxa"/>
          </w:tcPr>
          <w:p w14:paraId="2E440C3A">
            <w:pPr>
              <w:autoSpaceDE w:val="0"/>
              <w:autoSpaceDN w:val="0"/>
              <w:rPr>
                <w:rFonts w:ascii="Times New Roman" w:hAnsi="Times New Roman" w:cs="Cambria Math"/>
                <w:bCs/>
                <w:szCs w:val="18"/>
              </w:rPr>
            </w:pPr>
            <w:r>
              <w:rPr>
                <w:rFonts w:hint="eastAsia" w:ascii="Times New Roman" w:hAnsi="Times New Roman" w:cs="Cambria Math"/>
                <w:bCs/>
                <w:szCs w:val="18"/>
              </w:rPr>
              <w:t>符合第二章“响应人须知”4.4 条规定</w:t>
            </w:r>
          </w:p>
        </w:tc>
      </w:tr>
      <w:tr w14:paraId="5D55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DFE2387">
            <w:pPr>
              <w:autoSpaceDE w:val="0"/>
              <w:autoSpaceDN w:val="0"/>
              <w:rPr>
                <w:rFonts w:ascii="Times New Roman" w:hAnsi="Times New Roman" w:cs="Cambria Math"/>
                <w:bCs/>
                <w:szCs w:val="18"/>
              </w:rPr>
            </w:pPr>
          </w:p>
        </w:tc>
        <w:tc>
          <w:tcPr>
            <w:tcW w:w="1482" w:type="dxa"/>
            <w:vMerge w:val="continue"/>
          </w:tcPr>
          <w:p w14:paraId="376C5CB7">
            <w:pPr>
              <w:autoSpaceDE w:val="0"/>
              <w:autoSpaceDN w:val="0"/>
              <w:rPr>
                <w:rFonts w:ascii="Times New Roman" w:hAnsi="Times New Roman" w:cs="Cambria Math"/>
                <w:bCs/>
                <w:szCs w:val="18"/>
              </w:rPr>
            </w:pPr>
          </w:p>
        </w:tc>
        <w:tc>
          <w:tcPr>
            <w:tcW w:w="1686" w:type="dxa"/>
            <w:gridSpan w:val="2"/>
            <w:vAlign w:val="center"/>
          </w:tcPr>
          <w:p w14:paraId="2D695BD1">
            <w:pPr>
              <w:autoSpaceDE w:val="0"/>
              <w:autoSpaceDN w:val="0"/>
              <w:rPr>
                <w:rFonts w:ascii="Times New Roman" w:hAnsi="Times New Roman" w:cs="Cambria Math"/>
                <w:bCs/>
                <w:szCs w:val="18"/>
              </w:rPr>
            </w:pPr>
            <w:r>
              <w:rPr>
                <w:rFonts w:hint="eastAsia"/>
              </w:rPr>
              <w:t>响应保证金</w:t>
            </w:r>
          </w:p>
        </w:tc>
        <w:tc>
          <w:tcPr>
            <w:tcW w:w="5476" w:type="dxa"/>
          </w:tcPr>
          <w:p w14:paraId="62EC939D">
            <w:pPr>
              <w:autoSpaceDE w:val="0"/>
              <w:autoSpaceDN w:val="0"/>
              <w:rPr>
                <w:rFonts w:ascii="Times New Roman" w:hAnsi="Times New Roman" w:cs="Cambria Math"/>
                <w:bCs/>
                <w:szCs w:val="18"/>
              </w:rPr>
            </w:pPr>
            <w:r>
              <w:rPr>
                <w:rFonts w:hint="eastAsia"/>
              </w:rPr>
              <w:t>按时足额缴纳响应保证金，以重庆市公共资源交易中心《投标保证金交纳情况一览表》为准。</w:t>
            </w:r>
          </w:p>
        </w:tc>
      </w:tr>
      <w:tr w14:paraId="7839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6ABEB359">
            <w:pPr>
              <w:autoSpaceDE w:val="0"/>
              <w:autoSpaceDN w:val="0"/>
              <w:rPr>
                <w:rFonts w:ascii="Times New Roman" w:hAnsi="Times New Roman" w:cs="Cambria Math"/>
                <w:bCs/>
                <w:szCs w:val="18"/>
              </w:rPr>
            </w:pPr>
            <w:r>
              <w:rPr>
                <w:rFonts w:hint="eastAsia" w:ascii="Times New Roman" w:hAnsi="Times New Roman" w:cs="Cambria Math"/>
                <w:bCs/>
                <w:szCs w:val="18"/>
              </w:rPr>
              <w:t>2.2</w:t>
            </w:r>
          </w:p>
        </w:tc>
        <w:tc>
          <w:tcPr>
            <w:tcW w:w="1482" w:type="dxa"/>
            <w:vAlign w:val="center"/>
          </w:tcPr>
          <w:p w14:paraId="526D7165">
            <w:pPr>
              <w:autoSpaceDE w:val="0"/>
              <w:autoSpaceDN w:val="0"/>
              <w:rPr>
                <w:rFonts w:ascii="Times New Roman" w:hAnsi="Times New Roman" w:cs="Cambria Math"/>
                <w:bCs/>
                <w:szCs w:val="18"/>
              </w:rPr>
            </w:pPr>
            <w:r>
              <w:rPr>
                <w:rFonts w:hint="eastAsia" w:ascii="Times New Roman" w:hAnsi="Times New Roman" w:cs="Cambria Math"/>
                <w:bCs/>
                <w:szCs w:val="18"/>
              </w:rPr>
              <w:t>详细评审</w:t>
            </w:r>
          </w:p>
        </w:tc>
        <w:tc>
          <w:tcPr>
            <w:tcW w:w="1686" w:type="dxa"/>
            <w:gridSpan w:val="2"/>
            <w:vAlign w:val="center"/>
          </w:tcPr>
          <w:p w14:paraId="01D0046A">
            <w:pPr>
              <w:autoSpaceDE w:val="0"/>
              <w:autoSpaceDN w:val="0"/>
              <w:rPr>
                <w:rFonts w:ascii="Times New Roman" w:hAnsi="Times New Roman" w:cs="Cambria Math"/>
                <w:bCs/>
                <w:szCs w:val="18"/>
              </w:rPr>
            </w:pPr>
            <w:r>
              <w:rPr>
                <w:rFonts w:hint="eastAsia" w:ascii="Times New Roman" w:hAnsi="Times New Roman" w:cs="Cambria Math"/>
                <w:bCs/>
                <w:szCs w:val="18"/>
              </w:rPr>
              <w:t>分值构成与评分标准</w:t>
            </w:r>
          </w:p>
          <w:p w14:paraId="01F797A4">
            <w:pPr>
              <w:autoSpaceDE w:val="0"/>
              <w:autoSpaceDN w:val="0"/>
              <w:rPr>
                <w:rFonts w:ascii="Times New Roman" w:hAnsi="Times New Roman" w:cs="Cambria Math"/>
                <w:bCs/>
                <w:szCs w:val="18"/>
              </w:rPr>
            </w:pPr>
            <w:r>
              <w:rPr>
                <w:rFonts w:hint="eastAsia" w:ascii="Times New Roman" w:hAnsi="Times New Roman" w:cs="Cambria Math"/>
                <w:bCs/>
                <w:szCs w:val="18"/>
              </w:rPr>
              <w:t>(总分1OO分)</w:t>
            </w:r>
          </w:p>
        </w:tc>
        <w:tc>
          <w:tcPr>
            <w:tcW w:w="5476" w:type="dxa"/>
            <w:vAlign w:val="center"/>
          </w:tcPr>
          <w:p w14:paraId="783A9EED">
            <w:pPr>
              <w:autoSpaceDE w:val="0"/>
              <w:autoSpaceDN w:val="0"/>
              <w:rPr>
                <w:rFonts w:ascii="Times New Roman" w:hAnsi="Times New Roman" w:cs="Cambria Math"/>
                <w:bCs/>
                <w:szCs w:val="18"/>
              </w:rPr>
            </w:pPr>
            <w:r>
              <w:rPr>
                <w:rFonts w:hint="eastAsia" w:ascii="Times New Roman" w:hAnsi="Times New Roman" w:cs="Cambria Math"/>
                <w:bCs/>
                <w:szCs w:val="18"/>
              </w:rPr>
              <w:t>详见《详细评审评分表（标段1）》、《详细评审评分表（标段2）》</w:t>
            </w:r>
          </w:p>
        </w:tc>
      </w:tr>
      <w:tr w14:paraId="7B0E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40ADA144">
            <w:pPr>
              <w:autoSpaceDE w:val="0"/>
              <w:autoSpaceDN w:val="0"/>
              <w:rPr>
                <w:rFonts w:ascii="Times New Roman" w:hAnsi="Times New Roman" w:cs="Cambria Math"/>
                <w:bCs/>
                <w:szCs w:val="18"/>
              </w:rPr>
            </w:pPr>
            <w:r>
              <w:rPr>
                <w:rFonts w:hint="eastAsia" w:ascii="Times New Roman" w:hAnsi="Times New Roman" w:cs="Cambria Math"/>
                <w:bCs/>
                <w:szCs w:val="18"/>
              </w:rPr>
              <w:t>3</w:t>
            </w:r>
          </w:p>
        </w:tc>
        <w:tc>
          <w:tcPr>
            <w:tcW w:w="1482" w:type="dxa"/>
            <w:vAlign w:val="center"/>
          </w:tcPr>
          <w:p w14:paraId="4A9CD8D0">
            <w:pPr>
              <w:autoSpaceDE w:val="0"/>
              <w:autoSpaceDN w:val="0"/>
              <w:rPr>
                <w:rFonts w:ascii="Times New Roman" w:hAnsi="Times New Roman" w:cs="Cambria Math"/>
                <w:bCs/>
                <w:szCs w:val="18"/>
              </w:rPr>
            </w:pPr>
            <w:r>
              <w:rPr>
                <w:rFonts w:hint="eastAsia" w:ascii="Times New Roman" w:hAnsi="Times New Roman" w:cs="Cambria Math"/>
                <w:bCs/>
                <w:szCs w:val="18"/>
              </w:rPr>
              <w:t>评审程序</w:t>
            </w:r>
          </w:p>
        </w:tc>
        <w:tc>
          <w:tcPr>
            <w:tcW w:w="7162" w:type="dxa"/>
            <w:gridSpan w:val="3"/>
          </w:tcPr>
          <w:p w14:paraId="12A60CA1">
            <w:pPr>
              <w:autoSpaceDE w:val="0"/>
              <w:autoSpaceDN w:val="0"/>
              <w:rPr>
                <w:rFonts w:ascii="Times New Roman" w:hAnsi="Times New Roman" w:cs="Cambria Math"/>
                <w:bCs/>
                <w:szCs w:val="18"/>
              </w:rPr>
            </w:pPr>
            <w:r>
              <w:rPr>
                <w:rFonts w:hint="eastAsia" w:ascii="Times New Roman" w:hAnsi="Times New Roman" w:cs="Cambria Math"/>
                <w:bCs/>
                <w:szCs w:val="18"/>
              </w:rPr>
              <w:t>1.初步评审前，按本章第3.1.3项的规定对响应报价有算术性错误的进行算术性错误修正。</w:t>
            </w:r>
          </w:p>
          <w:p w14:paraId="663AA727">
            <w:pPr>
              <w:autoSpaceDE w:val="0"/>
              <w:autoSpaceDN w:val="0"/>
              <w:rPr>
                <w:rFonts w:ascii="Times New Roman" w:hAnsi="Times New Roman" w:cs="Cambria Math"/>
                <w:bCs/>
                <w:szCs w:val="18"/>
              </w:rPr>
            </w:pPr>
            <w:r>
              <w:rPr>
                <w:rFonts w:hint="eastAsia" w:ascii="Times New Roman" w:hAnsi="Times New Roman" w:cs="Cambria Math"/>
                <w:bCs/>
                <w:szCs w:val="18"/>
              </w:rPr>
              <w:t>2.评审委员会对响应文件进行初步评审。</w:t>
            </w:r>
          </w:p>
          <w:p w14:paraId="7B2336AE">
            <w:pPr>
              <w:autoSpaceDE w:val="0"/>
              <w:autoSpaceDN w:val="0"/>
              <w:rPr>
                <w:rFonts w:ascii="Times New Roman" w:hAnsi="Times New Roman" w:cs="Cambria Math"/>
                <w:bCs/>
                <w:szCs w:val="18"/>
              </w:rPr>
            </w:pPr>
            <w:r>
              <w:rPr>
                <w:rFonts w:hint="eastAsia" w:ascii="Times New Roman" w:hAnsi="Times New Roman" w:cs="Cambria Math"/>
                <w:bCs/>
                <w:szCs w:val="18"/>
              </w:rPr>
              <w:t>3.初步评审合格的响应文件进行详细评审。主观评审部分由各专家独立评审打分，最后取平均得分，保留2位小数。</w:t>
            </w:r>
          </w:p>
          <w:p w14:paraId="0A1D276C">
            <w:pPr>
              <w:autoSpaceDE w:val="0"/>
              <w:autoSpaceDN w:val="0"/>
              <w:rPr>
                <w:rFonts w:ascii="Times New Roman" w:hAnsi="Times New Roman" w:cs="Cambria Math"/>
                <w:bCs/>
                <w:szCs w:val="18"/>
              </w:rPr>
            </w:pPr>
            <w:r>
              <w:rPr>
                <w:rFonts w:hint="eastAsia" w:ascii="Times New Roman" w:hAnsi="Times New Roman" w:cs="Cambria Math"/>
                <w:bCs/>
                <w:szCs w:val="18"/>
              </w:rPr>
              <w:t>4.根据综合得分由高至低进行排序，标段一、标段二各推荐1-7名，并依次为入围候选人。</w:t>
            </w:r>
          </w:p>
        </w:tc>
      </w:tr>
      <w:tr w14:paraId="5612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5371424E">
            <w:pPr>
              <w:autoSpaceDE w:val="0"/>
              <w:autoSpaceDN w:val="0"/>
              <w:rPr>
                <w:rFonts w:ascii="Times New Roman" w:hAnsi="Times New Roman" w:cs="Cambria Math"/>
                <w:bCs/>
                <w:szCs w:val="18"/>
              </w:rPr>
            </w:pPr>
            <w:r>
              <w:rPr>
                <w:rFonts w:hint="eastAsia" w:ascii="Times New Roman" w:hAnsi="Times New Roman" w:cs="Cambria Math"/>
                <w:bCs/>
                <w:szCs w:val="18"/>
              </w:rPr>
              <w:t>3.2.3</w:t>
            </w:r>
          </w:p>
        </w:tc>
        <w:tc>
          <w:tcPr>
            <w:tcW w:w="1511" w:type="dxa"/>
            <w:vAlign w:val="center"/>
          </w:tcPr>
          <w:p w14:paraId="1FB42AC5">
            <w:pPr>
              <w:autoSpaceDE w:val="0"/>
              <w:autoSpaceDN w:val="0"/>
              <w:rPr>
                <w:rFonts w:ascii="Times New Roman" w:hAnsi="Times New Roman" w:cs="Cambria Math"/>
                <w:bCs/>
                <w:szCs w:val="18"/>
              </w:rPr>
            </w:pPr>
            <w:r>
              <w:rPr>
                <w:rFonts w:hint="eastAsia" w:ascii="Times New Roman" w:hAnsi="Times New Roman" w:cs="Cambria Math"/>
                <w:bCs/>
                <w:szCs w:val="18"/>
              </w:rPr>
              <w:t>响应人得分</w:t>
            </w:r>
          </w:p>
        </w:tc>
        <w:tc>
          <w:tcPr>
            <w:tcW w:w="5651" w:type="dxa"/>
            <w:gridSpan w:val="2"/>
            <w:vAlign w:val="center"/>
          </w:tcPr>
          <w:p w14:paraId="2B65AE82">
            <w:pPr>
              <w:autoSpaceDE w:val="0"/>
              <w:autoSpaceDN w:val="0"/>
              <w:rPr>
                <w:rFonts w:ascii="Times New Roman" w:hAnsi="Times New Roman" w:cs="Cambria Math"/>
                <w:bCs/>
                <w:szCs w:val="18"/>
              </w:rPr>
            </w:pPr>
            <w:r>
              <w:rPr>
                <w:rFonts w:hint="eastAsia" w:ascii="Times New Roman" w:hAnsi="Times New Roman" w:cs="Cambria Math"/>
                <w:bCs/>
                <w:szCs w:val="18"/>
              </w:rPr>
              <w:t>响应人得分=响应报价得分+商务部分得分</w:t>
            </w:r>
          </w:p>
        </w:tc>
      </w:tr>
    </w:tbl>
    <w:p w14:paraId="6A4E8ACD">
      <w:pPr>
        <w:autoSpaceDE w:val="0"/>
        <w:autoSpaceDN w:val="0"/>
        <w:spacing w:line="360" w:lineRule="auto"/>
        <w:rPr>
          <w:rFonts w:ascii="Times New Roman" w:hAnsi="Times New Roman" w:cs="Cambria Math"/>
          <w:bCs/>
          <w:szCs w:val="18"/>
        </w:rPr>
      </w:pPr>
      <w:r>
        <w:rPr>
          <w:rFonts w:hint="eastAsia" w:ascii="Times New Roman" w:hAnsi="Times New Roman" w:cs="Cambria Math"/>
          <w:bCs/>
          <w:szCs w:val="18"/>
        </w:rPr>
        <w:br w:type="page"/>
      </w:r>
    </w:p>
    <w:p w14:paraId="65FB3752">
      <w:pPr>
        <w:autoSpaceDE w:val="0"/>
        <w:autoSpaceDN w:val="0"/>
        <w:spacing w:line="360" w:lineRule="auto"/>
        <w:outlineLvl w:val="2"/>
        <w:rPr>
          <w:rFonts w:ascii="Times New Roman" w:hAnsi="Times New Roman" w:cs="Cambria Math"/>
          <w:bCs/>
          <w:szCs w:val="18"/>
        </w:rPr>
      </w:pPr>
      <w:r>
        <w:rPr>
          <w:rFonts w:hint="eastAsia" w:ascii="Times New Roman" w:hAnsi="Times New Roman" w:cs="Cambria Math"/>
          <w:bCs/>
          <w:szCs w:val="18"/>
        </w:rPr>
        <w:t>《详细评审评分表（标段1）》</w:t>
      </w:r>
    </w:p>
    <w:p w14:paraId="2A4E2FB8">
      <w:pPr>
        <w:autoSpaceDE w:val="0"/>
        <w:autoSpaceDN w:val="0"/>
        <w:spacing w:line="360" w:lineRule="auto"/>
        <w:rPr>
          <w:rFonts w:ascii="Times New Roman" w:hAnsi="Times New Roman" w:cs="Cambria Math"/>
          <w:bCs/>
          <w:szCs w:val="18"/>
        </w:rPr>
      </w:pPr>
      <w:r>
        <w:rPr>
          <w:rFonts w:ascii="Times New Roman" w:hAnsi="Times New Roman" w:cs="Cambria Math"/>
          <w:bCs/>
          <w:szCs w:val="18"/>
        </w:rPr>
        <w:t>标段</w:t>
      </w:r>
      <w:r>
        <w:rPr>
          <w:rFonts w:hint="eastAsia" w:ascii="Times New Roman" w:hAnsi="Times New Roman" w:cs="Cambria Math"/>
          <w:bCs/>
          <w:szCs w:val="18"/>
        </w:rPr>
        <w:t>1评分标准仅针对券商类联席主承销商。</w:t>
      </w:r>
    </w:p>
    <w:tbl>
      <w:tblPr>
        <w:tblStyle w:val="23"/>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1442"/>
        <w:gridCol w:w="5787"/>
      </w:tblGrid>
      <w:tr w14:paraId="7EFE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3" w:type="dxa"/>
            <w:shd w:val="clear" w:color="000000" w:fill="auto"/>
            <w:vAlign w:val="center"/>
          </w:tcPr>
          <w:p w14:paraId="7EB89E4F">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序号</w:t>
            </w:r>
          </w:p>
        </w:tc>
        <w:tc>
          <w:tcPr>
            <w:tcW w:w="1134" w:type="dxa"/>
            <w:shd w:val="clear" w:color="000000" w:fill="auto"/>
            <w:vAlign w:val="center"/>
          </w:tcPr>
          <w:p w14:paraId="5D0787E0">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评分指标</w:t>
            </w:r>
          </w:p>
        </w:tc>
        <w:tc>
          <w:tcPr>
            <w:tcW w:w="1442" w:type="dxa"/>
            <w:shd w:val="clear" w:color="000000" w:fill="auto"/>
            <w:vAlign w:val="center"/>
          </w:tcPr>
          <w:p w14:paraId="6E092D27">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分项指标</w:t>
            </w:r>
          </w:p>
        </w:tc>
        <w:tc>
          <w:tcPr>
            <w:tcW w:w="5787" w:type="dxa"/>
            <w:shd w:val="clear" w:color="000000" w:fill="auto"/>
            <w:vAlign w:val="center"/>
          </w:tcPr>
          <w:p w14:paraId="4010B40E">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评分标准</w:t>
            </w:r>
          </w:p>
        </w:tc>
      </w:tr>
      <w:tr w14:paraId="689E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93" w:type="dxa"/>
            <w:shd w:val="clear" w:color="auto" w:fill="auto"/>
            <w:noWrap/>
            <w:vAlign w:val="center"/>
          </w:tcPr>
          <w:p w14:paraId="2A05FBF7">
            <w:pPr>
              <w:autoSpaceDE w:val="0"/>
              <w:autoSpaceDN w:val="0"/>
              <w:jc w:val="center"/>
              <w:rPr>
                <w:rFonts w:ascii="Times New Roman" w:hAnsi="Times New Roman" w:cs="Cambria Math"/>
                <w:bCs/>
                <w:szCs w:val="18"/>
              </w:rPr>
            </w:pPr>
            <w:r>
              <w:rPr>
                <w:rFonts w:hint="eastAsia" w:ascii="Times New Roman" w:hAnsi="Times New Roman" w:cs="Cambria Math"/>
                <w:bCs/>
                <w:szCs w:val="18"/>
              </w:rPr>
              <w:t>1</w:t>
            </w:r>
          </w:p>
        </w:tc>
        <w:tc>
          <w:tcPr>
            <w:tcW w:w="1134" w:type="dxa"/>
            <w:vAlign w:val="center"/>
          </w:tcPr>
          <w:p w14:paraId="7AF8969B">
            <w:pPr>
              <w:autoSpaceDE w:val="0"/>
              <w:autoSpaceDN w:val="0"/>
              <w:jc w:val="center"/>
              <w:rPr>
                <w:rFonts w:ascii="Times New Roman" w:hAnsi="Times New Roman" w:cs="Cambria Math"/>
                <w:bCs/>
                <w:szCs w:val="18"/>
              </w:rPr>
            </w:pPr>
            <w:r>
              <w:rPr>
                <w:rFonts w:hint="eastAsia" w:ascii="Times New Roman" w:hAnsi="Times New Roman" w:cs="Cambria Math"/>
                <w:bCs/>
                <w:szCs w:val="18"/>
              </w:rPr>
              <w:t>响应报价（30分）</w:t>
            </w:r>
          </w:p>
        </w:tc>
        <w:tc>
          <w:tcPr>
            <w:tcW w:w="1442" w:type="dxa"/>
            <w:shd w:val="clear" w:color="auto" w:fill="auto"/>
            <w:noWrap/>
            <w:vAlign w:val="center"/>
          </w:tcPr>
          <w:p w14:paraId="796C5C2A">
            <w:pPr>
              <w:autoSpaceDE w:val="0"/>
              <w:autoSpaceDN w:val="0"/>
              <w:jc w:val="center"/>
              <w:rPr>
                <w:rFonts w:ascii="Times New Roman" w:hAnsi="Times New Roman" w:cs="Cambria Math"/>
                <w:bCs/>
                <w:szCs w:val="18"/>
              </w:rPr>
            </w:pPr>
            <w:r>
              <w:rPr>
                <w:rFonts w:hint="eastAsia" w:ascii="Times New Roman" w:hAnsi="Times New Roman" w:cs="Cambria Math"/>
                <w:bCs/>
                <w:szCs w:val="18"/>
              </w:rPr>
              <w:t>是否接受牵头主承销商承销费率（</w:t>
            </w:r>
            <w:r>
              <w:rPr>
                <w:rFonts w:hint="eastAsia"/>
              </w:rPr>
              <w:t>分值：</w:t>
            </w:r>
            <w:r>
              <w:rPr>
                <w:rFonts w:hint="eastAsia" w:ascii="Times New Roman" w:hAnsi="Times New Roman" w:cs="Cambria Math"/>
                <w:bCs/>
                <w:szCs w:val="18"/>
              </w:rPr>
              <w:t>30分）</w:t>
            </w:r>
          </w:p>
        </w:tc>
        <w:tc>
          <w:tcPr>
            <w:tcW w:w="5787" w:type="dxa"/>
            <w:shd w:val="clear" w:color="auto" w:fill="auto"/>
            <w:vAlign w:val="center"/>
          </w:tcPr>
          <w:p w14:paraId="4BBE2BF2">
            <w:pPr>
              <w:autoSpaceDE w:val="0"/>
              <w:autoSpaceDN w:val="0"/>
              <w:rPr>
                <w:rFonts w:ascii="Times New Roman" w:hAnsi="Times New Roman" w:cs="Cambria Math"/>
                <w:bCs/>
                <w:szCs w:val="18"/>
              </w:rPr>
            </w:pPr>
            <w:r>
              <w:rPr>
                <w:rFonts w:hint="eastAsia" w:ascii="Times New Roman" w:hAnsi="Times New Roman" w:cs="Cambria Math"/>
                <w:bCs/>
                <w:szCs w:val="18"/>
              </w:rPr>
              <w:t>接受，得30分</w:t>
            </w:r>
            <w:r>
              <w:rPr>
                <w:rFonts w:hint="eastAsia" w:ascii="Times New Roman" w:hAnsi="Times New Roman" w:cs="Cambria Math"/>
                <w:bCs/>
                <w:szCs w:val="18"/>
              </w:rPr>
              <w:br w:type="textWrapping"/>
            </w:r>
            <w:r>
              <w:rPr>
                <w:rFonts w:hint="eastAsia" w:ascii="Times New Roman" w:hAnsi="Times New Roman" w:cs="Cambria Math"/>
                <w:bCs/>
                <w:szCs w:val="18"/>
              </w:rPr>
              <w:t>不接受，得0分</w:t>
            </w:r>
          </w:p>
          <w:p w14:paraId="11BAD958">
            <w:pPr>
              <w:autoSpaceDE w:val="0"/>
              <w:autoSpaceDN w:val="0"/>
              <w:rPr>
                <w:rFonts w:ascii="Times New Roman" w:hAnsi="Times New Roman" w:cs="Cambria Math"/>
                <w:bCs/>
                <w:szCs w:val="18"/>
              </w:rPr>
            </w:pPr>
            <w:r>
              <w:rPr>
                <w:rFonts w:hint="eastAsia" w:ascii="Times New Roman" w:hAnsi="Times New Roman" w:cs="Cambria Math"/>
                <w:bCs/>
                <w:szCs w:val="18"/>
              </w:rPr>
              <w:t>备注：需在响应函中明确是否接受牵头主承销商承销费率，具体承销费率请联系采购人，电话023-</w:t>
            </w:r>
            <w:r>
              <w:rPr>
                <w:rFonts w:ascii="Times New Roman" w:hAnsi="Times New Roman" w:cs="Cambria Math"/>
                <w:bCs/>
                <w:szCs w:val="18"/>
              </w:rPr>
              <w:t>88890387</w:t>
            </w:r>
            <w:r>
              <w:rPr>
                <w:rFonts w:hint="eastAsia" w:ascii="Times New Roman" w:hAnsi="Times New Roman" w:cs="Cambria Math"/>
                <w:bCs/>
                <w:szCs w:val="18"/>
              </w:rPr>
              <w:t>。</w:t>
            </w:r>
          </w:p>
        </w:tc>
      </w:tr>
      <w:tr w14:paraId="425A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93" w:type="dxa"/>
            <w:shd w:val="clear" w:color="auto" w:fill="auto"/>
            <w:noWrap/>
            <w:vAlign w:val="center"/>
          </w:tcPr>
          <w:p w14:paraId="023C37AC">
            <w:pPr>
              <w:autoSpaceDE w:val="0"/>
              <w:autoSpaceDN w:val="0"/>
              <w:jc w:val="center"/>
              <w:rPr>
                <w:rFonts w:ascii="Times New Roman" w:hAnsi="Times New Roman" w:cs="Cambria Math"/>
                <w:bCs/>
                <w:szCs w:val="18"/>
              </w:rPr>
            </w:pPr>
            <w:r>
              <w:rPr>
                <w:rFonts w:hint="eastAsia" w:ascii="Times New Roman" w:hAnsi="Times New Roman" w:cs="Cambria Math"/>
                <w:bCs/>
                <w:szCs w:val="18"/>
              </w:rPr>
              <w:t>2</w:t>
            </w:r>
          </w:p>
        </w:tc>
        <w:tc>
          <w:tcPr>
            <w:tcW w:w="1134" w:type="dxa"/>
            <w:vMerge w:val="restart"/>
            <w:vAlign w:val="center"/>
          </w:tcPr>
          <w:p w14:paraId="7CF05A1F">
            <w:pPr>
              <w:autoSpaceDE w:val="0"/>
              <w:autoSpaceDN w:val="0"/>
              <w:jc w:val="center"/>
              <w:rPr>
                <w:rFonts w:ascii="Times New Roman" w:hAnsi="Times New Roman" w:cs="Cambria Math"/>
                <w:bCs/>
                <w:szCs w:val="18"/>
              </w:rPr>
            </w:pPr>
            <w:r>
              <w:rPr>
                <w:rFonts w:hint="eastAsia" w:ascii="Times New Roman" w:hAnsi="Times New Roman" w:cs="Cambria Math"/>
                <w:bCs/>
                <w:szCs w:val="18"/>
              </w:rPr>
              <w:t>商务部分（70分）</w:t>
            </w:r>
          </w:p>
        </w:tc>
        <w:tc>
          <w:tcPr>
            <w:tcW w:w="1442" w:type="dxa"/>
            <w:shd w:val="clear" w:color="auto" w:fill="auto"/>
            <w:vAlign w:val="center"/>
          </w:tcPr>
          <w:p w14:paraId="06541D5B">
            <w:pPr>
              <w:autoSpaceDE w:val="0"/>
              <w:autoSpaceDN w:val="0"/>
              <w:jc w:val="center"/>
              <w:rPr>
                <w:rFonts w:ascii="Times New Roman" w:hAnsi="Times New Roman" w:cs="Cambria Math"/>
                <w:bCs/>
                <w:szCs w:val="18"/>
              </w:rPr>
            </w:pPr>
            <w:r>
              <w:rPr>
                <w:rFonts w:hint="eastAsia" w:ascii="Times New Roman" w:hAnsi="Times New Roman" w:cs="Cambria Math"/>
                <w:bCs/>
                <w:szCs w:val="18"/>
              </w:rPr>
              <w:t>非政策性金融债券承销规模（</w:t>
            </w:r>
            <w:r>
              <w:rPr>
                <w:rFonts w:hint="eastAsia"/>
              </w:rPr>
              <w:t>分值：</w:t>
            </w:r>
            <w:r>
              <w:rPr>
                <w:rFonts w:hint="eastAsia" w:ascii="Times New Roman" w:hAnsi="Times New Roman" w:cs="Cambria Math"/>
                <w:bCs/>
                <w:szCs w:val="18"/>
              </w:rPr>
              <w:t>30分）</w:t>
            </w:r>
          </w:p>
        </w:tc>
        <w:tc>
          <w:tcPr>
            <w:tcW w:w="5787" w:type="dxa"/>
            <w:shd w:val="clear" w:color="auto" w:fill="auto"/>
            <w:vAlign w:val="center"/>
          </w:tcPr>
          <w:p w14:paraId="10612930">
            <w:pPr>
              <w:autoSpaceDE w:val="0"/>
              <w:autoSpaceDN w:val="0"/>
              <w:rPr>
                <w:rFonts w:ascii="Times New Roman" w:hAnsi="Times New Roman" w:cs="Cambria Math"/>
                <w:bCs/>
                <w:szCs w:val="18"/>
              </w:rPr>
            </w:pPr>
            <w:r>
              <w:rPr>
                <w:rFonts w:hint="eastAsia" w:ascii="Times New Roman" w:hAnsi="Times New Roman" w:cs="Cambria Math"/>
                <w:bCs/>
                <w:szCs w:val="18"/>
              </w:rPr>
              <w:t>根据2024年主承销商的非政策性金融债券承销规模排名进行评分（以wind资讯债券承销排名数据为准）（查询路径：万得-债市一级-债券承销榜-非政策性金融债券-</w:t>
            </w:r>
            <w:r>
              <w:rPr>
                <w:rFonts w:ascii="Times New Roman" w:hAnsi="Times New Roman" w:cs="Cambria Math"/>
                <w:bCs/>
                <w:szCs w:val="18"/>
              </w:rPr>
              <w:t>2024年度</w:t>
            </w:r>
            <w:r>
              <w:rPr>
                <w:rFonts w:hint="eastAsia" w:ascii="Times New Roman" w:hAnsi="Times New Roman" w:cs="Cambria Math"/>
                <w:bCs/>
                <w:szCs w:val="18"/>
              </w:rPr>
              <w:t>-券商），按照参与询比的响应人横向对比，从大到小排名。</w:t>
            </w:r>
          </w:p>
          <w:p w14:paraId="36AFDE7D">
            <w:pPr>
              <w:autoSpaceDE w:val="0"/>
              <w:autoSpaceDN w:val="0"/>
              <w:rPr>
                <w:rFonts w:ascii="Times New Roman" w:hAnsi="Times New Roman" w:cs="Cambria Math"/>
                <w:bCs/>
                <w:szCs w:val="18"/>
              </w:rPr>
            </w:pPr>
            <w:r>
              <w:rPr>
                <w:rFonts w:hint="eastAsia" w:ascii="Times New Roman" w:hAnsi="Times New Roman" w:cs="Cambria Math"/>
                <w:bCs/>
                <w:szCs w:val="18"/>
              </w:rPr>
              <w:t>排名第</w:t>
            </w:r>
            <w:r>
              <w:rPr>
                <w:rFonts w:ascii="Times New Roman" w:hAnsi="Times New Roman" w:cs="Cambria Math"/>
                <w:bCs/>
                <w:szCs w:val="18"/>
              </w:rPr>
              <w:t>1-10</w:t>
            </w:r>
            <w:r>
              <w:rPr>
                <w:rFonts w:hint="eastAsia" w:ascii="Times New Roman" w:hAnsi="Times New Roman" w:cs="Cambria Math"/>
                <w:bCs/>
                <w:szCs w:val="18"/>
              </w:rPr>
              <w:t>：得</w:t>
            </w:r>
            <w:r>
              <w:rPr>
                <w:rFonts w:ascii="Times New Roman" w:hAnsi="Times New Roman" w:cs="Cambria Math"/>
                <w:bCs/>
                <w:szCs w:val="18"/>
              </w:rPr>
              <w:t>30</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11-20</w:t>
            </w:r>
            <w:r>
              <w:rPr>
                <w:rFonts w:hint="eastAsia" w:ascii="Times New Roman" w:hAnsi="Times New Roman" w:cs="Cambria Math"/>
                <w:bCs/>
                <w:szCs w:val="18"/>
              </w:rPr>
              <w:t>：得</w:t>
            </w:r>
            <w:r>
              <w:rPr>
                <w:rFonts w:ascii="Times New Roman" w:hAnsi="Times New Roman" w:cs="Cambria Math"/>
                <w:bCs/>
                <w:szCs w:val="18"/>
              </w:rPr>
              <w:t>28</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21-30</w:t>
            </w:r>
            <w:r>
              <w:rPr>
                <w:rFonts w:hint="eastAsia" w:ascii="Times New Roman" w:hAnsi="Times New Roman" w:cs="Cambria Math"/>
                <w:bCs/>
                <w:szCs w:val="18"/>
              </w:rPr>
              <w:t>：得</w:t>
            </w:r>
            <w:r>
              <w:rPr>
                <w:rFonts w:ascii="Times New Roman" w:hAnsi="Times New Roman" w:cs="Cambria Math"/>
                <w:bCs/>
                <w:szCs w:val="18"/>
              </w:rPr>
              <w:t>26</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31-40</w:t>
            </w:r>
            <w:r>
              <w:rPr>
                <w:rFonts w:hint="eastAsia" w:ascii="Times New Roman" w:hAnsi="Times New Roman" w:cs="Cambria Math"/>
                <w:bCs/>
                <w:szCs w:val="18"/>
              </w:rPr>
              <w:t>：得</w:t>
            </w:r>
            <w:r>
              <w:rPr>
                <w:rFonts w:ascii="Times New Roman" w:hAnsi="Times New Roman" w:cs="Cambria Math"/>
                <w:bCs/>
                <w:szCs w:val="18"/>
              </w:rPr>
              <w:t>24</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4</w:t>
            </w:r>
            <w:r>
              <w:rPr>
                <w:rFonts w:hint="eastAsia" w:ascii="Times New Roman" w:hAnsi="Times New Roman" w:cs="Cambria Math"/>
                <w:bCs/>
                <w:szCs w:val="18"/>
              </w:rPr>
              <w:t>1及以后：得</w:t>
            </w:r>
            <w:r>
              <w:rPr>
                <w:rFonts w:ascii="Times New Roman" w:hAnsi="Times New Roman" w:cs="Cambria Math"/>
                <w:bCs/>
                <w:szCs w:val="18"/>
              </w:rPr>
              <w:t>22</w:t>
            </w:r>
            <w:r>
              <w:rPr>
                <w:rFonts w:hint="eastAsia" w:ascii="Times New Roman" w:hAnsi="Times New Roman" w:cs="Cambria Math"/>
                <w:bCs/>
                <w:szCs w:val="18"/>
              </w:rPr>
              <w:t>分；</w:t>
            </w:r>
          </w:p>
          <w:p w14:paraId="07D249E0">
            <w:pPr>
              <w:autoSpaceDE w:val="0"/>
              <w:autoSpaceDN w:val="0"/>
              <w:rPr>
                <w:rFonts w:ascii="Times New Roman" w:hAnsi="Times New Roman" w:cs="Cambria Math"/>
                <w:bCs/>
                <w:szCs w:val="18"/>
              </w:rPr>
            </w:pPr>
            <w:r>
              <w:rPr>
                <w:rFonts w:hint="eastAsia" w:ascii="Times New Roman" w:hAnsi="Times New Roman" w:cs="Cambria Math"/>
                <w:bCs/>
                <w:szCs w:val="18"/>
              </w:rPr>
              <w:t>提供：【查询截图并加公章】</w:t>
            </w:r>
          </w:p>
        </w:tc>
      </w:tr>
      <w:tr w14:paraId="4D63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93" w:type="dxa"/>
            <w:shd w:val="clear" w:color="auto" w:fill="auto"/>
            <w:noWrap/>
            <w:vAlign w:val="center"/>
          </w:tcPr>
          <w:p w14:paraId="3475F640">
            <w:pPr>
              <w:autoSpaceDE w:val="0"/>
              <w:autoSpaceDN w:val="0"/>
              <w:jc w:val="center"/>
              <w:rPr>
                <w:rFonts w:ascii="Times New Roman" w:hAnsi="Times New Roman" w:cs="Cambria Math"/>
                <w:bCs/>
                <w:szCs w:val="18"/>
              </w:rPr>
            </w:pPr>
            <w:r>
              <w:rPr>
                <w:rFonts w:hint="eastAsia" w:ascii="Times New Roman" w:hAnsi="Times New Roman" w:cs="Cambria Math"/>
                <w:bCs/>
                <w:szCs w:val="18"/>
              </w:rPr>
              <w:t>3</w:t>
            </w:r>
          </w:p>
        </w:tc>
        <w:tc>
          <w:tcPr>
            <w:tcW w:w="1134" w:type="dxa"/>
            <w:vMerge w:val="continue"/>
            <w:vAlign w:val="center"/>
          </w:tcPr>
          <w:p w14:paraId="49F6CF57">
            <w:pPr>
              <w:autoSpaceDE w:val="0"/>
              <w:autoSpaceDN w:val="0"/>
              <w:jc w:val="center"/>
              <w:rPr>
                <w:rFonts w:ascii="Times New Roman" w:hAnsi="Times New Roman" w:cs="Cambria Math"/>
                <w:bCs/>
                <w:szCs w:val="18"/>
              </w:rPr>
            </w:pPr>
          </w:p>
        </w:tc>
        <w:tc>
          <w:tcPr>
            <w:tcW w:w="1442" w:type="dxa"/>
            <w:shd w:val="clear" w:color="auto" w:fill="auto"/>
            <w:vAlign w:val="center"/>
          </w:tcPr>
          <w:p w14:paraId="5A13CCB6">
            <w:pPr>
              <w:autoSpaceDE w:val="0"/>
              <w:autoSpaceDN w:val="0"/>
              <w:jc w:val="center"/>
              <w:rPr>
                <w:rFonts w:ascii="Times New Roman" w:hAnsi="Times New Roman" w:cs="Cambria Math"/>
                <w:bCs/>
                <w:szCs w:val="18"/>
              </w:rPr>
            </w:pPr>
            <w:r>
              <w:rPr>
                <w:rFonts w:hint="eastAsia" w:ascii="Times New Roman" w:hAnsi="Times New Roman" w:cs="Cambria Math"/>
                <w:bCs/>
                <w:szCs w:val="18"/>
              </w:rPr>
              <w:t>与本行发行金融债券的合作（</w:t>
            </w:r>
            <w:r>
              <w:rPr>
                <w:rFonts w:hint="eastAsia"/>
              </w:rPr>
              <w:t>分值：</w:t>
            </w:r>
            <w:r>
              <w:rPr>
                <w:rFonts w:hint="eastAsia" w:ascii="Times New Roman" w:hAnsi="Times New Roman" w:cs="Cambria Math"/>
                <w:bCs/>
                <w:szCs w:val="18"/>
              </w:rPr>
              <w:t>20分）</w:t>
            </w:r>
          </w:p>
        </w:tc>
        <w:tc>
          <w:tcPr>
            <w:tcW w:w="5787" w:type="dxa"/>
            <w:shd w:val="clear" w:color="auto" w:fill="auto"/>
            <w:vAlign w:val="center"/>
          </w:tcPr>
          <w:p w14:paraId="6A0B3B4E">
            <w:pPr>
              <w:autoSpaceDE w:val="0"/>
              <w:autoSpaceDN w:val="0"/>
              <w:rPr>
                <w:rFonts w:ascii="Times New Roman" w:hAnsi="Times New Roman" w:cs="Cambria Math"/>
                <w:bCs/>
                <w:szCs w:val="18"/>
              </w:rPr>
            </w:pPr>
            <w:r>
              <w:rPr>
                <w:rFonts w:hint="eastAsia" w:ascii="Times New Roman" w:hAnsi="Times New Roman" w:cs="Cambria Math"/>
                <w:bCs/>
                <w:szCs w:val="18"/>
              </w:rPr>
              <w:t>与本行发行金融债券的合作：响应人在2022年1月1日-2024年12月31日期间（以合同签订时间为准）参与本行金融债（不含ABS）发行承销的次数（包含承销团成员）：</w:t>
            </w:r>
          </w:p>
          <w:p w14:paraId="4F973D88">
            <w:pPr>
              <w:autoSpaceDE w:val="0"/>
              <w:autoSpaceDN w:val="0"/>
              <w:rPr>
                <w:rFonts w:ascii="Times New Roman" w:hAnsi="Times New Roman" w:cs="Cambria Math"/>
                <w:bCs/>
                <w:szCs w:val="18"/>
              </w:rPr>
            </w:pPr>
            <w:r>
              <w:rPr>
                <w:rFonts w:hint="eastAsia" w:ascii="Times New Roman" w:hAnsi="Times New Roman" w:cs="Cambria Math"/>
                <w:bCs/>
                <w:szCs w:val="18"/>
              </w:rPr>
              <w:t>参与5次及以上：得20分；</w:t>
            </w:r>
          </w:p>
          <w:p w14:paraId="7209556E">
            <w:pPr>
              <w:autoSpaceDE w:val="0"/>
              <w:autoSpaceDN w:val="0"/>
              <w:rPr>
                <w:rFonts w:ascii="Times New Roman" w:hAnsi="Times New Roman" w:cs="Cambria Math"/>
                <w:bCs/>
                <w:szCs w:val="18"/>
              </w:rPr>
            </w:pPr>
            <w:r>
              <w:rPr>
                <w:rFonts w:hint="eastAsia" w:ascii="Times New Roman" w:hAnsi="Times New Roman" w:cs="Cambria Math"/>
                <w:bCs/>
                <w:szCs w:val="18"/>
              </w:rPr>
              <w:t>参与4次：得19分；</w:t>
            </w:r>
          </w:p>
          <w:p w14:paraId="2183693E">
            <w:pPr>
              <w:autoSpaceDE w:val="0"/>
              <w:autoSpaceDN w:val="0"/>
              <w:rPr>
                <w:rFonts w:ascii="Times New Roman" w:hAnsi="Times New Roman" w:cs="Cambria Math"/>
                <w:bCs/>
                <w:szCs w:val="18"/>
              </w:rPr>
            </w:pPr>
            <w:r>
              <w:rPr>
                <w:rFonts w:hint="eastAsia" w:ascii="Times New Roman" w:hAnsi="Times New Roman" w:cs="Cambria Math"/>
                <w:bCs/>
                <w:szCs w:val="18"/>
              </w:rPr>
              <w:t>参与3次：得18分；</w:t>
            </w:r>
          </w:p>
          <w:p w14:paraId="16F98915">
            <w:pPr>
              <w:autoSpaceDE w:val="0"/>
              <w:autoSpaceDN w:val="0"/>
              <w:rPr>
                <w:rFonts w:ascii="Times New Roman" w:hAnsi="Times New Roman" w:cs="Cambria Math"/>
                <w:bCs/>
                <w:szCs w:val="18"/>
              </w:rPr>
            </w:pPr>
            <w:r>
              <w:rPr>
                <w:rFonts w:hint="eastAsia" w:ascii="Times New Roman" w:hAnsi="Times New Roman" w:cs="Cambria Math"/>
                <w:bCs/>
                <w:szCs w:val="18"/>
              </w:rPr>
              <w:t>参与2次：得17分；</w:t>
            </w:r>
          </w:p>
          <w:p w14:paraId="614FD4F9">
            <w:pPr>
              <w:autoSpaceDE w:val="0"/>
              <w:autoSpaceDN w:val="0"/>
              <w:rPr>
                <w:rFonts w:ascii="Times New Roman" w:hAnsi="Times New Roman" w:cs="Cambria Math"/>
                <w:bCs/>
                <w:szCs w:val="18"/>
              </w:rPr>
            </w:pPr>
            <w:r>
              <w:rPr>
                <w:rFonts w:hint="eastAsia" w:ascii="Times New Roman" w:hAnsi="Times New Roman" w:cs="Cambria Math"/>
                <w:bCs/>
                <w:szCs w:val="18"/>
              </w:rPr>
              <w:t>参与1次：得16分；</w:t>
            </w:r>
          </w:p>
          <w:p w14:paraId="3310F7F0">
            <w:pPr>
              <w:autoSpaceDE w:val="0"/>
              <w:autoSpaceDN w:val="0"/>
              <w:rPr>
                <w:rFonts w:ascii="Times New Roman" w:hAnsi="Times New Roman" w:cs="Cambria Math"/>
                <w:bCs/>
                <w:szCs w:val="18"/>
              </w:rPr>
            </w:pPr>
            <w:r>
              <w:rPr>
                <w:rFonts w:hint="eastAsia" w:ascii="Times New Roman" w:hAnsi="Times New Roman" w:cs="Cambria Math"/>
                <w:bCs/>
                <w:szCs w:val="18"/>
              </w:rPr>
              <w:t>未参与得8分。</w:t>
            </w:r>
          </w:p>
          <w:p w14:paraId="71B8EB5B">
            <w:pPr>
              <w:autoSpaceDE w:val="0"/>
              <w:autoSpaceDN w:val="0"/>
              <w:rPr>
                <w:rFonts w:ascii="Times New Roman" w:hAnsi="Times New Roman" w:cs="Cambria Math"/>
                <w:bCs/>
                <w:szCs w:val="18"/>
              </w:rPr>
            </w:pPr>
            <w:r>
              <w:rPr>
                <w:rFonts w:hint="eastAsia" w:ascii="Times New Roman" w:hAnsi="Times New Roman" w:cs="Cambria Math"/>
                <w:bCs/>
                <w:szCs w:val="18"/>
              </w:rPr>
              <w:t>提供：【相关发行简报截图或募集说明书截图或者其他可证明材料】</w:t>
            </w:r>
          </w:p>
        </w:tc>
      </w:tr>
      <w:tr w14:paraId="7595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993" w:type="dxa"/>
            <w:shd w:val="clear" w:color="auto" w:fill="auto"/>
            <w:noWrap/>
            <w:vAlign w:val="center"/>
          </w:tcPr>
          <w:p w14:paraId="1FBC36D3">
            <w:pPr>
              <w:autoSpaceDE w:val="0"/>
              <w:autoSpaceDN w:val="0"/>
              <w:jc w:val="center"/>
              <w:rPr>
                <w:rFonts w:ascii="Times New Roman" w:hAnsi="Times New Roman" w:cs="Cambria Math"/>
                <w:bCs/>
                <w:szCs w:val="18"/>
              </w:rPr>
            </w:pPr>
            <w:r>
              <w:rPr>
                <w:rFonts w:hint="eastAsia" w:ascii="Times New Roman" w:hAnsi="Times New Roman" w:cs="Cambria Math"/>
                <w:bCs/>
                <w:szCs w:val="18"/>
              </w:rPr>
              <w:t>4</w:t>
            </w:r>
          </w:p>
        </w:tc>
        <w:tc>
          <w:tcPr>
            <w:tcW w:w="1134" w:type="dxa"/>
            <w:vMerge w:val="continue"/>
            <w:vAlign w:val="center"/>
          </w:tcPr>
          <w:p w14:paraId="7E9AA66A">
            <w:pPr>
              <w:autoSpaceDE w:val="0"/>
              <w:autoSpaceDN w:val="0"/>
              <w:jc w:val="center"/>
              <w:rPr>
                <w:rFonts w:ascii="Times New Roman" w:hAnsi="Times New Roman" w:cs="Cambria Math"/>
                <w:bCs/>
                <w:szCs w:val="18"/>
              </w:rPr>
            </w:pPr>
          </w:p>
        </w:tc>
        <w:tc>
          <w:tcPr>
            <w:tcW w:w="1442" w:type="dxa"/>
            <w:shd w:val="clear" w:color="auto" w:fill="auto"/>
            <w:vAlign w:val="center"/>
          </w:tcPr>
          <w:p w14:paraId="110E4793">
            <w:pPr>
              <w:autoSpaceDE w:val="0"/>
              <w:autoSpaceDN w:val="0"/>
              <w:jc w:val="center"/>
              <w:rPr>
                <w:rFonts w:ascii="Times New Roman" w:hAnsi="Times New Roman" w:cs="Cambria Math"/>
                <w:bCs/>
                <w:szCs w:val="18"/>
              </w:rPr>
            </w:pPr>
            <w:r>
              <w:rPr>
                <w:rFonts w:hint="eastAsia" w:ascii="Times New Roman" w:hAnsi="Times New Roman" w:cs="Cambria Math"/>
                <w:bCs/>
                <w:szCs w:val="18"/>
              </w:rPr>
              <w:t>自营或资管</w:t>
            </w:r>
            <w:r>
              <w:rPr>
                <w:rFonts w:hint="eastAsia"/>
              </w:rPr>
              <w:t>资金在一级市场投资</w:t>
            </w:r>
            <w:r>
              <w:rPr>
                <w:rFonts w:hint="eastAsia" w:ascii="Times New Roman" w:hAnsi="Times New Roman" w:cs="Cambria Math"/>
                <w:bCs/>
                <w:szCs w:val="18"/>
              </w:rPr>
              <w:t>采购人</w:t>
            </w:r>
            <w:r>
              <w:rPr>
                <w:rFonts w:hint="eastAsia"/>
              </w:rPr>
              <w:t>金融债规模</w:t>
            </w:r>
            <w:r>
              <w:rPr>
                <w:rFonts w:hint="eastAsia" w:ascii="Times New Roman" w:hAnsi="Times New Roman" w:cs="Cambria Math"/>
                <w:bCs/>
                <w:szCs w:val="18"/>
              </w:rPr>
              <w:t>。（</w:t>
            </w:r>
            <w:r>
              <w:rPr>
                <w:rFonts w:hint="eastAsia"/>
              </w:rPr>
              <w:t>分值：</w:t>
            </w:r>
            <w:r>
              <w:rPr>
                <w:rFonts w:hint="eastAsia" w:ascii="Times New Roman" w:hAnsi="Times New Roman" w:cs="Cambria Math"/>
                <w:bCs/>
                <w:szCs w:val="18"/>
              </w:rPr>
              <w:t>15分）</w:t>
            </w:r>
          </w:p>
        </w:tc>
        <w:tc>
          <w:tcPr>
            <w:tcW w:w="5787" w:type="dxa"/>
            <w:shd w:val="clear" w:color="auto" w:fill="auto"/>
            <w:vAlign w:val="center"/>
          </w:tcPr>
          <w:p w14:paraId="7DEAD92C">
            <w:pPr>
              <w:autoSpaceDE w:val="0"/>
              <w:autoSpaceDN w:val="0"/>
              <w:rPr>
                <w:rFonts w:ascii="Times New Roman" w:hAnsi="Times New Roman" w:cs="Cambria Math"/>
                <w:bCs/>
                <w:szCs w:val="18"/>
              </w:rPr>
            </w:pPr>
            <w:r>
              <w:rPr>
                <w:rFonts w:hint="eastAsia" w:ascii="Times New Roman" w:hAnsi="Times New Roman" w:cs="Cambria Math"/>
                <w:bCs/>
                <w:szCs w:val="18"/>
              </w:rPr>
              <w:t>响应人在2022年1月1日-2024年12月31日期间以自营或资管资金在一级市场投资采购人金融债规模（不含ABS），按照参与询比的响应人横向对比，从大到小排名。</w:t>
            </w:r>
          </w:p>
          <w:p w14:paraId="1E41557F">
            <w:pPr>
              <w:autoSpaceDE w:val="0"/>
              <w:autoSpaceDN w:val="0"/>
              <w:rPr>
                <w:rFonts w:ascii="Times New Roman" w:hAnsi="Times New Roman" w:cs="Cambria Math"/>
                <w:bCs/>
                <w:szCs w:val="18"/>
              </w:rPr>
            </w:pPr>
            <w:r>
              <w:rPr>
                <w:rFonts w:hint="eastAsia" w:ascii="Times New Roman" w:hAnsi="Times New Roman" w:cs="Cambria Math"/>
                <w:bCs/>
                <w:szCs w:val="18"/>
              </w:rPr>
              <w:t>排名第</w:t>
            </w:r>
            <w:r>
              <w:rPr>
                <w:rFonts w:ascii="Times New Roman" w:hAnsi="Times New Roman" w:cs="Cambria Math"/>
                <w:bCs/>
                <w:szCs w:val="18"/>
              </w:rPr>
              <w:t>1-2</w:t>
            </w:r>
            <w:r>
              <w:rPr>
                <w:rFonts w:hint="eastAsia" w:ascii="Times New Roman" w:hAnsi="Times New Roman" w:cs="Cambria Math"/>
                <w:bCs/>
                <w:szCs w:val="18"/>
              </w:rPr>
              <w:t>：得</w:t>
            </w:r>
            <w:r>
              <w:rPr>
                <w:rFonts w:ascii="Times New Roman" w:hAnsi="Times New Roman" w:cs="Cambria Math"/>
                <w:bCs/>
                <w:szCs w:val="18"/>
              </w:rPr>
              <w:t>15</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3-5</w:t>
            </w:r>
            <w:r>
              <w:rPr>
                <w:rFonts w:hint="eastAsia" w:ascii="Times New Roman" w:hAnsi="Times New Roman" w:cs="Cambria Math"/>
                <w:bCs/>
                <w:szCs w:val="18"/>
              </w:rPr>
              <w:t>：得</w:t>
            </w:r>
            <w:r>
              <w:rPr>
                <w:rFonts w:ascii="Times New Roman" w:hAnsi="Times New Roman" w:cs="Cambria Math"/>
                <w:bCs/>
                <w:szCs w:val="18"/>
              </w:rPr>
              <w:t>14</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6-10</w:t>
            </w:r>
            <w:r>
              <w:rPr>
                <w:rFonts w:hint="eastAsia" w:ascii="Times New Roman" w:hAnsi="Times New Roman" w:cs="Cambria Math"/>
                <w:bCs/>
                <w:szCs w:val="18"/>
              </w:rPr>
              <w:t>：得</w:t>
            </w:r>
            <w:r>
              <w:rPr>
                <w:rFonts w:ascii="Times New Roman" w:hAnsi="Times New Roman" w:cs="Cambria Math"/>
                <w:bCs/>
                <w:szCs w:val="18"/>
              </w:rPr>
              <w:t>13</w:t>
            </w:r>
            <w:r>
              <w:rPr>
                <w:rFonts w:hint="eastAsia" w:ascii="Times New Roman" w:hAnsi="Times New Roman" w:cs="Cambria Math"/>
                <w:bCs/>
                <w:szCs w:val="18"/>
              </w:rPr>
              <w:t>分；</w:t>
            </w:r>
            <w:r>
              <w:rPr>
                <w:rFonts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1</w:t>
            </w:r>
            <w:r>
              <w:rPr>
                <w:rFonts w:hint="eastAsia" w:ascii="Times New Roman" w:hAnsi="Times New Roman" w:cs="Cambria Math"/>
                <w:bCs/>
                <w:szCs w:val="18"/>
              </w:rPr>
              <w:t>1及以后：得</w:t>
            </w:r>
            <w:r>
              <w:rPr>
                <w:rFonts w:ascii="Times New Roman" w:hAnsi="Times New Roman" w:cs="Cambria Math"/>
                <w:bCs/>
                <w:szCs w:val="18"/>
              </w:rPr>
              <w:t>12</w:t>
            </w:r>
            <w:r>
              <w:rPr>
                <w:rFonts w:hint="eastAsia" w:ascii="Times New Roman" w:hAnsi="Times New Roman" w:cs="Cambria Math"/>
                <w:bCs/>
                <w:szCs w:val="18"/>
              </w:rPr>
              <w:t>分；</w:t>
            </w:r>
          </w:p>
          <w:p w14:paraId="5DF4AB67">
            <w:pPr>
              <w:autoSpaceDE w:val="0"/>
              <w:autoSpaceDN w:val="0"/>
              <w:rPr>
                <w:rFonts w:ascii="Times New Roman" w:hAnsi="Times New Roman" w:cs="Cambria Math"/>
                <w:bCs/>
                <w:szCs w:val="18"/>
              </w:rPr>
            </w:pPr>
            <w:r>
              <w:rPr>
                <w:rFonts w:hint="eastAsia" w:ascii="Times New Roman" w:hAnsi="Times New Roman" w:cs="Cambria Math"/>
                <w:bCs/>
                <w:szCs w:val="18"/>
              </w:rPr>
              <w:t>备注：此评审条款证明资料由采购人提供，专家根据采购人提供的资料对供应商进行排名并打分。</w:t>
            </w:r>
          </w:p>
          <w:p w14:paraId="55B3D349">
            <w:pPr>
              <w:autoSpaceDE w:val="0"/>
              <w:autoSpaceDN w:val="0"/>
              <w:rPr>
                <w:rFonts w:ascii="Times New Roman" w:hAnsi="Times New Roman" w:cs="Cambria Math"/>
                <w:bCs/>
                <w:szCs w:val="18"/>
              </w:rPr>
            </w:pPr>
            <w:r>
              <w:rPr>
                <w:rFonts w:hint="eastAsia" w:ascii="Times New Roman" w:hAnsi="Times New Roman" w:cs="Cambria Math"/>
                <w:bCs/>
                <w:szCs w:val="18"/>
              </w:rPr>
              <w:t>以自营或资管资金投资采购人的金融债来计算。</w:t>
            </w:r>
          </w:p>
          <w:p w14:paraId="0B01951A">
            <w:pPr>
              <w:autoSpaceDE w:val="0"/>
              <w:autoSpaceDN w:val="0"/>
              <w:rPr>
                <w:rFonts w:ascii="Times New Roman" w:hAnsi="Times New Roman" w:cs="Cambria Math"/>
                <w:bCs/>
                <w:szCs w:val="18"/>
              </w:rPr>
            </w:pPr>
            <w:r>
              <w:rPr>
                <w:rFonts w:hint="eastAsia" w:ascii="Times New Roman" w:hAnsi="Times New Roman" w:cs="Cambria Math"/>
                <w:bCs/>
                <w:szCs w:val="18"/>
              </w:rPr>
              <w:t>以</w:t>
            </w:r>
            <w:r>
              <w:rPr>
                <w:rFonts w:ascii="Times New Roman" w:hAnsi="Times New Roman" w:cs="Cambria Math"/>
                <w:bCs/>
                <w:szCs w:val="18"/>
              </w:rPr>
              <w:t>采购人</w:t>
            </w:r>
            <w:r>
              <w:rPr>
                <w:rFonts w:hint="eastAsia" w:ascii="Times New Roman" w:hAnsi="Times New Roman" w:cs="Cambria Math"/>
                <w:bCs/>
                <w:szCs w:val="18"/>
              </w:rPr>
              <w:t>统计的近三年在一级市场发行金融债最终投资人名单和规模为主。</w:t>
            </w:r>
          </w:p>
          <w:p w14:paraId="3AA01349">
            <w:pPr>
              <w:autoSpaceDE w:val="0"/>
              <w:autoSpaceDN w:val="0"/>
              <w:rPr>
                <w:rFonts w:ascii="Times New Roman" w:hAnsi="Times New Roman" w:cs="Cambria Math"/>
                <w:bCs/>
                <w:szCs w:val="18"/>
              </w:rPr>
            </w:pPr>
            <w:r>
              <w:rPr>
                <w:rFonts w:hint="eastAsia" w:ascii="Times New Roman" w:hAnsi="Times New Roman" w:cs="Cambria Math"/>
                <w:bCs/>
                <w:szCs w:val="18"/>
              </w:rPr>
              <w:t>禁止以承销缴款通知书作为自</w:t>
            </w:r>
            <w:r>
              <w:rPr>
                <w:rFonts w:ascii="Times New Roman" w:hAnsi="Times New Roman" w:cs="Cambria Math"/>
                <w:bCs/>
                <w:szCs w:val="18"/>
              </w:rPr>
              <w:t>营</w:t>
            </w:r>
            <w:r>
              <w:rPr>
                <w:rFonts w:hint="eastAsia" w:ascii="Times New Roman" w:hAnsi="Times New Roman" w:cs="Cambria Math"/>
                <w:bCs/>
                <w:szCs w:val="18"/>
              </w:rPr>
              <w:t>资金投资。</w:t>
            </w:r>
          </w:p>
        </w:tc>
      </w:tr>
      <w:tr w14:paraId="65D8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3" w:type="dxa"/>
            <w:shd w:val="clear" w:color="auto" w:fill="auto"/>
            <w:noWrap/>
            <w:vAlign w:val="center"/>
          </w:tcPr>
          <w:p w14:paraId="7149991F">
            <w:pPr>
              <w:autoSpaceDE w:val="0"/>
              <w:autoSpaceDN w:val="0"/>
              <w:jc w:val="center"/>
              <w:rPr>
                <w:rFonts w:ascii="Times New Roman" w:hAnsi="Times New Roman" w:cs="Cambria Math"/>
                <w:bCs/>
                <w:szCs w:val="18"/>
              </w:rPr>
            </w:pPr>
            <w:r>
              <w:rPr>
                <w:rFonts w:hint="eastAsia" w:ascii="Times New Roman" w:hAnsi="Times New Roman" w:cs="Cambria Math"/>
                <w:bCs/>
                <w:szCs w:val="18"/>
              </w:rPr>
              <w:t>5</w:t>
            </w:r>
          </w:p>
        </w:tc>
        <w:tc>
          <w:tcPr>
            <w:tcW w:w="1134" w:type="dxa"/>
            <w:vMerge w:val="continue"/>
            <w:vAlign w:val="center"/>
          </w:tcPr>
          <w:p w14:paraId="4041BADC">
            <w:pPr>
              <w:autoSpaceDE w:val="0"/>
              <w:autoSpaceDN w:val="0"/>
              <w:jc w:val="center"/>
              <w:rPr>
                <w:rFonts w:ascii="Times New Roman" w:hAnsi="Times New Roman" w:cs="Cambria Math"/>
                <w:bCs/>
                <w:szCs w:val="18"/>
              </w:rPr>
            </w:pPr>
          </w:p>
        </w:tc>
        <w:tc>
          <w:tcPr>
            <w:tcW w:w="1442" w:type="dxa"/>
            <w:shd w:val="clear" w:color="auto" w:fill="auto"/>
            <w:noWrap/>
            <w:vAlign w:val="center"/>
          </w:tcPr>
          <w:p w14:paraId="261D9562">
            <w:pPr>
              <w:autoSpaceDE w:val="0"/>
              <w:autoSpaceDN w:val="0"/>
              <w:jc w:val="center"/>
              <w:rPr>
                <w:rFonts w:ascii="Times New Roman" w:hAnsi="Times New Roman" w:cs="Cambria Math"/>
                <w:bCs/>
                <w:szCs w:val="18"/>
              </w:rPr>
            </w:pPr>
            <w:r>
              <w:rPr>
                <w:rFonts w:hint="eastAsia" w:ascii="Times New Roman" w:hAnsi="Times New Roman" w:cs="Cambria Math"/>
                <w:bCs/>
                <w:szCs w:val="18"/>
              </w:rPr>
              <w:t>承诺余额包销（</w:t>
            </w:r>
            <w:r>
              <w:rPr>
                <w:rFonts w:hint="eastAsia"/>
              </w:rPr>
              <w:t>分值：</w:t>
            </w:r>
            <w:r>
              <w:rPr>
                <w:rFonts w:hint="eastAsia" w:ascii="Times New Roman" w:hAnsi="Times New Roman" w:cs="Cambria Math"/>
                <w:bCs/>
                <w:szCs w:val="18"/>
              </w:rPr>
              <w:t>5分）</w:t>
            </w:r>
          </w:p>
        </w:tc>
        <w:tc>
          <w:tcPr>
            <w:tcW w:w="5787" w:type="dxa"/>
            <w:shd w:val="clear" w:color="auto" w:fill="auto"/>
            <w:vAlign w:val="center"/>
          </w:tcPr>
          <w:p w14:paraId="1DD07858">
            <w:pPr>
              <w:autoSpaceDE w:val="0"/>
              <w:autoSpaceDN w:val="0"/>
              <w:rPr>
                <w:rFonts w:ascii="Times New Roman" w:hAnsi="Times New Roman" w:cs="Cambria Math"/>
                <w:bCs/>
                <w:szCs w:val="18"/>
              </w:rPr>
            </w:pPr>
            <w:r>
              <w:rPr>
                <w:rFonts w:hint="eastAsia" w:ascii="Times New Roman" w:hAnsi="Times New Roman" w:cs="Cambria Math"/>
                <w:bCs/>
                <w:szCs w:val="18"/>
              </w:rPr>
              <w:t>响应人（或响应人总公司）承诺余额包销得5分。提供：【余额包销承诺函】</w:t>
            </w:r>
          </w:p>
          <w:p w14:paraId="4BC20AA3">
            <w:pPr>
              <w:autoSpaceDE w:val="0"/>
              <w:autoSpaceDN w:val="0"/>
              <w:rPr>
                <w:rFonts w:ascii="Times New Roman" w:hAnsi="Times New Roman" w:cs="Cambria Math"/>
                <w:bCs/>
                <w:szCs w:val="18"/>
              </w:rPr>
            </w:pPr>
            <w:r>
              <w:rPr>
                <w:rFonts w:hint="eastAsia" w:ascii="Times New Roman" w:hAnsi="Times New Roman" w:cs="Cambria Math"/>
                <w:bCs/>
                <w:szCs w:val="18"/>
              </w:rPr>
              <w:t>备注：余额包销承诺函在商务文件部分提供，格式自拟，需在余额包销承诺函中明确是否承诺余额报销，未提供余额包销承诺函或有条件承诺余额包销得0分。</w:t>
            </w:r>
          </w:p>
        </w:tc>
      </w:tr>
    </w:tbl>
    <w:p w14:paraId="1894452B">
      <w:pPr>
        <w:autoSpaceDE w:val="0"/>
        <w:autoSpaceDN w:val="0"/>
        <w:rPr>
          <w:rFonts w:ascii="Times New Roman" w:hAnsi="Times New Roman" w:cs="Cambria Math"/>
          <w:bCs/>
          <w:szCs w:val="18"/>
        </w:rPr>
      </w:pPr>
    </w:p>
    <w:p w14:paraId="02F7EE92">
      <w:pPr>
        <w:autoSpaceDE w:val="0"/>
        <w:autoSpaceDN w:val="0"/>
        <w:spacing w:line="360" w:lineRule="auto"/>
        <w:outlineLvl w:val="2"/>
        <w:rPr>
          <w:rFonts w:ascii="Times New Roman" w:hAnsi="Times New Roman" w:cs="Cambria Math"/>
          <w:bCs/>
          <w:szCs w:val="18"/>
        </w:rPr>
      </w:pPr>
      <w:r>
        <w:rPr>
          <w:rFonts w:hint="eastAsia" w:ascii="Times New Roman" w:hAnsi="Times New Roman" w:cs="Cambria Math"/>
          <w:bCs/>
          <w:szCs w:val="18"/>
        </w:rPr>
        <w:t>《详细评审评分表（标段2）》</w:t>
      </w:r>
    </w:p>
    <w:p w14:paraId="7E713FA3">
      <w:pPr>
        <w:autoSpaceDE w:val="0"/>
        <w:autoSpaceDN w:val="0"/>
        <w:spacing w:line="360" w:lineRule="auto"/>
        <w:rPr>
          <w:rFonts w:ascii="Times New Roman" w:hAnsi="Times New Roman" w:cs="Cambria Math"/>
          <w:bCs/>
          <w:szCs w:val="18"/>
        </w:rPr>
      </w:pPr>
      <w:r>
        <w:rPr>
          <w:rFonts w:ascii="Times New Roman" w:hAnsi="Times New Roman" w:cs="Cambria Math"/>
          <w:bCs/>
          <w:szCs w:val="18"/>
        </w:rPr>
        <w:t>标段</w:t>
      </w:r>
      <w:r>
        <w:rPr>
          <w:rFonts w:hint="eastAsia" w:ascii="Times New Roman" w:hAnsi="Times New Roman" w:cs="Cambria Math"/>
          <w:bCs/>
          <w:szCs w:val="18"/>
        </w:rPr>
        <w:t>2评分标准仅针对银行类联席主承销商。</w:t>
      </w:r>
    </w:p>
    <w:tbl>
      <w:tblPr>
        <w:tblStyle w:val="23"/>
        <w:tblW w:w="5488"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1837"/>
        <w:gridCol w:w="5816"/>
      </w:tblGrid>
      <w:tr w14:paraId="3E3F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3" w:type="pct"/>
            <w:shd w:val="clear" w:color="000000" w:fill="auto"/>
            <w:vAlign w:val="center"/>
          </w:tcPr>
          <w:p w14:paraId="547B4655">
            <w:pPr>
              <w:autoSpaceDE w:val="0"/>
              <w:autoSpaceDN w:val="0"/>
              <w:rPr>
                <w:rFonts w:ascii="Times New Roman" w:hAnsi="Times New Roman" w:cs="Cambria Math"/>
                <w:b/>
                <w:bCs/>
                <w:szCs w:val="18"/>
              </w:rPr>
            </w:pPr>
            <w:r>
              <w:rPr>
                <w:rFonts w:hint="eastAsia" w:ascii="Times New Roman" w:hAnsi="Times New Roman" w:cs="Cambria Math"/>
                <w:b/>
                <w:bCs/>
                <w:szCs w:val="18"/>
              </w:rPr>
              <w:t>序号</w:t>
            </w:r>
          </w:p>
        </w:tc>
        <w:tc>
          <w:tcPr>
            <w:tcW w:w="606" w:type="pct"/>
            <w:shd w:val="clear" w:color="000000" w:fill="auto"/>
            <w:vAlign w:val="center"/>
          </w:tcPr>
          <w:p w14:paraId="7A564B18">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评分指标</w:t>
            </w:r>
          </w:p>
        </w:tc>
        <w:tc>
          <w:tcPr>
            <w:tcW w:w="982" w:type="pct"/>
            <w:shd w:val="clear" w:color="000000" w:fill="auto"/>
            <w:vAlign w:val="center"/>
          </w:tcPr>
          <w:p w14:paraId="3FED4514">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分项指标</w:t>
            </w:r>
          </w:p>
        </w:tc>
        <w:tc>
          <w:tcPr>
            <w:tcW w:w="3108" w:type="pct"/>
            <w:shd w:val="clear" w:color="000000" w:fill="auto"/>
            <w:vAlign w:val="center"/>
          </w:tcPr>
          <w:p w14:paraId="338547B5">
            <w:pPr>
              <w:autoSpaceDE w:val="0"/>
              <w:autoSpaceDN w:val="0"/>
              <w:jc w:val="center"/>
              <w:rPr>
                <w:rFonts w:ascii="Times New Roman" w:hAnsi="Times New Roman" w:cs="Cambria Math"/>
                <w:b/>
                <w:bCs/>
                <w:szCs w:val="18"/>
              </w:rPr>
            </w:pPr>
            <w:r>
              <w:rPr>
                <w:rFonts w:hint="eastAsia" w:ascii="Times New Roman" w:hAnsi="Times New Roman" w:cs="Cambria Math"/>
                <w:b/>
                <w:bCs/>
                <w:szCs w:val="18"/>
              </w:rPr>
              <w:t>评分标准</w:t>
            </w:r>
          </w:p>
        </w:tc>
      </w:tr>
      <w:tr w14:paraId="6FDA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03" w:type="pct"/>
            <w:shd w:val="clear" w:color="auto" w:fill="auto"/>
            <w:noWrap/>
            <w:vAlign w:val="center"/>
          </w:tcPr>
          <w:p w14:paraId="047FE80E">
            <w:pPr>
              <w:autoSpaceDE w:val="0"/>
              <w:autoSpaceDN w:val="0"/>
              <w:rPr>
                <w:rFonts w:ascii="Times New Roman" w:hAnsi="Times New Roman" w:cs="Cambria Math"/>
                <w:bCs/>
                <w:szCs w:val="18"/>
              </w:rPr>
            </w:pPr>
            <w:r>
              <w:rPr>
                <w:rFonts w:hint="eastAsia" w:ascii="Times New Roman" w:hAnsi="Times New Roman" w:cs="Cambria Math"/>
                <w:bCs/>
                <w:szCs w:val="18"/>
              </w:rPr>
              <w:t>1</w:t>
            </w:r>
          </w:p>
        </w:tc>
        <w:tc>
          <w:tcPr>
            <w:tcW w:w="606" w:type="pct"/>
            <w:vAlign w:val="center"/>
          </w:tcPr>
          <w:p w14:paraId="55F040EF">
            <w:pPr>
              <w:autoSpaceDE w:val="0"/>
              <w:autoSpaceDN w:val="0"/>
              <w:jc w:val="center"/>
              <w:rPr>
                <w:rFonts w:ascii="Times New Roman" w:hAnsi="Times New Roman" w:cs="Cambria Math"/>
                <w:bCs/>
                <w:szCs w:val="18"/>
              </w:rPr>
            </w:pPr>
            <w:r>
              <w:rPr>
                <w:rFonts w:hint="eastAsia" w:ascii="Times New Roman" w:hAnsi="Times New Roman" w:cs="Cambria Math"/>
                <w:bCs/>
                <w:szCs w:val="18"/>
              </w:rPr>
              <w:t>响应报价（30分）</w:t>
            </w:r>
          </w:p>
        </w:tc>
        <w:tc>
          <w:tcPr>
            <w:tcW w:w="982" w:type="pct"/>
            <w:shd w:val="clear" w:color="auto" w:fill="auto"/>
            <w:noWrap/>
            <w:vAlign w:val="center"/>
          </w:tcPr>
          <w:p w14:paraId="3EF1B181">
            <w:pPr>
              <w:autoSpaceDE w:val="0"/>
              <w:autoSpaceDN w:val="0"/>
              <w:rPr>
                <w:rFonts w:ascii="Times New Roman" w:hAnsi="Times New Roman" w:cs="Cambria Math"/>
                <w:bCs/>
                <w:szCs w:val="18"/>
              </w:rPr>
            </w:pPr>
            <w:r>
              <w:rPr>
                <w:rFonts w:hint="eastAsia" w:ascii="Times New Roman" w:hAnsi="Times New Roman" w:cs="Cambria Math"/>
                <w:bCs/>
                <w:szCs w:val="18"/>
              </w:rPr>
              <w:t>是否接受牵头主承销商承销费率（</w:t>
            </w:r>
            <w:r>
              <w:rPr>
                <w:rFonts w:hint="eastAsia"/>
              </w:rPr>
              <w:t>分值：</w:t>
            </w:r>
            <w:r>
              <w:rPr>
                <w:rFonts w:hint="eastAsia" w:ascii="Times New Roman" w:hAnsi="Times New Roman" w:cs="Cambria Math"/>
                <w:bCs/>
                <w:szCs w:val="18"/>
              </w:rPr>
              <w:t>30分）</w:t>
            </w:r>
          </w:p>
        </w:tc>
        <w:tc>
          <w:tcPr>
            <w:tcW w:w="3108" w:type="pct"/>
            <w:shd w:val="clear" w:color="auto" w:fill="auto"/>
            <w:vAlign w:val="center"/>
          </w:tcPr>
          <w:p w14:paraId="6AFC1817">
            <w:pPr>
              <w:autoSpaceDE w:val="0"/>
              <w:autoSpaceDN w:val="0"/>
              <w:rPr>
                <w:rFonts w:ascii="Times New Roman" w:hAnsi="Times New Roman" w:cs="Cambria Math"/>
                <w:bCs/>
                <w:szCs w:val="18"/>
              </w:rPr>
            </w:pPr>
            <w:r>
              <w:rPr>
                <w:rFonts w:hint="eastAsia" w:ascii="Times New Roman" w:hAnsi="Times New Roman" w:cs="Cambria Math"/>
                <w:bCs/>
                <w:szCs w:val="18"/>
              </w:rPr>
              <w:t>接受，得30分</w:t>
            </w:r>
            <w:r>
              <w:rPr>
                <w:rFonts w:hint="eastAsia" w:ascii="Times New Roman" w:hAnsi="Times New Roman" w:cs="Cambria Math"/>
                <w:bCs/>
                <w:szCs w:val="18"/>
              </w:rPr>
              <w:br w:type="textWrapping"/>
            </w:r>
            <w:r>
              <w:rPr>
                <w:rFonts w:hint="eastAsia" w:ascii="Times New Roman" w:hAnsi="Times New Roman" w:cs="Cambria Math"/>
                <w:bCs/>
                <w:szCs w:val="18"/>
              </w:rPr>
              <w:t>不接受，得0分</w:t>
            </w:r>
          </w:p>
          <w:p w14:paraId="356D2CF1">
            <w:pPr>
              <w:autoSpaceDE w:val="0"/>
              <w:autoSpaceDN w:val="0"/>
              <w:rPr>
                <w:rFonts w:ascii="Times New Roman" w:hAnsi="Times New Roman" w:cs="Cambria Math"/>
                <w:bCs/>
                <w:szCs w:val="18"/>
              </w:rPr>
            </w:pPr>
            <w:r>
              <w:rPr>
                <w:rFonts w:hint="eastAsia" w:ascii="Times New Roman" w:hAnsi="Times New Roman" w:cs="Cambria Math"/>
                <w:bCs/>
                <w:szCs w:val="18"/>
              </w:rPr>
              <w:t>备注：需在响应函中明确是否接受牵头主承销商承销费率，具体承销费率请联系采购人，电话023-</w:t>
            </w:r>
            <w:r>
              <w:rPr>
                <w:rFonts w:ascii="Times New Roman" w:hAnsi="Times New Roman" w:cs="Cambria Math"/>
                <w:bCs/>
                <w:szCs w:val="18"/>
              </w:rPr>
              <w:t>88890387</w:t>
            </w:r>
            <w:r>
              <w:rPr>
                <w:rFonts w:hint="eastAsia" w:ascii="Times New Roman" w:hAnsi="Times New Roman" w:cs="Cambria Math"/>
                <w:bCs/>
                <w:szCs w:val="18"/>
              </w:rPr>
              <w:t>。</w:t>
            </w:r>
          </w:p>
        </w:tc>
      </w:tr>
      <w:tr w14:paraId="5818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3" w:type="pct"/>
            <w:shd w:val="clear" w:color="auto" w:fill="auto"/>
            <w:noWrap/>
            <w:vAlign w:val="center"/>
          </w:tcPr>
          <w:p w14:paraId="5DAE6B04">
            <w:pPr>
              <w:autoSpaceDE w:val="0"/>
              <w:autoSpaceDN w:val="0"/>
              <w:rPr>
                <w:rFonts w:ascii="Times New Roman" w:hAnsi="Times New Roman" w:cs="Cambria Math"/>
                <w:bCs/>
                <w:szCs w:val="18"/>
              </w:rPr>
            </w:pPr>
            <w:r>
              <w:rPr>
                <w:rFonts w:hint="eastAsia" w:ascii="Times New Roman" w:hAnsi="Times New Roman" w:cs="Cambria Math"/>
                <w:bCs/>
                <w:szCs w:val="18"/>
              </w:rPr>
              <w:t>2</w:t>
            </w:r>
          </w:p>
        </w:tc>
        <w:tc>
          <w:tcPr>
            <w:tcW w:w="606" w:type="pct"/>
            <w:vMerge w:val="restart"/>
            <w:vAlign w:val="center"/>
          </w:tcPr>
          <w:p w14:paraId="2C2D8D60">
            <w:pPr>
              <w:autoSpaceDE w:val="0"/>
              <w:autoSpaceDN w:val="0"/>
              <w:jc w:val="center"/>
              <w:rPr>
                <w:rFonts w:ascii="Times New Roman" w:hAnsi="Times New Roman" w:cs="Cambria Math"/>
                <w:bCs/>
                <w:szCs w:val="18"/>
              </w:rPr>
            </w:pPr>
            <w:r>
              <w:rPr>
                <w:rFonts w:hint="eastAsia" w:ascii="Times New Roman" w:hAnsi="Times New Roman" w:cs="Cambria Math"/>
                <w:bCs/>
                <w:szCs w:val="18"/>
              </w:rPr>
              <w:t>商务部分（70分）</w:t>
            </w:r>
          </w:p>
        </w:tc>
        <w:tc>
          <w:tcPr>
            <w:tcW w:w="982" w:type="pct"/>
            <w:shd w:val="clear" w:color="auto" w:fill="auto"/>
            <w:vAlign w:val="center"/>
          </w:tcPr>
          <w:p w14:paraId="0789416D">
            <w:pPr>
              <w:autoSpaceDE w:val="0"/>
              <w:autoSpaceDN w:val="0"/>
              <w:rPr>
                <w:rFonts w:ascii="Times New Roman" w:hAnsi="Times New Roman" w:cs="Cambria Math"/>
                <w:bCs/>
                <w:szCs w:val="18"/>
              </w:rPr>
            </w:pPr>
            <w:r>
              <w:rPr>
                <w:rFonts w:hint="eastAsia" w:ascii="Times New Roman" w:hAnsi="Times New Roman" w:cs="Cambria Math"/>
                <w:bCs/>
                <w:szCs w:val="18"/>
              </w:rPr>
              <w:t>非政策性金融债券承销规模（</w:t>
            </w:r>
            <w:r>
              <w:rPr>
                <w:rFonts w:hint="eastAsia"/>
              </w:rPr>
              <w:t>分值：</w:t>
            </w:r>
            <w:r>
              <w:rPr>
                <w:rFonts w:hint="eastAsia" w:ascii="Times New Roman" w:hAnsi="Times New Roman" w:cs="Cambria Math"/>
                <w:bCs/>
                <w:szCs w:val="18"/>
              </w:rPr>
              <w:t>30分）</w:t>
            </w:r>
          </w:p>
        </w:tc>
        <w:tc>
          <w:tcPr>
            <w:tcW w:w="3108" w:type="pct"/>
            <w:shd w:val="clear" w:color="auto" w:fill="auto"/>
            <w:vAlign w:val="center"/>
          </w:tcPr>
          <w:p w14:paraId="1CE63077">
            <w:pPr>
              <w:autoSpaceDE w:val="0"/>
              <w:autoSpaceDN w:val="0"/>
              <w:rPr>
                <w:rFonts w:ascii="Times New Roman" w:hAnsi="Times New Roman" w:cs="Cambria Math"/>
                <w:bCs/>
                <w:szCs w:val="18"/>
              </w:rPr>
            </w:pPr>
            <w:r>
              <w:rPr>
                <w:rFonts w:hint="eastAsia" w:ascii="Times New Roman" w:hAnsi="Times New Roman" w:cs="Cambria Math"/>
                <w:bCs/>
                <w:szCs w:val="18"/>
              </w:rPr>
              <w:t>根据2024年主承销商的非政策性金融债券承销规模排名进行评分（以wind资讯债券承销排名数据为准）（查询路径：万得-债市一级-债券承销榜-非政策性金融债券-</w:t>
            </w:r>
            <w:r>
              <w:rPr>
                <w:rFonts w:ascii="Times New Roman" w:hAnsi="Times New Roman" w:cs="Cambria Math"/>
                <w:bCs/>
                <w:szCs w:val="18"/>
              </w:rPr>
              <w:t>2024年度</w:t>
            </w:r>
            <w:r>
              <w:rPr>
                <w:rFonts w:hint="eastAsia" w:ascii="Times New Roman" w:hAnsi="Times New Roman" w:cs="Cambria Math"/>
                <w:bCs/>
                <w:szCs w:val="18"/>
              </w:rPr>
              <w:t>-银行），按照参与询比的响应人横向对比，从大到小排名。</w:t>
            </w:r>
          </w:p>
          <w:p w14:paraId="663F4EBA">
            <w:pPr>
              <w:autoSpaceDE w:val="0"/>
              <w:autoSpaceDN w:val="0"/>
              <w:rPr>
                <w:rFonts w:ascii="Times New Roman" w:hAnsi="Times New Roman" w:cs="Cambria Math"/>
                <w:bCs/>
                <w:szCs w:val="18"/>
              </w:rPr>
            </w:pPr>
            <w:r>
              <w:rPr>
                <w:rFonts w:hint="eastAsia" w:ascii="Times New Roman" w:hAnsi="Times New Roman" w:cs="Cambria Math"/>
                <w:bCs/>
                <w:szCs w:val="18"/>
              </w:rPr>
              <w:t>排名第</w:t>
            </w:r>
            <w:r>
              <w:rPr>
                <w:rFonts w:ascii="Times New Roman" w:hAnsi="Times New Roman" w:cs="Cambria Math"/>
                <w:bCs/>
                <w:szCs w:val="18"/>
              </w:rPr>
              <w:t>1-10</w:t>
            </w:r>
            <w:r>
              <w:rPr>
                <w:rFonts w:hint="eastAsia" w:ascii="Times New Roman" w:hAnsi="Times New Roman" w:cs="Cambria Math"/>
                <w:bCs/>
                <w:szCs w:val="18"/>
              </w:rPr>
              <w:t>：得</w:t>
            </w:r>
            <w:r>
              <w:rPr>
                <w:rFonts w:ascii="Times New Roman" w:hAnsi="Times New Roman" w:cs="Cambria Math"/>
                <w:bCs/>
                <w:szCs w:val="18"/>
              </w:rPr>
              <w:t>30</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11-20</w:t>
            </w:r>
            <w:r>
              <w:rPr>
                <w:rFonts w:hint="eastAsia" w:ascii="Times New Roman" w:hAnsi="Times New Roman" w:cs="Cambria Math"/>
                <w:bCs/>
                <w:szCs w:val="18"/>
              </w:rPr>
              <w:t>：得</w:t>
            </w:r>
            <w:r>
              <w:rPr>
                <w:rFonts w:ascii="Times New Roman" w:hAnsi="Times New Roman" w:cs="Cambria Math"/>
                <w:bCs/>
                <w:szCs w:val="18"/>
              </w:rPr>
              <w:t>28</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21-30</w:t>
            </w:r>
            <w:r>
              <w:rPr>
                <w:rFonts w:hint="eastAsia" w:ascii="Times New Roman" w:hAnsi="Times New Roman" w:cs="Cambria Math"/>
                <w:bCs/>
                <w:szCs w:val="18"/>
              </w:rPr>
              <w:t>：得</w:t>
            </w:r>
            <w:r>
              <w:rPr>
                <w:rFonts w:ascii="Times New Roman" w:hAnsi="Times New Roman" w:cs="Cambria Math"/>
                <w:bCs/>
                <w:szCs w:val="18"/>
              </w:rPr>
              <w:t>26</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31-40</w:t>
            </w:r>
            <w:r>
              <w:rPr>
                <w:rFonts w:hint="eastAsia" w:ascii="Times New Roman" w:hAnsi="Times New Roman" w:cs="Cambria Math"/>
                <w:bCs/>
                <w:szCs w:val="18"/>
              </w:rPr>
              <w:t>：得</w:t>
            </w:r>
            <w:r>
              <w:rPr>
                <w:rFonts w:ascii="Times New Roman" w:hAnsi="Times New Roman" w:cs="Cambria Math"/>
                <w:bCs/>
                <w:szCs w:val="18"/>
              </w:rPr>
              <w:t>24</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4</w:t>
            </w:r>
            <w:r>
              <w:rPr>
                <w:rFonts w:hint="eastAsia" w:ascii="Times New Roman" w:hAnsi="Times New Roman" w:cs="Cambria Math"/>
                <w:bCs/>
                <w:szCs w:val="18"/>
              </w:rPr>
              <w:t>1及以后：得</w:t>
            </w:r>
            <w:r>
              <w:rPr>
                <w:rFonts w:ascii="Times New Roman" w:hAnsi="Times New Roman" w:cs="Cambria Math"/>
                <w:bCs/>
                <w:szCs w:val="18"/>
              </w:rPr>
              <w:t>22</w:t>
            </w:r>
            <w:r>
              <w:rPr>
                <w:rFonts w:hint="eastAsia" w:ascii="Times New Roman" w:hAnsi="Times New Roman" w:cs="Cambria Math"/>
                <w:bCs/>
                <w:szCs w:val="18"/>
              </w:rPr>
              <w:t>分；</w:t>
            </w:r>
          </w:p>
          <w:p w14:paraId="29918BE2">
            <w:pPr>
              <w:autoSpaceDE w:val="0"/>
              <w:autoSpaceDN w:val="0"/>
              <w:rPr>
                <w:rFonts w:ascii="Times New Roman" w:hAnsi="Times New Roman" w:cs="Cambria Math"/>
                <w:bCs/>
                <w:szCs w:val="18"/>
              </w:rPr>
            </w:pPr>
            <w:r>
              <w:rPr>
                <w:rFonts w:hint="eastAsia" w:ascii="Times New Roman" w:hAnsi="Times New Roman" w:cs="Cambria Math"/>
                <w:bCs/>
                <w:szCs w:val="18"/>
              </w:rPr>
              <w:t>提供：【查询截图并加公章】</w:t>
            </w:r>
          </w:p>
        </w:tc>
      </w:tr>
      <w:tr w14:paraId="13CF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03" w:type="pct"/>
            <w:shd w:val="clear" w:color="auto" w:fill="auto"/>
            <w:noWrap/>
            <w:vAlign w:val="center"/>
          </w:tcPr>
          <w:p w14:paraId="27BC6E90">
            <w:pPr>
              <w:autoSpaceDE w:val="0"/>
              <w:autoSpaceDN w:val="0"/>
              <w:rPr>
                <w:rFonts w:ascii="Times New Roman" w:hAnsi="Times New Roman" w:cs="Cambria Math"/>
                <w:bCs/>
                <w:szCs w:val="18"/>
              </w:rPr>
            </w:pPr>
            <w:r>
              <w:rPr>
                <w:rFonts w:hint="eastAsia" w:ascii="Times New Roman" w:hAnsi="Times New Roman" w:cs="Cambria Math"/>
                <w:bCs/>
                <w:szCs w:val="18"/>
              </w:rPr>
              <w:t>3</w:t>
            </w:r>
          </w:p>
        </w:tc>
        <w:tc>
          <w:tcPr>
            <w:tcW w:w="606" w:type="pct"/>
            <w:vMerge w:val="continue"/>
          </w:tcPr>
          <w:p w14:paraId="70C60C35">
            <w:pPr>
              <w:autoSpaceDE w:val="0"/>
              <w:autoSpaceDN w:val="0"/>
              <w:rPr>
                <w:rFonts w:ascii="Times New Roman" w:hAnsi="Times New Roman" w:cs="Cambria Math"/>
                <w:bCs/>
                <w:szCs w:val="18"/>
              </w:rPr>
            </w:pPr>
          </w:p>
        </w:tc>
        <w:tc>
          <w:tcPr>
            <w:tcW w:w="982" w:type="pct"/>
            <w:shd w:val="clear" w:color="auto" w:fill="auto"/>
            <w:vAlign w:val="center"/>
          </w:tcPr>
          <w:p w14:paraId="304D1DF7">
            <w:pPr>
              <w:autoSpaceDE w:val="0"/>
              <w:autoSpaceDN w:val="0"/>
              <w:rPr>
                <w:rFonts w:ascii="Times New Roman" w:hAnsi="Times New Roman" w:cs="Cambria Math"/>
                <w:bCs/>
                <w:szCs w:val="18"/>
              </w:rPr>
            </w:pPr>
            <w:r>
              <w:rPr>
                <w:rFonts w:hint="eastAsia" w:ascii="Times New Roman" w:hAnsi="Times New Roman" w:cs="Cambria Math"/>
                <w:bCs/>
                <w:szCs w:val="18"/>
              </w:rPr>
              <w:t>与本行发行金融债券的合作（</w:t>
            </w:r>
            <w:r>
              <w:rPr>
                <w:rFonts w:hint="eastAsia"/>
              </w:rPr>
              <w:t>分值：</w:t>
            </w:r>
            <w:r>
              <w:rPr>
                <w:rFonts w:hint="eastAsia" w:ascii="Times New Roman" w:hAnsi="Times New Roman" w:cs="Cambria Math"/>
                <w:bCs/>
                <w:szCs w:val="18"/>
              </w:rPr>
              <w:t>10分）</w:t>
            </w:r>
          </w:p>
        </w:tc>
        <w:tc>
          <w:tcPr>
            <w:tcW w:w="3108" w:type="pct"/>
            <w:shd w:val="clear" w:color="auto" w:fill="auto"/>
            <w:vAlign w:val="center"/>
          </w:tcPr>
          <w:p w14:paraId="03D1ADA9">
            <w:pPr>
              <w:autoSpaceDE w:val="0"/>
              <w:autoSpaceDN w:val="0"/>
              <w:rPr>
                <w:rFonts w:ascii="Times New Roman" w:hAnsi="Times New Roman" w:cs="Cambria Math"/>
                <w:bCs/>
                <w:szCs w:val="18"/>
              </w:rPr>
            </w:pPr>
            <w:r>
              <w:rPr>
                <w:rFonts w:hint="eastAsia" w:ascii="Times New Roman" w:hAnsi="Times New Roman" w:cs="Cambria Math"/>
                <w:bCs/>
                <w:szCs w:val="18"/>
              </w:rPr>
              <w:t>与本行发行金融债券的合作：响应人在2022年1月1日-2024年12月31日期间（以合同签订时间为准）参与本行金融债（不含ABS）发行承销的次数（包含承销团成员）：</w:t>
            </w:r>
          </w:p>
          <w:p w14:paraId="03E7DA9A">
            <w:pPr>
              <w:autoSpaceDE w:val="0"/>
              <w:autoSpaceDN w:val="0"/>
              <w:rPr>
                <w:rFonts w:ascii="Times New Roman" w:hAnsi="Times New Roman" w:cs="Cambria Math"/>
                <w:bCs/>
                <w:szCs w:val="18"/>
              </w:rPr>
            </w:pPr>
            <w:r>
              <w:rPr>
                <w:rFonts w:hint="eastAsia" w:ascii="Times New Roman" w:hAnsi="Times New Roman" w:cs="Cambria Math"/>
                <w:bCs/>
                <w:szCs w:val="18"/>
              </w:rPr>
              <w:t>参与5次及以上：得</w:t>
            </w:r>
            <w:r>
              <w:rPr>
                <w:rFonts w:ascii="Times New Roman" w:hAnsi="Times New Roman" w:cs="Cambria Math"/>
                <w:bCs/>
                <w:szCs w:val="18"/>
              </w:rPr>
              <w:t>10</w:t>
            </w:r>
            <w:r>
              <w:rPr>
                <w:rFonts w:hint="eastAsia" w:ascii="Times New Roman" w:hAnsi="Times New Roman" w:cs="Cambria Math"/>
                <w:bCs/>
                <w:szCs w:val="18"/>
              </w:rPr>
              <w:t>分；</w:t>
            </w:r>
          </w:p>
          <w:p w14:paraId="50F308B1">
            <w:pPr>
              <w:autoSpaceDE w:val="0"/>
              <w:autoSpaceDN w:val="0"/>
              <w:rPr>
                <w:rFonts w:ascii="Times New Roman" w:hAnsi="Times New Roman" w:cs="Cambria Math"/>
                <w:bCs/>
                <w:szCs w:val="18"/>
              </w:rPr>
            </w:pPr>
            <w:r>
              <w:rPr>
                <w:rFonts w:hint="eastAsia" w:ascii="Times New Roman" w:hAnsi="Times New Roman" w:cs="Cambria Math"/>
                <w:bCs/>
                <w:szCs w:val="18"/>
              </w:rPr>
              <w:t>参与4次：得</w:t>
            </w:r>
            <w:r>
              <w:rPr>
                <w:rFonts w:ascii="Times New Roman" w:hAnsi="Times New Roman" w:cs="Cambria Math"/>
                <w:bCs/>
                <w:szCs w:val="18"/>
              </w:rPr>
              <w:t>9</w:t>
            </w:r>
            <w:r>
              <w:rPr>
                <w:rFonts w:hint="eastAsia" w:ascii="Times New Roman" w:hAnsi="Times New Roman" w:cs="Cambria Math"/>
                <w:bCs/>
                <w:szCs w:val="18"/>
              </w:rPr>
              <w:t>分；</w:t>
            </w:r>
          </w:p>
          <w:p w14:paraId="0B27B73F">
            <w:pPr>
              <w:autoSpaceDE w:val="0"/>
              <w:autoSpaceDN w:val="0"/>
              <w:rPr>
                <w:rFonts w:ascii="Times New Roman" w:hAnsi="Times New Roman" w:cs="Cambria Math"/>
                <w:bCs/>
                <w:szCs w:val="18"/>
              </w:rPr>
            </w:pPr>
            <w:r>
              <w:rPr>
                <w:rFonts w:hint="eastAsia" w:ascii="Times New Roman" w:hAnsi="Times New Roman" w:cs="Cambria Math"/>
                <w:bCs/>
                <w:szCs w:val="18"/>
              </w:rPr>
              <w:t>参与3次：得8分；</w:t>
            </w:r>
          </w:p>
          <w:p w14:paraId="342B3FD5">
            <w:pPr>
              <w:autoSpaceDE w:val="0"/>
              <w:autoSpaceDN w:val="0"/>
              <w:rPr>
                <w:rFonts w:ascii="Times New Roman" w:hAnsi="Times New Roman" w:cs="Cambria Math"/>
                <w:bCs/>
                <w:szCs w:val="18"/>
              </w:rPr>
            </w:pPr>
            <w:r>
              <w:rPr>
                <w:rFonts w:hint="eastAsia" w:ascii="Times New Roman" w:hAnsi="Times New Roman" w:cs="Cambria Math"/>
                <w:bCs/>
                <w:szCs w:val="18"/>
              </w:rPr>
              <w:t>参与2次：得7分；</w:t>
            </w:r>
          </w:p>
          <w:p w14:paraId="7BF6B9EA">
            <w:pPr>
              <w:autoSpaceDE w:val="0"/>
              <w:autoSpaceDN w:val="0"/>
              <w:rPr>
                <w:rFonts w:ascii="Times New Roman" w:hAnsi="Times New Roman" w:cs="Cambria Math"/>
                <w:bCs/>
                <w:szCs w:val="18"/>
              </w:rPr>
            </w:pPr>
            <w:r>
              <w:rPr>
                <w:rFonts w:hint="eastAsia" w:ascii="Times New Roman" w:hAnsi="Times New Roman" w:cs="Cambria Math"/>
                <w:bCs/>
                <w:szCs w:val="18"/>
              </w:rPr>
              <w:t>参与1次：得6分；</w:t>
            </w:r>
          </w:p>
          <w:p w14:paraId="34EA17C8">
            <w:pPr>
              <w:autoSpaceDE w:val="0"/>
              <w:autoSpaceDN w:val="0"/>
              <w:rPr>
                <w:rFonts w:ascii="Times New Roman" w:hAnsi="Times New Roman" w:cs="Cambria Math"/>
                <w:bCs/>
                <w:szCs w:val="18"/>
              </w:rPr>
            </w:pPr>
            <w:r>
              <w:rPr>
                <w:rFonts w:hint="eastAsia" w:ascii="Times New Roman" w:hAnsi="Times New Roman" w:cs="Cambria Math"/>
                <w:bCs/>
                <w:szCs w:val="18"/>
              </w:rPr>
              <w:t>未参与得</w:t>
            </w:r>
            <w:r>
              <w:rPr>
                <w:rFonts w:ascii="Times New Roman" w:hAnsi="Times New Roman" w:cs="Cambria Math"/>
                <w:bCs/>
                <w:szCs w:val="18"/>
              </w:rPr>
              <w:t>2</w:t>
            </w:r>
            <w:r>
              <w:rPr>
                <w:rFonts w:hint="eastAsia" w:ascii="Times New Roman" w:hAnsi="Times New Roman" w:cs="Cambria Math"/>
                <w:bCs/>
                <w:szCs w:val="18"/>
              </w:rPr>
              <w:t>分。</w:t>
            </w:r>
          </w:p>
          <w:p w14:paraId="6CA42EE8">
            <w:pPr>
              <w:autoSpaceDE w:val="0"/>
              <w:autoSpaceDN w:val="0"/>
              <w:rPr>
                <w:rFonts w:ascii="Times New Roman" w:hAnsi="Times New Roman" w:cs="Cambria Math"/>
                <w:bCs/>
                <w:szCs w:val="18"/>
              </w:rPr>
            </w:pPr>
            <w:r>
              <w:rPr>
                <w:rFonts w:hint="eastAsia" w:ascii="Times New Roman" w:hAnsi="Times New Roman" w:cs="Cambria Math"/>
                <w:bCs/>
                <w:szCs w:val="18"/>
              </w:rPr>
              <w:t>提供：【相关发行简报截图或募集说明书截图或者其他可证明材料】</w:t>
            </w:r>
          </w:p>
        </w:tc>
      </w:tr>
      <w:tr w14:paraId="4687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 w:type="pct"/>
            <w:shd w:val="clear" w:color="auto" w:fill="auto"/>
            <w:noWrap/>
            <w:vAlign w:val="center"/>
          </w:tcPr>
          <w:p w14:paraId="7B085434">
            <w:pPr>
              <w:autoSpaceDE w:val="0"/>
              <w:autoSpaceDN w:val="0"/>
              <w:rPr>
                <w:rFonts w:ascii="Times New Roman" w:hAnsi="Times New Roman" w:cs="Cambria Math"/>
                <w:bCs/>
                <w:szCs w:val="18"/>
              </w:rPr>
            </w:pPr>
            <w:r>
              <w:rPr>
                <w:rFonts w:hint="eastAsia" w:ascii="Times New Roman" w:hAnsi="Times New Roman" w:cs="Cambria Math"/>
                <w:bCs/>
                <w:szCs w:val="18"/>
              </w:rPr>
              <w:t>4</w:t>
            </w:r>
          </w:p>
        </w:tc>
        <w:tc>
          <w:tcPr>
            <w:tcW w:w="606" w:type="pct"/>
            <w:vMerge w:val="continue"/>
          </w:tcPr>
          <w:p w14:paraId="5F3D5E98">
            <w:pPr>
              <w:autoSpaceDE w:val="0"/>
              <w:autoSpaceDN w:val="0"/>
              <w:rPr>
                <w:rFonts w:ascii="Times New Roman" w:hAnsi="Times New Roman" w:cs="Cambria Math"/>
                <w:bCs/>
                <w:szCs w:val="18"/>
              </w:rPr>
            </w:pPr>
          </w:p>
        </w:tc>
        <w:tc>
          <w:tcPr>
            <w:tcW w:w="982" w:type="pct"/>
            <w:shd w:val="clear" w:color="auto" w:fill="auto"/>
            <w:vAlign w:val="center"/>
          </w:tcPr>
          <w:p w14:paraId="37BED5AC">
            <w:pPr>
              <w:autoSpaceDE w:val="0"/>
              <w:autoSpaceDN w:val="0"/>
              <w:rPr>
                <w:rFonts w:ascii="Times New Roman" w:hAnsi="Times New Roman" w:cs="Cambria Math"/>
                <w:bCs/>
                <w:szCs w:val="18"/>
              </w:rPr>
            </w:pPr>
            <w:r>
              <w:rPr>
                <w:rFonts w:hint="eastAsia" w:ascii="Times New Roman" w:hAnsi="Times New Roman" w:cs="Cambria Math"/>
                <w:bCs/>
                <w:szCs w:val="18"/>
              </w:rPr>
              <w:t>自营或理财子公司资金在一级市场投资采购人发行金融债券的情况（</w:t>
            </w:r>
            <w:r>
              <w:rPr>
                <w:rFonts w:hint="eastAsia"/>
              </w:rPr>
              <w:t>分值：</w:t>
            </w:r>
            <w:r>
              <w:rPr>
                <w:rFonts w:hint="eastAsia" w:ascii="Times New Roman" w:hAnsi="Times New Roman" w:cs="Cambria Math"/>
                <w:bCs/>
                <w:szCs w:val="18"/>
              </w:rPr>
              <w:t>25分）</w:t>
            </w:r>
          </w:p>
        </w:tc>
        <w:tc>
          <w:tcPr>
            <w:tcW w:w="3108" w:type="pct"/>
            <w:shd w:val="clear" w:color="auto" w:fill="auto"/>
            <w:vAlign w:val="center"/>
          </w:tcPr>
          <w:p w14:paraId="4D7BC367">
            <w:pPr>
              <w:autoSpaceDE w:val="0"/>
              <w:autoSpaceDN w:val="0"/>
              <w:rPr>
                <w:rFonts w:ascii="Times New Roman" w:hAnsi="Times New Roman" w:cs="Cambria Math"/>
                <w:bCs/>
                <w:szCs w:val="18"/>
              </w:rPr>
            </w:pPr>
            <w:r>
              <w:rPr>
                <w:rFonts w:hint="eastAsia" w:ascii="Times New Roman" w:hAnsi="Times New Roman" w:cs="Cambria Math"/>
                <w:bCs/>
                <w:szCs w:val="18"/>
              </w:rPr>
              <w:t>响应人在2022年1月1日-2024年12月31日期间以自营或理财子公司资金在一级市场投资采购人金融债（不含ABS）发行承销的债劵规模，按照参与询比的响应人横向对比，从大到小排名。</w:t>
            </w:r>
          </w:p>
          <w:p w14:paraId="1160CB19">
            <w:pPr>
              <w:autoSpaceDE w:val="0"/>
              <w:autoSpaceDN w:val="0"/>
              <w:rPr>
                <w:rFonts w:ascii="Times New Roman" w:hAnsi="Times New Roman" w:cs="Cambria Math"/>
                <w:bCs/>
                <w:szCs w:val="18"/>
              </w:rPr>
            </w:pPr>
            <w:r>
              <w:rPr>
                <w:rFonts w:hint="eastAsia" w:ascii="Times New Roman" w:hAnsi="Times New Roman" w:cs="Cambria Math"/>
                <w:bCs/>
                <w:szCs w:val="18"/>
              </w:rPr>
              <w:t>排名第</w:t>
            </w:r>
            <w:r>
              <w:rPr>
                <w:rFonts w:ascii="Times New Roman" w:hAnsi="Times New Roman" w:cs="Cambria Math"/>
                <w:bCs/>
                <w:szCs w:val="18"/>
              </w:rPr>
              <w:t>1-2</w:t>
            </w:r>
            <w:r>
              <w:rPr>
                <w:rFonts w:hint="eastAsia" w:ascii="Times New Roman" w:hAnsi="Times New Roman" w:cs="Cambria Math"/>
                <w:bCs/>
                <w:szCs w:val="18"/>
              </w:rPr>
              <w:t>：得</w:t>
            </w:r>
            <w:r>
              <w:rPr>
                <w:rFonts w:ascii="Times New Roman" w:hAnsi="Times New Roman" w:cs="Cambria Math"/>
                <w:bCs/>
                <w:szCs w:val="18"/>
              </w:rPr>
              <w:t>25</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3-5</w:t>
            </w:r>
            <w:r>
              <w:rPr>
                <w:rFonts w:hint="eastAsia" w:ascii="Times New Roman" w:hAnsi="Times New Roman" w:cs="Cambria Math"/>
                <w:bCs/>
                <w:szCs w:val="18"/>
              </w:rPr>
              <w:t>：得</w:t>
            </w:r>
            <w:r>
              <w:rPr>
                <w:rFonts w:ascii="Times New Roman" w:hAnsi="Times New Roman" w:cs="Cambria Math"/>
                <w:bCs/>
                <w:szCs w:val="18"/>
              </w:rPr>
              <w:t>24</w:t>
            </w:r>
            <w:r>
              <w:rPr>
                <w:rFonts w:hint="eastAsia" w:ascii="Times New Roman" w:hAnsi="Times New Roman" w:cs="Cambria Math"/>
                <w:bCs/>
                <w:szCs w:val="18"/>
              </w:rPr>
              <w:t>分；</w:t>
            </w:r>
            <w:r>
              <w:rPr>
                <w:rFonts w:hint="eastAsia"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6-10</w:t>
            </w:r>
            <w:r>
              <w:rPr>
                <w:rFonts w:hint="eastAsia" w:ascii="Times New Roman" w:hAnsi="Times New Roman" w:cs="Cambria Math"/>
                <w:bCs/>
                <w:szCs w:val="18"/>
              </w:rPr>
              <w:t>：得</w:t>
            </w:r>
            <w:r>
              <w:rPr>
                <w:rFonts w:ascii="Times New Roman" w:hAnsi="Times New Roman" w:cs="Cambria Math"/>
                <w:bCs/>
                <w:szCs w:val="18"/>
              </w:rPr>
              <w:t>23</w:t>
            </w:r>
            <w:r>
              <w:rPr>
                <w:rFonts w:hint="eastAsia" w:ascii="Times New Roman" w:hAnsi="Times New Roman" w:cs="Cambria Math"/>
                <w:bCs/>
                <w:szCs w:val="18"/>
              </w:rPr>
              <w:t>分；</w:t>
            </w:r>
            <w:r>
              <w:rPr>
                <w:rFonts w:ascii="Times New Roman" w:hAnsi="Times New Roman" w:cs="Cambria Math"/>
                <w:bCs/>
                <w:szCs w:val="18"/>
              </w:rPr>
              <w:br w:type="textWrapping"/>
            </w:r>
            <w:r>
              <w:rPr>
                <w:rFonts w:hint="eastAsia" w:ascii="Times New Roman" w:hAnsi="Times New Roman" w:cs="Cambria Math"/>
                <w:bCs/>
                <w:szCs w:val="18"/>
              </w:rPr>
              <w:t>排名第</w:t>
            </w:r>
            <w:r>
              <w:rPr>
                <w:rFonts w:ascii="Times New Roman" w:hAnsi="Times New Roman" w:cs="Cambria Math"/>
                <w:bCs/>
                <w:szCs w:val="18"/>
              </w:rPr>
              <w:t>1</w:t>
            </w:r>
            <w:r>
              <w:rPr>
                <w:rFonts w:hint="eastAsia" w:ascii="Times New Roman" w:hAnsi="Times New Roman" w:cs="Cambria Math"/>
                <w:bCs/>
                <w:szCs w:val="18"/>
              </w:rPr>
              <w:t>1及以后：得</w:t>
            </w:r>
            <w:r>
              <w:rPr>
                <w:rFonts w:ascii="Times New Roman" w:hAnsi="Times New Roman" w:cs="Cambria Math"/>
                <w:bCs/>
                <w:szCs w:val="18"/>
              </w:rPr>
              <w:t>22</w:t>
            </w:r>
            <w:r>
              <w:rPr>
                <w:rFonts w:hint="eastAsia" w:ascii="Times New Roman" w:hAnsi="Times New Roman" w:cs="Cambria Math"/>
                <w:bCs/>
                <w:szCs w:val="18"/>
              </w:rPr>
              <w:t>分；</w:t>
            </w:r>
          </w:p>
          <w:p w14:paraId="318FC38D">
            <w:pPr>
              <w:autoSpaceDE w:val="0"/>
              <w:autoSpaceDN w:val="0"/>
              <w:rPr>
                <w:rFonts w:ascii="Times New Roman" w:hAnsi="Times New Roman" w:cs="Cambria Math"/>
                <w:bCs/>
                <w:szCs w:val="18"/>
              </w:rPr>
            </w:pPr>
            <w:r>
              <w:rPr>
                <w:rFonts w:hint="eastAsia" w:ascii="Times New Roman" w:hAnsi="Times New Roman" w:cs="Cambria Math"/>
                <w:bCs/>
                <w:szCs w:val="18"/>
              </w:rPr>
              <w:t>备注：此评审条款证明资料由采购人提供，专家根据采购人提供的资料对供应商进行排名并打分。</w:t>
            </w:r>
          </w:p>
          <w:p w14:paraId="77C60227">
            <w:pPr>
              <w:autoSpaceDE w:val="0"/>
              <w:autoSpaceDN w:val="0"/>
              <w:rPr>
                <w:rFonts w:ascii="Times New Roman" w:hAnsi="Times New Roman" w:cs="Cambria Math"/>
                <w:bCs/>
                <w:szCs w:val="18"/>
              </w:rPr>
            </w:pPr>
            <w:r>
              <w:rPr>
                <w:rFonts w:hint="eastAsia" w:ascii="Times New Roman" w:hAnsi="Times New Roman" w:cs="Cambria Math"/>
                <w:bCs/>
                <w:szCs w:val="18"/>
              </w:rPr>
              <w:t>以自营或理财子公司资金投资采购人的金融债来计算。</w:t>
            </w:r>
          </w:p>
          <w:p w14:paraId="1ACF5597">
            <w:pPr>
              <w:autoSpaceDE w:val="0"/>
              <w:autoSpaceDN w:val="0"/>
              <w:rPr>
                <w:rFonts w:ascii="Times New Roman" w:hAnsi="Times New Roman" w:cs="Cambria Math"/>
                <w:bCs/>
                <w:szCs w:val="18"/>
              </w:rPr>
            </w:pPr>
            <w:r>
              <w:rPr>
                <w:rFonts w:hint="eastAsia" w:ascii="Times New Roman" w:hAnsi="Times New Roman" w:cs="Cambria Math"/>
                <w:bCs/>
                <w:szCs w:val="18"/>
              </w:rPr>
              <w:t>以采购人统计的近三年在一级市场发行金融债最终投资人名单和规模为主。</w:t>
            </w:r>
          </w:p>
          <w:p w14:paraId="2DCE8AF7">
            <w:pPr>
              <w:autoSpaceDE w:val="0"/>
              <w:autoSpaceDN w:val="0"/>
              <w:rPr>
                <w:rFonts w:ascii="Times New Roman" w:hAnsi="Times New Roman" w:cs="Cambria Math"/>
                <w:bCs/>
                <w:szCs w:val="18"/>
              </w:rPr>
            </w:pPr>
            <w:r>
              <w:rPr>
                <w:rFonts w:hint="eastAsia" w:ascii="Times New Roman" w:hAnsi="Times New Roman" w:cs="Cambria Math"/>
                <w:bCs/>
                <w:szCs w:val="18"/>
              </w:rPr>
              <w:t>禁止以承销缴款通知书作为自营资金投资。</w:t>
            </w:r>
          </w:p>
        </w:tc>
      </w:tr>
      <w:tr w14:paraId="6D49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3" w:type="pct"/>
            <w:shd w:val="clear" w:color="auto" w:fill="auto"/>
            <w:noWrap/>
            <w:vAlign w:val="center"/>
          </w:tcPr>
          <w:p w14:paraId="3A12BFF5">
            <w:pPr>
              <w:autoSpaceDE w:val="0"/>
              <w:autoSpaceDN w:val="0"/>
              <w:rPr>
                <w:rFonts w:ascii="Times New Roman" w:hAnsi="Times New Roman" w:cs="Cambria Math"/>
                <w:bCs/>
                <w:szCs w:val="18"/>
              </w:rPr>
            </w:pPr>
            <w:r>
              <w:rPr>
                <w:rFonts w:hint="eastAsia" w:ascii="Times New Roman" w:hAnsi="Times New Roman" w:cs="Cambria Math"/>
                <w:bCs/>
                <w:szCs w:val="18"/>
              </w:rPr>
              <w:t>5</w:t>
            </w:r>
          </w:p>
        </w:tc>
        <w:tc>
          <w:tcPr>
            <w:tcW w:w="606" w:type="pct"/>
            <w:vMerge w:val="continue"/>
          </w:tcPr>
          <w:p w14:paraId="7AF74460">
            <w:pPr>
              <w:autoSpaceDE w:val="0"/>
              <w:autoSpaceDN w:val="0"/>
              <w:rPr>
                <w:rFonts w:ascii="Times New Roman" w:hAnsi="Times New Roman" w:cs="Cambria Math"/>
                <w:bCs/>
                <w:szCs w:val="18"/>
              </w:rPr>
            </w:pPr>
          </w:p>
        </w:tc>
        <w:tc>
          <w:tcPr>
            <w:tcW w:w="982" w:type="pct"/>
            <w:shd w:val="clear" w:color="auto" w:fill="auto"/>
            <w:noWrap/>
            <w:vAlign w:val="center"/>
          </w:tcPr>
          <w:p w14:paraId="47F1DF22">
            <w:pPr>
              <w:autoSpaceDE w:val="0"/>
              <w:autoSpaceDN w:val="0"/>
              <w:rPr>
                <w:rFonts w:ascii="Times New Roman" w:hAnsi="Times New Roman" w:cs="Cambria Math"/>
                <w:bCs/>
                <w:szCs w:val="18"/>
              </w:rPr>
            </w:pPr>
            <w:r>
              <w:rPr>
                <w:rFonts w:hint="eastAsia" w:ascii="Times New Roman" w:hAnsi="Times New Roman" w:cs="Cambria Math"/>
                <w:bCs/>
                <w:szCs w:val="18"/>
              </w:rPr>
              <w:t>承诺余额包销（</w:t>
            </w:r>
            <w:r>
              <w:rPr>
                <w:rFonts w:hint="eastAsia"/>
              </w:rPr>
              <w:t>分值：</w:t>
            </w:r>
            <w:r>
              <w:rPr>
                <w:rFonts w:hint="eastAsia" w:ascii="Times New Roman" w:hAnsi="Times New Roman" w:cs="Cambria Math"/>
                <w:bCs/>
                <w:szCs w:val="18"/>
              </w:rPr>
              <w:t>5分）</w:t>
            </w:r>
          </w:p>
        </w:tc>
        <w:tc>
          <w:tcPr>
            <w:tcW w:w="3108" w:type="pct"/>
            <w:shd w:val="clear" w:color="auto" w:fill="auto"/>
            <w:vAlign w:val="center"/>
          </w:tcPr>
          <w:p w14:paraId="478001F4">
            <w:pPr>
              <w:autoSpaceDE w:val="0"/>
              <w:autoSpaceDN w:val="0"/>
              <w:rPr>
                <w:rFonts w:ascii="Times New Roman" w:hAnsi="Times New Roman" w:cs="Cambria Math"/>
                <w:bCs/>
                <w:szCs w:val="18"/>
              </w:rPr>
            </w:pPr>
            <w:r>
              <w:rPr>
                <w:rFonts w:hint="eastAsia" w:ascii="Times New Roman" w:hAnsi="Times New Roman" w:cs="Cambria Math"/>
                <w:bCs/>
                <w:szCs w:val="18"/>
              </w:rPr>
              <w:t>响应人（或响应人总公司）承诺余额包销得5分。提供：【余额包销承诺函】</w:t>
            </w:r>
          </w:p>
          <w:p w14:paraId="6769F168">
            <w:pPr>
              <w:autoSpaceDE w:val="0"/>
              <w:autoSpaceDN w:val="0"/>
              <w:rPr>
                <w:rFonts w:ascii="Times New Roman" w:hAnsi="Times New Roman" w:cs="Cambria Math"/>
                <w:bCs/>
                <w:szCs w:val="18"/>
              </w:rPr>
            </w:pPr>
            <w:r>
              <w:rPr>
                <w:rFonts w:hint="eastAsia" w:ascii="Times New Roman" w:hAnsi="Times New Roman" w:cs="Cambria Math"/>
                <w:bCs/>
                <w:szCs w:val="18"/>
              </w:rPr>
              <w:t>备注：余额包销承诺函在商务文件部分提供，格式自拟，需在余额包销承诺函中明确是否承诺余额报销，未提供余额包销承诺函或有条件承诺余额包销得0分。</w:t>
            </w:r>
          </w:p>
        </w:tc>
      </w:tr>
    </w:tbl>
    <w:p w14:paraId="215FDABF">
      <w:pPr>
        <w:autoSpaceDE w:val="0"/>
        <w:autoSpaceDN w:val="0"/>
        <w:spacing w:line="360" w:lineRule="auto"/>
        <w:rPr>
          <w:rFonts w:ascii="Times New Roman" w:hAnsi="Times New Roman" w:cs="Cambria Math"/>
          <w:bCs/>
          <w:szCs w:val="18"/>
        </w:rPr>
      </w:pPr>
    </w:p>
    <w:p w14:paraId="0D8BB2A5">
      <w:pPr>
        <w:autoSpaceDE w:val="0"/>
        <w:autoSpaceDN w:val="0"/>
        <w:spacing w:line="360" w:lineRule="auto"/>
        <w:rPr>
          <w:rFonts w:ascii="Times New Roman" w:hAnsi="Times New Roman" w:cs="Cambria Math"/>
          <w:bCs/>
          <w:szCs w:val="18"/>
        </w:rPr>
      </w:pPr>
      <w:r>
        <w:rPr>
          <w:rFonts w:hint="eastAsia" w:ascii="Times New Roman" w:hAnsi="Times New Roman" w:cs="Cambria Math"/>
          <w:bCs/>
          <w:szCs w:val="18"/>
        </w:rPr>
        <w:br w:type="page"/>
      </w:r>
    </w:p>
    <w:p w14:paraId="77489946">
      <w:pPr>
        <w:autoSpaceDE w:val="0"/>
        <w:autoSpaceDN w:val="0"/>
        <w:spacing w:line="600" w:lineRule="exact"/>
        <w:outlineLvl w:val="1"/>
        <w:rPr>
          <w:rFonts w:ascii="Times New Roman" w:hAnsi="Times New Roman" w:cs="Times New Roman"/>
          <w:b/>
          <w:bCs/>
          <w:snapToGrid w:val="0"/>
          <w:szCs w:val="24"/>
        </w:rPr>
      </w:pPr>
      <w:r>
        <w:rPr>
          <w:rFonts w:hint="eastAsia" w:ascii="Times New Roman" w:hAnsi="Times New Roman" w:cs="Times New Roman"/>
          <w:b/>
          <w:bCs/>
          <w:snapToGrid w:val="0"/>
          <w:szCs w:val="24"/>
        </w:rPr>
        <w:t>1. 评审方法</w:t>
      </w:r>
    </w:p>
    <w:p w14:paraId="21E3D35C">
      <w:pPr>
        <w:autoSpaceDE w:val="0"/>
        <w:autoSpaceDN w:val="0"/>
        <w:spacing w:line="360" w:lineRule="auto"/>
        <w:ind w:firstLine="420" w:firstLineChars="200"/>
        <w:rPr>
          <w:rFonts w:ascii="Times New Roman" w:hAnsi="Times New Roman" w:cs="Cambria Math"/>
          <w:bCs/>
          <w:szCs w:val="18"/>
        </w:rPr>
      </w:pPr>
      <w:bookmarkStart w:id="63" w:name="_Toc287607813"/>
      <w:bookmarkStart w:id="64" w:name="_Toc200513199"/>
      <w:bookmarkStart w:id="65" w:name="_Toc376114120"/>
      <w:bookmarkStart w:id="66" w:name="_Toc224103385"/>
      <w:bookmarkStart w:id="67" w:name="_Toc287620752"/>
      <w:bookmarkStart w:id="68" w:name="_Toc440022827"/>
      <w:bookmarkStart w:id="69" w:name="_Toc277082619"/>
      <w:bookmarkStart w:id="70" w:name="_Toc407195379"/>
      <w:bookmarkStart w:id="71" w:name="_Toc377115419"/>
      <w:bookmarkStart w:id="72" w:name="_Toc330569206"/>
      <w:bookmarkStart w:id="73" w:name="_Toc377067339"/>
      <w:r>
        <w:rPr>
          <w:rFonts w:hint="eastAsia" w:ascii="Times New Roman" w:hAnsi="Times New Roman" w:cs="Cambria Math"/>
          <w:bCs/>
          <w:szCs w:val="18"/>
        </w:rPr>
        <w:t>本次评审采用综合评估法。评审委员会按照评审办法前附表第2.1 条规定的标准进行初步评审，初步评审合格的响应人评审委员会按照评审办法前附表第2.2 条规定的评分标准进行打分，按得分由高到低顺序推入围候选人，</w:t>
      </w:r>
      <w:r>
        <w:rPr>
          <w:rFonts w:hint="eastAsia"/>
        </w:rPr>
        <w:t>标段一</w:t>
      </w:r>
      <w:r>
        <w:rPr>
          <w:rFonts w:hint="eastAsia"/>
          <w:lang w:eastAsia="zh-CN"/>
        </w:rPr>
        <w:t>、</w:t>
      </w:r>
      <w:r>
        <w:rPr>
          <w:rFonts w:hint="eastAsia"/>
        </w:rPr>
        <w:t>标段二各推荐1-7名，</w:t>
      </w:r>
      <w:r>
        <w:rPr>
          <w:rFonts w:hint="eastAsia" w:ascii="Times New Roman" w:hAnsi="Times New Roman" w:cs="Cambria Math"/>
          <w:bCs/>
          <w:szCs w:val="18"/>
        </w:rPr>
        <w:t>但响应报价低于其成本的除外。综合评分相等时，标段一、标段二以2024年非政策性金融债券承销规模大的优先。</w:t>
      </w:r>
    </w:p>
    <w:p w14:paraId="466EF147">
      <w:pPr>
        <w:autoSpaceDE w:val="0"/>
        <w:autoSpaceDN w:val="0"/>
        <w:spacing w:line="600" w:lineRule="exact"/>
        <w:outlineLvl w:val="1"/>
        <w:rPr>
          <w:rFonts w:ascii="Times New Roman" w:hAnsi="Times New Roman" w:cs="Times New Roman"/>
          <w:b/>
          <w:bCs/>
          <w:snapToGrid w:val="0"/>
          <w:szCs w:val="24"/>
        </w:rPr>
      </w:pPr>
      <w:bookmarkStart w:id="74" w:name="_Toc27931"/>
      <w:bookmarkStart w:id="75" w:name="_Toc444155968"/>
      <w:bookmarkStart w:id="76" w:name="_Toc765"/>
      <w:bookmarkStart w:id="77" w:name="_Toc31615"/>
      <w:bookmarkStart w:id="78" w:name="_Toc2274"/>
      <w:bookmarkStart w:id="79" w:name="_Toc5950"/>
      <w:bookmarkStart w:id="80" w:name="_Toc27406"/>
      <w:bookmarkStart w:id="81" w:name="_Toc23969"/>
      <w:bookmarkStart w:id="82" w:name="_Toc16716"/>
      <w:r>
        <w:rPr>
          <w:rFonts w:hint="eastAsia" w:ascii="Times New Roman" w:hAnsi="Times New Roman" w:cs="Times New Roman"/>
          <w:b/>
          <w:bCs/>
          <w:snapToGrid w:val="0"/>
          <w:szCs w:val="24"/>
        </w:rPr>
        <w:t>2. 评审标准</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8FF63E5">
      <w:pPr>
        <w:autoSpaceDE w:val="0"/>
        <w:autoSpaceDN w:val="0"/>
        <w:spacing w:line="360" w:lineRule="auto"/>
        <w:ind w:firstLine="422" w:firstLineChars="200"/>
        <w:outlineLvl w:val="2"/>
        <w:rPr>
          <w:rFonts w:ascii="Times New Roman" w:hAnsi="Times New Roman" w:cs="Cambria Math"/>
          <w:b/>
          <w:bCs/>
          <w:szCs w:val="32"/>
        </w:rPr>
      </w:pPr>
      <w:bookmarkStart w:id="83" w:name="_Toc376114121"/>
      <w:bookmarkStart w:id="84" w:name="_Toc407195380"/>
      <w:bookmarkStart w:id="85" w:name="_Toc440022828"/>
      <w:bookmarkStart w:id="86" w:name="_Toc287620753"/>
      <w:bookmarkStart w:id="87" w:name="_Toc11839"/>
      <w:bookmarkStart w:id="88" w:name="_Toc287607814"/>
      <w:bookmarkStart w:id="89" w:name="_Toc444155969"/>
      <w:bookmarkStart w:id="90" w:name="_Toc16537"/>
      <w:bookmarkStart w:id="91" w:name="_Toc224103386"/>
      <w:bookmarkStart w:id="92" w:name="_Toc10533"/>
      <w:bookmarkStart w:id="93" w:name="_Toc1358"/>
      <w:bookmarkStart w:id="94" w:name="_Toc200513200"/>
      <w:bookmarkStart w:id="95" w:name="_Toc23425"/>
      <w:bookmarkStart w:id="96" w:name="_Toc21593"/>
      <w:bookmarkStart w:id="97" w:name="_Toc377067340"/>
      <w:bookmarkStart w:id="98" w:name="_Toc7584"/>
      <w:bookmarkStart w:id="99" w:name="_Toc277082620"/>
      <w:bookmarkStart w:id="100" w:name="_Toc377115420"/>
      <w:bookmarkStart w:id="101" w:name="_Toc330569207"/>
      <w:r>
        <w:rPr>
          <w:rFonts w:hint="eastAsia" w:ascii="Times New Roman" w:hAnsi="Times New Roman" w:cs="Cambria Math"/>
          <w:b/>
          <w:bCs/>
          <w:szCs w:val="32"/>
        </w:rPr>
        <w:t>2.1 初步评审标准</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67B336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2.1.1 资格评审标准：见评审办法前附表。</w:t>
      </w:r>
    </w:p>
    <w:p w14:paraId="0EFE4DA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2.1.2 形式评审标准：见评审办法前附表。</w:t>
      </w:r>
    </w:p>
    <w:p w14:paraId="3EA13804">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2.1.3 响应性评审标准：见评审办法前附表。</w:t>
      </w:r>
    </w:p>
    <w:p w14:paraId="09B39F4A">
      <w:pPr>
        <w:autoSpaceDE w:val="0"/>
        <w:autoSpaceDN w:val="0"/>
        <w:spacing w:line="360" w:lineRule="auto"/>
        <w:ind w:firstLine="422" w:firstLineChars="200"/>
        <w:outlineLvl w:val="2"/>
        <w:rPr>
          <w:rFonts w:ascii="Times New Roman" w:hAnsi="Times New Roman" w:cs="Cambria Math"/>
          <w:b/>
          <w:bCs/>
          <w:szCs w:val="32"/>
        </w:rPr>
      </w:pPr>
      <w:bookmarkStart w:id="102" w:name="_Toc200513201"/>
      <w:bookmarkStart w:id="103" w:name="_Toc330569208"/>
      <w:bookmarkStart w:id="104" w:name="_Toc1387"/>
      <w:bookmarkStart w:id="105" w:name="_Toc9090"/>
      <w:bookmarkStart w:id="106" w:name="_Toc376114122"/>
      <w:bookmarkStart w:id="107" w:name="_Toc377067341"/>
      <w:bookmarkStart w:id="108" w:name="_Toc25129"/>
      <w:bookmarkStart w:id="109" w:name="_Toc287607815"/>
      <w:bookmarkStart w:id="110" w:name="_Toc6503"/>
      <w:bookmarkStart w:id="111" w:name="_Toc224103387"/>
      <w:bookmarkStart w:id="112" w:name="_Toc20840"/>
      <w:bookmarkStart w:id="113" w:name="_Toc440022829"/>
      <w:bookmarkStart w:id="114" w:name="_Toc277082621"/>
      <w:bookmarkStart w:id="115" w:name="_Toc2340"/>
      <w:bookmarkStart w:id="116" w:name="_Toc377115421"/>
      <w:bookmarkStart w:id="117" w:name="_Toc444155970"/>
      <w:bookmarkStart w:id="118" w:name="_Toc407195381"/>
      <w:bookmarkStart w:id="119" w:name="_Toc287620754"/>
      <w:bookmarkStart w:id="120" w:name="_Toc23296"/>
      <w:r>
        <w:rPr>
          <w:rFonts w:hint="eastAsia" w:ascii="Times New Roman" w:hAnsi="Times New Roman" w:cs="Cambria Math"/>
          <w:b/>
          <w:bCs/>
          <w:szCs w:val="32"/>
        </w:rPr>
        <w:t>2.2 分值构成与评分标准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D18B50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 xml:space="preserve">2.2.1 分值构成：见评审办法前附表。 </w:t>
      </w:r>
    </w:p>
    <w:p w14:paraId="20A0644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2.2.2 评审基准价计算方法：见评审办法前附表。</w:t>
      </w:r>
    </w:p>
    <w:p w14:paraId="14A3AED3">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2.2.3 评分标准： （1）响应报价评分标准：见评审办法前附表；</w:t>
      </w:r>
    </w:p>
    <w:p w14:paraId="2A9B3512">
      <w:pPr>
        <w:autoSpaceDE w:val="0"/>
        <w:autoSpaceDN w:val="0"/>
        <w:spacing w:line="360" w:lineRule="auto"/>
        <w:ind w:left="1680" w:firstLine="420" w:firstLineChars="200"/>
        <w:rPr>
          <w:rFonts w:ascii="Times New Roman" w:hAnsi="Times New Roman" w:cs="Cambria Math"/>
          <w:bCs/>
          <w:szCs w:val="18"/>
        </w:rPr>
      </w:pPr>
      <w:r>
        <w:rPr>
          <w:rFonts w:hint="eastAsia" w:ascii="Times New Roman" w:hAnsi="Times New Roman" w:cs="Cambria Math"/>
          <w:bCs/>
          <w:szCs w:val="18"/>
        </w:rPr>
        <w:t>（2）商务部分评分标准：见评审办法前附表；</w:t>
      </w:r>
    </w:p>
    <w:p w14:paraId="29AB8BDE">
      <w:pPr>
        <w:autoSpaceDE w:val="0"/>
        <w:autoSpaceDN w:val="0"/>
        <w:spacing w:line="360" w:lineRule="auto"/>
        <w:ind w:left="1680" w:firstLine="420" w:firstLineChars="200"/>
        <w:rPr>
          <w:rFonts w:ascii="Times New Roman" w:hAnsi="Times New Roman" w:cs="Cambria Math"/>
          <w:bCs/>
          <w:szCs w:val="18"/>
        </w:rPr>
      </w:pPr>
      <w:r>
        <w:rPr>
          <w:rFonts w:hint="eastAsia" w:ascii="Times New Roman" w:hAnsi="Times New Roman" w:cs="Cambria Math"/>
          <w:bCs/>
          <w:szCs w:val="18"/>
        </w:rPr>
        <w:t>（3）技术部分评分标准：见评审办法前附表。</w:t>
      </w:r>
    </w:p>
    <w:p w14:paraId="6960039B">
      <w:pPr>
        <w:autoSpaceDE w:val="0"/>
        <w:autoSpaceDN w:val="0"/>
        <w:spacing w:line="600" w:lineRule="exact"/>
        <w:outlineLvl w:val="1"/>
        <w:rPr>
          <w:rFonts w:ascii="Times New Roman" w:hAnsi="Times New Roman" w:cs="Times New Roman"/>
          <w:b/>
          <w:bCs/>
          <w:snapToGrid w:val="0"/>
          <w:szCs w:val="24"/>
        </w:rPr>
      </w:pPr>
      <w:bookmarkStart w:id="121" w:name="_Toc9488"/>
      <w:bookmarkStart w:id="122" w:name="_Toc5546"/>
      <w:bookmarkStart w:id="123" w:name="_Toc407195382"/>
      <w:bookmarkStart w:id="124" w:name="_Toc440022830"/>
      <w:bookmarkStart w:id="125" w:name="_Toc12538"/>
      <w:bookmarkStart w:id="126" w:name="_Toc15132"/>
      <w:bookmarkStart w:id="127" w:name="_Toc287607816"/>
      <w:bookmarkStart w:id="128" w:name="_Toc23633"/>
      <w:bookmarkStart w:id="129" w:name="_Toc330569209"/>
      <w:bookmarkStart w:id="130" w:name="_Toc2982"/>
      <w:bookmarkStart w:id="131" w:name="_Toc277082622"/>
      <w:bookmarkStart w:id="132" w:name="_Toc200513202"/>
      <w:bookmarkStart w:id="133" w:name="_Toc377115422"/>
      <w:bookmarkStart w:id="134" w:name="_Toc287620755"/>
      <w:bookmarkStart w:id="135" w:name="_Toc8004"/>
      <w:bookmarkStart w:id="136" w:name="_Toc377067342"/>
      <w:bookmarkStart w:id="137" w:name="_Toc376114123"/>
      <w:bookmarkStart w:id="138" w:name="_Toc14353"/>
      <w:bookmarkStart w:id="139" w:name="_Toc444155971"/>
      <w:bookmarkStart w:id="140" w:name="_Toc224103388"/>
      <w:r>
        <w:rPr>
          <w:rFonts w:hint="eastAsia" w:ascii="Times New Roman" w:hAnsi="Times New Roman" w:cs="Times New Roman"/>
          <w:b/>
          <w:bCs/>
          <w:snapToGrid w:val="0"/>
          <w:szCs w:val="24"/>
        </w:rPr>
        <w:t>3. 评审程序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AAE8B8E">
      <w:pPr>
        <w:autoSpaceDE w:val="0"/>
        <w:autoSpaceDN w:val="0"/>
        <w:spacing w:line="360" w:lineRule="auto"/>
        <w:ind w:firstLine="422" w:firstLineChars="200"/>
        <w:outlineLvl w:val="2"/>
        <w:rPr>
          <w:rFonts w:ascii="Times New Roman" w:hAnsi="Times New Roman" w:cs="Cambria Math"/>
          <w:b/>
          <w:bCs/>
          <w:szCs w:val="32"/>
        </w:rPr>
      </w:pPr>
      <w:bookmarkStart w:id="141" w:name="_Toc224103389"/>
      <w:bookmarkStart w:id="142" w:name="_Toc9683"/>
      <w:bookmarkStart w:id="143" w:name="_Toc22279"/>
      <w:bookmarkStart w:id="144" w:name="_Toc6448"/>
      <w:bookmarkStart w:id="145" w:name="_Toc330569210"/>
      <w:bookmarkStart w:id="146" w:name="_Toc32002"/>
      <w:bookmarkStart w:id="147" w:name="_Toc407195383"/>
      <w:bookmarkStart w:id="148" w:name="_Toc377067343"/>
      <w:bookmarkStart w:id="149" w:name="_Toc277082623"/>
      <w:bookmarkStart w:id="150" w:name="_Toc377115423"/>
      <w:bookmarkStart w:id="151" w:name="_Toc200513203"/>
      <w:bookmarkStart w:id="152" w:name="_Toc5462"/>
      <w:bookmarkStart w:id="153" w:name="_Toc287620756"/>
      <w:bookmarkStart w:id="154" w:name="_Toc440022831"/>
      <w:bookmarkStart w:id="155" w:name="_Toc13851"/>
      <w:bookmarkStart w:id="156" w:name="_Toc444155972"/>
      <w:bookmarkStart w:id="157" w:name="_Toc19840"/>
      <w:bookmarkStart w:id="158" w:name="_Toc287607817"/>
      <w:bookmarkStart w:id="159" w:name="_Toc376114124"/>
      <w:r>
        <w:rPr>
          <w:rFonts w:hint="eastAsia" w:ascii="Times New Roman" w:hAnsi="Times New Roman" w:cs="Cambria Math"/>
          <w:b/>
          <w:bCs/>
          <w:szCs w:val="32"/>
        </w:rPr>
        <w:t>3.1 初步评审</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0D0419F">
      <w:pPr>
        <w:autoSpaceDE w:val="0"/>
        <w:autoSpaceDN w:val="0"/>
        <w:spacing w:line="360" w:lineRule="auto"/>
        <w:ind w:firstLine="420" w:firstLineChars="200"/>
        <w:rPr>
          <w:rFonts w:ascii="Times New Roman" w:hAnsi="Times New Roman" w:cs="Cambria Math"/>
          <w:bCs/>
          <w:szCs w:val="18"/>
        </w:rPr>
      </w:pPr>
      <w:bookmarkStart w:id="160" w:name="_Toc440022832"/>
      <w:bookmarkStart w:id="161" w:name="_Toc376114125"/>
      <w:bookmarkStart w:id="162" w:name="_Toc373264792"/>
      <w:bookmarkStart w:id="163" w:name="_Toc332380970"/>
      <w:bookmarkStart w:id="164" w:name="_Toc331232467"/>
      <w:bookmarkStart w:id="165" w:name="_Toc334002333"/>
      <w:bookmarkStart w:id="166" w:name="_Toc332028970"/>
      <w:bookmarkStart w:id="167" w:name="_Toc356243677"/>
      <w:bookmarkStart w:id="168" w:name="_Toc377115424"/>
      <w:bookmarkStart w:id="169" w:name="_Toc330569211"/>
      <w:bookmarkStart w:id="170" w:name="_Toc356484119"/>
      <w:bookmarkStart w:id="171" w:name="_Toc331232649"/>
      <w:bookmarkStart w:id="172" w:name="_Toc27164"/>
      <w:bookmarkStart w:id="173" w:name="_Toc377067344"/>
      <w:bookmarkStart w:id="174" w:name="_Toc354387014"/>
      <w:bookmarkStart w:id="175" w:name="_Toc407195384"/>
      <w:bookmarkStart w:id="176" w:name="_Toc444155973"/>
      <w:bookmarkStart w:id="177" w:name="_Toc373172234"/>
      <w:bookmarkStart w:id="178" w:name="_Toc332015984"/>
      <w:r>
        <w:rPr>
          <w:rFonts w:hint="eastAsia" w:ascii="Times New Roman" w:hAnsi="Times New Roman" w:cs="Cambria Math"/>
          <w:bCs/>
          <w:szCs w:val="18"/>
        </w:rPr>
        <w:t>3.1.1 评审委员会依据本章第2.1 条规定的标准对响应文件进行初步评审。有一项不符合评审标准的，作否决响应处理。</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E5A113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 响应人有以下情形之一的，其响应作否决响应处理：</w:t>
      </w:r>
    </w:p>
    <w:p w14:paraId="2A0FA3C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3.1.2.1 有第二章“响应人须知”第9.条以及第11. 条规定的任何一种情形的；</w:t>
      </w:r>
    </w:p>
    <w:p w14:paraId="3F0FAF32">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3.1.2.2 有串通响应、弄虚作假等其他违反相关法律、法规行为的；</w:t>
      </w:r>
    </w:p>
    <w:p w14:paraId="7170F00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3.1.2.3 不按评审委员会要求澄清、说明或补正的。</w:t>
      </w:r>
    </w:p>
    <w:p w14:paraId="38EC2A6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3.1.2.4 本响应文件约定的其它情形。</w:t>
      </w:r>
    </w:p>
    <w:p w14:paraId="23D4055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3.1.3 响应报价有算术错误的，评审委员会按以下原则对响应报价进行修正，修正的价格经响应人书面确认后具有约束力。响应人不接受修正价格的，其响应作否决响应处理。修正原则见</w:t>
      </w:r>
      <w:r>
        <w:rPr>
          <w:rFonts w:ascii="Times New Roman" w:hAnsi="Times New Roman" w:cs="Cambria Math"/>
          <w:bCs/>
          <w:szCs w:val="18"/>
        </w:rPr>
        <w:t>第二章“</w:t>
      </w:r>
      <w:r>
        <w:rPr>
          <w:rFonts w:hint="eastAsia" w:ascii="Times New Roman" w:hAnsi="Times New Roman" w:cs="Cambria Math"/>
          <w:bCs/>
          <w:szCs w:val="18"/>
        </w:rPr>
        <w:t>响应人</w:t>
      </w:r>
      <w:r>
        <w:rPr>
          <w:rFonts w:ascii="Times New Roman" w:hAnsi="Times New Roman" w:cs="Cambria Math"/>
          <w:bCs/>
          <w:szCs w:val="18"/>
        </w:rPr>
        <w:t>须知”第</w:t>
      </w:r>
      <w:r>
        <w:rPr>
          <w:rFonts w:hint="eastAsia" w:ascii="Times New Roman" w:hAnsi="Times New Roman" w:cs="Cambria Math"/>
          <w:bCs/>
          <w:szCs w:val="18"/>
        </w:rPr>
        <w:t>4.9 条。</w:t>
      </w:r>
    </w:p>
    <w:p w14:paraId="4FC06FF4">
      <w:pPr>
        <w:autoSpaceDE w:val="0"/>
        <w:autoSpaceDN w:val="0"/>
        <w:spacing w:line="360" w:lineRule="auto"/>
        <w:ind w:firstLine="422" w:firstLineChars="200"/>
        <w:outlineLvl w:val="2"/>
        <w:rPr>
          <w:rFonts w:ascii="Times New Roman" w:hAnsi="Times New Roman" w:cs="Cambria Math"/>
          <w:b/>
          <w:bCs/>
          <w:szCs w:val="32"/>
        </w:rPr>
      </w:pPr>
      <w:bookmarkStart w:id="179" w:name="_Toc29925"/>
      <w:bookmarkStart w:id="180" w:name="_Toc377067345"/>
      <w:bookmarkStart w:id="181" w:name="_Toc444155974"/>
      <w:bookmarkStart w:id="182" w:name="_Toc11246"/>
      <w:bookmarkStart w:id="183" w:name="_Toc22246"/>
      <w:bookmarkStart w:id="184" w:name="_Toc377115425"/>
      <w:bookmarkStart w:id="185" w:name="_Toc22848"/>
      <w:bookmarkStart w:id="186" w:name="_Toc19604"/>
      <w:bookmarkStart w:id="187" w:name="_Toc200513204"/>
      <w:bookmarkStart w:id="188" w:name="_Toc277082624"/>
      <w:bookmarkStart w:id="189" w:name="_Toc407195385"/>
      <w:bookmarkStart w:id="190" w:name="_Toc440022833"/>
      <w:bookmarkStart w:id="191" w:name="_Toc7832"/>
      <w:bookmarkStart w:id="192" w:name="_Toc376114126"/>
      <w:bookmarkStart w:id="193" w:name="_Toc330569212"/>
      <w:bookmarkStart w:id="194" w:name="_Toc287620757"/>
      <w:bookmarkStart w:id="195" w:name="_Toc224103390"/>
      <w:bookmarkStart w:id="196" w:name="_Toc10847"/>
      <w:bookmarkStart w:id="197" w:name="_Toc287607818"/>
      <w:r>
        <w:rPr>
          <w:rFonts w:hint="eastAsia" w:ascii="Times New Roman" w:hAnsi="Times New Roman" w:cs="Cambria Math"/>
          <w:b/>
          <w:bCs/>
          <w:szCs w:val="32"/>
        </w:rPr>
        <w:t>3.2 详细评审</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53B044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3.2.1 评审委员会按本章第2.2 条规定的量化因素和分值进行打分，并计算出综合评估得分。</w:t>
      </w:r>
    </w:p>
    <w:p w14:paraId="38972819">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3.2.1.1 按本章第2.2 条规定的评审因素和分值对响应报价计算出得分；</w:t>
      </w:r>
    </w:p>
    <w:p w14:paraId="1A336338">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3.2.1.2 按本章第2.2 条规定的评审因素和分值对商务部分计算出得分（评审委员会统一打分）；</w:t>
      </w:r>
    </w:p>
    <w:p w14:paraId="2490BD35">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3.2.2 评分分值计算保留小数点后两位，小数点后第三位“四舍五入”。</w:t>
      </w:r>
    </w:p>
    <w:p w14:paraId="1711762F">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3.2.3 响应人得分=响应报价得分+商务部分得分+技术部分得分。</w:t>
      </w:r>
    </w:p>
    <w:p w14:paraId="49670AFA">
      <w:pPr>
        <w:autoSpaceDE w:val="0"/>
        <w:autoSpaceDN w:val="0"/>
        <w:spacing w:line="360" w:lineRule="auto"/>
        <w:ind w:firstLine="422" w:firstLineChars="200"/>
        <w:outlineLvl w:val="2"/>
        <w:rPr>
          <w:rFonts w:ascii="Times New Roman" w:hAnsi="Times New Roman" w:cs="Cambria Math"/>
          <w:b/>
          <w:bCs/>
          <w:szCs w:val="32"/>
        </w:rPr>
      </w:pPr>
      <w:bookmarkStart w:id="198" w:name="_Toc1080"/>
      <w:bookmarkStart w:id="199" w:name="_Toc407195386"/>
      <w:bookmarkStart w:id="200" w:name="_Toc277082625"/>
      <w:bookmarkStart w:id="201" w:name="_Toc444155975"/>
      <w:bookmarkStart w:id="202" w:name="_Toc200513205"/>
      <w:bookmarkStart w:id="203" w:name="_Toc376114127"/>
      <w:bookmarkStart w:id="204" w:name="_Toc440022834"/>
      <w:bookmarkStart w:id="205" w:name="_Toc7176"/>
      <w:bookmarkStart w:id="206" w:name="_Toc377115426"/>
      <w:bookmarkStart w:id="207" w:name="_Toc29261"/>
      <w:bookmarkStart w:id="208" w:name="_Toc377067346"/>
      <w:bookmarkStart w:id="209" w:name="_Toc32039"/>
      <w:bookmarkStart w:id="210" w:name="_Toc287607819"/>
      <w:bookmarkStart w:id="211" w:name="_Toc224103391"/>
      <w:bookmarkStart w:id="212" w:name="_Toc18708"/>
      <w:bookmarkStart w:id="213" w:name="_Toc287620758"/>
      <w:bookmarkStart w:id="214" w:name="_Toc20948"/>
      <w:bookmarkStart w:id="215" w:name="_Toc2542"/>
      <w:bookmarkStart w:id="216" w:name="_Toc330569213"/>
      <w:r>
        <w:rPr>
          <w:rFonts w:hint="eastAsia" w:ascii="Times New Roman" w:hAnsi="Times New Roman" w:cs="Cambria Math"/>
          <w:b/>
          <w:bCs/>
          <w:szCs w:val="32"/>
        </w:rPr>
        <w:t>3.3 响应文件的澄清和补正</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D04F46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3.3.1 在评审过程中，评审委员会可以书面形式要求响应人对所提交响应文件中不明确的内容进行书面澄清或说明，或者对细微偏差进行补正。评审委员会不接受响应人主动提出的澄清、说明或补正。</w:t>
      </w:r>
    </w:p>
    <w:p w14:paraId="7A1CD8B0">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3.3.2 澄清、说明和补正不得改变响应文件的实质性内容（算术性错误修正的除外）。响应人的书面澄清、说明和补正属于响应文件的组成部分。</w:t>
      </w:r>
    </w:p>
    <w:p w14:paraId="775DA70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3.3.3 评审委员会对响应人提交的澄清、说明或补正有疑问的，可以要求响应人进一步澄清、说明或补正，直至满足评审委员会的要求。</w:t>
      </w:r>
    </w:p>
    <w:p w14:paraId="1572C04C">
      <w:pPr>
        <w:autoSpaceDE w:val="0"/>
        <w:autoSpaceDN w:val="0"/>
        <w:spacing w:line="360" w:lineRule="auto"/>
        <w:ind w:firstLine="422" w:firstLineChars="200"/>
        <w:outlineLvl w:val="2"/>
        <w:rPr>
          <w:rFonts w:ascii="Times New Roman" w:hAnsi="Times New Roman" w:cs="Cambria Math"/>
          <w:b/>
          <w:bCs/>
          <w:szCs w:val="32"/>
        </w:rPr>
      </w:pPr>
      <w:bookmarkStart w:id="217" w:name="_Toc6310"/>
      <w:bookmarkStart w:id="218" w:name="_Toc224103392"/>
      <w:bookmarkStart w:id="219" w:name="_Toc376114128"/>
      <w:bookmarkStart w:id="220" w:name="_Toc407195387"/>
      <w:bookmarkStart w:id="221" w:name="_Toc200513206"/>
      <w:bookmarkStart w:id="222" w:name="_Toc330569214"/>
      <w:bookmarkStart w:id="223" w:name="_Toc21450"/>
      <w:bookmarkStart w:id="224" w:name="_Toc377115427"/>
      <w:bookmarkStart w:id="225" w:name="_Toc31270"/>
      <w:bookmarkStart w:id="226" w:name="_Toc30672"/>
      <w:bookmarkStart w:id="227" w:name="_Toc377067347"/>
      <w:bookmarkStart w:id="228" w:name="_Toc287607820"/>
      <w:bookmarkStart w:id="229" w:name="_Toc4814"/>
      <w:bookmarkStart w:id="230" w:name="_Toc19054"/>
      <w:bookmarkStart w:id="231" w:name="_Toc14840"/>
      <w:bookmarkStart w:id="232" w:name="_Toc287620759"/>
      <w:bookmarkStart w:id="233" w:name="_Toc440022835"/>
      <w:bookmarkStart w:id="234" w:name="_Toc277082626"/>
      <w:bookmarkStart w:id="235" w:name="_Toc444155976"/>
      <w:r>
        <w:rPr>
          <w:rFonts w:hint="eastAsia" w:ascii="Times New Roman" w:hAnsi="Times New Roman" w:cs="Cambria Math"/>
          <w:b/>
          <w:bCs/>
          <w:szCs w:val="32"/>
        </w:rPr>
        <w:t>3.4 评审结果</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3DF6AD9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3.4.1 评审委员会按照得分由高到低的顺序推荐入围候选人。</w:t>
      </w:r>
    </w:p>
    <w:p w14:paraId="3C6031A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3.4.2 评审委员会完成评审后，应当向采购人提交书面评审报告。</w:t>
      </w:r>
    </w:p>
    <w:p w14:paraId="76A007CD">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3.4.3 有效响应不足三个的，经评审委员会判定，响应人具有相对行业竞争力的，可继续进行评审并确定入围候选人。</w:t>
      </w:r>
    </w:p>
    <w:p w14:paraId="09FA3EAF">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3.5 对评审委员会成员的纪律要求</w:t>
      </w:r>
    </w:p>
    <w:p w14:paraId="148986E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评审委员会成员不得收受他人的财物或者其它好处，不得向他人透露对响应文件的评审和比较、入围候选人的推荐情况以及评审有关的其他情况。在评审活动中，评审委员会成员不得擅离职守，影响评审程序正常进行，不得使用本询比文件没有规定的评审因素进行评审。</w:t>
      </w:r>
    </w:p>
    <w:p w14:paraId="5ED5ECAE">
      <w:pPr>
        <w:autoSpaceDE w:val="0"/>
        <w:autoSpaceDN w:val="0"/>
        <w:spacing w:line="360" w:lineRule="auto"/>
        <w:ind w:firstLine="422" w:firstLineChars="200"/>
        <w:outlineLvl w:val="2"/>
        <w:rPr>
          <w:rFonts w:ascii="Times New Roman" w:hAnsi="Times New Roman" w:cs="Cambria Math"/>
          <w:b/>
          <w:bCs/>
          <w:szCs w:val="32"/>
        </w:rPr>
      </w:pPr>
      <w:r>
        <w:rPr>
          <w:rFonts w:hint="eastAsia" w:ascii="Times New Roman" w:hAnsi="Times New Roman" w:cs="Cambria Math"/>
          <w:b/>
          <w:bCs/>
          <w:szCs w:val="32"/>
        </w:rPr>
        <w:t>3.6 对与评审活动有关的工作人员的纪律要求</w:t>
      </w:r>
    </w:p>
    <w:p w14:paraId="68B96C4E">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r>
        <w:rPr>
          <w:rFonts w:hint="eastAsia" w:ascii="Times New Roman" w:hAnsi="Times New Roman" w:cs="Cambria Math"/>
          <w:bCs/>
          <w:szCs w:val="18"/>
        </w:rPr>
        <w:t>与评审活动有关的工作人员不得收受他人的财物或者其他好处，不得向他人透漏对响应文件的评审和比较、入围候选人的推荐情况以及与评审有关的其他情况。在评审活动中，与评审活动有关的工作人员不得擅离职守，影响评审程序正常进行。</w:t>
      </w:r>
    </w:p>
    <w:bookmarkEnd w:id="61"/>
    <w:bookmarkEnd w:id="62"/>
    <w:p w14:paraId="7BB60D9D">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236" w:name="_Toc27619"/>
      <w:bookmarkStart w:id="237" w:name="_Toc150953074"/>
      <w:bookmarkStart w:id="238" w:name="_Toc16606"/>
      <w:bookmarkStart w:id="239" w:name="_Toc89675170"/>
      <w:bookmarkStart w:id="240" w:name="_Toc303066034"/>
      <w:r>
        <w:rPr>
          <w:rFonts w:hint="eastAsia" w:ascii="Times New Roman" w:hAnsi="Times New Roman" w:cs="等线 Light"/>
          <w:b/>
          <w:bCs/>
          <w:snapToGrid w:val="0"/>
          <w:kern w:val="0"/>
          <w:sz w:val="44"/>
          <w:szCs w:val="44"/>
        </w:rPr>
        <w:t>第五章 合同</w:t>
      </w:r>
      <w:r>
        <w:rPr>
          <w:rFonts w:ascii="Times New Roman" w:hAnsi="Times New Roman" w:cs="等线 Light"/>
          <w:b/>
          <w:bCs/>
          <w:snapToGrid w:val="0"/>
          <w:kern w:val="0"/>
          <w:sz w:val="44"/>
          <w:szCs w:val="44"/>
        </w:rPr>
        <w:t>模板</w:t>
      </w:r>
      <w:bookmarkEnd w:id="236"/>
      <w:bookmarkEnd w:id="237"/>
      <w:bookmarkEnd w:id="238"/>
    </w:p>
    <w:p w14:paraId="419EE5CB">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（本章节的合同条款及格式仅供参考，具体以合同签订时为准）</w:t>
      </w:r>
    </w:p>
    <w:p w14:paraId="0E5B965A">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br w:type="page"/>
      </w:r>
    </w:p>
    <w:p w14:paraId="688EA0F7">
      <w:pPr>
        <w:tabs>
          <w:tab w:val="left" w:pos="3360"/>
        </w:tabs>
        <w:autoSpaceDE w:val="0"/>
        <w:autoSpaceDN w:val="0"/>
        <w:snapToGrid w:val="0"/>
        <w:spacing w:line="600" w:lineRule="exact"/>
        <w:jc w:val="center"/>
        <w:outlineLvl w:val="0"/>
        <w:rPr>
          <w:rFonts w:ascii="Times New Roman" w:hAnsi="Times New Roman" w:cs="等线 Light"/>
          <w:b/>
          <w:bCs/>
          <w:snapToGrid w:val="0"/>
          <w:kern w:val="0"/>
          <w:sz w:val="44"/>
          <w:szCs w:val="44"/>
        </w:rPr>
      </w:pPr>
      <w:bookmarkStart w:id="241" w:name="_Toc19504"/>
      <w:bookmarkStart w:id="242" w:name="_Toc6739"/>
      <w:r>
        <w:rPr>
          <w:rFonts w:hint="eastAsia" w:ascii="Times New Roman" w:hAnsi="Times New Roman" w:cs="等线 Light"/>
          <w:b/>
          <w:bCs/>
          <w:snapToGrid w:val="0"/>
          <w:kern w:val="0"/>
          <w:sz w:val="44"/>
          <w:szCs w:val="44"/>
        </w:rPr>
        <w:t xml:space="preserve">第六章 </w:t>
      </w:r>
      <w:bookmarkEnd w:id="239"/>
      <w:bookmarkEnd w:id="240"/>
      <w:bookmarkStart w:id="243" w:name="_Toc303066035"/>
      <w:r>
        <w:rPr>
          <w:rFonts w:hint="eastAsia" w:ascii="Times New Roman" w:hAnsi="Times New Roman" w:cs="等线 Light"/>
          <w:b/>
          <w:bCs/>
          <w:snapToGrid w:val="0"/>
          <w:kern w:val="0"/>
          <w:sz w:val="44"/>
          <w:szCs w:val="44"/>
        </w:rPr>
        <w:t>响应文件格式</w:t>
      </w:r>
      <w:bookmarkEnd w:id="241"/>
      <w:bookmarkEnd w:id="242"/>
    </w:p>
    <w:bookmarkEnd w:id="243"/>
    <w:p w14:paraId="21D2775B">
      <w:pPr>
        <w:autoSpaceDE w:val="0"/>
        <w:autoSpaceDN w:val="0"/>
        <w:spacing w:line="360" w:lineRule="auto"/>
        <w:ind w:firstLine="420" w:firstLineChars="200"/>
        <w:rPr>
          <w:rFonts w:ascii="Times New Roman" w:hAnsi="Times New Roman" w:cs="Cambria Math"/>
          <w:bCs/>
          <w:kern w:val="0"/>
          <w:szCs w:val="18"/>
        </w:rPr>
      </w:pPr>
    </w:p>
    <w:p w14:paraId="0F4002B1">
      <w:pPr>
        <w:autoSpaceDE w:val="0"/>
        <w:autoSpaceDN w:val="0"/>
        <w:spacing w:line="360" w:lineRule="auto"/>
        <w:ind w:firstLine="420" w:firstLineChars="200"/>
        <w:rPr>
          <w:rFonts w:ascii="Times New Roman" w:hAnsi="Times New Roman" w:cs="Cambria Math"/>
          <w:bCs/>
          <w:kern w:val="0"/>
          <w:szCs w:val="18"/>
        </w:rPr>
      </w:pPr>
    </w:p>
    <w:p w14:paraId="3D87C364">
      <w:pPr>
        <w:autoSpaceDE w:val="0"/>
        <w:autoSpaceDN w:val="0"/>
        <w:spacing w:line="360" w:lineRule="auto"/>
        <w:ind w:firstLine="420" w:firstLineChars="200"/>
        <w:rPr>
          <w:rFonts w:ascii="Times New Roman" w:hAnsi="Times New Roman" w:cs="Cambria Math"/>
          <w:bCs/>
          <w:kern w:val="0"/>
          <w:szCs w:val="18"/>
        </w:rPr>
      </w:pPr>
    </w:p>
    <w:p w14:paraId="421AD375">
      <w:pPr>
        <w:autoSpaceDE w:val="0"/>
        <w:autoSpaceDN w:val="0"/>
        <w:spacing w:line="360" w:lineRule="auto"/>
        <w:jc w:val="center"/>
        <w:rPr>
          <w:rFonts w:ascii="Times New Roman" w:hAnsi="Times New Roman" w:cs="Times New Roman"/>
          <w:b/>
          <w:bCs/>
          <w:snapToGrid w:val="0"/>
          <w:kern w:val="0"/>
          <w:sz w:val="48"/>
          <w:szCs w:val="84"/>
        </w:rPr>
      </w:pPr>
      <w:r>
        <w:rPr>
          <w:rFonts w:ascii="Times New Roman" w:hAnsi="Times New Roman" w:cs="Times New Roman"/>
          <w:b/>
          <w:bCs/>
          <w:snapToGrid w:val="0"/>
          <w:kern w:val="0"/>
          <w:sz w:val="48"/>
          <w:szCs w:val="84"/>
        </w:rPr>
        <w:t>重庆三峡银行</w:t>
      </w:r>
    </w:p>
    <w:p w14:paraId="20EF53B3">
      <w:pPr>
        <w:autoSpaceDE w:val="0"/>
        <w:autoSpaceDN w:val="0"/>
        <w:spacing w:line="360" w:lineRule="auto"/>
        <w:jc w:val="center"/>
        <w:rPr>
          <w:rFonts w:ascii="Times New Roman" w:hAnsi="Times New Roman" w:cs="Times New Roman"/>
          <w:b/>
          <w:bCs/>
          <w:snapToGrid w:val="0"/>
          <w:kern w:val="0"/>
          <w:sz w:val="48"/>
          <w:szCs w:val="84"/>
        </w:rPr>
      </w:pPr>
      <w:r>
        <w:rPr>
          <w:rFonts w:ascii="Times New Roman" w:hAnsi="Times New Roman" w:cs="Times New Roman"/>
          <w:b/>
          <w:bCs/>
          <w:snapToGrid w:val="0"/>
          <w:kern w:val="0"/>
          <w:sz w:val="48"/>
          <w:szCs w:val="84"/>
        </w:rPr>
        <w:t>2025年金融债券联席主承销商补充选聘项目（标段</w:t>
      </w:r>
      <w:r>
        <w:rPr>
          <w:rFonts w:hint="eastAsia" w:ascii="Times New Roman" w:hAnsi="Times New Roman" w:cs="Times New Roman"/>
          <w:b/>
          <w:bCs/>
          <w:snapToGrid w:val="0"/>
          <w:kern w:val="0"/>
          <w:sz w:val="48"/>
          <w:szCs w:val="84"/>
        </w:rPr>
        <w:t>1</w:t>
      </w:r>
      <w:r>
        <w:rPr>
          <w:rFonts w:ascii="Times New Roman" w:hAnsi="Times New Roman" w:cs="Times New Roman"/>
          <w:b/>
          <w:bCs/>
          <w:snapToGrid w:val="0"/>
          <w:kern w:val="0"/>
          <w:sz w:val="48"/>
          <w:szCs w:val="84"/>
        </w:rPr>
        <w:t>：</w:t>
      </w:r>
      <w:r>
        <w:rPr>
          <w:rFonts w:hint="eastAsia" w:ascii="Times New Roman" w:hAnsi="Times New Roman" w:cs="Times New Roman"/>
          <w:b/>
          <w:bCs/>
          <w:snapToGrid w:val="0"/>
          <w:kern w:val="0"/>
          <w:sz w:val="48"/>
          <w:szCs w:val="84"/>
        </w:rPr>
        <w:t>券商类联席主承销商</w:t>
      </w:r>
      <w:r>
        <w:rPr>
          <w:rFonts w:ascii="Times New Roman" w:hAnsi="Times New Roman" w:cs="Times New Roman"/>
          <w:b/>
          <w:bCs/>
          <w:snapToGrid w:val="0"/>
          <w:kern w:val="0"/>
          <w:sz w:val="48"/>
          <w:szCs w:val="84"/>
        </w:rPr>
        <w:t>）</w:t>
      </w:r>
      <w:r>
        <w:rPr>
          <w:rFonts w:hint="eastAsia" w:ascii="Times New Roman" w:hAnsi="Times New Roman" w:cs="Times New Roman"/>
          <w:b/>
          <w:bCs/>
          <w:snapToGrid w:val="0"/>
          <w:kern w:val="0"/>
          <w:sz w:val="48"/>
          <w:szCs w:val="84"/>
        </w:rPr>
        <w:t>/</w:t>
      </w:r>
      <w:r>
        <w:rPr>
          <w:rFonts w:ascii="Times New Roman" w:hAnsi="Times New Roman" w:cs="Times New Roman"/>
          <w:b/>
          <w:bCs/>
          <w:snapToGrid w:val="0"/>
          <w:kern w:val="0"/>
          <w:sz w:val="48"/>
          <w:szCs w:val="84"/>
        </w:rPr>
        <w:t>（标段</w:t>
      </w:r>
      <w:r>
        <w:rPr>
          <w:rFonts w:hint="eastAsia" w:ascii="Times New Roman" w:hAnsi="Times New Roman" w:cs="Times New Roman"/>
          <w:b/>
          <w:bCs/>
          <w:snapToGrid w:val="0"/>
          <w:kern w:val="0"/>
          <w:sz w:val="48"/>
          <w:szCs w:val="84"/>
        </w:rPr>
        <w:t>2</w:t>
      </w:r>
      <w:r>
        <w:rPr>
          <w:rFonts w:ascii="Times New Roman" w:hAnsi="Times New Roman" w:cs="Times New Roman"/>
          <w:b/>
          <w:bCs/>
          <w:snapToGrid w:val="0"/>
          <w:kern w:val="0"/>
          <w:sz w:val="48"/>
          <w:szCs w:val="84"/>
        </w:rPr>
        <w:t>：</w:t>
      </w:r>
      <w:r>
        <w:rPr>
          <w:rFonts w:hint="eastAsia" w:ascii="Times New Roman" w:hAnsi="Times New Roman" w:cs="Times New Roman"/>
          <w:b/>
          <w:bCs/>
          <w:snapToGrid w:val="0"/>
          <w:kern w:val="0"/>
          <w:sz w:val="48"/>
          <w:szCs w:val="84"/>
        </w:rPr>
        <w:t>银行类联席主承销商</w:t>
      </w:r>
      <w:r>
        <w:rPr>
          <w:rFonts w:ascii="Times New Roman" w:hAnsi="Times New Roman" w:cs="Times New Roman"/>
          <w:b/>
          <w:bCs/>
          <w:snapToGrid w:val="0"/>
          <w:kern w:val="0"/>
          <w:sz w:val="48"/>
          <w:szCs w:val="84"/>
        </w:rPr>
        <w:t>）</w:t>
      </w:r>
    </w:p>
    <w:p w14:paraId="204AA661">
      <w:pPr>
        <w:autoSpaceDE w:val="0"/>
        <w:autoSpaceDN w:val="0"/>
        <w:spacing w:line="360" w:lineRule="auto"/>
        <w:ind w:firstLine="420" w:firstLineChars="200"/>
        <w:rPr>
          <w:rFonts w:ascii="Times New Roman" w:hAnsi="Times New Roman" w:cs="Cambria Math"/>
          <w:bCs/>
          <w:szCs w:val="18"/>
        </w:rPr>
      </w:pPr>
    </w:p>
    <w:p w14:paraId="0A61158D">
      <w:pPr>
        <w:autoSpaceDE w:val="0"/>
        <w:autoSpaceDN w:val="0"/>
        <w:spacing w:line="360" w:lineRule="auto"/>
        <w:ind w:firstLine="420" w:firstLineChars="200"/>
        <w:rPr>
          <w:rFonts w:ascii="Times New Roman" w:hAnsi="Times New Roman" w:cs="Cambria Math"/>
          <w:bCs/>
          <w:szCs w:val="18"/>
        </w:rPr>
      </w:pPr>
    </w:p>
    <w:p w14:paraId="1DAD4AE2">
      <w:pPr>
        <w:autoSpaceDE w:val="0"/>
        <w:autoSpaceDN w:val="0"/>
        <w:spacing w:line="360" w:lineRule="auto"/>
        <w:ind w:firstLine="420" w:firstLineChars="200"/>
        <w:rPr>
          <w:rFonts w:ascii="Times New Roman" w:hAnsi="Times New Roman" w:cs="Cambria Math"/>
          <w:bCs/>
          <w:szCs w:val="18"/>
        </w:rPr>
      </w:pPr>
    </w:p>
    <w:p w14:paraId="30195189">
      <w:pPr>
        <w:autoSpaceDE w:val="0"/>
        <w:autoSpaceDN w:val="0"/>
        <w:spacing w:line="360" w:lineRule="auto"/>
        <w:ind w:firstLine="420" w:firstLineChars="200"/>
        <w:rPr>
          <w:rFonts w:ascii="Times New Roman" w:hAnsi="Times New Roman" w:cs="Cambria Math"/>
          <w:bCs/>
          <w:szCs w:val="18"/>
        </w:rPr>
      </w:pPr>
    </w:p>
    <w:p w14:paraId="65ECDD81">
      <w:pPr>
        <w:autoSpaceDE w:val="0"/>
        <w:autoSpaceDN w:val="0"/>
        <w:spacing w:line="360" w:lineRule="auto"/>
        <w:ind w:firstLine="420" w:firstLineChars="200"/>
        <w:rPr>
          <w:rFonts w:ascii="Times New Roman" w:hAnsi="Times New Roman" w:cs="Cambria Math"/>
          <w:bCs/>
          <w:szCs w:val="18"/>
        </w:rPr>
      </w:pPr>
    </w:p>
    <w:p w14:paraId="468B2790">
      <w:pPr>
        <w:autoSpaceDE w:val="0"/>
        <w:autoSpaceDN w:val="0"/>
        <w:spacing w:line="360" w:lineRule="auto"/>
        <w:ind w:firstLine="420" w:firstLineChars="200"/>
        <w:rPr>
          <w:rFonts w:ascii="Times New Roman" w:hAnsi="Times New Roman" w:cs="Cambria Math"/>
          <w:bCs/>
          <w:szCs w:val="18"/>
        </w:rPr>
      </w:pPr>
    </w:p>
    <w:p w14:paraId="2FBFFA07">
      <w:pPr>
        <w:autoSpaceDE w:val="0"/>
        <w:autoSpaceDN w:val="0"/>
        <w:spacing w:line="360" w:lineRule="auto"/>
        <w:jc w:val="center"/>
        <w:rPr>
          <w:rFonts w:ascii="Times New Roman" w:hAnsi="Times New Roman" w:cs="Times New Roman"/>
          <w:b/>
          <w:bCs/>
          <w:snapToGrid w:val="0"/>
          <w:kern w:val="0"/>
          <w:sz w:val="96"/>
          <w:szCs w:val="96"/>
        </w:rPr>
      </w:pPr>
      <w:r>
        <w:rPr>
          <w:rFonts w:ascii="Times New Roman" w:hAnsi="Times New Roman" w:cs="Times New Roman"/>
          <w:b/>
          <w:bCs/>
          <w:snapToGrid w:val="0"/>
          <w:kern w:val="0"/>
          <w:sz w:val="96"/>
          <w:szCs w:val="96"/>
        </w:rPr>
        <w:t>响  应  文  件</w:t>
      </w:r>
    </w:p>
    <w:p w14:paraId="616C6D2D">
      <w:pPr>
        <w:autoSpaceDE w:val="0"/>
        <w:autoSpaceDN w:val="0"/>
        <w:spacing w:line="360" w:lineRule="auto"/>
        <w:ind w:firstLine="420" w:firstLineChars="200"/>
        <w:rPr>
          <w:rFonts w:ascii="Times New Roman" w:hAnsi="Times New Roman" w:cs="Cambria Math"/>
          <w:bCs/>
          <w:szCs w:val="18"/>
        </w:rPr>
      </w:pPr>
    </w:p>
    <w:p w14:paraId="5FD5C4ED">
      <w:pPr>
        <w:autoSpaceDE w:val="0"/>
        <w:autoSpaceDN w:val="0"/>
        <w:spacing w:line="360" w:lineRule="auto"/>
        <w:ind w:firstLine="420" w:firstLineChars="200"/>
        <w:rPr>
          <w:rFonts w:ascii="Times New Roman" w:hAnsi="Times New Roman" w:cs="Cambria Math"/>
          <w:bCs/>
          <w:szCs w:val="18"/>
        </w:rPr>
      </w:pPr>
    </w:p>
    <w:p w14:paraId="73B85396">
      <w:pPr>
        <w:autoSpaceDE w:val="0"/>
        <w:autoSpaceDN w:val="0"/>
        <w:spacing w:line="360" w:lineRule="auto"/>
        <w:ind w:firstLine="420" w:firstLineChars="200"/>
        <w:rPr>
          <w:rFonts w:ascii="Times New Roman" w:hAnsi="Times New Roman" w:cs="Cambria Math"/>
          <w:bCs/>
          <w:szCs w:val="18"/>
        </w:rPr>
      </w:pPr>
    </w:p>
    <w:p w14:paraId="1FE126D9">
      <w:pPr>
        <w:autoSpaceDE w:val="0"/>
        <w:autoSpaceDN w:val="0"/>
        <w:spacing w:line="360" w:lineRule="auto"/>
        <w:rPr>
          <w:rFonts w:ascii="Times New Roman" w:hAnsi="Times New Roman" w:cs="Cambria Math"/>
          <w:bCs/>
          <w:szCs w:val="18"/>
        </w:rPr>
      </w:pPr>
    </w:p>
    <w:p w14:paraId="61A80D08">
      <w:pPr>
        <w:autoSpaceDE w:val="0"/>
        <w:autoSpaceDN w:val="0"/>
        <w:spacing w:line="360" w:lineRule="auto"/>
        <w:ind w:firstLine="420" w:firstLineChars="200"/>
        <w:rPr>
          <w:rFonts w:ascii="Times New Roman" w:hAnsi="Times New Roman" w:cs="Cambria Math"/>
          <w:bCs/>
          <w:szCs w:val="18"/>
        </w:rPr>
      </w:pPr>
    </w:p>
    <w:p w14:paraId="571F6F67">
      <w:pPr>
        <w:autoSpaceDE w:val="0"/>
        <w:autoSpaceDN w:val="0"/>
        <w:spacing w:line="360" w:lineRule="auto"/>
        <w:jc w:val="center"/>
        <w:rPr>
          <w:rFonts w:ascii="Times New Roman" w:hAnsi="Times New Roman" w:cs="Cambria Math"/>
          <w:bCs/>
          <w:szCs w:val="18"/>
        </w:rPr>
      </w:pPr>
      <w:r>
        <w:rPr>
          <w:rFonts w:hint="eastAsia" w:ascii="Times New Roman" w:hAnsi="Times New Roman" w:cs="Cambria Math"/>
          <w:bCs/>
          <w:szCs w:val="18"/>
        </w:rPr>
        <w:t>响应人：</w:t>
      </w:r>
      <w:r>
        <w:rPr>
          <w:rFonts w:hint="eastAsia" w:ascii="Times New Roman" w:hAnsi="Times New Roman" w:cs="Cambria Math"/>
          <w:bCs/>
          <w:szCs w:val="18"/>
          <w:u w:val="single"/>
        </w:rPr>
        <w:t xml:space="preserve">                （盖单位公章）</w:t>
      </w:r>
    </w:p>
    <w:p w14:paraId="1E0BAC15">
      <w:pPr>
        <w:autoSpaceDE w:val="0"/>
        <w:autoSpaceDN w:val="0"/>
        <w:spacing w:line="360" w:lineRule="auto"/>
        <w:jc w:val="center"/>
        <w:rPr>
          <w:rFonts w:ascii="Times New Roman" w:hAnsi="Times New Roman" w:cs="Cambria Math"/>
          <w:bCs/>
          <w:szCs w:val="18"/>
        </w:rPr>
      </w:pPr>
      <w:r>
        <w:rPr>
          <w:rFonts w:hint="eastAsia" w:ascii="Times New Roman" w:hAnsi="Times New Roman" w:cs="Cambria Math"/>
          <w:bCs/>
          <w:szCs w:val="18"/>
        </w:rPr>
        <w:t>年月日</w:t>
      </w:r>
    </w:p>
    <w:p w14:paraId="4792A2D0">
      <w:pPr>
        <w:autoSpaceDE w:val="0"/>
        <w:autoSpaceDN w:val="0"/>
        <w:spacing w:line="360" w:lineRule="auto"/>
        <w:ind w:firstLine="420" w:firstLineChars="200"/>
        <w:rPr>
          <w:rFonts w:ascii="Times New Roman" w:hAnsi="Times New Roman" w:cs="Cambria Math"/>
          <w:bCs/>
          <w:szCs w:val="18"/>
        </w:rPr>
      </w:pPr>
    </w:p>
    <w:p w14:paraId="288EE117">
      <w:pPr>
        <w:autoSpaceDE w:val="0"/>
        <w:autoSpaceDN w:val="0"/>
        <w:spacing w:line="360" w:lineRule="auto"/>
        <w:ind w:firstLine="420" w:firstLineChars="200"/>
        <w:rPr>
          <w:rFonts w:ascii="Times New Roman" w:hAnsi="Times New Roman" w:cs="Cambria Math"/>
          <w:bCs/>
          <w:szCs w:val="18"/>
        </w:rPr>
      </w:pPr>
    </w:p>
    <w:p w14:paraId="0DBE2280">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p>
    <w:p w14:paraId="0E4DAB9E">
      <w:pPr>
        <w:tabs>
          <w:tab w:val="left" w:pos="6300"/>
        </w:tabs>
        <w:autoSpaceDE w:val="0"/>
        <w:autoSpaceDN w:val="0"/>
        <w:snapToGrid w:val="0"/>
        <w:spacing w:line="360" w:lineRule="auto"/>
        <w:jc w:val="center"/>
        <w:outlineLvl w:val="1"/>
        <w:rPr>
          <w:rFonts w:ascii="宋体" w:hAnsi="Times New Roman" w:cs="Cambria Math"/>
          <w:b/>
          <w:bCs/>
          <w:snapToGrid w:val="0"/>
          <w:kern w:val="0"/>
          <w:sz w:val="36"/>
          <w:szCs w:val="28"/>
        </w:rPr>
      </w:pPr>
      <w:r>
        <w:rPr>
          <w:rFonts w:hint="eastAsia" w:ascii="宋体" w:hAnsi="Times New Roman" w:cs="Cambria Math"/>
          <w:b/>
          <w:bCs/>
          <w:snapToGrid w:val="0"/>
          <w:kern w:val="0"/>
          <w:sz w:val="36"/>
          <w:szCs w:val="28"/>
        </w:rPr>
        <w:t>目  录</w:t>
      </w:r>
    </w:p>
    <w:p w14:paraId="77230AA3">
      <w:pPr>
        <w:widowControl/>
        <w:jc w:val="left"/>
        <w:rPr>
          <w:rFonts w:ascii="Times New Roman" w:hAnsi="Times New Roman" w:cs="Cambria Math"/>
          <w:bCs/>
          <w:szCs w:val="18"/>
        </w:rPr>
      </w:pPr>
      <w:r>
        <w:rPr>
          <w:rFonts w:hint="eastAsia" w:ascii="Times New Roman" w:hAnsi="Times New Roman" w:cs="Cambria Math"/>
          <w:bCs/>
          <w:szCs w:val="18"/>
        </w:rPr>
        <w:t>一、响应函</w:t>
      </w:r>
    </w:p>
    <w:p w14:paraId="6E078808">
      <w:pPr>
        <w:widowControl/>
        <w:jc w:val="left"/>
        <w:rPr>
          <w:rFonts w:ascii="Times New Roman" w:hAnsi="Times New Roman" w:cs="Cambria Math"/>
          <w:bCs/>
          <w:szCs w:val="18"/>
        </w:rPr>
      </w:pPr>
      <w:r>
        <w:rPr>
          <w:rFonts w:hint="eastAsia" w:ascii="Times New Roman" w:hAnsi="Times New Roman" w:cs="Cambria Math"/>
          <w:bCs/>
          <w:szCs w:val="18"/>
        </w:rPr>
        <w:t>二、资格性文件</w:t>
      </w:r>
    </w:p>
    <w:p w14:paraId="3E515C0F">
      <w:pPr>
        <w:widowControl/>
        <w:ind w:firstLine="420"/>
        <w:jc w:val="left"/>
        <w:rPr>
          <w:rFonts w:ascii="Times New Roman" w:hAnsi="Times New Roman" w:cs="Cambria Math"/>
          <w:bCs/>
          <w:szCs w:val="18"/>
        </w:rPr>
      </w:pPr>
      <w:r>
        <w:rPr>
          <w:rFonts w:hint="eastAsia" w:ascii="Times New Roman" w:hAnsi="Times New Roman" w:cs="Cambria Math"/>
          <w:bCs/>
          <w:szCs w:val="18"/>
        </w:rPr>
        <w:t>（一）响应人基本情况介绍，资质证明等</w:t>
      </w:r>
    </w:p>
    <w:p w14:paraId="534AE454">
      <w:pPr>
        <w:widowControl/>
        <w:ind w:firstLine="420"/>
        <w:jc w:val="left"/>
        <w:rPr>
          <w:rFonts w:ascii="Times New Roman" w:hAnsi="Times New Roman" w:cs="Cambria Math"/>
          <w:bCs/>
          <w:szCs w:val="18"/>
        </w:rPr>
      </w:pPr>
      <w:r>
        <w:rPr>
          <w:rFonts w:hint="eastAsia" w:ascii="Times New Roman" w:hAnsi="Times New Roman" w:cs="Cambria Math"/>
          <w:bCs/>
          <w:szCs w:val="18"/>
        </w:rPr>
        <w:t>（二）法定代表人/分支机构负责人身份证明及授权委托书（含分支机构）</w:t>
      </w:r>
    </w:p>
    <w:p w14:paraId="465CBFC7">
      <w:pPr>
        <w:widowControl/>
        <w:ind w:firstLine="420"/>
        <w:jc w:val="left"/>
        <w:rPr>
          <w:rFonts w:ascii="Times New Roman" w:hAnsi="Times New Roman" w:cs="Cambria Math"/>
          <w:bCs/>
          <w:szCs w:val="18"/>
        </w:rPr>
      </w:pPr>
      <w:r>
        <w:rPr>
          <w:rFonts w:hint="eastAsia" w:ascii="Times New Roman" w:hAnsi="Times New Roman" w:cs="Cambria Math"/>
          <w:bCs/>
          <w:szCs w:val="18"/>
        </w:rPr>
        <w:t>（三）书面声明</w:t>
      </w:r>
    </w:p>
    <w:p w14:paraId="0B5EE7FE">
      <w:pPr>
        <w:widowControl/>
        <w:ind w:firstLine="420"/>
        <w:jc w:val="left"/>
        <w:rPr>
          <w:rFonts w:ascii="Times New Roman" w:hAnsi="Times New Roman" w:cs="Cambria Math"/>
          <w:bCs/>
          <w:szCs w:val="18"/>
        </w:rPr>
      </w:pPr>
      <w:r>
        <w:rPr>
          <w:rFonts w:hint="eastAsia" w:ascii="Times New Roman" w:hAnsi="Times New Roman" w:cs="Cambria Math"/>
          <w:bCs/>
          <w:szCs w:val="18"/>
        </w:rPr>
        <w:t>（四）中国执行信息公开网截图</w:t>
      </w:r>
    </w:p>
    <w:p w14:paraId="637046E7">
      <w:pPr>
        <w:widowControl/>
        <w:ind w:firstLine="420"/>
        <w:jc w:val="left"/>
        <w:rPr>
          <w:rFonts w:ascii="Times New Roman" w:hAnsi="Times New Roman" w:cs="Cambria Math"/>
          <w:bCs/>
          <w:szCs w:val="18"/>
        </w:rPr>
      </w:pPr>
      <w:r>
        <w:rPr>
          <w:rFonts w:hint="eastAsia" w:ascii="Times New Roman" w:hAnsi="Times New Roman" w:cs="Cambria Math"/>
          <w:bCs/>
          <w:szCs w:val="18"/>
        </w:rPr>
        <w:t>（五）其他（如有）</w:t>
      </w:r>
    </w:p>
    <w:p w14:paraId="3C9A5615">
      <w:pPr>
        <w:widowControl/>
        <w:jc w:val="left"/>
        <w:rPr>
          <w:rFonts w:ascii="Times New Roman" w:hAnsi="Times New Roman" w:cs="Cambria Math"/>
          <w:bCs/>
          <w:szCs w:val="18"/>
        </w:rPr>
      </w:pPr>
      <w:r>
        <w:rPr>
          <w:rFonts w:hint="eastAsia" w:ascii="Times New Roman" w:hAnsi="Times New Roman" w:cs="Cambria Math"/>
          <w:bCs/>
          <w:szCs w:val="18"/>
        </w:rPr>
        <w:t>三、响应性文件</w:t>
      </w:r>
    </w:p>
    <w:p w14:paraId="70DD4666">
      <w:pPr>
        <w:widowControl/>
        <w:ind w:firstLine="420"/>
        <w:jc w:val="left"/>
        <w:rPr>
          <w:rFonts w:ascii="Times New Roman" w:hAnsi="Times New Roman" w:cs="Cambria Math"/>
          <w:bCs/>
          <w:szCs w:val="18"/>
        </w:rPr>
      </w:pPr>
      <w:r>
        <w:rPr>
          <w:rFonts w:hint="eastAsia" w:ascii="Times New Roman" w:hAnsi="Times New Roman" w:cs="Cambria Math"/>
          <w:bCs/>
          <w:szCs w:val="18"/>
        </w:rPr>
        <w:t>（一）响应承诺函</w:t>
      </w:r>
    </w:p>
    <w:p w14:paraId="138F5BAB">
      <w:pPr>
        <w:widowControl/>
        <w:ind w:firstLine="420"/>
        <w:jc w:val="left"/>
        <w:rPr>
          <w:rFonts w:ascii="Times New Roman" w:hAnsi="Times New Roman" w:cs="Cambria Math"/>
          <w:bCs/>
          <w:szCs w:val="18"/>
        </w:rPr>
      </w:pPr>
      <w:r>
        <w:rPr>
          <w:rFonts w:hint="eastAsia" w:ascii="Times New Roman" w:hAnsi="Times New Roman" w:cs="Cambria Math"/>
          <w:bCs/>
          <w:szCs w:val="18"/>
        </w:rPr>
        <w:t>（二）其他（如有）</w:t>
      </w:r>
    </w:p>
    <w:p w14:paraId="15D17B6F">
      <w:pPr>
        <w:widowControl/>
        <w:jc w:val="left"/>
        <w:rPr>
          <w:rFonts w:ascii="Times New Roman" w:hAnsi="Times New Roman" w:cs="Cambria Math"/>
          <w:bCs/>
          <w:szCs w:val="18"/>
        </w:rPr>
      </w:pPr>
      <w:r>
        <w:rPr>
          <w:rFonts w:hint="eastAsia" w:ascii="Times New Roman" w:hAnsi="Times New Roman" w:cs="Cambria Math"/>
          <w:bCs/>
          <w:szCs w:val="18"/>
        </w:rPr>
        <w:t>四、商务文件（如有）</w:t>
      </w:r>
    </w:p>
    <w:p w14:paraId="70C81AD8">
      <w:pPr>
        <w:widowControl/>
        <w:jc w:val="left"/>
        <w:rPr>
          <w:rFonts w:ascii="Times New Roman" w:hAnsi="Times New Roman" w:cs="Cambria Math"/>
          <w:bCs/>
          <w:szCs w:val="18"/>
        </w:rPr>
      </w:pPr>
      <w:r>
        <w:rPr>
          <w:rFonts w:hint="eastAsia" w:ascii="Times New Roman" w:hAnsi="Times New Roman" w:cs="Cambria Math"/>
          <w:bCs/>
          <w:szCs w:val="18"/>
        </w:rPr>
        <w:t>五、其他（如有）</w:t>
      </w:r>
    </w:p>
    <w:p w14:paraId="2A79A007">
      <w:pPr>
        <w:autoSpaceDE w:val="0"/>
        <w:autoSpaceDN w:val="0"/>
        <w:spacing w:line="360" w:lineRule="auto"/>
        <w:ind w:firstLine="420" w:firstLineChars="200"/>
        <w:rPr>
          <w:rFonts w:ascii="Times New Roman" w:hAnsi="Times New Roman" w:cs="Cambria Math"/>
          <w:bCs/>
          <w:szCs w:val="18"/>
          <w:highlight w:val="yellow"/>
        </w:rPr>
      </w:pPr>
    </w:p>
    <w:p w14:paraId="485AF672">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r>
        <w:rPr>
          <w:rFonts w:hint="eastAsia" w:ascii="Times New Roman" w:hAnsi="Times New Roman" w:cs="Cambria Math"/>
          <w:bCs/>
          <w:szCs w:val="18"/>
        </w:rPr>
        <w:br w:type="page"/>
      </w:r>
    </w:p>
    <w:p w14:paraId="746D975B">
      <w:pPr>
        <w:autoSpaceDE w:val="0"/>
        <w:autoSpaceDN w:val="0"/>
        <w:spacing w:line="360" w:lineRule="auto"/>
        <w:jc w:val="center"/>
        <w:outlineLvl w:val="1"/>
        <w:rPr>
          <w:rFonts w:ascii="Times New Roman" w:hAnsi="Times New Roman" w:cs="Cambria Math"/>
          <w:b/>
          <w:bCs/>
          <w:sz w:val="28"/>
          <w:szCs w:val="18"/>
        </w:rPr>
      </w:pPr>
      <w:r>
        <w:rPr>
          <w:rFonts w:ascii="Times New Roman" w:hAnsi="Times New Roman" w:cs="Cambria Math"/>
          <w:b/>
          <w:bCs/>
          <w:sz w:val="28"/>
          <w:szCs w:val="18"/>
        </w:rPr>
        <w:t>一、响应函</w:t>
      </w:r>
    </w:p>
    <w:p w14:paraId="43E81300">
      <w:pPr>
        <w:autoSpaceDE w:val="0"/>
        <w:autoSpaceDN w:val="0"/>
        <w:spacing w:line="360" w:lineRule="auto"/>
        <w:rPr>
          <w:rFonts w:ascii="Times New Roman" w:hAnsi="Times New Roman" w:cs="Cambria Math"/>
          <w:szCs w:val="20"/>
        </w:rPr>
      </w:pPr>
      <w:r>
        <w:rPr>
          <w:rFonts w:hint="eastAsia" w:ascii="Times New Roman" w:hAnsi="Times New Roman" w:cs="Cambria Math"/>
          <w:szCs w:val="20"/>
        </w:rPr>
        <w:t>重庆三峡银行股份有限公司：</w:t>
      </w:r>
    </w:p>
    <w:p w14:paraId="2C838C0D">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我方收到（项目名称）询比文件，经详细研究，决定参加该询比项目并响应。我方承诺</w:t>
      </w:r>
      <w:r>
        <w:rPr>
          <w:rFonts w:hint="eastAsia" w:ascii="Times New Roman" w:hAnsi="Times New Roman" w:cs="Cambria Math"/>
          <w:szCs w:val="20"/>
          <w:u w:val="single"/>
        </w:rPr>
        <w:t>（接受/不接受）</w:t>
      </w:r>
      <w:r>
        <w:rPr>
          <w:rFonts w:hint="eastAsia" w:ascii="Times New Roman" w:hAnsi="Times New Roman" w:cs="Cambria Math"/>
          <w:szCs w:val="20"/>
        </w:rPr>
        <w:t>牵头主承销商承销费率。</w:t>
      </w:r>
    </w:p>
    <w:p w14:paraId="469A82CC">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1、愿意按照询比文件中的一切要求，以响应文件中的内容和报价承担和完成本项目。</w:t>
      </w:r>
    </w:p>
    <w:p w14:paraId="734898F2">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2、我方现提交的响应文件为：响应文件正本一份，副本一份，电子文件一份。</w:t>
      </w:r>
    </w:p>
    <w:p w14:paraId="651F5AA1">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3、如果我方响应文件被接受，我方将履行询比文件中规定的各项要求，按相关法律法规和合同约定条款承担我方的责任。</w:t>
      </w:r>
    </w:p>
    <w:p w14:paraId="5E858569">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4、我方愿意提供询比文件中要求的所有资料，并对其真实性负责。</w:t>
      </w:r>
    </w:p>
    <w:p w14:paraId="7E9EAB69">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5、我方理解最低价格不是入围的唯一条件。</w:t>
      </w:r>
    </w:p>
    <w:p w14:paraId="7C8AB9FA">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6、响应有效期为响应截止日期后90天内。</w:t>
      </w:r>
    </w:p>
    <w:p w14:paraId="5696069E">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7、若我方入围，我方开具税率为           %的增值税专用发票；</w:t>
      </w:r>
    </w:p>
    <w:p w14:paraId="227FB67C">
      <w:pPr>
        <w:autoSpaceDE w:val="0"/>
        <w:autoSpaceDN w:val="0"/>
        <w:spacing w:line="360" w:lineRule="auto"/>
        <w:ind w:firstLine="420" w:firstLineChars="200"/>
        <w:rPr>
          <w:rFonts w:ascii="Times New Roman" w:hAnsi="Times New Roman" w:cs="Cambria Math"/>
          <w:szCs w:val="20"/>
        </w:rPr>
      </w:pPr>
    </w:p>
    <w:p w14:paraId="55981B2A">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响应人（公章）：</w:t>
      </w:r>
    </w:p>
    <w:p w14:paraId="76BD37C4">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 xml:space="preserve">响应人联系人：  </w:t>
      </w:r>
    </w:p>
    <w:p w14:paraId="5D919325">
      <w:pPr>
        <w:autoSpaceDE w:val="0"/>
        <w:autoSpaceDN w:val="0"/>
        <w:spacing w:line="360" w:lineRule="auto"/>
        <w:ind w:firstLine="420" w:firstLineChars="200"/>
        <w:rPr>
          <w:rFonts w:ascii="Times New Roman" w:hAnsi="Times New Roman" w:cs="Cambria Math"/>
          <w:szCs w:val="20"/>
        </w:rPr>
      </w:pPr>
      <w:r>
        <w:rPr>
          <w:rFonts w:hint="eastAsia" w:ascii="Times New Roman" w:hAnsi="Times New Roman" w:cs="Cambria Math"/>
          <w:szCs w:val="20"/>
        </w:rPr>
        <w:t xml:space="preserve">响应人联系人联系电话：     </w:t>
      </w:r>
    </w:p>
    <w:p w14:paraId="1B2CF993">
      <w:pPr>
        <w:autoSpaceDE w:val="0"/>
        <w:autoSpaceDN w:val="0"/>
        <w:spacing w:line="360" w:lineRule="auto"/>
        <w:ind w:firstLine="420" w:firstLineChars="200"/>
        <w:jc w:val="right"/>
        <w:rPr>
          <w:rFonts w:ascii="Times New Roman" w:hAnsi="Times New Roman" w:cs="Cambria Math"/>
          <w:szCs w:val="20"/>
        </w:rPr>
      </w:pPr>
      <w:r>
        <w:rPr>
          <w:rFonts w:hint="eastAsia" w:ascii="Times New Roman" w:hAnsi="Times New Roman" w:cs="Cambria Math"/>
          <w:szCs w:val="20"/>
        </w:rPr>
        <w:t>年     月     日</w:t>
      </w:r>
    </w:p>
    <w:p w14:paraId="0BF2DBB5">
      <w:pPr>
        <w:autoSpaceDE w:val="0"/>
        <w:autoSpaceDN w:val="0"/>
        <w:spacing w:line="360" w:lineRule="auto"/>
        <w:ind w:firstLine="420" w:firstLineChars="200"/>
        <w:rPr>
          <w:rFonts w:ascii="Times New Roman" w:hAnsi="Times New Roman" w:cs="Cambria Math"/>
          <w:bCs/>
          <w:szCs w:val="18"/>
        </w:rPr>
      </w:pPr>
    </w:p>
    <w:p w14:paraId="4FF20440">
      <w:pPr>
        <w:autoSpaceDE w:val="0"/>
        <w:autoSpaceDN w:val="0"/>
        <w:spacing w:line="360" w:lineRule="auto"/>
        <w:ind w:firstLine="420" w:firstLineChars="200"/>
        <w:rPr>
          <w:rFonts w:ascii="Times New Roman" w:hAnsi="Times New Roman" w:cs="Cambria Math"/>
          <w:bCs/>
          <w:snapToGrid w:val="0"/>
          <w:kern w:val="0"/>
          <w:szCs w:val="18"/>
        </w:rPr>
      </w:pPr>
    </w:p>
    <w:p w14:paraId="009B9433">
      <w:pPr>
        <w:autoSpaceDE w:val="0"/>
        <w:autoSpaceDN w:val="0"/>
        <w:spacing w:line="360" w:lineRule="auto"/>
        <w:ind w:firstLine="420" w:firstLineChars="200"/>
        <w:rPr>
          <w:rFonts w:ascii="Times New Roman" w:hAnsi="Times New Roman" w:cs="Cambria Math"/>
          <w:bCs/>
          <w:snapToGrid w:val="0"/>
          <w:kern w:val="0"/>
          <w:szCs w:val="18"/>
        </w:rPr>
        <w:sectPr>
          <w:pgSz w:w="11906" w:h="16838"/>
          <w:pgMar w:top="1440" w:right="1800" w:bottom="1440" w:left="1800" w:header="851" w:footer="992" w:gutter="0"/>
          <w:cols w:space="720" w:num="1"/>
          <w:docGrid w:type="lines" w:linePitch="312" w:charSpace="0"/>
        </w:sectPr>
      </w:pPr>
    </w:p>
    <w:p w14:paraId="4B4741B0">
      <w:pPr>
        <w:autoSpaceDE w:val="0"/>
        <w:autoSpaceDN w:val="0"/>
        <w:spacing w:line="360" w:lineRule="auto"/>
        <w:jc w:val="center"/>
        <w:outlineLvl w:val="1"/>
        <w:rPr>
          <w:rFonts w:ascii="Times New Roman" w:hAnsi="Times New Roman" w:cs="Cambria Math"/>
          <w:b/>
          <w:bCs/>
          <w:sz w:val="28"/>
          <w:szCs w:val="18"/>
        </w:rPr>
      </w:pPr>
      <w:r>
        <w:rPr>
          <w:rFonts w:hint="eastAsia" w:ascii="Times New Roman" w:hAnsi="Times New Roman" w:cs="Cambria Math"/>
          <w:b/>
          <w:bCs/>
          <w:sz w:val="28"/>
          <w:szCs w:val="18"/>
        </w:rPr>
        <w:t>二</w:t>
      </w:r>
      <w:r>
        <w:rPr>
          <w:rFonts w:ascii="Times New Roman" w:hAnsi="Times New Roman" w:cs="Cambria Math"/>
          <w:b/>
          <w:bCs/>
          <w:sz w:val="28"/>
          <w:szCs w:val="18"/>
        </w:rPr>
        <w:t>、资格性文件</w:t>
      </w:r>
    </w:p>
    <w:p w14:paraId="0312133B">
      <w:pPr>
        <w:autoSpaceDE w:val="0"/>
        <w:autoSpaceDN w:val="0"/>
        <w:spacing w:line="360" w:lineRule="auto"/>
        <w:jc w:val="center"/>
        <w:outlineLvl w:val="2"/>
        <w:rPr>
          <w:rFonts w:ascii="Times New Roman" w:hAnsi="Times New Roman" w:cs="Cambria Math"/>
          <w:bCs/>
          <w:szCs w:val="32"/>
        </w:rPr>
      </w:pPr>
      <w:r>
        <w:rPr>
          <w:rFonts w:ascii="Times New Roman" w:hAnsi="Times New Roman" w:cs="Cambria Math"/>
          <w:bCs/>
          <w:szCs w:val="32"/>
        </w:rPr>
        <w:t>（一）</w:t>
      </w:r>
      <w:r>
        <w:rPr>
          <w:rFonts w:hint="eastAsia" w:ascii="Times New Roman" w:hAnsi="Times New Roman" w:cs="Cambria Math"/>
          <w:bCs/>
          <w:szCs w:val="32"/>
        </w:rPr>
        <w:t>响应人</w:t>
      </w:r>
      <w:r>
        <w:rPr>
          <w:rFonts w:ascii="Times New Roman" w:hAnsi="Times New Roman" w:cs="Cambria Math"/>
          <w:bCs/>
          <w:szCs w:val="32"/>
        </w:rPr>
        <w:t>基本情况介绍，资质证明等</w:t>
      </w:r>
    </w:p>
    <w:tbl>
      <w:tblPr>
        <w:tblStyle w:val="23"/>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325"/>
        <w:gridCol w:w="176"/>
        <w:gridCol w:w="723"/>
        <w:gridCol w:w="758"/>
      </w:tblGrid>
      <w:tr w14:paraId="221A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8D823C7">
            <w:pPr>
              <w:autoSpaceDE w:val="0"/>
              <w:autoSpaceDN w:val="0"/>
              <w:rPr>
                <w:rFonts w:ascii="Times New Roman" w:hAnsi="Times New Roman" w:cs="Cambria Math"/>
                <w:bCs/>
                <w:szCs w:val="18"/>
              </w:rPr>
            </w:pPr>
            <w:r>
              <w:rPr>
                <w:rFonts w:hint="eastAsia" w:ascii="Times New Roman" w:hAnsi="Times New Roman" w:cs="Cambria Math"/>
                <w:bCs/>
                <w:szCs w:val="18"/>
              </w:rPr>
              <w:t>响应人名称</w:t>
            </w:r>
          </w:p>
        </w:tc>
        <w:tc>
          <w:tcPr>
            <w:tcW w:w="7114" w:type="dxa"/>
            <w:gridSpan w:val="7"/>
          </w:tcPr>
          <w:p w14:paraId="3FC1E364">
            <w:pPr>
              <w:autoSpaceDE w:val="0"/>
              <w:autoSpaceDN w:val="0"/>
              <w:rPr>
                <w:rFonts w:ascii="Times New Roman" w:hAnsi="Times New Roman" w:cs="Cambria Math"/>
                <w:bCs/>
                <w:szCs w:val="18"/>
              </w:rPr>
            </w:pPr>
          </w:p>
        </w:tc>
      </w:tr>
      <w:tr w14:paraId="2643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1BABFA53">
            <w:pPr>
              <w:autoSpaceDE w:val="0"/>
              <w:autoSpaceDN w:val="0"/>
              <w:rPr>
                <w:rFonts w:ascii="Times New Roman" w:hAnsi="Times New Roman" w:cs="Cambria Math"/>
                <w:bCs/>
                <w:szCs w:val="18"/>
              </w:rPr>
            </w:pPr>
            <w:r>
              <w:rPr>
                <w:rFonts w:hint="eastAsia" w:ascii="Times New Roman" w:hAnsi="Times New Roman" w:cs="Cambria Math"/>
                <w:bCs/>
                <w:szCs w:val="18"/>
              </w:rPr>
              <w:t>注册地址</w:t>
            </w:r>
          </w:p>
        </w:tc>
        <w:tc>
          <w:tcPr>
            <w:tcW w:w="4132" w:type="dxa"/>
            <w:gridSpan w:val="3"/>
            <w:tcBorders>
              <w:top w:val="single" w:color="auto" w:sz="4" w:space="0"/>
              <w:left w:val="single" w:color="auto" w:sz="4" w:space="0"/>
              <w:right w:val="single" w:color="auto" w:sz="4" w:space="0"/>
            </w:tcBorders>
          </w:tcPr>
          <w:p w14:paraId="6A808E6E">
            <w:pPr>
              <w:autoSpaceDE w:val="0"/>
              <w:autoSpaceDN w:val="0"/>
              <w:rPr>
                <w:rFonts w:ascii="Times New Roman" w:hAnsi="Times New Roman" w:cs="Cambria Math"/>
                <w:bCs/>
                <w:szCs w:val="18"/>
              </w:rPr>
            </w:pPr>
          </w:p>
        </w:tc>
        <w:tc>
          <w:tcPr>
            <w:tcW w:w="1325" w:type="dxa"/>
            <w:tcBorders>
              <w:top w:val="single" w:color="auto" w:sz="4" w:space="0"/>
              <w:left w:val="single" w:color="auto" w:sz="4" w:space="0"/>
              <w:right w:val="single" w:color="auto" w:sz="4" w:space="0"/>
            </w:tcBorders>
            <w:vAlign w:val="center"/>
          </w:tcPr>
          <w:p w14:paraId="6ED408D5">
            <w:pPr>
              <w:autoSpaceDE w:val="0"/>
              <w:autoSpaceDN w:val="0"/>
              <w:rPr>
                <w:rFonts w:ascii="Times New Roman" w:hAnsi="Times New Roman" w:cs="Cambria Math"/>
                <w:bCs/>
                <w:szCs w:val="18"/>
              </w:rPr>
            </w:pPr>
            <w:r>
              <w:rPr>
                <w:rFonts w:hint="eastAsia" w:ascii="Times New Roman" w:hAnsi="Times New Roman" w:cs="Cambria Math"/>
                <w:bCs/>
                <w:szCs w:val="18"/>
              </w:rPr>
              <w:t>邮政编码</w:t>
            </w:r>
          </w:p>
        </w:tc>
        <w:tc>
          <w:tcPr>
            <w:tcW w:w="1657" w:type="dxa"/>
            <w:gridSpan w:val="3"/>
          </w:tcPr>
          <w:p w14:paraId="01C32936">
            <w:pPr>
              <w:autoSpaceDE w:val="0"/>
              <w:autoSpaceDN w:val="0"/>
              <w:rPr>
                <w:rFonts w:ascii="Times New Roman" w:hAnsi="Times New Roman" w:cs="Cambria Math"/>
                <w:bCs/>
                <w:szCs w:val="18"/>
              </w:rPr>
            </w:pPr>
          </w:p>
        </w:tc>
      </w:tr>
      <w:tr w14:paraId="778E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2632366B">
            <w:pPr>
              <w:autoSpaceDE w:val="0"/>
              <w:autoSpaceDN w:val="0"/>
              <w:rPr>
                <w:rFonts w:ascii="Times New Roman" w:hAnsi="Times New Roman" w:cs="Cambria Math"/>
                <w:bCs/>
                <w:szCs w:val="18"/>
              </w:rPr>
            </w:pPr>
            <w:r>
              <w:rPr>
                <w:rFonts w:hint="eastAsia" w:ascii="Times New Roman" w:hAnsi="Times New Roman" w:cs="Cambria Math"/>
                <w:bCs/>
                <w:szCs w:val="18"/>
              </w:rPr>
              <w:t>联系方式</w:t>
            </w:r>
          </w:p>
        </w:tc>
        <w:tc>
          <w:tcPr>
            <w:tcW w:w="1077" w:type="dxa"/>
            <w:tcBorders>
              <w:top w:val="single" w:color="auto" w:sz="4" w:space="0"/>
              <w:left w:val="single" w:color="auto" w:sz="4" w:space="0"/>
              <w:right w:val="single" w:color="auto" w:sz="4" w:space="0"/>
            </w:tcBorders>
            <w:vAlign w:val="center"/>
          </w:tcPr>
          <w:p w14:paraId="3ACFEF51">
            <w:pPr>
              <w:autoSpaceDE w:val="0"/>
              <w:autoSpaceDN w:val="0"/>
              <w:rPr>
                <w:rFonts w:ascii="Times New Roman" w:hAnsi="Times New Roman" w:cs="Cambria Math"/>
                <w:bCs/>
                <w:szCs w:val="18"/>
              </w:rPr>
            </w:pPr>
            <w:r>
              <w:rPr>
                <w:rFonts w:hint="eastAsia" w:ascii="Times New Roman" w:hAnsi="Times New Roman" w:cs="Cambria Math"/>
                <w:bCs/>
                <w:szCs w:val="18"/>
              </w:rPr>
              <w:t>联系人</w:t>
            </w:r>
          </w:p>
        </w:tc>
        <w:tc>
          <w:tcPr>
            <w:tcW w:w="3055" w:type="dxa"/>
            <w:gridSpan w:val="2"/>
            <w:tcBorders>
              <w:top w:val="single" w:color="auto" w:sz="4" w:space="0"/>
              <w:left w:val="single" w:color="auto" w:sz="4" w:space="0"/>
              <w:right w:val="single" w:color="auto" w:sz="4" w:space="0"/>
            </w:tcBorders>
          </w:tcPr>
          <w:p w14:paraId="72D0861F">
            <w:pPr>
              <w:autoSpaceDE w:val="0"/>
              <w:autoSpaceDN w:val="0"/>
              <w:rPr>
                <w:rFonts w:ascii="Times New Roman" w:hAnsi="Times New Roman" w:cs="Cambria Math"/>
                <w:bCs/>
                <w:szCs w:val="18"/>
              </w:rPr>
            </w:pPr>
          </w:p>
        </w:tc>
        <w:tc>
          <w:tcPr>
            <w:tcW w:w="1325" w:type="dxa"/>
            <w:tcBorders>
              <w:top w:val="single" w:color="auto" w:sz="4" w:space="0"/>
              <w:left w:val="single" w:color="auto" w:sz="4" w:space="0"/>
              <w:right w:val="single" w:color="auto" w:sz="4" w:space="0"/>
            </w:tcBorders>
            <w:vAlign w:val="center"/>
          </w:tcPr>
          <w:p w14:paraId="73948997">
            <w:pPr>
              <w:autoSpaceDE w:val="0"/>
              <w:autoSpaceDN w:val="0"/>
              <w:rPr>
                <w:rFonts w:ascii="Times New Roman" w:hAnsi="Times New Roman" w:cs="Cambria Math"/>
                <w:bCs/>
                <w:szCs w:val="18"/>
              </w:rPr>
            </w:pPr>
            <w:r>
              <w:rPr>
                <w:rFonts w:hint="eastAsia" w:ascii="Times New Roman" w:hAnsi="Times New Roman" w:cs="Cambria Math"/>
                <w:bCs/>
                <w:szCs w:val="18"/>
              </w:rPr>
              <w:t>电话</w:t>
            </w:r>
          </w:p>
        </w:tc>
        <w:tc>
          <w:tcPr>
            <w:tcW w:w="1657" w:type="dxa"/>
            <w:gridSpan w:val="3"/>
          </w:tcPr>
          <w:p w14:paraId="41A84B29">
            <w:pPr>
              <w:autoSpaceDE w:val="0"/>
              <w:autoSpaceDN w:val="0"/>
              <w:rPr>
                <w:rFonts w:ascii="Times New Roman" w:hAnsi="Times New Roman" w:cs="Cambria Math"/>
                <w:bCs/>
                <w:szCs w:val="18"/>
              </w:rPr>
            </w:pPr>
          </w:p>
        </w:tc>
      </w:tr>
      <w:tr w14:paraId="495D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587C22C9">
            <w:pPr>
              <w:autoSpaceDE w:val="0"/>
              <w:autoSpaceDN w:val="0"/>
              <w:rPr>
                <w:rFonts w:ascii="Times New Roman" w:hAnsi="Times New Roman" w:cs="Cambria Math"/>
                <w:bCs/>
                <w:szCs w:val="18"/>
              </w:rPr>
            </w:pPr>
          </w:p>
        </w:tc>
        <w:tc>
          <w:tcPr>
            <w:tcW w:w="1077" w:type="dxa"/>
            <w:tcBorders>
              <w:top w:val="single" w:color="auto" w:sz="4" w:space="0"/>
              <w:left w:val="single" w:color="auto" w:sz="4" w:space="0"/>
              <w:right w:val="single" w:color="auto" w:sz="4" w:space="0"/>
            </w:tcBorders>
            <w:vAlign w:val="center"/>
          </w:tcPr>
          <w:p w14:paraId="3BCA5CD1">
            <w:pPr>
              <w:autoSpaceDE w:val="0"/>
              <w:autoSpaceDN w:val="0"/>
              <w:rPr>
                <w:rFonts w:ascii="Times New Roman" w:hAnsi="Times New Roman" w:cs="Cambria Math"/>
                <w:bCs/>
                <w:szCs w:val="18"/>
              </w:rPr>
            </w:pPr>
            <w:r>
              <w:rPr>
                <w:rFonts w:hint="eastAsia" w:ascii="Times New Roman" w:hAnsi="Times New Roman" w:cs="Cambria Math"/>
                <w:bCs/>
                <w:szCs w:val="18"/>
              </w:rPr>
              <w:t>传真</w:t>
            </w:r>
          </w:p>
        </w:tc>
        <w:tc>
          <w:tcPr>
            <w:tcW w:w="3055" w:type="dxa"/>
            <w:gridSpan w:val="2"/>
            <w:tcBorders>
              <w:top w:val="single" w:color="auto" w:sz="4" w:space="0"/>
              <w:left w:val="single" w:color="auto" w:sz="4" w:space="0"/>
              <w:right w:val="single" w:color="auto" w:sz="4" w:space="0"/>
            </w:tcBorders>
          </w:tcPr>
          <w:p w14:paraId="1DF2B772">
            <w:pPr>
              <w:autoSpaceDE w:val="0"/>
              <w:autoSpaceDN w:val="0"/>
              <w:rPr>
                <w:rFonts w:ascii="Times New Roman" w:hAnsi="Times New Roman" w:cs="Cambria Math"/>
                <w:bCs/>
                <w:szCs w:val="18"/>
              </w:rPr>
            </w:pPr>
          </w:p>
        </w:tc>
        <w:tc>
          <w:tcPr>
            <w:tcW w:w="1325" w:type="dxa"/>
            <w:tcBorders>
              <w:top w:val="single" w:color="auto" w:sz="4" w:space="0"/>
              <w:left w:val="single" w:color="auto" w:sz="4" w:space="0"/>
              <w:right w:val="single" w:color="auto" w:sz="4" w:space="0"/>
            </w:tcBorders>
            <w:vAlign w:val="center"/>
          </w:tcPr>
          <w:p w14:paraId="05209B04">
            <w:pPr>
              <w:autoSpaceDE w:val="0"/>
              <w:autoSpaceDN w:val="0"/>
              <w:rPr>
                <w:rFonts w:ascii="Times New Roman" w:hAnsi="Times New Roman" w:cs="Cambria Math"/>
                <w:bCs/>
                <w:szCs w:val="18"/>
              </w:rPr>
            </w:pPr>
            <w:r>
              <w:rPr>
                <w:rFonts w:hint="eastAsia" w:ascii="Times New Roman" w:hAnsi="Times New Roman" w:cs="Cambria Math"/>
                <w:bCs/>
                <w:szCs w:val="18"/>
              </w:rPr>
              <w:t>网址</w:t>
            </w:r>
          </w:p>
        </w:tc>
        <w:tc>
          <w:tcPr>
            <w:tcW w:w="1657" w:type="dxa"/>
            <w:gridSpan w:val="3"/>
          </w:tcPr>
          <w:p w14:paraId="083DEA0F">
            <w:pPr>
              <w:autoSpaceDE w:val="0"/>
              <w:autoSpaceDN w:val="0"/>
              <w:rPr>
                <w:rFonts w:ascii="Times New Roman" w:hAnsi="Times New Roman" w:cs="Cambria Math"/>
                <w:bCs/>
                <w:szCs w:val="18"/>
              </w:rPr>
            </w:pPr>
          </w:p>
        </w:tc>
      </w:tr>
      <w:tr w14:paraId="615D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E669197">
            <w:pPr>
              <w:autoSpaceDE w:val="0"/>
              <w:autoSpaceDN w:val="0"/>
              <w:rPr>
                <w:rFonts w:ascii="Times New Roman" w:hAnsi="Times New Roman" w:cs="Cambria Math"/>
                <w:bCs/>
                <w:szCs w:val="18"/>
              </w:rPr>
            </w:pPr>
            <w:r>
              <w:rPr>
                <w:rFonts w:hint="eastAsia" w:ascii="Times New Roman" w:hAnsi="Times New Roman" w:cs="Cambria Math"/>
                <w:bCs/>
                <w:szCs w:val="18"/>
              </w:rPr>
              <w:t>组织结构</w:t>
            </w:r>
          </w:p>
        </w:tc>
        <w:tc>
          <w:tcPr>
            <w:tcW w:w="7114" w:type="dxa"/>
            <w:gridSpan w:val="7"/>
            <w:vAlign w:val="center"/>
          </w:tcPr>
          <w:p w14:paraId="39857D4C">
            <w:pPr>
              <w:autoSpaceDE w:val="0"/>
              <w:autoSpaceDN w:val="0"/>
              <w:rPr>
                <w:rFonts w:ascii="Times New Roman" w:hAnsi="Times New Roman" w:cs="Cambria Math"/>
                <w:bCs/>
                <w:szCs w:val="18"/>
              </w:rPr>
            </w:pPr>
          </w:p>
        </w:tc>
      </w:tr>
      <w:tr w14:paraId="73CD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50BBFC0">
            <w:pPr>
              <w:autoSpaceDE w:val="0"/>
              <w:autoSpaceDN w:val="0"/>
              <w:rPr>
                <w:rFonts w:ascii="Times New Roman" w:hAnsi="Times New Roman" w:cs="Cambria Math"/>
                <w:bCs/>
                <w:szCs w:val="18"/>
              </w:rPr>
            </w:pPr>
            <w:r>
              <w:rPr>
                <w:rFonts w:hint="eastAsia" w:ascii="Times New Roman" w:hAnsi="Times New Roman" w:cs="Cambria Math"/>
                <w:bCs/>
                <w:szCs w:val="18"/>
              </w:rPr>
              <w:t>法定代表人/分支机构负责人</w:t>
            </w:r>
          </w:p>
        </w:tc>
        <w:tc>
          <w:tcPr>
            <w:tcW w:w="1077" w:type="dxa"/>
            <w:tcBorders>
              <w:top w:val="single" w:color="auto" w:sz="4" w:space="0"/>
              <w:left w:val="single" w:color="auto" w:sz="4" w:space="0"/>
              <w:right w:val="single" w:color="auto" w:sz="4" w:space="0"/>
            </w:tcBorders>
            <w:vAlign w:val="center"/>
          </w:tcPr>
          <w:p w14:paraId="322B4262">
            <w:pPr>
              <w:autoSpaceDE w:val="0"/>
              <w:autoSpaceDN w:val="0"/>
              <w:rPr>
                <w:rFonts w:ascii="Times New Roman" w:hAnsi="Times New Roman" w:cs="Cambria Math"/>
                <w:bCs/>
                <w:szCs w:val="18"/>
              </w:rPr>
            </w:pPr>
            <w:r>
              <w:rPr>
                <w:rFonts w:hint="eastAsia" w:ascii="Times New Roman" w:hAnsi="Times New Roman" w:cs="Cambria Math"/>
                <w:bCs/>
                <w:szCs w:val="18"/>
              </w:rPr>
              <w:t>姓名</w:t>
            </w:r>
          </w:p>
        </w:tc>
        <w:tc>
          <w:tcPr>
            <w:tcW w:w="1803" w:type="dxa"/>
            <w:tcBorders>
              <w:top w:val="single" w:color="auto" w:sz="4" w:space="0"/>
              <w:left w:val="single" w:color="auto" w:sz="4" w:space="0"/>
              <w:right w:val="single" w:color="auto" w:sz="4" w:space="0"/>
            </w:tcBorders>
          </w:tcPr>
          <w:p w14:paraId="25D8F319">
            <w:pPr>
              <w:autoSpaceDE w:val="0"/>
              <w:autoSpaceDN w:val="0"/>
              <w:rPr>
                <w:rFonts w:ascii="Times New Roman" w:hAnsi="Times New Roman" w:cs="Cambria Math"/>
                <w:bCs/>
                <w:szCs w:val="18"/>
              </w:rPr>
            </w:pPr>
          </w:p>
        </w:tc>
        <w:tc>
          <w:tcPr>
            <w:tcW w:w="1252" w:type="dxa"/>
            <w:tcBorders>
              <w:top w:val="single" w:color="auto" w:sz="4" w:space="0"/>
              <w:left w:val="single" w:color="auto" w:sz="4" w:space="0"/>
              <w:right w:val="single" w:color="auto" w:sz="4" w:space="0"/>
            </w:tcBorders>
            <w:vAlign w:val="center"/>
          </w:tcPr>
          <w:p w14:paraId="463B13FB">
            <w:pPr>
              <w:autoSpaceDE w:val="0"/>
              <w:autoSpaceDN w:val="0"/>
              <w:rPr>
                <w:rFonts w:ascii="Times New Roman" w:hAnsi="Times New Roman" w:cs="Cambria Math"/>
                <w:bCs/>
                <w:szCs w:val="18"/>
              </w:rPr>
            </w:pPr>
            <w:r>
              <w:rPr>
                <w:rFonts w:hint="eastAsia" w:ascii="Times New Roman" w:hAnsi="Times New Roman" w:cs="Cambria Math"/>
                <w:bCs/>
                <w:szCs w:val="18"/>
              </w:rPr>
              <w:t>技术职称</w:t>
            </w:r>
          </w:p>
        </w:tc>
        <w:tc>
          <w:tcPr>
            <w:tcW w:w="1501" w:type="dxa"/>
            <w:gridSpan w:val="2"/>
            <w:tcBorders>
              <w:top w:val="single" w:color="auto" w:sz="4" w:space="0"/>
              <w:left w:val="single" w:color="auto" w:sz="4" w:space="0"/>
              <w:right w:val="single" w:color="auto" w:sz="4" w:space="0"/>
            </w:tcBorders>
            <w:vAlign w:val="center"/>
          </w:tcPr>
          <w:p w14:paraId="5A810B4A">
            <w:pPr>
              <w:autoSpaceDE w:val="0"/>
              <w:autoSpaceDN w:val="0"/>
              <w:rPr>
                <w:rFonts w:ascii="Times New Roman" w:hAnsi="Times New Roman" w:cs="Cambria Math"/>
                <w:bCs/>
                <w:szCs w:val="18"/>
              </w:rPr>
            </w:pPr>
          </w:p>
        </w:tc>
        <w:tc>
          <w:tcPr>
            <w:tcW w:w="723" w:type="dxa"/>
            <w:tcBorders>
              <w:top w:val="single" w:color="auto" w:sz="4" w:space="0"/>
              <w:left w:val="single" w:color="auto" w:sz="4" w:space="0"/>
              <w:right w:val="single" w:color="auto" w:sz="4" w:space="0"/>
            </w:tcBorders>
            <w:vAlign w:val="center"/>
          </w:tcPr>
          <w:p w14:paraId="7744EFED">
            <w:pPr>
              <w:autoSpaceDE w:val="0"/>
              <w:autoSpaceDN w:val="0"/>
              <w:rPr>
                <w:rFonts w:ascii="Times New Roman" w:hAnsi="Times New Roman" w:cs="Cambria Math"/>
                <w:bCs/>
                <w:szCs w:val="18"/>
              </w:rPr>
            </w:pPr>
            <w:r>
              <w:rPr>
                <w:rFonts w:hint="eastAsia" w:ascii="Times New Roman" w:hAnsi="Times New Roman" w:cs="Cambria Math"/>
                <w:bCs/>
                <w:szCs w:val="18"/>
              </w:rPr>
              <w:t>电话</w:t>
            </w:r>
          </w:p>
        </w:tc>
        <w:tc>
          <w:tcPr>
            <w:tcW w:w="758" w:type="dxa"/>
          </w:tcPr>
          <w:p w14:paraId="1601FEB1">
            <w:pPr>
              <w:autoSpaceDE w:val="0"/>
              <w:autoSpaceDN w:val="0"/>
              <w:rPr>
                <w:rFonts w:ascii="Times New Roman" w:hAnsi="Times New Roman" w:cs="Cambria Math"/>
                <w:bCs/>
                <w:szCs w:val="18"/>
              </w:rPr>
            </w:pPr>
          </w:p>
        </w:tc>
      </w:tr>
      <w:tr w14:paraId="1500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F0D0478">
            <w:pPr>
              <w:autoSpaceDE w:val="0"/>
              <w:autoSpaceDN w:val="0"/>
              <w:rPr>
                <w:rFonts w:ascii="Times New Roman" w:hAnsi="Times New Roman" w:cs="Cambria Math"/>
                <w:bCs/>
                <w:szCs w:val="18"/>
              </w:rPr>
            </w:pPr>
            <w:r>
              <w:rPr>
                <w:rFonts w:hint="eastAsia" w:ascii="Times New Roman" w:hAnsi="Times New Roman" w:cs="Cambria Math"/>
                <w:bCs/>
                <w:szCs w:val="18"/>
              </w:rPr>
              <w:t>技术负责人</w:t>
            </w:r>
          </w:p>
        </w:tc>
        <w:tc>
          <w:tcPr>
            <w:tcW w:w="1077" w:type="dxa"/>
            <w:tcBorders>
              <w:top w:val="single" w:color="auto" w:sz="4" w:space="0"/>
              <w:left w:val="single" w:color="auto" w:sz="4" w:space="0"/>
              <w:right w:val="single" w:color="auto" w:sz="4" w:space="0"/>
            </w:tcBorders>
            <w:vAlign w:val="center"/>
          </w:tcPr>
          <w:p w14:paraId="7C5DC434">
            <w:pPr>
              <w:autoSpaceDE w:val="0"/>
              <w:autoSpaceDN w:val="0"/>
              <w:rPr>
                <w:rFonts w:ascii="Times New Roman" w:hAnsi="Times New Roman" w:cs="Cambria Math"/>
                <w:bCs/>
                <w:szCs w:val="18"/>
              </w:rPr>
            </w:pPr>
            <w:r>
              <w:rPr>
                <w:rFonts w:hint="eastAsia" w:ascii="Times New Roman" w:hAnsi="Times New Roman" w:cs="Cambria Math"/>
                <w:bCs/>
                <w:szCs w:val="18"/>
              </w:rPr>
              <w:t>姓名</w:t>
            </w:r>
          </w:p>
        </w:tc>
        <w:tc>
          <w:tcPr>
            <w:tcW w:w="1803" w:type="dxa"/>
            <w:tcBorders>
              <w:top w:val="single" w:color="auto" w:sz="4" w:space="0"/>
              <w:left w:val="single" w:color="auto" w:sz="4" w:space="0"/>
              <w:right w:val="single" w:color="auto" w:sz="4" w:space="0"/>
            </w:tcBorders>
          </w:tcPr>
          <w:p w14:paraId="663550CB">
            <w:pPr>
              <w:autoSpaceDE w:val="0"/>
              <w:autoSpaceDN w:val="0"/>
              <w:rPr>
                <w:rFonts w:ascii="Times New Roman" w:hAnsi="Times New Roman" w:cs="Cambria Math"/>
                <w:bCs/>
                <w:szCs w:val="18"/>
              </w:rPr>
            </w:pPr>
          </w:p>
        </w:tc>
        <w:tc>
          <w:tcPr>
            <w:tcW w:w="1252" w:type="dxa"/>
            <w:tcBorders>
              <w:top w:val="single" w:color="auto" w:sz="4" w:space="0"/>
              <w:left w:val="single" w:color="auto" w:sz="4" w:space="0"/>
              <w:right w:val="single" w:color="auto" w:sz="4" w:space="0"/>
            </w:tcBorders>
            <w:vAlign w:val="center"/>
          </w:tcPr>
          <w:p w14:paraId="16229F7E">
            <w:pPr>
              <w:autoSpaceDE w:val="0"/>
              <w:autoSpaceDN w:val="0"/>
              <w:rPr>
                <w:rFonts w:ascii="Times New Roman" w:hAnsi="Times New Roman" w:cs="Cambria Math"/>
                <w:bCs/>
                <w:szCs w:val="18"/>
              </w:rPr>
            </w:pPr>
            <w:r>
              <w:rPr>
                <w:rFonts w:hint="eastAsia" w:ascii="Times New Roman" w:hAnsi="Times New Roman" w:cs="Cambria Math"/>
                <w:bCs/>
                <w:szCs w:val="18"/>
              </w:rPr>
              <w:t>技术职称</w:t>
            </w:r>
          </w:p>
        </w:tc>
        <w:tc>
          <w:tcPr>
            <w:tcW w:w="1501" w:type="dxa"/>
            <w:gridSpan w:val="2"/>
            <w:tcBorders>
              <w:top w:val="single" w:color="auto" w:sz="4" w:space="0"/>
              <w:left w:val="single" w:color="auto" w:sz="4" w:space="0"/>
              <w:right w:val="single" w:color="auto" w:sz="4" w:space="0"/>
            </w:tcBorders>
            <w:vAlign w:val="center"/>
          </w:tcPr>
          <w:p w14:paraId="5767765D">
            <w:pPr>
              <w:autoSpaceDE w:val="0"/>
              <w:autoSpaceDN w:val="0"/>
              <w:rPr>
                <w:rFonts w:ascii="Times New Roman" w:hAnsi="Times New Roman" w:cs="Cambria Math"/>
                <w:bCs/>
                <w:szCs w:val="18"/>
              </w:rPr>
            </w:pPr>
          </w:p>
        </w:tc>
        <w:tc>
          <w:tcPr>
            <w:tcW w:w="723" w:type="dxa"/>
            <w:tcBorders>
              <w:top w:val="single" w:color="auto" w:sz="4" w:space="0"/>
              <w:left w:val="single" w:color="auto" w:sz="4" w:space="0"/>
              <w:right w:val="single" w:color="auto" w:sz="4" w:space="0"/>
            </w:tcBorders>
            <w:vAlign w:val="center"/>
          </w:tcPr>
          <w:p w14:paraId="2BE0C06C">
            <w:pPr>
              <w:autoSpaceDE w:val="0"/>
              <w:autoSpaceDN w:val="0"/>
              <w:rPr>
                <w:rFonts w:ascii="Times New Roman" w:hAnsi="Times New Roman" w:cs="Cambria Math"/>
                <w:bCs/>
                <w:szCs w:val="18"/>
              </w:rPr>
            </w:pPr>
            <w:r>
              <w:rPr>
                <w:rFonts w:hint="eastAsia" w:ascii="Times New Roman" w:hAnsi="Times New Roman" w:cs="Cambria Math"/>
                <w:bCs/>
                <w:szCs w:val="18"/>
              </w:rPr>
              <w:t>电话</w:t>
            </w:r>
          </w:p>
        </w:tc>
        <w:tc>
          <w:tcPr>
            <w:tcW w:w="758" w:type="dxa"/>
          </w:tcPr>
          <w:p w14:paraId="38129403">
            <w:pPr>
              <w:autoSpaceDE w:val="0"/>
              <w:autoSpaceDN w:val="0"/>
              <w:rPr>
                <w:rFonts w:ascii="Times New Roman" w:hAnsi="Times New Roman" w:cs="Cambria Math"/>
                <w:bCs/>
                <w:szCs w:val="18"/>
              </w:rPr>
            </w:pPr>
          </w:p>
        </w:tc>
      </w:tr>
      <w:tr w14:paraId="5B26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19625AC">
            <w:pPr>
              <w:autoSpaceDE w:val="0"/>
              <w:autoSpaceDN w:val="0"/>
              <w:rPr>
                <w:rFonts w:ascii="Times New Roman" w:hAnsi="Times New Roman" w:cs="Cambria Math"/>
                <w:bCs/>
                <w:szCs w:val="18"/>
              </w:rPr>
            </w:pPr>
            <w:r>
              <w:rPr>
                <w:rFonts w:hint="eastAsia" w:ascii="Times New Roman" w:hAnsi="Times New Roman" w:cs="Cambria Math"/>
                <w:bCs/>
                <w:szCs w:val="18"/>
              </w:rPr>
              <w:t>成立时间</w:t>
            </w:r>
          </w:p>
        </w:tc>
        <w:tc>
          <w:tcPr>
            <w:tcW w:w="2880" w:type="dxa"/>
            <w:gridSpan w:val="2"/>
            <w:tcBorders>
              <w:top w:val="single" w:color="auto" w:sz="4" w:space="0"/>
              <w:left w:val="single" w:color="auto" w:sz="4" w:space="0"/>
              <w:right w:val="single" w:color="auto" w:sz="4" w:space="0"/>
            </w:tcBorders>
          </w:tcPr>
          <w:p w14:paraId="2279FF9D">
            <w:pPr>
              <w:autoSpaceDE w:val="0"/>
              <w:autoSpaceDN w:val="0"/>
              <w:rPr>
                <w:rFonts w:ascii="Times New Roman" w:hAnsi="Times New Roman" w:cs="Cambria Math"/>
                <w:bCs/>
                <w:szCs w:val="18"/>
              </w:rPr>
            </w:pPr>
          </w:p>
        </w:tc>
        <w:tc>
          <w:tcPr>
            <w:tcW w:w="4234" w:type="dxa"/>
            <w:gridSpan w:val="5"/>
          </w:tcPr>
          <w:p w14:paraId="43A0EF85">
            <w:pPr>
              <w:autoSpaceDE w:val="0"/>
              <w:autoSpaceDN w:val="0"/>
              <w:rPr>
                <w:rFonts w:ascii="Times New Roman" w:hAnsi="Times New Roman" w:cs="Cambria Math"/>
                <w:bCs/>
                <w:szCs w:val="18"/>
              </w:rPr>
            </w:pPr>
            <w:r>
              <w:rPr>
                <w:rFonts w:hint="eastAsia" w:ascii="Times New Roman" w:hAnsi="Times New Roman" w:cs="Cambria Math"/>
                <w:bCs/>
                <w:szCs w:val="18"/>
              </w:rPr>
              <w:t>员工总人数：</w:t>
            </w:r>
          </w:p>
        </w:tc>
      </w:tr>
      <w:tr w14:paraId="2272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B59329B">
            <w:pPr>
              <w:autoSpaceDE w:val="0"/>
              <w:autoSpaceDN w:val="0"/>
              <w:rPr>
                <w:rFonts w:ascii="Times New Roman" w:hAnsi="Times New Roman" w:cs="Cambria Math"/>
                <w:bCs/>
                <w:szCs w:val="18"/>
              </w:rPr>
            </w:pPr>
            <w:r>
              <w:rPr>
                <w:rFonts w:hint="eastAsia" w:ascii="Times New Roman" w:hAnsi="Times New Roman" w:cs="Cambria Math"/>
                <w:bCs/>
                <w:szCs w:val="18"/>
              </w:rPr>
              <w:t>企业资质等级</w:t>
            </w:r>
          </w:p>
        </w:tc>
        <w:tc>
          <w:tcPr>
            <w:tcW w:w="7114" w:type="dxa"/>
            <w:gridSpan w:val="7"/>
            <w:tcBorders>
              <w:top w:val="single" w:color="auto" w:sz="4" w:space="0"/>
              <w:left w:val="single" w:color="auto" w:sz="4" w:space="0"/>
            </w:tcBorders>
          </w:tcPr>
          <w:p w14:paraId="2C9FAEFF">
            <w:pPr>
              <w:autoSpaceDE w:val="0"/>
              <w:autoSpaceDN w:val="0"/>
              <w:rPr>
                <w:rFonts w:ascii="Times New Roman" w:hAnsi="Times New Roman" w:cs="Cambria Math"/>
                <w:bCs/>
                <w:szCs w:val="18"/>
              </w:rPr>
            </w:pPr>
          </w:p>
        </w:tc>
      </w:tr>
      <w:tr w14:paraId="7B0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4EE6E43">
            <w:pPr>
              <w:autoSpaceDE w:val="0"/>
              <w:autoSpaceDN w:val="0"/>
              <w:rPr>
                <w:rFonts w:ascii="Times New Roman" w:hAnsi="Times New Roman" w:cs="Cambria Math"/>
                <w:bCs/>
                <w:szCs w:val="18"/>
              </w:rPr>
            </w:pPr>
            <w:r>
              <w:rPr>
                <w:rFonts w:hint="eastAsia" w:ascii="Times New Roman" w:hAnsi="Times New Roman" w:cs="Cambria Math"/>
                <w:bCs/>
                <w:szCs w:val="18"/>
              </w:rPr>
              <w:t>营业执照号</w:t>
            </w:r>
          </w:p>
        </w:tc>
        <w:tc>
          <w:tcPr>
            <w:tcW w:w="7114" w:type="dxa"/>
            <w:gridSpan w:val="7"/>
            <w:tcBorders>
              <w:top w:val="single" w:color="auto" w:sz="4" w:space="0"/>
              <w:left w:val="single" w:color="auto" w:sz="4" w:space="0"/>
            </w:tcBorders>
          </w:tcPr>
          <w:p w14:paraId="16E0C13A">
            <w:pPr>
              <w:autoSpaceDE w:val="0"/>
              <w:autoSpaceDN w:val="0"/>
              <w:rPr>
                <w:rFonts w:ascii="Times New Roman" w:hAnsi="Times New Roman" w:cs="Cambria Math"/>
                <w:bCs/>
                <w:szCs w:val="18"/>
              </w:rPr>
            </w:pPr>
          </w:p>
        </w:tc>
      </w:tr>
      <w:tr w14:paraId="5CD8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C3AB27A">
            <w:pPr>
              <w:autoSpaceDE w:val="0"/>
              <w:autoSpaceDN w:val="0"/>
              <w:rPr>
                <w:rFonts w:ascii="Times New Roman" w:hAnsi="Times New Roman" w:cs="Cambria Math"/>
                <w:bCs/>
                <w:szCs w:val="18"/>
              </w:rPr>
            </w:pPr>
            <w:r>
              <w:rPr>
                <w:rFonts w:hint="eastAsia" w:ascii="Times New Roman" w:hAnsi="Times New Roman" w:cs="Cambria Math"/>
                <w:bCs/>
                <w:szCs w:val="18"/>
              </w:rPr>
              <w:t>注册资金</w:t>
            </w:r>
          </w:p>
        </w:tc>
        <w:tc>
          <w:tcPr>
            <w:tcW w:w="7114" w:type="dxa"/>
            <w:gridSpan w:val="7"/>
            <w:tcBorders>
              <w:top w:val="single" w:color="auto" w:sz="4" w:space="0"/>
              <w:left w:val="single" w:color="auto" w:sz="4" w:space="0"/>
            </w:tcBorders>
          </w:tcPr>
          <w:p w14:paraId="6EDCA3E5">
            <w:pPr>
              <w:autoSpaceDE w:val="0"/>
              <w:autoSpaceDN w:val="0"/>
              <w:rPr>
                <w:rFonts w:ascii="Times New Roman" w:hAnsi="Times New Roman" w:cs="Cambria Math"/>
                <w:bCs/>
                <w:szCs w:val="18"/>
              </w:rPr>
            </w:pPr>
          </w:p>
        </w:tc>
      </w:tr>
      <w:tr w14:paraId="7EA0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8AD72E9">
            <w:pPr>
              <w:autoSpaceDE w:val="0"/>
              <w:autoSpaceDN w:val="0"/>
              <w:rPr>
                <w:rFonts w:ascii="Times New Roman" w:hAnsi="Times New Roman" w:cs="Cambria Math"/>
                <w:bCs/>
                <w:szCs w:val="18"/>
              </w:rPr>
            </w:pPr>
            <w:r>
              <w:rPr>
                <w:rFonts w:hint="eastAsia" w:ascii="Times New Roman" w:hAnsi="Times New Roman" w:cs="Cambria Math"/>
                <w:bCs/>
                <w:szCs w:val="18"/>
              </w:rPr>
              <w:t>开户银行</w:t>
            </w:r>
          </w:p>
        </w:tc>
        <w:tc>
          <w:tcPr>
            <w:tcW w:w="7114" w:type="dxa"/>
            <w:gridSpan w:val="7"/>
            <w:tcBorders>
              <w:top w:val="single" w:color="auto" w:sz="4" w:space="0"/>
              <w:left w:val="single" w:color="auto" w:sz="4" w:space="0"/>
            </w:tcBorders>
          </w:tcPr>
          <w:p w14:paraId="17EAE814">
            <w:pPr>
              <w:autoSpaceDE w:val="0"/>
              <w:autoSpaceDN w:val="0"/>
              <w:rPr>
                <w:rFonts w:ascii="Times New Roman" w:hAnsi="Times New Roman" w:cs="Cambria Math"/>
                <w:bCs/>
                <w:szCs w:val="18"/>
              </w:rPr>
            </w:pPr>
          </w:p>
        </w:tc>
      </w:tr>
      <w:tr w14:paraId="5473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3CA675C">
            <w:pPr>
              <w:autoSpaceDE w:val="0"/>
              <w:autoSpaceDN w:val="0"/>
              <w:rPr>
                <w:rFonts w:ascii="Times New Roman" w:hAnsi="Times New Roman" w:cs="Cambria Math"/>
                <w:bCs/>
                <w:szCs w:val="18"/>
              </w:rPr>
            </w:pPr>
            <w:r>
              <w:rPr>
                <w:rFonts w:hint="eastAsia" w:ascii="Times New Roman" w:hAnsi="Times New Roman" w:cs="Cambria Math"/>
                <w:bCs/>
                <w:szCs w:val="18"/>
              </w:rPr>
              <w:t>账号</w:t>
            </w:r>
          </w:p>
        </w:tc>
        <w:tc>
          <w:tcPr>
            <w:tcW w:w="7114" w:type="dxa"/>
            <w:gridSpan w:val="7"/>
            <w:tcBorders>
              <w:top w:val="single" w:color="auto" w:sz="4" w:space="0"/>
              <w:left w:val="single" w:color="auto" w:sz="4" w:space="0"/>
            </w:tcBorders>
          </w:tcPr>
          <w:p w14:paraId="447DEA31">
            <w:pPr>
              <w:autoSpaceDE w:val="0"/>
              <w:autoSpaceDN w:val="0"/>
              <w:rPr>
                <w:rFonts w:ascii="Times New Roman" w:hAnsi="Times New Roman" w:cs="Cambria Math"/>
                <w:bCs/>
                <w:szCs w:val="18"/>
              </w:rPr>
            </w:pPr>
          </w:p>
        </w:tc>
      </w:tr>
      <w:tr w14:paraId="1121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8D1F21D">
            <w:pPr>
              <w:autoSpaceDE w:val="0"/>
              <w:autoSpaceDN w:val="0"/>
              <w:rPr>
                <w:rFonts w:ascii="Times New Roman" w:hAnsi="Times New Roman" w:cs="Cambria Math"/>
                <w:bCs/>
                <w:szCs w:val="18"/>
              </w:rPr>
            </w:pPr>
            <w:r>
              <w:rPr>
                <w:rFonts w:hint="eastAsia" w:ascii="Times New Roman" w:hAnsi="Times New Roman" w:cs="Cambria Math"/>
                <w:bCs/>
                <w:szCs w:val="18"/>
              </w:rPr>
              <w:t>经营范围</w:t>
            </w:r>
          </w:p>
        </w:tc>
        <w:tc>
          <w:tcPr>
            <w:tcW w:w="7114" w:type="dxa"/>
            <w:gridSpan w:val="7"/>
          </w:tcPr>
          <w:p w14:paraId="046376C6">
            <w:pPr>
              <w:autoSpaceDE w:val="0"/>
              <w:autoSpaceDN w:val="0"/>
              <w:rPr>
                <w:rFonts w:ascii="Times New Roman" w:hAnsi="Times New Roman" w:cs="Cambria Math"/>
                <w:bCs/>
                <w:szCs w:val="18"/>
              </w:rPr>
            </w:pPr>
          </w:p>
        </w:tc>
      </w:tr>
      <w:tr w14:paraId="7F8A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55C7C75">
            <w:pPr>
              <w:autoSpaceDE w:val="0"/>
              <w:autoSpaceDN w:val="0"/>
              <w:rPr>
                <w:rFonts w:ascii="Times New Roman" w:hAnsi="Times New Roman" w:cs="Cambria Math"/>
                <w:bCs/>
                <w:szCs w:val="18"/>
              </w:rPr>
            </w:pPr>
            <w:r>
              <w:rPr>
                <w:rFonts w:hint="eastAsia" w:ascii="Times New Roman" w:hAnsi="Times New Roman" w:cs="Cambria Math"/>
                <w:bCs/>
                <w:szCs w:val="18"/>
              </w:rPr>
              <w:t>备注</w:t>
            </w:r>
          </w:p>
        </w:tc>
        <w:tc>
          <w:tcPr>
            <w:tcW w:w="7114" w:type="dxa"/>
            <w:gridSpan w:val="7"/>
          </w:tcPr>
          <w:p w14:paraId="75B7CC12">
            <w:pPr>
              <w:autoSpaceDE w:val="0"/>
              <w:autoSpaceDN w:val="0"/>
              <w:rPr>
                <w:rFonts w:ascii="Times New Roman" w:hAnsi="Times New Roman" w:cs="Cambria Math"/>
                <w:bCs/>
                <w:szCs w:val="18"/>
              </w:rPr>
            </w:pPr>
          </w:p>
        </w:tc>
      </w:tr>
    </w:tbl>
    <w:p w14:paraId="0230B3D2">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r>
        <w:rPr>
          <w:rFonts w:hint="eastAsia" w:ascii="Times New Roman" w:hAnsi="Times New Roman" w:cs="Cambria Math"/>
          <w:bCs/>
          <w:szCs w:val="18"/>
        </w:rPr>
        <w:t>注：附营业执照（副本）、总公司授权委托书、资质证明复印件等。</w:t>
      </w:r>
    </w:p>
    <w:p w14:paraId="39148E10">
      <w:pPr>
        <w:autoSpaceDE w:val="0"/>
        <w:autoSpaceDN w:val="0"/>
        <w:spacing w:line="360" w:lineRule="auto"/>
        <w:jc w:val="center"/>
        <w:outlineLvl w:val="2"/>
        <w:rPr>
          <w:rFonts w:ascii="Times New Roman" w:hAnsi="Times New Roman" w:cs="Cambria Math"/>
          <w:bCs/>
          <w:szCs w:val="32"/>
        </w:rPr>
      </w:pPr>
      <w:r>
        <w:rPr>
          <w:rFonts w:ascii="Times New Roman" w:hAnsi="Times New Roman" w:cs="Cambria Math"/>
          <w:bCs/>
          <w:szCs w:val="32"/>
        </w:rPr>
        <w:t>（二）法定代表人</w:t>
      </w:r>
      <w:r>
        <w:rPr>
          <w:rFonts w:hint="eastAsia" w:ascii="Times New Roman" w:hAnsi="Times New Roman" w:cs="Cambria Math"/>
          <w:bCs/>
          <w:snapToGrid w:val="0"/>
          <w:kern w:val="0"/>
          <w:szCs w:val="32"/>
        </w:rPr>
        <w:t>/</w:t>
      </w:r>
      <w:r>
        <w:rPr>
          <w:rFonts w:hint="eastAsia" w:ascii="Times New Roman" w:hAnsi="Times New Roman" w:cs="Cambria Math"/>
          <w:bCs/>
          <w:szCs w:val="32"/>
        </w:rPr>
        <w:t>分支机构负责人</w:t>
      </w:r>
      <w:r>
        <w:rPr>
          <w:rFonts w:ascii="Times New Roman" w:hAnsi="Times New Roman" w:cs="Cambria Math"/>
          <w:bCs/>
          <w:szCs w:val="32"/>
        </w:rPr>
        <w:t>身份证明及授权委托书</w:t>
      </w:r>
      <w:r>
        <w:rPr>
          <w:rFonts w:hint="eastAsia" w:ascii="Times New Roman" w:hAnsi="Times New Roman" w:cs="Cambria Math"/>
          <w:bCs/>
          <w:szCs w:val="32"/>
        </w:rPr>
        <w:t>（含分支机构）</w:t>
      </w:r>
    </w:p>
    <w:p w14:paraId="37218882">
      <w:pPr>
        <w:tabs>
          <w:tab w:val="left" w:pos="6300"/>
        </w:tabs>
        <w:autoSpaceDE w:val="0"/>
        <w:autoSpaceDN w:val="0"/>
        <w:snapToGrid w:val="0"/>
        <w:spacing w:line="600" w:lineRule="exact"/>
        <w:jc w:val="center"/>
        <w:rPr>
          <w:rFonts w:ascii="Times New Roman" w:hAnsi="Times New Roman" w:cs="Cambria Math"/>
          <w:b/>
          <w:bCs/>
          <w:snapToGrid w:val="0"/>
          <w:kern w:val="0"/>
          <w:szCs w:val="18"/>
        </w:rPr>
      </w:pPr>
      <w:r>
        <w:rPr>
          <w:rFonts w:ascii="Times New Roman" w:hAnsi="Times New Roman" w:cs="Cambria Math"/>
          <w:b/>
          <w:bCs/>
          <w:snapToGrid w:val="0"/>
          <w:kern w:val="0"/>
          <w:szCs w:val="18"/>
        </w:rPr>
        <w:t>法定代表人/分支机构负责人身份证明书</w:t>
      </w:r>
    </w:p>
    <w:p w14:paraId="55646B33">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50782BEB">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项目名称：</w:t>
      </w:r>
      <w:r>
        <w:rPr>
          <w:rFonts w:hint="eastAsia" w:ascii="Times New Roman" w:hAnsi="Times New Roman" w:cs="Cambria Math"/>
          <w:bCs/>
          <w:snapToGrid w:val="0"/>
          <w:kern w:val="0"/>
          <w:szCs w:val="18"/>
          <w:u w:val="single"/>
        </w:rPr>
        <w:t>____________________</w:t>
      </w:r>
    </w:p>
    <w:p w14:paraId="705973C1">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6FEA7387">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致：</w:t>
      </w:r>
      <w:r>
        <w:rPr>
          <w:rFonts w:hint="eastAsia" w:ascii="Times New Roman" w:hAnsi="Times New Roman" w:cs="Cambria Math"/>
          <w:bCs/>
          <w:snapToGrid w:val="0"/>
          <w:kern w:val="0"/>
          <w:szCs w:val="18"/>
          <w:u w:val="single"/>
        </w:rPr>
        <w:t xml:space="preserve"> 重庆三峡银行股份有限公司  </w:t>
      </w:r>
      <w:r>
        <w:rPr>
          <w:rFonts w:hint="eastAsia" w:ascii="Times New Roman" w:hAnsi="Times New Roman" w:cs="Cambria Math"/>
          <w:bCs/>
          <w:snapToGrid w:val="0"/>
          <w:kern w:val="0"/>
          <w:szCs w:val="18"/>
        </w:rPr>
        <w:t>：</w:t>
      </w:r>
    </w:p>
    <w:p w14:paraId="73C45C0A">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w:t>
      </w:r>
      <w:r>
        <w:rPr>
          <w:rFonts w:hint="eastAsia" w:ascii="Times New Roman" w:hAnsi="Times New Roman" w:cs="Cambria"/>
          <w:bCs/>
          <w:snapToGrid w:val="0"/>
          <w:kern w:val="0"/>
          <w:szCs w:val="24"/>
        </w:rPr>
        <w:t>响应人</w:t>
      </w:r>
      <w:r>
        <w:rPr>
          <w:rFonts w:hint="eastAsia" w:ascii="Times New Roman" w:hAnsi="Times New Roman" w:cs="Cambria Math"/>
          <w:bCs/>
          <w:snapToGrid w:val="0"/>
          <w:kern w:val="0"/>
          <w:szCs w:val="18"/>
        </w:rPr>
        <w:t>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姓名）在（响应人名称）任（职务名称）职务，是（响应人名称）的法定代表人/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w:t>
      </w:r>
    </w:p>
    <w:p w14:paraId="0B680EE8">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4113241C">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特此证明。</w:t>
      </w:r>
    </w:p>
    <w:p w14:paraId="1F877BB4">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0BC7A985">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08F0BB5C">
      <w:pPr>
        <w:tabs>
          <w:tab w:val="left" w:pos="6300"/>
        </w:tabs>
        <w:autoSpaceDE w:val="0"/>
        <w:autoSpaceDN w:val="0"/>
        <w:snapToGrid w:val="0"/>
        <w:spacing w:line="360" w:lineRule="auto"/>
        <w:ind w:firstLine="5250" w:firstLineChars="2500"/>
        <w:rPr>
          <w:rFonts w:ascii="Times New Roman" w:hAnsi="Times New Roman" w:cs="Cambria Math"/>
          <w:bCs/>
          <w:snapToGrid w:val="0"/>
          <w:kern w:val="0"/>
          <w:szCs w:val="18"/>
        </w:rPr>
      </w:pPr>
      <w:r>
        <w:rPr>
          <w:rFonts w:hint="eastAsia" w:ascii="Times New Roman" w:hAnsi="Times New Roman" w:cs="Cambria Math"/>
          <w:bCs/>
          <w:snapToGrid w:val="0"/>
          <w:kern w:val="0"/>
          <w:szCs w:val="18"/>
        </w:rPr>
        <w:t>响应人：</w:t>
      </w:r>
    </w:p>
    <w:p w14:paraId="1D140A0A">
      <w:pPr>
        <w:tabs>
          <w:tab w:val="left" w:pos="6300"/>
        </w:tabs>
        <w:autoSpaceDE w:val="0"/>
        <w:autoSpaceDN w:val="0"/>
        <w:snapToGrid w:val="0"/>
        <w:spacing w:line="360" w:lineRule="auto"/>
        <w:ind w:firstLine="5040" w:firstLineChars="2400"/>
        <w:rPr>
          <w:rFonts w:ascii="Times New Roman" w:hAnsi="Times New Roman" w:cs="Cambria Math"/>
          <w:bCs/>
          <w:snapToGrid w:val="0"/>
          <w:kern w:val="0"/>
          <w:szCs w:val="18"/>
        </w:rPr>
      </w:pPr>
      <w:r>
        <w:rPr>
          <w:rFonts w:hint="eastAsia" w:ascii="Times New Roman" w:hAnsi="Times New Roman" w:cs="Cambria Math"/>
          <w:bCs/>
          <w:snapToGrid w:val="0"/>
          <w:kern w:val="0"/>
          <w:szCs w:val="18"/>
        </w:rPr>
        <w:t>（</w:t>
      </w:r>
      <w:r>
        <w:rPr>
          <w:rFonts w:hint="eastAsia" w:ascii="Times New Roman" w:hAnsi="Times New Roman" w:cs="Cambria"/>
          <w:bCs/>
          <w:snapToGrid w:val="0"/>
          <w:kern w:val="0"/>
          <w:szCs w:val="24"/>
        </w:rPr>
        <w:t>响应人</w:t>
      </w:r>
      <w:r>
        <w:rPr>
          <w:rFonts w:hint="eastAsia" w:ascii="Times New Roman" w:hAnsi="Times New Roman" w:cs="Cambria Math"/>
          <w:bCs/>
          <w:snapToGrid w:val="0"/>
          <w:kern w:val="0"/>
          <w:szCs w:val="18"/>
        </w:rPr>
        <w:t>公章）</w:t>
      </w:r>
    </w:p>
    <w:p w14:paraId="656BB761">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61937F6F">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 xml:space="preserve">                                             年   月   日</w:t>
      </w:r>
    </w:p>
    <w:p w14:paraId="1806DE75">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650692DC">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（附：法定代表人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身份证正反面复印件）</w:t>
      </w:r>
    </w:p>
    <w:p w14:paraId="5D308570">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5188CDF5">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0326CFE1">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6173536C">
      <w:pPr>
        <w:autoSpaceDE w:val="0"/>
        <w:autoSpaceDN w:val="0"/>
        <w:spacing w:line="360" w:lineRule="auto"/>
        <w:ind w:firstLine="420" w:firstLineChars="200"/>
        <w:jc w:val="center"/>
        <w:rPr>
          <w:rFonts w:ascii="Times New Roman" w:hAnsi="Times New Roman" w:cs="Cambria Math"/>
          <w:b/>
          <w:bCs/>
          <w:snapToGrid w:val="0"/>
          <w:kern w:val="0"/>
          <w:szCs w:val="18"/>
        </w:rPr>
      </w:pPr>
      <w:r>
        <w:rPr>
          <w:rFonts w:hint="eastAsia" w:ascii="Times New Roman" w:hAnsi="Times New Roman" w:cs="Cambria Math"/>
          <w:bCs/>
          <w:snapToGrid w:val="0"/>
          <w:kern w:val="0"/>
          <w:szCs w:val="18"/>
        </w:rPr>
        <w:br w:type="column"/>
      </w:r>
      <w:r>
        <w:rPr>
          <w:rFonts w:ascii="Times New Roman" w:hAnsi="Times New Roman" w:cs="Cambria Math"/>
          <w:b/>
          <w:bCs/>
          <w:snapToGrid w:val="0"/>
          <w:kern w:val="0"/>
          <w:szCs w:val="18"/>
        </w:rPr>
        <w:t>授权委托书</w:t>
      </w:r>
      <w:r>
        <w:rPr>
          <w:rFonts w:ascii="宋体" w:hAnsi="宋体" w:cs="Cambria Math"/>
          <w:b/>
          <w:bCs/>
          <w:snapToGrid w:val="0"/>
          <w:kern w:val="0"/>
          <w:szCs w:val="18"/>
        </w:rPr>
        <w:t>（如有）</w:t>
      </w:r>
    </w:p>
    <w:p w14:paraId="35AD72B7">
      <w:pPr>
        <w:tabs>
          <w:tab w:val="left" w:pos="6300"/>
        </w:tabs>
        <w:autoSpaceDE w:val="0"/>
        <w:autoSpaceDN w:val="0"/>
        <w:snapToGrid w:val="0"/>
        <w:spacing w:line="360" w:lineRule="auto"/>
        <w:jc w:val="center"/>
        <w:rPr>
          <w:rFonts w:ascii="Times New Roman" w:hAnsi="Times New Roman" w:cs="Cambria Math"/>
          <w:bCs/>
          <w:snapToGrid w:val="0"/>
          <w:kern w:val="0"/>
          <w:szCs w:val="18"/>
        </w:rPr>
      </w:pPr>
      <w:r>
        <w:rPr>
          <w:rFonts w:hint="eastAsia" w:ascii="Times New Roman" w:hAnsi="Times New Roman" w:cs="Cambria Math"/>
          <w:bCs/>
          <w:szCs w:val="18"/>
        </w:rPr>
        <w:t>（适用于有委托代理人的情况时采用）</w:t>
      </w:r>
    </w:p>
    <w:p w14:paraId="6D3A0B0F">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52330C09">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28"/>
        </w:rPr>
        <w:t>项目名称</w:t>
      </w:r>
      <w:r>
        <w:rPr>
          <w:rFonts w:hint="eastAsia" w:ascii="Times New Roman" w:hAnsi="Times New Roman" w:cs="Cambria Math"/>
          <w:bCs/>
          <w:snapToGrid w:val="0"/>
          <w:kern w:val="0"/>
          <w:szCs w:val="18"/>
        </w:rPr>
        <w:t>：</w:t>
      </w:r>
      <w:r>
        <w:rPr>
          <w:rFonts w:hint="eastAsia" w:ascii="Times New Roman" w:hAnsi="Times New Roman" w:cs="Cambria Math"/>
          <w:bCs/>
          <w:snapToGrid w:val="0"/>
          <w:kern w:val="0"/>
          <w:szCs w:val="24"/>
          <w:u w:val="single"/>
        </w:rPr>
        <w:t>___________________</w:t>
      </w:r>
    </w:p>
    <w:p w14:paraId="59CD05C5">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16A17588">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致：</w:t>
      </w:r>
      <w:r>
        <w:rPr>
          <w:rFonts w:hint="eastAsia" w:ascii="Times New Roman" w:hAnsi="Times New Roman" w:cs="Cambria Math"/>
          <w:bCs/>
          <w:snapToGrid w:val="0"/>
          <w:kern w:val="0"/>
          <w:szCs w:val="18"/>
          <w:u w:val="single"/>
        </w:rPr>
        <w:t>重庆三峡银行股份有限公司</w:t>
      </w:r>
      <w:r>
        <w:rPr>
          <w:rFonts w:hint="eastAsia" w:ascii="Times New Roman" w:hAnsi="Times New Roman" w:cs="Cambria Math"/>
          <w:bCs/>
          <w:snapToGrid w:val="0"/>
          <w:kern w:val="0"/>
          <w:szCs w:val="18"/>
        </w:rPr>
        <w:t>：</w:t>
      </w:r>
    </w:p>
    <w:p w14:paraId="190BE694">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w:t>
      </w:r>
      <w:r>
        <w:rPr>
          <w:rFonts w:hint="eastAsia" w:ascii="Times New Roman" w:hAnsi="Times New Roman" w:cs="Cambria"/>
          <w:bCs/>
          <w:snapToGrid w:val="0"/>
          <w:kern w:val="0"/>
          <w:szCs w:val="24"/>
        </w:rPr>
        <w:t>响应</w:t>
      </w:r>
      <w:r>
        <w:rPr>
          <w:rFonts w:hint="eastAsia" w:ascii="Times New Roman" w:hAnsi="Times New Roman" w:cs="Cambria Math"/>
          <w:bCs/>
          <w:snapToGrid w:val="0"/>
          <w:kern w:val="0"/>
          <w:szCs w:val="18"/>
        </w:rPr>
        <w:t>人法定代表人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名称）是（</w:t>
      </w:r>
      <w:r>
        <w:rPr>
          <w:rFonts w:hint="eastAsia" w:ascii="Times New Roman" w:hAnsi="Times New Roman" w:cs="Cambria"/>
          <w:bCs/>
          <w:snapToGrid w:val="0"/>
          <w:kern w:val="0"/>
          <w:szCs w:val="24"/>
        </w:rPr>
        <w:t>响应</w:t>
      </w:r>
      <w:r>
        <w:rPr>
          <w:rFonts w:hint="eastAsia" w:ascii="Times New Roman" w:hAnsi="Times New Roman" w:cs="Cambria Math"/>
          <w:bCs/>
          <w:snapToGrid w:val="0"/>
          <w:kern w:val="0"/>
          <w:szCs w:val="18"/>
        </w:rPr>
        <w:t>人名称）的法定代表人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，特授权（委托代理人姓名及身份证代码）代表我单位全权办理上述项目的</w:t>
      </w:r>
      <w:r>
        <w:rPr>
          <w:rFonts w:hint="eastAsia" w:ascii="Times New Roman" w:hAnsi="Times New Roman" w:cs="Cambria"/>
          <w:bCs/>
          <w:snapToGrid w:val="0"/>
          <w:kern w:val="0"/>
          <w:szCs w:val="24"/>
        </w:rPr>
        <w:t>响应</w:t>
      </w:r>
      <w:r>
        <w:rPr>
          <w:rFonts w:hint="eastAsia" w:ascii="Times New Roman" w:hAnsi="Times New Roman" w:cs="Cambria Math"/>
          <w:bCs/>
          <w:snapToGrid w:val="0"/>
          <w:kern w:val="0"/>
          <w:szCs w:val="18"/>
        </w:rPr>
        <w:t>、谈判、签约等具体工作，并签署全部有关文件、协议及合同。</w:t>
      </w:r>
    </w:p>
    <w:p w14:paraId="1235E0E7">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我单位对委托代理人的签字负全部责任。</w:t>
      </w:r>
    </w:p>
    <w:p w14:paraId="2BFAC04D">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在撤销授权的书面通知以前，本授权书一直有效。委托代理人在授权书有效期内签署的所有文件不因授权的撤销而失效。</w:t>
      </w:r>
    </w:p>
    <w:p w14:paraId="42731E97">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510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0CA8DD4">
            <w:pPr>
              <w:tabs>
                <w:tab w:val="left" w:pos="6300"/>
              </w:tabs>
              <w:autoSpaceDE w:val="0"/>
              <w:autoSpaceDN w:val="0"/>
              <w:snapToGrid w:val="0"/>
              <w:spacing w:line="360" w:lineRule="auto"/>
              <w:rPr>
                <w:rFonts w:ascii="Times New Roman" w:hAnsi="Times New Roman" w:cs="Cambria Math"/>
                <w:bCs/>
                <w:snapToGrid w:val="0"/>
                <w:kern w:val="0"/>
                <w:szCs w:val="18"/>
              </w:rPr>
            </w:pPr>
            <w:r>
              <w:rPr>
                <w:rFonts w:hint="eastAsia" w:ascii="Times New Roman" w:hAnsi="Times New Roman" w:cs="Cambria Math"/>
                <w:bCs/>
                <w:snapToGrid w:val="0"/>
                <w:kern w:val="0"/>
                <w:szCs w:val="18"/>
              </w:rPr>
              <w:t>委托代理人</w:t>
            </w:r>
          </w:p>
        </w:tc>
        <w:tc>
          <w:tcPr>
            <w:tcW w:w="4261" w:type="dxa"/>
            <w:tcBorders>
              <w:top w:val="nil"/>
              <w:left w:val="nil"/>
              <w:bottom w:val="nil"/>
              <w:right w:val="nil"/>
            </w:tcBorders>
          </w:tcPr>
          <w:p w14:paraId="4763CB6A">
            <w:pPr>
              <w:tabs>
                <w:tab w:val="left" w:pos="6300"/>
              </w:tabs>
              <w:autoSpaceDE w:val="0"/>
              <w:autoSpaceDN w:val="0"/>
              <w:snapToGrid w:val="0"/>
              <w:spacing w:line="360" w:lineRule="auto"/>
              <w:rPr>
                <w:rFonts w:ascii="Times New Roman" w:hAnsi="Times New Roman" w:cs="Cambria Math"/>
                <w:bCs/>
                <w:snapToGrid w:val="0"/>
                <w:kern w:val="0"/>
                <w:szCs w:val="18"/>
              </w:rPr>
            </w:pPr>
            <w:r>
              <w:rPr>
                <w:rFonts w:hint="eastAsia" w:ascii="Times New Roman" w:hAnsi="Times New Roman" w:cs="Cambria"/>
                <w:bCs/>
                <w:snapToGrid w:val="0"/>
                <w:kern w:val="0"/>
                <w:szCs w:val="24"/>
              </w:rPr>
              <w:t>响应</w:t>
            </w:r>
            <w:r>
              <w:rPr>
                <w:rFonts w:hint="eastAsia" w:ascii="Times New Roman" w:hAnsi="Times New Roman" w:cs="Cambria Math"/>
                <w:bCs/>
                <w:snapToGrid w:val="0"/>
                <w:kern w:val="0"/>
                <w:szCs w:val="18"/>
              </w:rPr>
              <w:t>人法定代表人</w:t>
            </w:r>
            <w:r>
              <w:rPr>
                <w:rFonts w:hint="eastAsia" w:ascii="Times New Roman" w:hAnsi="Times New Roman" w:cs="Cambria Math"/>
                <w:bCs/>
                <w:szCs w:val="18"/>
              </w:rPr>
              <w:t>/分支机构负责人</w:t>
            </w:r>
            <w:r>
              <w:rPr>
                <w:rFonts w:hint="eastAsia" w:ascii="Times New Roman" w:hAnsi="Times New Roman" w:cs="Cambria Math"/>
                <w:bCs/>
                <w:snapToGrid w:val="0"/>
                <w:kern w:val="0"/>
                <w:szCs w:val="18"/>
              </w:rPr>
              <w:t>名称：</w:t>
            </w:r>
          </w:p>
        </w:tc>
      </w:tr>
      <w:tr w14:paraId="4A4F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A2A6A07">
            <w:pPr>
              <w:tabs>
                <w:tab w:val="left" w:pos="6300"/>
              </w:tabs>
              <w:autoSpaceDE w:val="0"/>
              <w:autoSpaceDN w:val="0"/>
              <w:snapToGrid w:val="0"/>
              <w:spacing w:line="360" w:lineRule="auto"/>
              <w:rPr>
                <w:rFonts w:ascii="Times New Roman" w:hAnsi="Times New Roman" w:cs="Cambria Math"/>
                <w:bCs/>
                <w:snapToGrid w:val="0"/>
                <w:kern w:val="0"/>
                <w:szCs w:val="18"/>
              </w:rPr>
            </w:pPr>
            <w:r>
              <w:rPr>
                <w:rFonts w:hint="eastAsia" w:ascii="Times New Roman" w:hAnsi="Times New Roman" w:cs="Cambria Math"/>
                <w:bCs/>
                <w:snapToGrid w:val="0"/>
                <w:kern w:val="0"/>
                <w:szCs w:val="28"/>
              </w:rPr>
              <w:t>（签字或盖章）</w:t>
            </w:r>
          </w:p>
        </w:tc>
        <w:tc>
          <w:tcPr>
            <w:tcW w:w="4261" w:type="dxa"/>
            <w:tcBorders>
              <w:top w:val="nil"/>
              <w:left w:val="nil"/>
              <w:bottom w:val="nil"/>
              <w:right w:val="nil"/>
            </w:tcBorders>
          </w:tcPr>
          <w:p w14:paraId="30E053E9">
            <w:pPr>
              <w:tabs>
                <w:tab w:val="left" w:pos="6300"/>
              </w:tabs>
              <w:autoSpaceDE w:val="0"/>
              <w:autoSpaceDN w:val="0"/>
              <w:snapToGrid w:val="0"/>
              <w:spacing w:line="360" w:lineRule="auto"/>
              <w:rPr>
                <w:rFonts w:ascii="Times New Roman" w:hAnsi="Times New Roman" w:cs="Cambria Math"/>
                <w:bCs/>
                <w:snapToGrid w:val="0"/>
                <w:kern w:val="0"/>
                <w:szCs w:val="18"/>
              </w:rPr>
            </w:pPr>
            <w:r>
              <w:rPr>
                <w:rFonts w:hint="eastAsia" w:ascii="Times New Roman" w:hAnsi="Times New Roman" w:cs="Cambria Math"/>
                <w:bCs/>
                <w:snapToGrid w:val="0"/>
                <w:kern w:val="0"/>
                <w:szCs w:val="28"/>
              </w:rPr>
              <w:t>（签字或盖章）</w:t>
            </w:r>
          </w:p>
        </w:tc>
      </w:tr>
    </w:tbl>
    <w:p w14:paraId="31A4E643">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56162C95">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28"/>
        </w:rPr>
      </w:pPr>
    </w:p>
    <w:p w14:paraId="39FA2079">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7E711436">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（附：委托代理人身份证正反面复印件）</w:t>
      </w:r>
    </w:p>
    <w:p w14:paraId="0A3AFFC7">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0AB6DE65">
      <w:pPr>
        <w:tabs>
          <w:tab w:val="left" w:pos="6300"/>
        </w:tabs>
        <w:autoSpaceDE w:val="0"/>
        <w:autoSpaceDN w:val="0"/>
        <w:snapToGrid w:val="0"/>
        <w:spacing w:line="360" w:lineRule="auto"/>
        <w:ind w:firstLine="5250" w:firstLineChars="2500"/>
        <w:rPr>
          <w:rFonts w:ascii="Times New Roman" w:hAnsi="Times New Roman" w:cs="Cambria Math"/>
          <w:bCs/>
          <w:snapToGrid w:val="0"/>
          <w:kern w:val="0"/>
          <w:szCs w:val="18"/>
        </w:rPr>
      </w:pPr>
      <w:r>
        <w:rPr>
          <w:rFonts w:hint="eastAsia" w:ascii="Times New Roman" w:hAnsi="Times New Roman" w:cs="Cambria Math"/>
          <w:bCs/>
          <w:snapToGrid w:val="0"/>
          <w:kern w:val="0"/>
          <w:szCs w:val="18"/>
        </w:rPr>
        <w:t>响应人：</w:t>
      </w:r>
    </w:p>
    <w:p w14:paraId="3BE3963B">
      <w:pPr>
        <w:tabs>
          <w:tab w:val="left" w:pos="6300"/>
        </w:tabs>
        <w:autoSpaceDE w:val="0"/>
        <w:autoSpaceDN w:val="0"/>
        <w:snapToGrid w:val="0"/>
        <w:spacing w:line="360" w:lineRule="auto"/>
        <w:ind w:firstLine="5040" w:firstLineChars="2400"/>
        <w:rPr>
          <w:rFonts w:ascii="Times New Roman" w:hAnsi="Times New Roman" w:cs="Cambria Math"/>
          <w:bCs/>
          <w:snapToGrid w:val="0"/>
          <w:kern w:val="0"/>
          <w:szCs w:val="18"/>
        </w:rPr>
      </w:pPr>
      <w:r>
        <w:rPr>
          <w:rFonts w:hint="eastAsia" w:ascii="Times New Roman" w:hAnsi="Times New Roman" w:cs="Cambria Math"/>
          <w:bCs/>
          <w:snapToGrid w:val="0"/>
          <w:kern w:val="0"/>
          <w:szCs w:val="18"/>
        </w:rPr>
        <w:t>（</w:t>
      </w:r>
      <w:r>
        <w:rPr>
          <w:rFonts w:hint="eastAsia" w:ascii="Times New Roman" w:hAnsi="Times New Roman" w:cs="Cambria"/>
          <w:bCs/>
          <w:snapToGrid w:val="0"/>
          <w:kern w:val="0"/>
          <w:szCs w:val="24"/>
        </w:rPr>
        <w:t>响应人</w:t>
      </w:r>
      <w:r>
        <w:rPr>
          <w:rFonts w:hint="eastAsia" w:ascii="Times New Roman" w:hAnsi="Times New Roman" w:cs="Cambria Math"/>
          <w:bCs/>
          <w:snapToGrid w:val="0"/>
          <w:kern w:val="0"/>
          <w:szCs w:val="18"/>
        </w:rPr>
        <w:t>公章）</w:t>
      </w:r>
    </w:p>
    <w:p w14:paraId="4765B3CF">
      <w:pPr>
        <w:tabs>
          <w:tab w:val="left" w:pos="6300"/>
        </w:tabs>
        <w:autoSpaceDE w:val="0"/>
        <w:autoSpaceDN w:val="0"/>
        <w:snapToGrid w:val="0"/>
        <w:spacing w:line="360" w:lineRule="auto"/>
        <w:ind w:right="-36" w:firstLine="420" w:firstLineChars="200"/>
        <w:jc w:val="right"/>
        <w:rPr>
          <w:rFonts w:ascii="Times New Roman" w:hAnsi="Times New Roman" w:cs="Cambria Math"/>
          <w:bCs/>
          <w:snapToGrid w:val="0"/>
          <w:kern w:val="0"/>
          <w:szCs w:val="18"/>
        </w:rPr>
      </w:pPr>
      <w:r>
        <w:rPr>
          <w:rFonts w:hint="eastAsia" w:ascii="Times New Roman" w:hAnsi="Times New Roman" w:cs="Cambria Math"/>
          <w:bCs/>
          <w:snapToGrid w:val="0"/>
          <w:kern w:val="0"/>
          <w:szCs w:val="18"/>
        </w:rPr>
        <w:t>年   月   日</w:t>
      </w:r>
    </w:p>
    <w:p w14:paraId="66744B6C">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p>
    <w:p w14:paraId="773BE124">
      <w:pPr>
        <w:tabs>
          <w:tab w:val="left" w:pos="6300"/>
        </w:tabs>
        <w:autoSpaceDE w:val="0"/>
        <w:autoSpaceDN w:val="0"/>
        <w:snapToGrid w:val="0"/>
        <w:spacing w:line="360" w:lineRule="auto"/>
        <w:ind w:firstLine="420" w:firstLineChars="200"/>
        <w:rPr>
          <w:rFonts w:ascii="Times New Roman" w:hAnsi="Times New Roman" w:cs="Cambria Math"/>
          <w:bCs/>
          <w:snapToGrid w:val="0"/>
          <w:kern w:val="0"/>
          <w:szCs w:val="18"/>
        </w:rPr>
      </w:pPr>
      <w:r>
        <w:rPr>
          <w:rFonts w:hint="eastAsia" w:ascii="Times New Roman" w:hAnsi="Times New Roman" w:cs="Cambria Math"/>
          <w:bCs/>
          <w:snapToGrid w:val="0"/>
          <w:kern w:val="0"/>
          <w:szCs w:val="18"/>
        </w:rPr>
        <w:t>注：若为法定代表人（分支机构负责人）办理并签署响应文件的，不提供此文件。</w:t>
      </w:r>
    </w:p>
    <w:p w14:paraId="46829490">
      <w:pPr>
        <w:autoSpaceDE w:val="0"/>
        <w:autoSpaceDN w:val="0"/>
        <w:spacing w:line="360" w:lineRule="auto"/>
        <w:ind w:firstLine="420" w:firstLineChars="200"/>
        <w:rPr>
          <w:rFonts w:ascii="Times New Roman" w:hAnsi="Times New Roman" w:cs="Cambria Math"/>
          <w:bCs/>
          <w:snapToGrid w:val="0"/>
          <w:kern w:val="0"/>
          <w:szCs w:val="18"/>
        </w:rPr>
      </w:pPr>
    </w:p>
    <w:p w14:paraId="0B0701CC">
      <w:pPr>
        <w:autoSpaceDE w:val="0"/>
        <w:autoSpaceDN w:val="0"/>
        <w:spacing w:line="360" w:lineRule="auto"/>
        <w:ind w:firstLine="420" w:firstLineChars="200"/>
        <w:rPr>
          <w:rFonts w:ascii="Times New Roman" w:hAnsi="Times New Roman" w:cs="Cambria Math"/>
          <w:bCs/>
          <w:szCs w:val="18"/>
        </w:rPr>
      </w:pPr>
    </w:p>
    <w:p w14:paraId="0AAB9153">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p>
    <w:p w14:paraId="34513FEB">
      <w:pPr>
        <w:autoSpaceDE w:val="0"/>
        <w:autoSpaceDN w:val="0"/>
        <w:spacing w:line="360" w:lineRule="auto"/>
        <w:jc w:val="center"/>
        <w:outlineLvl w:val="2"/>
        <w:rPr>
          <w:rFonts w:ascii="Times New Roman" w:hAnsi="Times New Roman" w:cs="Cambria Math"/>
          <w:bCs/>
          <w:szCs w:val="32"/>
        </w:rPr>
      </w:pPr>
      <w:r>
        <w:rPr>
          <w:rFonts w:hint="eastAsia" w:ascii="Times New Roman" w:hAnsi="Times New Roman" w:cs="Cambria Math"/>
          <w:bCs/>
          <w:szCs w:val="32"/>
        </w:rPr>
        <w:t>（三）书面声明</w:t>
      </w:r>
    </w:p>
    <w:p w14:paraId="34657820">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13B32493">
      <w:pPr>
        <w:tabs>
          <w:tab w:val="left" w:pos="6300"/>
        </w:tabs>
        <w:autoSpaceDE w:val="0"/>
        <w:autoSpaceDN w:val="0"/>
        <w:snapToGrid w:val="0"/>
        <w:spacing w:line="360" w:lineRule="auto"/>
        <w:ind w:firstLine="480" w:firstLineChars="200"/>
        <w:rPr>
          <w:rFonts w:ascii="宋体" w:hAnsi="Times New Roman" w:cs="Cambria Math"/>
          <w:bCs/>
          <w:sz w:val="24"/>
          <w:szCs w:val="18"/>
        </w:rPr>
      </w:pPr>
      <w:r>
        <w:rPr>
          <w:rFonts w:hint="eastAsia" w:ascii="宋体" w:hAnsi="Times New Roman" w:cs="Cambria Math"/>
          <w:bCs/>
          <w:sz w:val="24"/>
          <w:szCs w:val="28"/>
        </w:rPr>
        <w:t>项目名称</w:t>
      </w:r>
      <w:r>
        <w:rPr>
          <w:rFonts w:hint="eastAsia" w:ascii="宋体" w:hAnsi="Times New Roman" w:cs="Cambria Math"/>
          <w:bCs/>
          <w:sz w:val="24"/>
          <w:szCs w:val="18"/>
        </w:rPr>
        <w:t>：</w:t>
      </w:r>
      <w:r>
        <w:rPr>
          <w:rFonts w:hint="eastAsia" w:ascii="宋体" w:hAnsi="Times New Roman" w:cs="Cambria Math"/>
          <w:bCs/>
          <w:snapToGrid w:val="0"/>
          <w:kern w:val="0"/>
          <w:sz w:val="24"/>
          <w:szCs w:val="24"/>
          <w:u w:val="single"/>
        </w:rPr>
        <w:t>__________________</w:t>
      </w:r>
    </w:p>
    <w:p w14:paraId="6FC47942">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382F2094">
      <w:pPr>
        <w:tabs>
          <w:tab w:val="left" w:pos="6300"/>
        </w:tabs>
        <w:autoSpaceDE w:val="0"/>
        <w:autoSpaceDN w:val="0"/>
        <w:snapToGrid w:val="0"/>
        <w:spacing w:line="360" w:lineRule="auto"/>
        <w:ind w:firstLine="480" w:firstLineChars="200"/>
        <w:rPr>
          <w:rFonts w:ascii="宋体" w:hAnsi="Times New Roman" w:cs="Cambria Math"/>
          <w:bCs/>
          <w:sz w:val="24"/>
          <w:szCs w:val="18"/>
        </w:rPr>
      </w:pPr>
      <w:r>
        <w:rPr>
          <w:rFonts w:hint="eastAsia" w:ascii="宋体" w:hAnsi="Times New Roman" w:cs="Cambria Math"/>
          <w:bCs/>
          <w:sz w:val="24"/>
          <w:szCs w:val="18"/>
        </w:rPr>
        <w:t>致：</w:t>
      </w:r>
      <w:r>
        <w:rPr>
          <w:rFonts w:hint="eastAsia" w:ascii="宋体" w:hAnsi="Times New Roman" w:cs="Cambria Math"/>
          <w:bCs/>
          <w:snapToGrid w:val="0"/>
          <w:kern w:val="0"/>
          <w:sz w:val="24"/>
          <w:szCs w:val="18"/>
          <w:u w:val="single"/>
        </w:rPr>
        <w:t>重庆三峡银行股份有限公司</w:t>
      </w:r>
      <w:r>
        <w:rPr>
          <w:rFonts w:hint="eastAsia" w:ascii="宋体" w:hAnsi="Times New Roman" w:cs="Cambria Math"/>
          <w:bCs/>
          <w:sz w:val="24"/>
          <w:szCs w:val="18"/>
        </w:rPr>
        <w:t>：</w:t>
      </w:r>
    </w:p>
    <w:p w14:paraId="69B55D43">
      <w:pPr>
        <w:tabs>
          <w:tab w:val="left" w:pos="6300"/>
        </w:tabs>
        <w:autoSpaceDE w:val="0"/>
        <w:autoSpaceDN w:val="0"/>
        <w:snapToGrid w:val="0"/>
        <w:spacing w:line="360" w:lineRule="auto"/>
        <w:ind w:firstLine="480" w:firstLineChars="200"/>
        <w:rPr>
          <w:rFonts w:ascii="宋体" w:hAnsi="Times New Roman" w:cs="Cambria Math"/>
          <w:bCs/>
          <w:sz w:val="24"/>
          <w:szCs w:val="18"/>
        </w:rPr>
      </w:pPr>
      <w:r>
        <w:rPr>
          <w:rFonts w:hint="eastAsia" w:ascii="宋体" w:hAnsi="Times New Roman" w:cs="Cambria Math"/>
          <w:bCs/>
          <w:sz w:val="24"/>
          <w:szCs w:val="18"/>
        </w:rPr>
        <w:t>（</w:t>
      </w:r>
      <w:r>
        <w:rPr>
          <w:rFonts w:hint="eastAsia" w:ascii="宋体" w:hAnsi="Times New Roman" w:cs="等线 Light"/>
          <w:bCs/>
          <w:snapToGrid w:val="0"/>
          <w:kern w:val="0"/>
          <w:sz w:val="24"/>
          <w:szCs w:val="24"/>
        </w:rPr>
        <w:t>响应人</w:t>
      </w:r>
      <w:r>
        <w:rPr>
          <w:rFonts w:hint="eastAsia" w:ascii="宋体" w:hAnsi="Times New Roman" w:cs="Cambria Math"/>
          <w:bCs/>
          <w:sz w:val="24"/>
          <w:szCs w:val="18"/>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hAnsi="Times New Roman" w:cs="等线 Light"/>
          <w:bCs/>
          <w:snapToGrid w:val="0"/>
          <w:kern w:val="0"/>
          <w:sz w:val="24"/>
          <w:szCs w:val="24"/>
        </w:rPr>
        <w:t>响应人</w:t>
      </w:r>
      <w:r>
        <w:rPr>
          <w:rFonts w:hint="eastAsia" w:ascii="宋体" w:hAnsi="Times New Roman" w:cs="Cambria Math"/>
          <w:bCs/>
          <w:sz w:val="24"/>
          <w:szCs w:val="18"/>
        </w:rPr>
        <w:t>资格条件；</w:t>
      </w:r>
      <w:r>
        <w:rPr>
          <w:rFonts w:hint="eastAsia" w:ascii="宋体" w:hAnsi="宋体" w:cs="Cambria"/>
          <w:bCs/>
          <w:sz w:val="24"/>
          <w:szCs w:val="24"/>
        </w:rPr>
        <w:t>我公司本次如若入围，入围后不会对项目进行转包</w:t>
      </w:r>
      <w:r>
        <w:rPr>
          <w:rFonts w:hint="eastAsia" w:ascii="宋体" w:hAnsi="Times New Roman" w:cs="Cambria Math"/>
          <w:bCs/>
          <w:sz w:val="24"/>
          <w:szCs w:val="18"/>
        </w:rPr>
        <w:t>。我方对以上声明负全部法律责任。</w:t>
      </w:r>
    </w:p>
    <w:p w14:paraId="50AF5896">
      <w:pPr>
        <w:tabs>
          <w:tab w:val="left" w:pos="6300"/>
        </w:tabs>
        <w:autoSpaceDE w:val="0"/>
        <w:autoSpaceDN w:val="0"/>
        <w:snapToGrid w:val="0"/>
        <w:spacing w:line="360" w:lineRule="auto"/>
        <w:ind w:firstLine="480" w:firstLineChars="200"/>
        <w:rPr>
          <w:rFonts w:ascii="宋体" w:hAnsi="Times New Roman" w:cs="Cambria Math"/>
          <w:bCs/>
          <w:sz w:val="24"/>
          <w:szCs w:val="18"/>
        </w:rPr>
      </w:pPr>
      <w:r>
        <w:rPr>
          <w:rFonts w:hint="eastAsia" w:ascii="宋体" w:hAnsi="Times New Roman" w:cs="Cambria Math"/>
          <w:bCs/>
          <w:sz w:val="24"/>
          <w:szCs w:val="18"/>
        </w:rPr>
        <w:t>特此声明。</w:t>
      </w:r>
    </w:p>
    <w:p w14:paraId="1E866D8E">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37847426">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3A9F6DF5">
      <w:pPr>
        <w:tabs>
          <w:tab w:val="left" w:pos="6300"/>
        </w:tabs>
        <w:autoSpaceDE w:val="0"/>
        <w:autoSpaceDN w:val="0"/>
        <w:snapToGrid w:val="0"/>
        <w:spacing w:line="360" w:lineRule="auto"/>
        <w:ind w:firstLine="480" w:firstLineChars="200"/>
        <w:rPr>
          <w:rFonts w:ascii="宋体" w:hAnsi="Times New Roman" w:cs="Cambria Math"/>
          <w:bCs/>
          <w:sz w:val="24"/>
          <w:szCs w:val="18"/>
        </w:rPr>
      </w:pPr>
    </w:p>
    <w:p w14:paraId="37C37F00">
      <w:pPr>
        <w:tabs>
          <w:tab w:val="left" w:pos="6300"/>
        </w:tabs>
        <w:autoSpaceDE w:val="0"/>
        <w:autoSpaceDN w:val="0"/>
        <w:snapToGrid w:val="0"/>
        <w:spacing w:line="360" w:lineRule="auto"/>
        <w:ind w:right="424" w:firstLine="480" w:firstLineChars="200"/>
        <w:jc w:val="right"/>
        <w:rPr>
          <w:rFonts w:ascii="宋体" w:hAnsi="Times New Roman" w:cs="Cambria Math"/>
          <w:bCs/>
          <w:sz w:val="24"/>
          <w:szCs w:val="18"/>
        </w:rPr>
      </w:pPr>
      <w:r>
        <w:rPr>
          <w:rFonts w:hint="eastAsia" w:ascii="宋体" w:hAnsi="Times New Roman" w:cs="Cambria Math"/>
          <w:bCs/>
          <w:sz w:val="24"/>
          <w:szCs w:val="18"/>
        </w:rPr>
        <w:t>（</w:t>
      </w:r>
      <w:r>
        <w:rPr>
          <w:rFonts w:hint="eastAsia" w:ascii="宋体" w:hAnsi="Times New Roman" w:cs="等线 Light"/>
          <w:bCs/>
          <w:snapToGrid w:val="0"/>
          <w:kern w:val="0"/>
          <w:sz w:val="24"/>
          <w:szCs w:val="24"/>
        </w:rPr>
        <w:t>响应人</w:t>
      </w:r>
      <w:r>
        <w:rPr>
          <w:rFonts w:hint="eastAsia" w:ascii="宋体" w:hAnsi="Times New Roman" w:cs="Cambria Math"/>
          <w:bCs/>
          <w:sz w:val="24"/>
          <w:szCs w:val="18"/>
        </w:rPr>
        <w:t>公章）</w:t>
      </w:r>
    </w:p>
    <w:p w14:paraId="730C9B40">
      <w:pPr>
        <w:tabs>
          <w:tab w:val="left" w:pos="6300"/>
        </w:tabs>
        <w:autoSpaceDE w:val="0"/>
        <w:autoSpaceDN w:val="0"/>
        <w:snapToGrid w:val="0"/>
        <w:spacing w:line="360" w:lineRule="auto"/>
        <w:ind w:right="480" w:firstLine="480" w:firstLineChars="200"/>
        <w:jc w:val="right"/>
        <w:rPr>
          <w:rFonts w:ascii="宋体" w:hAnsi="Times New Roman" w:cs="Cambria Math"/>
          <w:bCs/>
          <w:sz w:val="24"/>
          <w:szCs w:val="18"/>
        </w:rPr>
      </w:pPr>
      <w:r>
        <w:rPr>
          <w:rFonts w:hint="eastAsia" w:ascii="宋体" w:hAnsi="Times New Roman" w:cs="Cambria Math"/>
          <w:bCs/>
          <w:sz w:val="24"/>
          <w:szCs w:val="18"/>
        </w:rPr>
        <w:t>年   月   日</w:t>
      </w:r>
    </w:p>
    <w:p w14:paraId="26912A32">
      <w:pPr>
        <w:autoSpaceDE w:val="0"/>
        <w:autoSpaceDN w:val="0"/>
        <w:spacing w:line="360" w:lineRule="auto"/>
        <w:ind w:firstLine="420" w:firstLineChars="200"/>
        <w:rPr>
          <w:rFonts w:ascii="Times New Roman" w:hAnsi="Times New Roman" w:cs="Cambria Math"/>
          <w:bCs/>
          <w:snapToGrid w:val="0"/>
          <w:kern w:val="0"/>
          <w:szCs w:val="18"/>
        </w:rPr>
      </w:pPr>
    </w:p>
    <w:p w14:paraId="25B94299">
      <w:pPr>
        <w:autoSpaceDE w:val="0"/>
        <w:autoSpaceDN w:val="0"/>
        <w:spacing w:line="360" w:lineRule="auto"/>
        <w:ind w:firstLine="420" w:firstLineChars="200"/>
        <w:rPr>
          <w:rFonts w:ascii="Times New Roman" w:hAnsi="Times New Roman" w:cs="Cambria Math"/>
          <w:bCs/>
          <w:snapToGrid w:val="0"/>
          <w:kern w:val="0"/>
          <w:szCs w:val="18"/>
        </w:rPr>
      </w:pPr>
    </w:p>
    <w:p w14:paraId="2E2A21DC">
      <w:pPr>
        <w:autoSpaceDE w:val="0"/>
        <w:autoSpaceDN w:val="0"/>
        <w:spacing w:line="360" w:lineRule="auto"/>
        <w:ind w:firstLine="420" w:firstLineChars="200"/>
        <w:rPr>
          <w:rFonts w:ascii="Times New Roman" w:hAnsi="Times New Roman" w:cs="Cambria Math"/>
          <w:bCs/>
          <w:snapToGrid w:val="0"/>
          <w:kern w:val="0"/>
          <w:szCs w:val="18"/>
        </w:rPr>
      </w:pPr>
    </w:p>
    <w:p w14:paraId="7BF25281">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kern w:val="0"/>
          <w:szCs w:val="18"/>
        </w:rPr>
        <w:br w:type="page"/>
      </w:r>
    </w:p>
    <w:p w14:paraId="0F7C16A6">
      <w:pPr>
        <w:autoSpaceDE w:val="0"/>
        <w:autoSpaceDN w:val="0"/>
        <w:spacing w:line="360" w:lineRule="auto"/>
        <w:jc w:val="center"/>
        <w:outlineLvl w:val="2"/>
        <w:rPr>
          <w:rFonts w:ascii="Times New Roman" w:hAnsi="Times New Roman" w:cs="Cambria Math"/>
          <w:bCs/>
          <w:szCs w:val="32"/>
        </w:rPr>
      </w:pPr>
      <w:r>
        <w:rPr>
          <w:rFonts w:ascii="Times New Roman" w:hAnsi="Times New Roman" w:cs="Cambria Math"/>
          <w:bCs/>
          <w:szCs w:val="32"/>
        </w:rPr>
        <w:t>（</w:t>
      </w:r>
      <w:r>
        <w:rPr>
          <w:rFonts w:hint="eastAsia" w:ascii="Times New Roman" w:hAnsi="Times New Roman" w:cs="Cambria Math"/>
          <w:bCs/>
          <w:szCs w:val="32"/>
        </w:rPr>
        <w:t>四</w:t>
      </w:r>
      <w:r>
        <w:rPr>
          <w:rFonts w:ascii="Times New Roman" w:hAnsi="Times New Roman" w:cs="Cambria Math"/>
          <w:bCs/>
          <w:szCs w:val="32"/>
        </w:rPr>
        <w:t>）中国执行信息公开网截图</w:t>
      </w:r>
    </w:p>
    <w:p w14:paraId="035551BC">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1.法人在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w:t>
      </w:r>
    </w:p>
    <w:p w14:paraId="1DA75AD7">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2.法定代表人在</w:t>
      </w:r>
      <w:r>
        <w:rPr>
          <w:rFonts w:ascii="Times New Roman" w:hAnsi="Times New Roman" w:cs="Cambria Math"/>
          <w:bCs/>
          <w:szCs w:val="18"/>
        </w:rPr>
        <w:t>中国执行信息公开网</w:t>
      </w:r>
      <w:r>
        <w:rPr>
          <w:rFonts w:hint="eastAsia" w:ascii="Times New Roman" w:hAnsi="Times New Roman" w:cs="Cambria Math"/>
          <w:bCs/>
          <w:szCs w:val="18"/>
        </w:rPr>
        <w:t>的查询</w:t>
      </w:r>
      <w:r>
        <w:rPr>
          <w:rFonts w:ascii="Times New Roman" w:hAnsi="Times New Roman" w:cs="Cambria Math"/>
          <w:bCs/>
          <w:szCs w:val="18"/>
        </w:rPr>
        <w:t>截图</w:t>
      </w:r>
      <w:r>
        <w:rPr>
          <w:rFonts w:hint="eastAsia" w:ascii="Times New Roman" w:hAnsi="Times New Roman" w:cs="Cambria Math"/>
          <w:bCs/>
          <w:szCs w:val="18"/>
        </w:rPr>
        <w:t>并加盖单位鲜章</w:t>
      </w:r>
    </w:p>
    <w:p w14:paraId="4056C1DE">
      <w:pPr>
        <w:autoSpaceDE w:val="0"/>
        <w:autoSpaceDN w:val="0"/>
        <w:spacing w:line="360" w:lineRule="auto"/>
        <w:ind w:firstLine="420" w:firstLineChars="200"/>
        <w:rPr>
          <w:rFonts w:ascii="Times New Roman" w:hAnsi="Times New Roman" w:cs="Cambria Math"/>
          <w:bCs/>
          <w:szCs w:val="18"/>
        </w:rPr>
      </w:pPr>
    </w:p>
    <w:p w14:paraId="2AAF2FF3">
      <w:pPr>
        <w:autoSpaceDE w:val="0"/>
        <w:autoSpaceDN w:val="0"/>
        <w:spacing w:line="360" w:lineRule="auto"/>
        <w:ind w:firstLine="420" w:firstLineChars="200"/>
        <w:rPr>
          <w:rFonts w:ascii="Times New Roman" w:hAnsi="Times New Roman" w:cs="Cambria Math"/>
          <w:bCs/>
          <w:szCs w:val="18"/>
        </w:rPr>
      </w:pPr>
    </w:p>
    <w:p w14:paraId="65733C51">
      <w:pPr>
        <w:autoSpaceDE w:val="0"/>
        <w:autoSpaceDN w:val="0"/>
        <w:spacing w:line="360" w:lineRule="auto"/>
        <w:ind w:firstLine="420" w:firstLineChars="200"/>
        <w:rPr>
          <w:rFonts w:ascii="Times New Roman" w:hAnsi="Times New Roman" w:cs="Cambria Math"/>
          <w:bCs/>
          <w:szCs w:val="18"/>
        </w:rPr>
      </w:pPr>
    </w:p>
    <w:p w14:paraId="0ABDD96E">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br w:type="page"/>
      </w:r>
    </w:p>
    <w:p w14:paraId="481FD2EC">
      <w:pPr>
        <w:autoSpaceDE w:val="0"/>
        <w:autoSpaceDN w:val="0"/>
        <w:spacing w:line="360" w:lineRule="auto"/>
        <w:ind w:firstLine="420" w:firstLineChars="200"/>
        <w:rPr>
          <w:rFonts w:ascii="Times New Roman" w:hAnsi="Times New Roman" w:cs="Cambria Math"/>
          <w:bCs/>
          <w:szCs w:val="18"/>
          <w:lang w:val="zh-CN"/>
        </w:rPr>
        <w:sectPr>
          <w:pgSz w:w="11906" w:h="16838"/>
          <w:pgMar w:top="1440" w:right="1800" w:bottom="1440" w:left="1800" w:header="851" w:footer="992" w:gutter="0"/>
          <w:cols w:space="720" w:num="1"/>
          <w:docGrid w:type="lines" w:linePitch="312" w:charSpace="0"/>
        </w:sectPr>
      </w:pPr>
    </w:p>
    <w:p w14:paraId="3A8E5630">
      <w:pPr>
        <w:autoSpaceDE w:val="0"/>
        <w:autoSpaceDN w:val="0"/>
        <w:spacing w:line="360" w:lineRule="auto"/>
        <w:jc w:val="center"/>
        <w:outlineLvl w:val="2"/>
        <w:rPr>
          <w:rFonts w:ascii="Times New Roman" w:hAnsi="Times New Roman" w:cs="Cambria Math"/>
          <w:bCs/>
          <w:szCs w:val="32"/>
          <w:lang w:val="zh-CN"/>
        </w:rPr>
      </w:pPr>
      <w:r>
        <w:rPr>
          <w:rFonts w:hint="eastAsia" w:ascii="Times New Roman" w:hAnsi="Times New Roman" w:cs="Cambria Math"/>
          <w:bCs/>
          <w:szCs w:val="32"/>
          <w:lang w:val="zh-CN"/>
        </w:rPr>
        <w:t>（五）</w:t>
      </w:r>
      <w:r>
        <w:rPr>
          <w:rFonts w:hint="eastAsia" w:ascii="Times New Roman" w:hAnsi="Times New Roman" w:cs="Cambria Math"/>
          <w:bCs/>
          <w:szCs w:val="32"/>
        </w:rPr>
        <w:t>其他</w:t>
      </w:r>
      <w:r>
        <w:rPr>
          <w:rFonts w:hint="eastAsia" w:ascii="Times New Roman" w:hAnsi="Times New Roman" w:cs="Cambria Math"/>
          <w:bCs/>
          <w:szCs w:val="32"/>
          <w:lang w:val="zh-CN"/>
        </w:rPr>
        <w:t>（</w:t>
      </w:r>
      <w:r>
        <w:rPr>
          <w:rFonts w:hint="eastAsia" w:ascii="Times New Roman" w:hAnsi="Times New Roman" w:cs="Cambria Math"/>
          <w:bCs/>
          <w:szCs w:val="32"/>
        </w:rPr>
        <w:t>如有</w:t>
      </w:r>
      <w:r>
        <w:rPr>
          <w:rFonts w:hint="eastAsia" w:ascii="Times New Roman" w:hAnsi="Times New Roman" w:cs="Cambria Math"/>
          <w:bCs/>
          <w:szCs w:val="32"/>
          <w:lang w:val="zh-CN"/>
        </w:rPr>
        <w:t>）</w:t>
      </w:r>
    </w:p>
    <w:p w14:paraId="7B0C33DB">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p>
    <w:p w14:paraId="3AB39588">
      <w:pPr>
        <w:autoSpaceDE w:val="0"/>
        <w:autoSpaceDN w:val="0"/>
        <w:spacing w:line="360" w:lineRule="auto"/>
        <w:jc w:val="center"/>
        <w:outlineLvl w:val="1"/>
        <w:rPr>
          <w:rFonts w:ascii="Times New Roman" w:hAnsi="Times New Roman" w:cs="Cambria Math"/>
          <w:b/>
          <w:bCs/>
          <w:sz w:val="28"/>
          <w:szCs w:val="18"/>
        </w:rPr>
      </w:pPr>
      <w:r>
        <w:rPr>
          <w:rFonts w:hint="eastAsia" w:ascii="Times New Roman" w:hAnsi="Times New Roman" w:cs="Cambria Math"/>
          <w:b/>
          <w:bCs/>
          <w:sz w:val="28"/>
          <w:szCs w:val="18"/>
        </w:rPr>
        <w:t>三</w:t>
      </w:r>
      <w:r>
        <w:rPr>
          <w:rFonts w:ascii="Times New Roman" w:hAnsi="Times New Roman" w:cs="Cambria Math"/>
          <w:b/>
          <w:bCs/>
          <w:sz w:val="28"/>
          <w:szCs w:val="18"/>
        </w:rPr>
        <w:t>、响应性文件</w:t>
      </w:r>
    </w:p>
    <w:p w14:paraId="15DBCCAF">
      <w:pPr>
        <w:autoSpaceDE w:val="0"/>
        <w:autoSpaceDN w:val="0"/>
        <w:spacing w:line="360" w:lineRule="auto"/>
        <w:jc w:val="center"/>
        <w:outlineLvl w:val="2"/>
        <w:rPr>
          <w:rFonts w:ascii="Times New Roman" w:hAnsi="Times New Roman" w:cs="Cambria Math"/>
          <w:bCs/>
          <w:szCs w:val="32"/>
        </w:rPr>
      </w:pPr>
      <w:r>
        <w:rPr>
          <w:rFonts w:hint="eastAsia" w:ascii="Times New Roman" w:hAnsi="Times New Roman" w:cs="Cambria Math"/>
          <w:bCs/>
          <w:szCs w:val="32"/>
        </w:rPr>
        <w:t>（一）响应承诺函</w:t>
      </w:r>
    </w:p>
    <w:p w14:paraId="2C2F7EE6">
      <w:pPr>
        <w:autoSpaceDE w:val="0"/>
        <w:autoSpaceDN w:val="0"/>
        <w:spacing w:line="360" w:lineRule="auto"/>
        <w:ind w:firstLine="420" w:firstLineChars="200"/>
        <w:rPr>
          <w:rFonts w:ascii="Times New Roman" w:hAnsi="Times New Roman" w:cs="Cambria Math"/>
          <w:bCs/>
          <w:szCs w:val="18"/>
        </w:rPr>
      </w:pPr>
      <w:r>
        <w:rPr>
          <w:rFonts w:hint="eastAsia" w:ascii="Times New Roman" w:hAnsi="Times New Roman" w:cs="Cambria Math"/>
          <w:bCs/>
          <w:szCs w:val="18"/>
        </w:rPr>
        <w:t>根据第三章“项目要求”内容，做出整体承诺，格式自理。</w:t>
      </w:r>
    </w:p>
    <w:p w14:paraId="0A7D3154">
      <w:pPr>
        <w:autoSpaceDE w:val="0"/>
        <w:autoSpaceDN w:val="0"/>
        <w:spacing w:line="360" w:lineRule="auto"/>
        <w:ind w:firstLine="420" w:firstLineChars="200"/>
        <w:rPr>
          <w:rFonts w:ascii="Times New Roman" w:hAnsi="Times New Roman" w:cs="Cambria Math"/>
          <w:bCs/>
          <w:szCs w:val="18"/>
        </w:rPr>
      </w:pPr>
    </w:p>
    <w:p w14:paraId="0770BA12">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720" w:num="1"/>
          <w:docGrid w:type="lines" w:linePitch="312" w:charSpace="0"/>
        </w:sectPr>
      </w:pPr>
    </w:p>
    <w:p w14:paraId="2A3A1CC7">
      <w:pPr>
        <w:autoSpaceDE w:val="0"/>
        <w:autoSpaceDN w:val="0"/>
        <w:spacing w:line="360" w:lineRule="auto"/>
        <w:jc w:val="center"/>
        <w:outlineLvl w:val="2"/>
        <w:rPr>
          <w:rFonts w:ascii="Times New Roman" w:hAnsi="Times New Roman" w:cs="Cambria Math"/>
          <w:bCs/>
          <w:szCs w:val="32"/>
        </w:rPr>
      </w:pPr>
      <w:r>
        <w:rPr>
          <w:rFonts w:hint="eastAsia" w:ascii="Times New Roman" w:hAnsi="Times New Roman" w:cs="Cambria Math"/>
          <w:bCs/>
          <w:szCs w:val="32"/>
        </w:rPr>
        <w:t>（二）其他（如有）</w:t>
      </w:r>
    </w:p>
    <w:p w14:paraId="7E05E8F6">
      <w:pPr>
        <w:autoSpaceDE w:val="0"/>
        <w:autoSpaceDN w:val="0"/>
        <w:spacing w:line="360" w:lineRule="auto"/>
        <w:ind w:firstLine="420" w:firstLineChars="200"/>
        <w:rPr>
          <w:rFonts w:ascii="Times New Roman" w:hAnsi="Times New Roman" w:cs="Cambria Math"/>
          <w:bCs/>
          <w:szCs w:val="18"/>
        </w:rPr>
      </w:pPr>
    </w:p>
    <w:p w14:paraId="0EBA281D">
      <w:pPr>
        <w:autoSpaceDE w:val="0"/>
        <w:autoSpaceDN w:val="0"/>
        <w:spacing w:line="360" w:lineRule="auto"/>
        <w:ind w:firstLine="420" w:firstLineChars="200"/>
        <w:rPr>
          <w:rFonts w:ascii="Times New Roman" w:hAnsi="Times New Roman" w:cs="Cambria Math"/>
          <w:bCs/>
          <w:szCs w:val="18"/>
        </w:rPr>
      </w:pPr>
    </w:p>
    <w:p w14:paraId="368781F7">
      <w:pPr>
        <w:autoSpaceDE w:val="0"/>
        <w:autoSpaceDN w:val="0"/>
        <w:spacing w:line="360" w:lineRule="auto"/>
        <w:ind w:firstLine="420" w:firstLineChars="200"/>
        <w:rPr>
          <w:rFonts w:ascii="Times New Roman" w:hAnsi="Times New Roman" w:cs="Cambria Math"/>
          <w:bCs/>
          <w:szCs w:val="18"/>
        </w:rPr>
        <w:sectPr>
          <w:pgSz w:w="11906" w:h="16838"/>
          <w:pgMar w:top="1440" w:right="1800" w:bottom="1440" w:left="1800" w:header="851" w:footer="992" w:gutter="0"/>
          <w:cols w:space="425" w:num="1"/>
          <w:docGrid w:type="lines" w:linePitch="312" w:charSpace="0"/>
        </w:sectPr>
      </w:pPr>
    </w:p>
    <w:p w14:paraId="6C2EBF2A">
      <w:pPr>
        <w:pStyle w:val="63"/>
        <w:outlineLvl w:val="1"/>
        <w:rPr>
          <w:rFonts w:hint="default"/>
          <w:b/>
          <w:sz w:val="28"/>
        </w:rPr>
      </w:pPr>
      <w:r>
        <w:rPr>
          <w:b/>
          <w:sz w:val="28"/>
        </w:rPr>
        <w:t>四、商务文件（如有）</w:t>
      </w:r>
    </w:p>
    <w:p w14:paraId="593FE82F">
      <w:pPr>
        <w:pStyle w:val="63"/>
        <w:rPr>
          <w:rFonts w:hint="default"/>
        </w:rPr>
      </w:pPr>
      <w:r>
        <w:t>（根据第四章内容提供相关材料）</w:t>
      </w:r>
    </w:p>
    <w:p w14:paraId="51ACE9DC">
      <w:pPr>
        <w:autoSpaceDE w:val="0"/>
        <w:autoSpaceDN w:val="0"/>
        <w:spacing w:line="360" w:lineRule="auto"/>
        <w:jc w:val="center"/>
        <w:rPr>
          <w:rFonts w:ascii="Times New Roman" w:hAnsi="Times New Roman" w:cs="Cambria Math"/>
          <w:b/>
          <w:bCs/>
          <w:sz w:val="28"/>
          <w:szCs w:val="18"/>
        </w:rPr>
      </w:pPr>
    </w:p>
    <w:p w14:paraId="1FE754E3">
      <w:pPr>
        <w:autoSpaceDE w:val="0"/>
        <w:autoSpaceDN w:val="0"/>
        <w:spacing w:line="360" w:lineRule="auto"/>
        <w:ind w:firstLine="420" w:firstLineChars="200"/>
        <w:rPr>
          <w:rFonts w:ascii="Times New Roman" w:hAnsi="Times New Roman" w:cs="Cambria Math"/>
          <w:bCs/>
          <w:szCs w:val="18"/>
        </w:rPr>
      </w:pPr>
      <w:r>
        <w:rPr>
          <w:rFonts w:ascii="Times New Roman" w:hAnsi="Times New Roman" w:cs="Cambria Math"/>
          <w:bCs/>
          <w:szCs w:val="18"/>
        </w:rPr>
        <w:br w:type="page"/>
      </w:r>
    </w:p>
    <w:p w14:paraId="445A3F46">
      <w:pPr>
        <w:autoSpaceDE w:val="0"/>
        <w:autoSpaceDN w:val="0"/>
        <w:spacing w:line="360" w:lineRule="auto"/>
        <w:jc w:val="center"/>
        <w:outlineLvl w:val="1"/>
        <w:rPr>
          <w:rFonts w:ascii="Times New Roman" w:hAnsi="Times New Roman" w:cs="Cambria Math"/>
          <w:b/>
          <w:bCs/>
          <w:sz w:val="28"/>
          <w:szCs w:val="18"/>
        </w:rPr>
      </w:pPr>
      <w:r>
        <w:rPr>
          <w:rFonts w:hint="eastAsia" w:ascii="Times New Roman" w:hAnsi="Times New Roman" w:cs="Cambria Math"/>
          <w:b/>
          <w:bCs/>
          <w:sz w:val="28"/>
          <w:szCs w:val="18"/>
        </w:rPr>
        <w:t>五</w:t>
      </w:r>
      <w:r>
        <w:rPr>
          <w:rFonts w:ascii="Times New Roman" w:hAnsi="Times New Roman" w:cs="Cambria Math"/>
          <w:b/>
          <w:bCs/>
          <w:sz w:val="28"/>
          <w:szCs w:val="18"/>
        </w:rPr>
        <w:t>、其他（如有）</w:t>
      </w:r>
    </w:p>
    <w:p w14:paraId="670007EC">
      <w:pPr>
        <w:autoSpaceDE w:val="0"/>
        <w:autoSpaceDN w:val="0"/>
        <w:spacing w:line="360" w:lineRule="auto"/>
        <w:ind w:firstLine="420" w:firstLineChars="200"/>
        <w:rPr>
          <w:rFonts w:ascii="Times New Roman" w:hAnsi="Times New Roman" w:cs="Cambria Math"/>
          <w:bCs/>
          <w:szCs w:val="18"/>
        </w:rPr>
      </w:pPr>
    </w:p>
    <w:p w14:paraId="1A918285">
      <w:pPr>
        <w:autoSpaceDE w:val="0"/>
        <w:autoSpaceDN w:val="0"/>
        <w:spacing w:line="360" w:lineRule="auto"/>
        <w:ind w:firstLine="420" w:firstLineChars="200"/>
        <w:rPr>
          <w:rFonts w:ascii="Times New Roman" w:hAnsi="Times New Roman" w:cs="Cambria Math"/>
          <w:bCs/>
          <w:szCs w:val="18"/>
        </w:rPr>
      </w:pPr>
    </w:p>
    <w:p w14:paraId="45384A76">
      <w:pPr>
        <w:spacing w:line="580" w:lineRule="exact"/>
        <w:jc w:val="left"/>
        <w:rPr>
          <w:rFonts w:ascii="Times New Roman" w:hAnsi="Times New Roman" w:eastAsia="方正仿宋_GBK" w:cs="Times New Roman"/>
          <w:sz w:val="32"/>
          <w:szCs w:val="32"/>
        </w:rPr>
      </w:pPr>
    </w:p>
    <w:sectPr>
      <w:footerReference r:id="rId4" w:type="default"/>
      <w:pgSz w:w="11906" w:h="16838"/>
      <w:pgMar w:top="1312" w:right="1800" w:bottom="1440" w:left="1800" w:header="779"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C50D">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661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56615" cy="139700"/>
                      </a:xfrm>
                      <a:prstGeom prst="rect">
                        <a:avLst/>
                      </a:prstGeom>
                      <a:noFill/>
                      <a:ln w="6350">
                        <a:noFill/>
                      </a:ln>
                      <a:effectLst/>
                    </wps:spPr>
                    <wps:txbx>
                      <w:txbxContent>
                        <w:p w14:paraId="5B73822E">
                          <w:pPr>
                            <w:pStyle w:val="17"/>
                            <w:ind w:firstLine="360"/>
                          </w:pPr>
                          <w:r>
                            <w:t>—</w:t>
                          </w:r>
                          <w:r>
                            <w:rPr>
                              <w:sz w:val="24"/>
                            </w:rPr>
                            <w:t>　</w:t>
                          </w:r>
                          <w:r>
                            <w:fldChar w:fldCharType="begin"/>
                          </w:r>
                          <w:r>
                            <w:instrText xml:space="preserve"> PAGE  \* MERGEFORMAT </w:instrText>
                          </w:r>
                          <w:r>
                            <w:fldChar w:fldCharType="separate"/>
                          </w:r>
                          <w:r>
                            <w:t>16</w:t>
                          </w:r>
                          <w:r>
                            <w:fldChar w:fldCharType="end"/>
                          </w:r>
                          <w:r>
                            <w:rPr>
                              <w:sz w:val="24"/>
                            </w:rPr>
                            <w:t>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67.45pt;mso-position-horizontal:center;mso-position-horizontal-relative:margin;mso-wrap-style:none;z-index:251659264;mso-width-relative:page;mso-height-relative:page;" filled="f" stroked="f" coordsize="21600,21600" o:gfxdata="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NKgjTAAAABAEAAA8AAAAAAAAAAQAgAAAAIgAAAGRycy9kb3ducmV2Lnht&#10;bFBLAQIUABQAAAAIAIdO4kA8XB5ANwIAAGEEAAAOAAAAAAAAAAEAIAAAACIBAABkcnMvZTJvRG9j&#10;LnhtbFBLBQYAAAAABgAGAFkBAADLBQAAAAA=&#10;">
              <v:fill on="f" focussize="0,0"/>
              <v:stroke on="f" weight="0.5pt"/>
              <v:imagedata o:title=""/>
              <o:lock v:ext="edit" aspectratio="f"/>
              <v:textbox inset="0mm,0mm,0mm,0mm" style="mso-fit-shape-to-text:t;">
                <w:txbxContent>
                  <w:p w14:paraId="5B73822E">
                    <w:pPr>
                      <w:pStyle w:val="17"/>
                      <w:ind w:firstLine="360"/>
                    </w:pPr>
                    <w:r>
                      <w:t>—</w:t>
                    </w:r>
                    <w:r>
                      <w:rPr>
                        <w:sz w:val="24"/>
                      </w:rPr>
                      <w:t>　</w:t>
                    </w:r>
                    <w:r>
                      <w:fldChar w:fldCharType="begin"/>
                    </w:r>
                    <w:r>
                      <w:instrText xml:space="preserve"> PAGE  \* MERGEFORMAT </w:instrText>
                    </w:r>
                    <w:r>
                      <w:fldChar w:fldCharType="separate"/>
                    </w:r>
                    <w:r>
                      <w:t>16</w:t>
                    </w:r>
                    <w:r>
                      <w:fldChar w:fldCharType="end"/>
                    </w:r>
                    <w:r>
                      <w:rPr>
                        <w:sz w:val="24"/>
                      </w:rPr>
                      <w:t>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6E12">
    <w:pPr>
      <w:pStyle w:val="17"/>
      <w:jc w:val="cente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33</w:t>
    </w:r>
    <w:r>
      <w:rPr>
        <w:rFonts w:ascii="Times New Roman" w:hAnsi="Times New Roman" w:cs="Times New Roman"/>
        <w:sz w:val="24"/>
      </w:rPr>
      <w:fldChar w:fldCharType="end"/>
    </w:r>
  </w:p>
  <w:p w14:paraId="1A83C70E">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51"/>
    <w:rsid w:val="000050E2"/>
    <w:rsid w:val="00010AE4"/>
    <w:rsid w:val="00030AE0"/>
    <w:rsid w:val="000635FB"/>
    <w:rsid w:val="0009259F"/>
    <w:rsid w:val="00094C16"/>
    <w:rsid w:val="000C0585"/>
    <w:rsid w:val="000F3214"/>
    <w:rsid w:val="001552A9"/>
    <w:rsid w:val="001A257A"/>
    <w:rsid w:val="001F02D1"/>
    <w:rsid w:val="002140C1"/>
    <w:rsid w:val="00220EC7"/>
    <w:rsid w:val="0023538A"/>
    <w:rsid w:val="00260351"/>
    <w:rsid w:val="002606CD"/>
    <w:rsid w:val="00262D55"/>
    <w:rsid w:val="002A47BA"/>
    <w:rsid w:val="002B77DC"/>
    <w:rsid w:val="002F6C67"/>
    <w:rsid w:val="00313D9A"/>
    <w:rsid w:val="00320472"/>
    <w:rsid w:val="0032340C"/>
    <w:rsid w:val="003739B1"/>
    <w:rsid w:val="003C6D8F"/>
    <w:rsid w:val="003D33F0"/>
    <w:rsid w:val="003F0D73"/>
    <w:rsid w:val="00444F62"/>
    <w:rsid w:val="00460992"/>
    <w:rsid w:val="00472A90"/>
    <w:rsid w:val="00490778"/>
    <w:rsid w:val="00493D2B"/>
    <w:rsid w:val="00497248"/>
    <w:rsid w:val="005066E8"/>
    <w:rsid w:val="0055138A"/>
    <w:rsid w:val="005D6203"/>
    <w:rsid w:val="005D67A3"/>
    <w:rsid w:val="005E50C0"/>
    <w:rsid w:val="0062588E"/>
    <w:rsid w:val="006464BB"/>
    <w:rsid w:val="006825E3"/>
    <w:rsid w:val="007C4118"/>
    <w:rsid w:val="007D6D47"/>
    <w:rsid w:val="007E23DB"/>
    <w:rsid w:val="007E5D16"/>
    <w:rsid w:val="0080614E"/>
    <w:rsid w:val="008277F8"/>
    <w:rsid w:val="00894E07"/>
    <w:rsid w:val="00900AE3"/>
    <w:rsid w:val="0092286A"/>
    <w:rsid w:val="009721BA"/>
    <w:rsid w:val="009D1364"/>
    <w:rsid w:val="009E375C"/>
    <w:rsid w:val="00A21C84"/>
    <w:rsid w:val="00A42E8F"/>
    <w:rsid w:val="00B116F5"/>
    <w:rsid w:val="00B1785A"/>
    <w:rsid w:val="00B659F4"/>
    <w:rsid w:val="00BD2500"/>
    <w:rsid w:val="00BE5F1E"/>
    <w:rsid w:val="00BF4518"/>
    <w:rsid w:val="00C7155D"/>
    <w:rsid w:val="00C841B5"/>
    <w:rsid w:val="00D04CB8"/>
    <w:rsid w:val="00D41C53"/>
    <w:rsid w:val="00D4743D"/>
    <w:rsid w:val="00D51194"/>
    <w:rsid w:val="00DA147A"/>
    <w:rsid w:val="00DB6EDF"/>
    <w:rsid w:val="00DC07AF"/>
    <w:rsid w:val="00DF6273"/>
    <w:rsid w:val="00E111DB"/>
    <w:rsid w:val="00E42A4F"/>
    <w:rsid w:val="00E635C8"/>
    <w:rsid w:val="00E64EBA"/>
    <w:rsid w:val="00E71D7F"/>
    <w:rsid w:val="00EE7548"/>
    <w:rsid w:val="00EF591A"/>
    <w:rsid w:val="00F21BE3"/>
    <w:rsid w:val="00F74551"/>
    <w:rsid w:val="00FF145A"/>
    <w:rsid w:val="02E1704B"/>
    <w:rsid w:val="05087E50"/>
    <w:rsid w:val="0DB37F58"/>
    <w:rsid w:val="11AD6CE7"/>
    <w:rsid w:val="11B809F4"/>
    <w:rsid w:val="126D6927"/>
    <w:rsid w:val="17E27541"/>
    <w:rsid w:val="1B750E05"/>
    <w:rsid w:val="202F017A"/>
    <w:rsid w:val="22703D10"/>
    <w:rsid w:val="246B6C45"/>
    <w:rsid w:val="24DA5E4A"/>
    <w:rsid w:val="253C76A7"/>
    <w:rsid w:val="26E03714"/>
    <w:rsid w:val="289C5AAF"/>
    <w:rsid w:val="2BD8717A"/>
    <w:rsid w:val="32A23F73"/>
    <w:rsid w:val="34E27548"/>
    <w:rsid w:val="34EE76E2"/>
    <w:rsid w:val="36EA16C0"/>
    <w:rsid w:val="3A3D5ABB"/>
    <w:rsid w:val="3C2B58A5"/>
    <w:rsid w:val="3D177580"/>
    <w:rsid w:val="3D6804EB"/>
    <w:rsid w:val="3DFC3A50"/>
    <w:rsid w:val="3E50768A"/>
    <w:rsid w:val="42A16D5F"/>
    <w:rsid w:val="465A3ECD"/>
    <w:rsid w:val="4DAB5178"/>
    <w:rsid w:val="4EBE7F2F"/>
    <w:rsid w:val="4F0973FC"/>
    <w:rsid w:val="564C5295"/>
    <w:rsid w:val="5706196A"/>
    <w:rsid w:val="5CEB2156"/>
    <w:rsid w:val="5F6B5569"/>
    <w:rsid w:val="648B04DE"/>
    <w:rsid w:val="65AD6267"/>
    <w:rsid w:val="66D77B1B"/>
    <w:rsid w:val="67503745"/>
    <w:rsid w:val="691C4781"/>
    <w:rsid w:val="6B105EB6"/>
    <w:rsid w:val="710F7C5C"/>
    <w:rsid w:val="71D84CE0"/>
    <w:rsid w:val="73535858"/>
    <w:rsid w:val="75040C3F"/>
    <w:rsid w:val="75E579CC"/>
    <w:rsid w:val="77513458"/>
    <w:rsid w:val="77881646"/>
    <w:rsid w:val="7A1B7E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qFormat/>
    <w:uiPriority w:val="0"/>
    <w:pPr>
      <w:autoSpaceDE w:val="0"/>
      <w:autoSpaceDN w:val="0"/>
      <w:spacing w:line="360" w:lineRule="auto"/>
      <w:ind w:firstLine="1044" w:firstLineChars="200"/>
      <w:outlineLvl w:val="3"/>
    </w:pPr>
    <w:rPr>
      <w:rFonts w:ascii="Times New Roman" w:hAnsi="Times New Roman" w:cs="Times New Roman"/>
      <w:bCs/>
      <w:szCs w:val="28"/>
    </w:rPr>
  </w:style>
  <w:style w:type="paragraph" w:styleId="6">
    <w:name w:val="heading 5"/>
    <w:basedOn w:val="1"/>
    <w:next w:val="1"/>
    <w:link w:val="55"/>
    <w:autoRedefine/>
    <w:unhideWhenUsed/>
    <w:qFormat/>
    <w:uiPriority w:val="0"/>
    <w:pPr>
      <w:autoSpaceDE w:val="0"/>
      <w:autoSpaceDN w:val="0"/>
      <w:spacing w:line="360" w:lineRule="auto"/>
      <w:jc w:val="center"/>
      <w:outlineLvl w:val="4"/>
    </w:pPr>
    <w:rPr>
      <w:rFonts w:ascii="Times New Roman" w:hAnsi="Times New Roman" w:cs="Cambria Math"/>
      <w:b/>
      <w:bCs/>
      <w:sz w:val="28"/>
      <w:szCs w:val="18"/>
    </w:rPr>
  </w:style>
  <w:style w:type="paragraph" w:styleId="7">
    <w:name w:val="heading 6"/>
    <w:basedOn w:val="1"/>
    <w:next w:val="1"/>
    <w:link w:val="33"/>
    <w:autoRedefine/>
    <w:unhideWhenUsed/>
    <w:qFormat/>
    <w:uiPriority w:val="0"/>
    <w:pPr>
      <w:keepNext/>
      <w:keepLines/>
      <w:autoSpaceDE w:val="0"/>
      <w:autoSpaceDN w:val="0"/>
      <w:spacing w:line="317" w:lineRule="auto"/>
      <w:ind w:firstLine="420" w:firstLineChars="200"/>
      <w:outlineLvl w:val="5"/>
    </w:pPr>
    <w:rPr>
      <w:rFonts w:ascii="Times New Roman" w:hAnsi="Times New Roman" w:eastAsia="黑体" w:cs="Cambria Math"/>
      <w:b/>
      <w:bCs/>
      <w:szCs w:val="18"/>
    </w:rPr>
  </w:style>
  <w:style w:type="paragraph" w:styleId="8">
    <w:name w:val="heading 7"/>
    <w:basedOn w:val="1"/>
    <w:next w:val="1"/>
    <w:link w:val="34"/>
    <w:semiHidden/>
    <w:unhideWhenUsed/>
    <w:qFormat/>
    <w:uiPriority w:val="0"/>
    <w:pPr>
      <w:keepNext/>
      <w:keepLines/>
      <w:autoSpaceDE w:val="0"/>
      <w:autoSpaceDN w:val="0"/>
      <w:spacing w:line="317" w:lineRule="auto"/>
      <w:ind w:firstLine="420" w:firstLineChars="200"/>
      <w:outlineLvl w:val="6"/>
    </w:pPr>
    <w:rPr>
      <w:rFonts w:ascii="Times New Roman" w:hAnsi="Times New Roman" w:cs="Cambria Math"/>
      <w:b/>
      <w:bCs/>
      <w:szCs w:val="1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Document Map"/>
    <w:basedOn w:val="1"/>
    <w:qFormat/>
    <w:uiPriority w:val="0"/>
    <w:rPr>
      <w:rFonts w:ascii="宋体"/>
      <w:sz w:val="18"/>
      <w:szCs w:val="18"/>
    </w:rPr>
  </w:style>
  <w:style w:type="paragraph" w:styleId="10">
    <w:name w:val="annotation text"/>
    <w:basedOn w:val="1"/>
    <w:link w:val="35"/>
    <w:qFormat/>
    <w:uiPriority w:val="0"/>
    <w:pPr>
      <w:autoSpaceDE w:val="0"/>
      <w:autoSpaceDN w:val="0"/>
      <w:spacing w:line="360" w:lineRule="auto"/>
      <w:ind w:firstLine="420" w:firstLineChars="200"/>
      <w:jc w:val="left"/>
    </w:pPr>
    <w:rPr>
      <w:rFonts w:ascii="Times New Roman" w:hAnsi="Times New Roman" w:cs="Cambria Math"/>
      <w:bCs/>
      <w:szCs w:val="18"/>
    </w:rPr>
  </w:style>
  <w:style w:type="paragraph" w:styleId="11">
    <w:name w:val="Body Text"/>
    <w:basedOn w:val="1"/>
    <w:link w:val="36"/>
    <w:qFormat/>
    <w:uiPriority w:val="0"/>
    <w:pPr>
      <w:autoSpaceDE w:val="0"/>
      <w:autoSpaceDN w:val="0"/>
      <w:spacing w:line="360" w:lineRule="auto"/>
      <w:ind w:firstLine="420" w:firstLineChars="200"/>
    </w:pPr>
    <w:rPr>
      <w:rFonts w:ascii="Times New Roman" w:hAnsi="Times New Roman" w:cs="Cambria Math"/>
      <w:bCs/>
      <w:szCs w:val="18"/>
    </w:rPr>
  </w:style>
  <w:style w:type="paragraph" w:styleId="12">
    <w:name w:val="Body Text Indent"/>
    <w:basedOn w:val="1"/>
    <w:next w:val="13"/>
    <w:link w:val="37"/>
    <w:qFormat/>
    <w:uiPriority w:val="0"/>
    <w:pPr>
      <w:autoSpaceDE w:val="0"/>
      <w:autoSpaceDN w:val="0"/>
      <w:spacing w:line="360" w:lineRule="auto"/>
      <w:ind w:firstLine="200" w:firstLineChars="200"/>
    </w:pPr>
    <w:rPr>
      <w:rFonts w:ascii="黑体" w:hAnsi="Times New Roman" w:eastAsia="黑体" w:cs="Cambria Math"/>
      <w:bCs/>
      <w:color w:val="000000"/>
      <w:kern w:val="0"/>
      <w:sz w:val="32"/>
      <w:szCs w:val="32"/>
    </w:rPr>
  </w:style>
  <w:style w:type="paragraph" w:styleId="13">
    <w:name w:val="annotation subject"/>
    <w:basedOn w:val="1"/>
    <w:next w:val="1"/>
    <w:link w:val="38"/>
    <w:qFormat/>
    <w:uiPriority w:val="0"/>
    <w:pPr>
      <w:autoSpaceDE w:val="0"/>
      <w:autoSpaceDN w:val="0"/>
      <w:spacing w:after="160" w:line="600" w:lineRule="exact"/>
      <w:ind w:firstLine="200" w:firstLineChars="200"/>
      <w:jc w:val="left"/>
    </w:pPr>
    <w:rPr>
      <w:rFonts w:ascii="Cambria Math" w:hAnsi="Cambria Math" w:cs="Cambria Math"/>
      <w:b/>
      <w:bCs/>
      <w:sz w:val="24"/>
      <w:szCs w:val="20"/>
    </w:rPr>
  </w:style>
  <w:style w:type="paragraph" w:styleId="14">
    <w:name w:val="Plain Text"/>
    <w:basedOn w:val="1"/>
    <w:next w:val="1"/>
    <w:link w:val="39"/>
    <w:qFormat/>
    <w:uiPriority w:val="0"/>
    <w:pPr>
      <w:autoSpaceDE w:val="0"/>
      <w:autoSpaceDN w:val="0"/>
      <w:spacing w:line="360" w:lineRule="auto"/>
      <w:ind w:firstLine="420" w:firstLineChars="200"/>
    </w:pPr>
    <w:rPr>
      <w:rFonts w:ascii="宋体" w:hAnsi="Times New Roman" w:cs="Cambria Math"/>
      <w:bCs/>
      <w:kern w:val="0"/>
      <w:sz w:val="28"/>
      <w:szCs w:val="28"/>
    </w:rPr>
  </w:style>
  <w:style w:type="paragraph" w:styleId="15">
    <w:name w:val="Date"/>
    <w:basedOn w:val="1"/>
    <w:next w:val="1"/>
    <w:qFormat/>
    <w:uiPriority w:val="0"/>
    <w:pPr>
      <w:ind w:left="2500" w:leftChars="2500"/>
    </w:pPr>
  </w:style>
  <w:style w:type="paragraph" w:styleId="16">
    <w:name w:val="Balloon Text"/>
    <w:basedOn w:val="1"/>
    <w:link w:val="6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Subtitle"/>
    <w:basedOn w:val="1"/>
    <w:link w:val="40"/>
    <w:autoRedefine/>
    <w:qFormat/>
    <w:uiPriority w:val="0"/>
    <w:pPr>
      <w:autoSpaceDE w:val="0"/>
      <w:autoSpaceDN w:val="0"/>
      <w:spacing w:line="312" w:lineRule="auto"/>
      <w:ind w:firstLine="420" w:firstLineChars="200"/>
      <w:jc w:val="center"/>
      <w:outlineLvl w:val="1"/>
    </w:pPr>
    <w:rPr>
      <w:rFonts w:ascii="Arial" w:hAnsi="Arial" w:cs="Cambria Math"/>
      <w:b/>
      <w:bCs/>
      <w:kern w:val="28"/>
      <w:sz w:val="32"/>
      <w:szCs w:val="18"/>
    </w:rPr>
  </w:style>
  <w:style w:type="paragraph" w:styleId="21">
    <w:name w:val="toc 2"/>
    <w:basedOn w:val="1"/>
    <w:next w:val="1"/>
    <w:autoRedefine/>
    <w:qFormat/>
    <w:uiPriority w:val="0"/>
    <w:pPr>
      <w:ind w:left="200" w:leftChars="200"/>
    </w:pPr>
  </w:style>
  <w:style w:type="paragraph" w:styleId="22">
    <w:name w:val="Normal (Web)"/>
    <w:basedOn w:val="1"/>
    <w:semiHidden/>
    <w:unhideWhenUsed/>
    <w:qFormat/>
    <w:uiPriority w:val="99"/>
    <w:pPr>
      <w:spacing w:beforeAutospacing="1" w:afterAutospacing="1"/>
      <w:jc w:val="left"/>
    </w:pPr>
    <w:rPr>
      <w:rFonts w:cs="Times New Roman"/>
      <w:kern w:val="0"/>
      <w:sz w:val="24"/>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qFormat/>
    <w:uiPriority w:val="0"/>
    <w:rPr>
      <w:color w:val="0000FF"/>
      <w:u w:val="single"/>
    </w:rPr>
  </w:style>
  <w:style w:type="character" w:styleId="27">
    <w:name w:val="annotation reference"/>
    <w:basedOn w:val="25"/>
    <w:qFormat/>
    <w:uiPriority w:val="0"/>
    <w:rPr>
      <w:sz w:val="21"/>
      <w:szCs w:val="21"/>
    </w:rPr>
  </w:style>
  <w:style w:type="character" w:customStyle="1" w:styleId="28">
    <w:name w:val="标题 2 Char"/>
    <w:basedOn w:val="25"/>
    <w:link w:val="3"/>
    <w:qFormat/>
    <w:uiPriority w:val="9"/>
    <w:rPr>
      <w:rFonts w:asciiTheme="majorHAnsi" w:hAnsiTheme="majorHAnsi" w:eastAsiaTheme="majorEastAsia" w:cstheme="majorBidi"/>
      <w:b/>
      <w:bCs/>
      <w:kern w:val="2"/>
      <w:sz w:val="32"/>
      <w:szCs w:val="32"/>
    </w:rPr>
  </w:style>
  <w:style w:type="character" w:customStyle="1" w:styleId="29">
    <w:name w:val="标题 3 Char"/>
    <w:basedOn w:val="25"/>
    <w:link w:val="4"/>
    <w:qFormat/>
    <w:uiPriority w:val="9"/>
    <w:rPr>
      <w:rFonts w:ascii="Calibri" w:hAnsi="Calibri" w:cs="Arial"/>
      <w:b/>
      <w:bCs/>
      <w:kern w:val="2"/>
      <w:sz w:val="32"/>
      <w:szCs w:val="32"/>
    </w:rPr>
  </w:style>
  <w:style w:type="paragraph" w:customStyle="1" w:styleId="30">
    <w:name w:val="标题前缀"/>
    <w:basedOn w:val="1"/>
    <w:qFormat/>
    <w:uiPriority w:val="0"/>
    <w:pPr>
      <w:spacing w:beforeLines="50" w:line="600" w:lineRule="exact"/>
      <w:ind w:right="12" w:rightChars="12"/>
      <w:jc w:val="center"/>
    </w:pPr>
    <w:rPr>
      <w:rFonts w:ascii="方正小标宋简体" w:eastAsia="方正小标宋简体" w:cs="Times New Roman"/>
      <w:sz w:val="44"/>
      <w:szCs w:val="44"/>
    </w:rPr>
  </w:style>
  <w:style w:type="character" w:customStyle="1" w:styleId="31">
    <w:name w:val="标题 4 Char"/>
    <w:basedOn w:val="25"/>
    <w:qFormat/>
    <w:uiPriority w:val="0"/>
    <w:rPr>
      <w:rFonts w:asciiTheme="majorHAnsi" w:hAnsiTheme="majorHAnsi" w:eastAsiaTheme="majorEastAsia" w:cstheme="majorBidi"/>
      <w:b/>
      <w:bCs/>
      <w:kern w:val="2"/>
      <w:sz w:val="28"/>
      <w:szCs w:val="28"/>
    </w:rPr>
  </w:style>
  <w:style w:type="character" w:customStyle="1" w:styleId="32">
    <w:name w:val="标题 5 Char"/>
    <w:basedOn w:val="25"/>
    <w:qFormat/>
    <w:uiPriority w:val="0"/>
    <w:rPr>
      <w:rFonts w:ascii="Calibri" w:hAnsi="Calibri" w:cs="Arial"/>
      <w:b/>
      <w:bCs/>
      <w:kern w:val="2"/>
      <w:sz w:val="28"/>
      <w:szCs w:val="28"/>
    </w:rPr>
  </w:style>
  <w:style w:type="character" w:customStyle="1" w:styleId="33">
    <w:name w:val="标题 6 Char"/>
    <w:basedOn w:val="25"/>
    <w:link w:val="7"/>
    <w:qFormat/>
    <w:uiPriority w:val="0"/>
    <w:rPr>
      <w:rFonts w:eastAsia="黑体" w:cs="Cambria Math"/>
      <w:b/>
      <w:bCs/>
      <w:kern w:val="2"/>
      <w:sz w:val="21"/>
      <w:szCs w:val="18"/>
    </w:rPr>
  </w:style>
  <w:style w:type="character" w:customStyle="1" w:styleId="34">
    <w:name w:val="标题 7 Char"/>
    <w:basedOn w:val="25"/>
    <w:link w:val="8"/>
    <w:semiHidden/>
    <w:qFormat/>
    <w:uiPriority w:val="0"/>
    <w:rPr>
      <w:rFonts w:cs="Cambria Math"/>
      <w:b/>
      <w:bCs/>
      <w:kern w:val="2"/>
      <w:sz w:val="21"/>
      <w:szCs w:val="18"/>
    </w:rPr>
  </w:style>
  <w:style w:type="character" w:customStyle="1" w:styleId="35">
    <w:name w:val="批注文字 Char"/>
    <w:basedOn w:val="25"/>
    <w:link w:val="10"/>
    <w:qFormat/>
    <w:uiPriority w:val="0"/>
    <w:rPr>
      <w:rFonts w:cs="Cambria Math"/>
      <w:bCs/>
      <w:kern w:val="2"/>
      <w:sz w:val="21"/>
      <w:szCs w:val="18"/>
    </w:rPr>
  </w:style>
  <w:style w:type="character" w:customStyle="1" w:styleId="36">
    <w:name w:val="正文文本 Char"/>
    <w:basedOn w:val="25"/>
    <w:link w:val="11"/>
    <w:qFormat/>
    <w:uiPriority w:val="0"/>
    <w:rPr>
      <w:rFonts w:cs="Cambria Math"/>
      <w:bCs/>
      <w:kern w:val="2"/>
      <w:sz w:val="21"/>
      <w:szCs w:val="18"/>
    </w:rPr>
  </w:style>
  <w:style w:type="character" w:customStyle="1" w:styleId="37">
    <w:name w:val="正文文本缩进 Char"/>
    <w:basedOn w:val="25"/>
    <w:link w:val="12"/>
    <w:qFormat/>
    <w:uiPriority w:val="0"/>
    <w:rPr>
      <w:rFonts w:ascii="黑体" w:eastAsia="黑体" w:cs="Cambria Math"/>
      <w:bCs/>
      <w:color w:val="000000"/>
      <w:sz w:val="32"/>
      <w:szCs w:val="32"/>
    </w:rPr>
  </w:style>
  <w:style w:type="character" w:customStyle="1" w:styleId="38">
    <w:name w:val="批注主题 Char"/>
    <w:basedOn w:val="35"/>
    <w:link w:val="13"/>
    <w:qFormat/>
    <w:uiPriority w:val="0"/>
    <w:rPr>
      <w:rFonts w:ascii="Cambria Math" w:hAnsi="Cambria Math" w:cs="Cambria Math"/>
      <w:b/>
      <w:kern w:val="2"/>
      <w:sz w:val="24"/>
      <w:szCs w:val="18"/>
    </w:rPr>
  </w:style>
  <w:style w:type="character" w:customStyle="1" w:styleId="39">
    <w:name w:val="纯文本 Char"/>
    <w:basedOn w:val="25"/>
    <w:link w:val="14"/>
    <w:qFormat/>
    <w:uiPriority w:val="0"/>
    <w:rPr>
      <w:rFonts w:ascii="宋体" w:cs="Cambria Math"/>
      <w:bCs/>
      <w:sz w:val="28"/>
      <w:szCs w:val="28"/>
    </w:rPr>
  </w:style>
  <w:style w:type="character" w:customStyle="1" w:styleId="40">
    <w:name w:val="副标题 Char"/>
    <w:basedOn w:val="25"/>
    <w:link w:val="20"/>
    <w:qFormat/>
    <w:uiPriority w:val="0"/>
    <w:rPr>
      <w:rFonts w:ascii="Arial" w:hAnsi="Arial" w:cs="Cambria Math"/>
      <w:b/>
      <w:bCs/>
      <w:kern w:val="28"/>
      <w:sz w:val="32"/>
      <w:szCs w:val="18"/>
    </w:rPr>
  </w:style>
  <w:style w:type="character" w:customStyle="1" w:styleId="41">
    <w:name w:val="标题 1 Char"/>
    <w:basedOn w:val="25"/>
    <w:autoRedefine/>
    <w:qFormat/>
    <w:uiPriority w:val="0"/>
    <w:rPr>
      <w:rFonts w:ascii="Times New Roman" w:hAnsi="Times New Roman" w:eastAsia="宋体" w:cs="等线 Light"/>
      <w:b/>
      <w:snapToGrid w:val="0"/>
      <w:kern w:val="0"/>
      <w:sz w:val="44"/>
      <w:szCs w:val="44"/>
    </w:rPr>
  </w:style>
  <w:style w:type="table" w:customStyle="1" w:styleId="42">
    <w:name w:val="网格型5"/>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参选文件格式1"/>
    <w:basedOn w:val="1"/>
    <w:next w:val="1"/>
    <w:link w:val="47"/>
    <w:autoRedefine/>
    <w:qFormat/>
    <w:locked/>
    <w:uiPriority w:val="0"/>
    <w:pPr>
      <w:autoSpaceDE w:val="0"/>
      <w:autoSpaceDN w:val="0"/>
      <w:spacing w:line="360" w:lineRule="auto"/>
      <w:jc w:val="center"/>
      <w:outlineLvl w:val="1"/>
    </w:pPr>
    <w:rPr>
      <w:rFonts w:ascii="Times New Roman" w:hAnsi="Times New Roman" w:cs="Cambria Math"/>
      <w:b/>
      <w:bCs/>
      <w:sz w:val="28"/>
      <w:szCs w:val="18"/>
    </w:rPr>
  </w:style>
  <w:style w:type="paragraph" w:customStyle="1" w:styleId="44">
    <w:name w:val="参选文件格式2"/>
    <w:basedOn w:val="1"/>
    <w:next w:val="1"/>
    <w:link w:val="48"/>
    <w:autoRedefine/>
    <w:qFormat/>
    <w:locked/>
    <w:uiPriority w:val="0"/>
    <w:pPr>
      <w:autoSpaceDE w:val="0"/>
      <w:autoSpaceDN w:val="0"/>
      <w:spacing w:line="360" w:lineRule="auto"/>
      <w:jc w:val="center"/>
      <w:outlineLvl w:val="2"/>
    </w:pPr>
    <w:rPr>
      <w:rFonts w:ascii="Times New Roman" w:hAnsi="Times New Roman" w:cs="Cambria Math"/>
      <w:bCs/>
      <w:szCs w:val="32"/>
    </w:rPr>
  </w:style>
  <w:style w:type="paragraph" w:customStyle="1" w:styleId="45">
    <w:name w:val="参选文件格式3"/>
    <w:basedOn w:val="1"/>
    <w:link w:val="46"/>
    <w:autoRedefine/>
    <w:qFormat/>
    <w:locked/>
    <w:uiPriority w:val="0"/>
    <w:pPr>
      <w:tabs>
        <w:tab w:val="left" w:pos="6300"/>
      </w:tabs>
      <w:autoSpaceDE w:val="0"/>
      <w:autoSpaceDN w:val="0"/>
      <w:snapToGrid w:val="0"/>
      <w:spacing w:line="600" w:lineRule="exact"/>
      <w:jc w:val="center"/>
    </w:pPr>
    <w:rPr>
      <w:rFonts w:ascii="宋体" w:hAnsi="宋体" w:cs="Cambria Math"/>
      <w:b/>
      <w:bCs/>
      <w:snapToGrid w:val="0"/>
      <w:kern w:val="0"/>
      <w:szCs w:val="18"/>
    </w:rPr>
  </w:style>
  <w:style w:type="character" w:customStyle="1" w:styleId="46">
    <w:name w:val="参选文件格式3 Char"/>
    <w:link w:val="45"/>
    <w:autoRedefine/>
    <w:qFormat/>
    <w:uiPriority w:val="0"/>
    <w:rPr>
      <w:rFonts w:ascii="宋体" w:hAnsi="宋体" w:cs="Cambria Math"/>
      <w:b/>
      <w:bCs/>
      <w:snapToGrid w:val="0"/>
      <w:sz w:val="21"/>
      <w:szCs w:val="18"/>
    </w:rPr>
  </w:style>
  <w:style w:type="character" w:customStyle="1" w:styleId="47">
    <w:name w:val="参选文件格式1 Char"/>
    <w:link w:val="43"/>
    <w:autoRedefine/>
    <w:qFormat/>
    <w:uiPriority w:val="0"/>
    <w:rPr>
      <w:rFonts w:cs="Cambria Math"/>
      <w:b/>
      <w:bCs/>
      <w:kern w:val="2"/>
      <w:sz w:val="28"/>
      <w:szCs w:val="18"/>
    </w:rPr>
  </w:style>
  <w:style w:type="character" w:customStyle="1" w:styleId="48">
    <w:name w:val="参选文件格式2 Char"/>
    <w:link w:val="44"/>
    <w:autoRedefine/>
    <w:qFormat/>
    <w:uiPriority w:val="0"/>
    <w:rPr>
      <w:rFonts w:cs="Cambria Math"/>
      <w:bCs/>
      <w:kern w:val="2"/>
      <w:sz w:val="21"/>
      <w:szCs w:val="32"/>
    </w:rPr>
  </w:style>
  <w:style w:type="character" w:customStyle="1" w:styleId="49">
    <w:name w:val="标题 4 字符"/>
    <w:autoRedefine/>
    <w:qFormat/>
    <w:uiPriority w:val="0"/>
    <w:rPr>
      <w:rFonts w:cs="Times New Roman"/>
      <w:bCs/>
      <w:szCs w:val="28"/>
    </w:rPr>
  </w:style>
  <w:style w:type="paragraph" w:customStyle="1" w:styleId="50">
    <w:name w:val="表格"/>
    <w:basedOn w:val="1"/>
    <w:qFormat/>
    <w:locked/>
    <w:uiPriority w:val="0"/>
    <w:pPr>
      <w:autoSpaceDE w:val="0"/>
      <w:autoSpaceDN w:val="0"/>
    </w:pPr>
    <w:rPr>
      <w:rFonts w:ascii="Times New Roman" w:hAnsi="Times New Roman" w:cs="Cambria Math"/>
      <w:bCs/>
      <w:szCs w:val="18"/>
    </w:rPr>
  </w:style>
  <w:style w:type="character" w:customStyle="1" w:styleId="51">
    <w:name w:val="标题 1 Char1"/>
    <w:link w:val="2"/>
    <w:autoRedefine/>
    <w:qFormat/>
    <w:uiPriority w:val="0"/>
    <w:rPr>
      <w:rFonts w:ascii="Calibri" w:hAnsi="Calibri" w:cs="Arial"/>
      <w:b/>
      <w:bCs/>
      <w:kern w:val="44"/>
      <w:sz w:val="44"/>
      <w:szCs w:val="44"/>
    </w:rPr>
  </w:style>
  <w:style w:type="character" w:customStyle="1" w:styleId="52">
    <w:name w:val="标题 2 Char1"/>
    <w:autoRedefine/>
    <w:qFormat/>
    <w:uiPriority w:val="0"/>
    <w:rPr>
      <w:rFonts w:ascii="Times New Roman" w:hAnsi="Times New Roman" w:eastAsia="宋体" w:cstheme="majorBidi"/>
      <w:b/>
      <w:bCs/>
      <w:snapToGrid w:val="0"/>
      <w:szCs w:val="24"/>
    </w:rPr>
  </w:style>
  <w:style w:type="character" w:customStyle="1" w:styleId="53">
    <w:name w:val="标题 3 Char1"/>
    <w:autoRedefine/>
    <w:qFormat/>
    <w:uiPriority w:val="0"/>
    <w:rPr>
      <w:b/>
      <w:bCs/>
      <w:szCs w:val="32"/>
    </w:rPr>
  </w:style>
  <w:style w:type="character" w:customStyle="1" w:styleId="54">
    <w:name w:val="标题 4 Char1"/>
    <w:link w:val="5"/>
    <w:autoRedefine/>
    <w:qFormat/>
    <w:uiPriority w:val="0"/>
    <w:rPr>
      <w:bCs/>
      <w:kern w:val="2"/>
      <w:sz w:val="21"/>
      <w:szCs w:val="28"/>
    </w:rPr>
  </w:style>
  <w:style w:type="character" w:customStyle="1" w:styleId="55">
    <w:name w:val="标题 5 Char1"/>
    <w:link w:val="6"/>
    <w:autoRedefine/>
    <w:qFormat/>
    <w:uiPriority w:val="0"/>
    <w:rPr>
      <w:rFonts w:cs="Cambria Math"/>
      <w:b/>
      <w:bCs/>
      <w:kern w:val="2"/>
      <w:sz w:val="28"/>
      <w:szCs w:val="18"/>
    </w:rPr>
  </w:style>
  <w:style w:type="paragraph" w:customStyle="1" w:styleId="56">
    <w:name w:val="表格（标题）"/>
    <w:basedOn w:val="1"/>
    <w:qFormat/>
    <w:locked/>
    <w:uiPriority w:val="0"/>
    <w:pPr>
      <w:autoSpaceDE w:val="0"/>
      <w:autoSpaceDN w:val="0"/>
      <w:jc w:val="center"/>
    </w:pPr>
    <w:rPr>
      <w:rFonts w:ascii="Times New Roman" w:hAnsi="Times New Roman" w:cs="Cambria Math"/>
      <w:b/>
      <w:bCs/>
      <w:szCs w:val="18"/>
    </w:rPr>
  </w:style>
  <w:style w:type="paragraph" w:customStyle="1" w:styleId="57">
    <w:name w:val="标题2（无级别）"/>
    <w:basedOn w:val="1"/>
    <w:next w:val="1"/>
    <w:link w:val="59"/>
    <w:qFormat/>
    <w:locked/>
    <w:uiPriority w:val="0"/>
    <w:pPr>
      <w:autoSpaceDE w:val="0"/>
      <w:autoSpaceDN w:val="0"/>
      <w:spacing w:line="360" w:lineRule="auto"/>
    </w:pPr>
    <w:rPr>
      <w:rFonts w:ascii="Times New Roman" w:hAnsi="Times New Roman" w:cstheme="majorBidi"/>
      <w:b/>
      <w:bCs/>
      <w:snapToGrid w:val="0"/>
      <w:szCs w:val="24"/>
    </w:rPr>
  </w:style>
  <w:style w:type="paragraph" w:customStyle="1" w:styleId="58">
    <w:name w:val="标题3（无级别）"/>
    <w:basedOn w:val="1"/>
    <w:next w:val="1"/>
    <w:qFormat/>
    <w:locked/>
    <w:uiPriority w:val="0"/>
    <w:pPr>
      <w:autoSpaceDE w:val="0"/>
      <w:autoSpaceDN w:val="0"/>
      <w:spacing w:line="360" w:lineRule="auto"/>
      <w:ind w:firstLine="420" w:firstLineChars="200"/>
    </w:pPr>
    <w:rPr>
      <w:rFonts w:hint="eastAsia" w:ascii="Times New Roman" w:hAnsi="Times New Roman" w:cs="Cambria Math"/>
      <w:b/>
      <w:bCs/>
      <w:szCs w:val="32"/>
    </w:rPr>
  </w:style>
  <w:style w:type="character" w:customStyle="1" w:styleId="59">
    <w:name w:val="标题2（无级别） Char"/>
    <w:link w:val="57"/>
    <w:qFormat/>
    <w:uiPriority w:val="0"/>
    <w:rPr>
      <w:rFonts w:cstheme="majorBidi"/>
      <w:b/>
      <w:bCs/>
      <w:snapToGrid w:val="0"/>
      <w:kern w:val="2"/>
      <w:sz w:val="21"/>
      <w:szCs w:val="24"/>
    </w:rPr>
  </w:style>
  <w:style w:type="paragraph" w:customStyle="1" w:styleId="60">
    <w:name w:val="小五"/>
    <w:basedOn w:val="1"/>
    <w:next w:val="1"/>
    <w:qFormat/>
    <w:locked/>
    <w:uiPriority w:val="0"/>
    <w:pPr>
      <w:autoSpaceDE w:val="0"/>
      <w:autoSpaceDN w:val="0"/>
    </w:pPr>
    <w:rPr>
      <w:rFonts w:hint="eastAsia" w:ascii="Times New Roman" w:hAnsi="Times New Roman" w:cs="Times New Roman"/>
      <w:bCs/>
      <w:sz w:val="18"/>
      <w:szCs w:val="18"/>
    </w:rPr>
  </w:style>
  <w:style w:type="paragraph" w:customStyle="1" w:styleId="61">
    <w:name w:val="封面标题"/>
    <w:basedOn w:val="1"/>
    <w:qFormat/>
    <w:locked/>
    <w:uiPriority w:val="0"/>
    <w:pPr>
      <w:autoSpaceDE w:val="0"/>
      <w:autoSpaceDN w:val="0"/>
      <w:spacing w:line="360" w:lineRule="auto"/>
      <w:jc w:val="center"/>
    </w:pPr>
    <w:rPr>
      <w:rFonts w:hint="eastAsia" w:ascii="Times New Roman" w:hAnsi="Times New Roman" w:cs="Times New Roman"/>
      <w:b/>
      <w:bCs/>
      <w:snapToGrid w:val="0"/>
      <w:kern w:val="0"/>
      <w:sz w:val="48"/>
      <w:szCs w:val="84"/>
    </w:rPr>
  </w:style>
  <w:style w:type="paragraph" w:customStyle="1" w:styleId="62">
    <w:name w:val="封面文件名"/>
    <w:basedOn w:val="1"/>
    <w:qFormat/>
    <w:locked/>
    <w:uiPriority w:val="0"/>
    <w:pPr>
      <w:autoSpaceDE w:val="0"/>
      <w:autoSpaceDN w:val="0"/>
      <w:spacing w:line="360" w:lineRule="auto"/>
      <w:jc w:val="center"/>
    </w:pPr>
    <w:rPr>
      <w:rFonts w:hint="eastAsia" w:ascii="Times New Roman" w:hAnsi="Times New Roman" w:cs="Times New Roman"/>
      <w:b/>
      <w:bCs/>
      <w:snapToGrid w:val="0"/>
      <w:kern w:val="0"/>
      <w:sz w:val="96"/>
      <w:szCs w:val="96"/>
    </w:rPr>
  </w:style>
  <w:style w:type="paragraph" w:customStyle="1" w:styleId="63">
    <w:name w:val="正文居中"/>
    <w:basedOn w:val="1"/>
    <w:qFormat/>
    <w:locked/>
    <w:uiPriority w:val="0"/>
    <w:pPr>
      <w:autoSpaceDE w:val="0"/>
      <w:autoSpaceDN w:val="0"/>
      <w:spacing w:line="360" w:lineRule="auto"/>
      <w:jc w:val="center"/>
    </w:pPr>
    <w:rPr>
      <w:rFonts w:hint="eastAsia" w:ascii="Times New Roman" w:hAnsi="Times New Roman" w:cs="Cambria Math"/>
      <w:bCs/>
      <w:szCs w:val="18"/>
    </w:rPr>
  </w:style>
  <w:style w:type="character" w:customStyle="1" w:styleId="64">
    <w:name w:val="页眉 Char"/>
    <w:basedOn w:val="25"/>
    <w:link w:val="18"/>
    <w:qFormat/>
    <w:uiPriority w:val="0"/>
    <w:rPr>
      <w:rFonts w:ascii="Calibri" w:hAnsi="Calibri" w:cs="Arial"/>
      <w:kern w:val="2"/>
      <w:sz w:val="18"/>
      <w:szCs w:val="18"/>
    </w:rPr>
  </w:style>
  <w:style w:type="character" w:customStyle="1" w:styleId="65">
    <w:name w:val="批注框文本 Char"/>
    <w:basedOn w:val="25"/>
    <w:link w:val="16"/>
    <w:qFormat/>
    <w:uiPriority w:val="0"/>
    <w:rPr>
      <w:rFonts w:ascii="Calibri" w:hAnsi="Calibri" w:cs="Arial"/>
      <w:kern w:val="2"/>
      <w:sz w:val="18"/>
      <w:szCs w:val="18"/>
    </w:rPr>
  </w:style>
  <w:style w:type="paragraph" w:styleId="66">
    <w:name w:val="List Paragraph"/>
    <w:basedOn w:val="1"/>
    <w:unhideWhenUsed/>
    <w:qFormat/>
    <w:uiPriority w:val="99"/>
    <w:pPr>
      <w:autoSpaceDE w:val="0"/>
      <w:autoSpaceDN w:val="0"/>
      <w:spacing w:line="360" w:lineRule="auto"/>
      <w:ind w:firstLine="420" w:firstLineChars="200"/>
    </w:pPr>
    <w:rPr>
      <w:rFonts w:ascii="Times New Roman" w:hAnsi="Times New Roman" w:cs="Cambria Math"/>
      <w:bCs/>
      <w:szCs w:val="18"/>
    </w:rPr>
  </w:style>
  <w:style w:type="character" w:customStyle="1" w:styleId="67">
    <w:name w:val="font21"/>
    <w:basedOn w:val="25"/>
    <w:autoRedefine/>
    <w:qFormat/>
    <w:uiPriority w:val="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771E10-8FE8-444D-A724-B684ED9BD92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35</Pages>
  <Words>12143</Words>
  <Characters>13335</Characters>
  <Lines>111</Lines>
  <Paragraphs>31</Paragraphs>
  <TotalTime>34</TotalTime>
  <ScaleCrop>false</ScaleCrop>
  <LinksUpToDate>false</LinksUpToDate>
  <CharactersWithSpaces>13691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2025-03-25T06:22:00Z</dcterms:created>
  <dc:creator>沈滢艺</dc:creator>
  <cp:lastModifiedBy>交易中心-吴</cp:lastModifiedBy>
  <cp:lastPrinted>2025-03-14T01:17:00Z</cp:lastPrinted>
  <dcterms:modified xsi:type="dcterms:W3CDTF">2025-06-13T06:24:21Z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448C332F1BE54FE394836E5EF413BB06_13</vt:lpwstr>
  </property>
  <property fmtid="{D5CDD505-2E9C-101B-9397-08002B2CF9AE}" pid="4" name="KSOTemplateDocerSaveRecord">
    <vt:lpwstr>eyJoZGlkIjoiY2ViOGY0ZTk4ZTMzMGY2ZWU5OGM2ZTM1MzEwZjMxYTYiLCJ1c2VySWQiOiIxNjMyMTcyNjY0In0=</vt:lpwstr>
  </property>
</Properties>
</file>