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outlineLvl w:val="9"/>
        <w:rPr>
          <w:rFonts w:ascii="Times New Roman" w:eastAsia="方正小标宋_GBK" w:cs="Times New Roman" w:hAnsi="方正小标宋_GBK" w:hint="eastAsia"/>
          <w:caps w:val="0"/>
          <w:smallCaps w:val="0"/>
          <w:color w:val="auto"/>
          <w:sz w:val="44"/>
          <w:szCs w:val="44"/>
          <w:vertAlign w:val="baseline"/>
        </w:rPr>
      </w:pPr>
      <w:bookmarkStart w:id="0" w:name="_GoBack"/>
      <w:bookmarkEnd w:id="0"/>
      <w:r>
        <w:rPr>
          <w:rFonts w:ascii="Times New Roman" w:eastAsia="方正小标宋_GBK" w:cs="Times New Roman" w:hAnsi="方正小标宋_GBK"/>
          <w:b w:val="0"/>
          <w:bCs w:val="0"/>
          <w:caps w:val="0"/>
          <w:smallCaps w:val="0"/>
          <w:color w:val="auto"/>
          <w:kern w:val="2"/>
          <w:sz w:val="44"/>
          <w:szCs w:val="44"/>
          <w:vertAlign w:val="baseline"/>
          <w:lang w:val="en-US" w:eastAsia="zh-CN"/>
        </w:rPr>
        <w:t>重庆三峡银行个人大额存单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outlineLvl w:val="9"/>
        <w:rPr>
          <w:rFonts w:ascii="Times New Roman" w:eastAsia="方正小标宋_GBK" w:cs="Times New Roman" w:hAnsi="方正小标宋_GBK" w:hint="eastAsia"/>
          <w:caps w:val="0"/>
          <w:smallCaps w:val="0"/>
          <w:color w:val="auto"/>
          <w:sz w:val="44"/>
          <w:szCs w:val="44"/>
          <w:vertAlign w:val="baseline"/>
        </w:rPr>
      </w:pPr>
      <w:r>
        <w:rPr>
          <w:rFonts w:ascii="Times New Roman" w:eastAsia="方正小标宋_GBK" w:cs="Times New Roman" w:hAnsi="Times New Roman"/>
          <w:b w:val="0"/>
          <w:bCs w:val="0"/>
          <w:caps w:val="0"/>
          <w:smallCaps w:val="0"/>
          <w:color w:val="auto"/>
          <w:kern w:val="2"/>
          <w:sz w:val="44"/>
          <w:szCs w:val="44"/>
          <w:vertAlign w:val="baseline"/>
          <w:lang w:val="en-US" w:eastAsia="zh-CN"/>
        </w:rPr>
        <w:t>2025</w:t>
      </w:r>
      <w:r>
        <w:rPr>
          <w:rFonts w:ascii="Times New Roman" w:eastAsia="方正小标宋_GBK" w:cs="Times New Roman" w:hAnsi="方正小标宋_GBK" w:hint="eastAsia"/>
          <w:b w:val="0"/>
          <w:bCs w:val="0"/>
          <w:caps w:val="0"/>
          <w:smallCaps w:val="0"/>
          <w:color w:val="auto"/>
          <w:kern w:val="2"/>
          <w:sz w:val="44"/>
          <w:szCs w:val="44"/>
          <w:vertAlign w:val="baseline"/>
          <w:lang w:val="en-US" w:eastAsia="zh-CN"/>
        </w:rPr>
        <w:t>年第</w:t>
      </w:r>
      <w:r>
        <w:rPr>
          <w:rFonts w:ascii="Times New Roman" w:eastAsia="方正小标宋_GBK" w:cs="Times New Roman" w:hAnsi="Times New Roman"/>
          <w:b w:val="0"/>
          <w:bCs w:val="0"/>
          <w:caps w:val="0"/>
          <w:smallCaps w:val="0"/>
          <w:color w:val="auto"/>
          <w:kern w:val="2"/>
          <w:sz w:val="44"/>
          <w:szCs w:val="44"/>
          <w:vertAlign w:val="baseline"/>
          <w:lang w:val="en-US" w:eastAsia="zh-CN"/>
        </w:rPr>
        <w:t>14</w:t>
      </w:r>
      <w:r>
        <w:rPr>
          <w:rFonts w:ascii="Times New Roman" w:eastAsia="方正小标宋_GBK" w:cs="Times New Roman" w:hAnsi="方正小标宋_GBK" w:hint="eastAsia"/>
          <w:b w:val="0"/>
          <w:bCs w:val="0"/>
          <w:caps w:val="0"/>
          <w:smallCaps w:val="0"/>
          <w:color w:val="auto"/>
          <w:kern w:val="2"/>
          <w:sz w:val="44"/>
          <w:szCs w:val="44"/>
          <w:vertAlign w:val="baseline"/>
          <w:lang w:val="en-US" w:eastAsia="zh-CN"/>
        </w:rPr>
        <w:t>期产品发行公告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outlineLvl w:val="9"/>
        <w:rPr>
          <w:rFonts w:ascii="Times New Roman" w:eastAsia="方正仿宋_GBK" w:cs="Times New Roman" w:hAnsi="Times New Roman"/>
          <w:caps w:val="0"/>
          <w:small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outlineLvl w:val="9"/>
        <w:rPr>
          <w:rFonts w:ascii="Times New Roman" w:eastAsia="方正仿宋_GBK" w:cs="Times New Roman" w:hAnsi="方正仿宋_GBK" w:hint="eastAsia"/>
          <w:caps w:val="0"/>
          <w:smallCaps w:val="0"/>
          <w:color w:val="auto"/>
          <w:sz w:val="32"/>
          <w:szCs w:val="32"/>
          <w:vertAlign w:val="baseline"/>
        </w:rPr>
      </w:pP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尊敬的客户：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方正仿宋_GBK" w:cs="Times New Roman" w:hAnsi="方正仿宋_GBK" w:hint="eastAsia"/>
          <w:caps w:val="0"/>
          <w:smallCaps w:val="0"/>
          <w:color w:val="auto"/>
          <w:sz w:val="32"/>
          <w:szCs w:val="32"/>
          <w:vertAlign w:val="baseline"/>
        </w:rPr>
      </w:pP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我行于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2025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年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4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月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3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日发行重庆三峡银行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2025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年第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14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期个人大额存单产品，产品具体信息如下：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方正仿宋_GBK" w:cs="Times New Roman" w:hAnsi="方正仿宋_GBK" w:hint="eastAsia"/>
          <w:caps w:val="0"/>
          <w:smallCaps w:val="0"/>
          <w:color w:val="auto"/>
          <w:sz w:val="32"/>
          <w:szCs w:val="32"/>
          <w:vertAlign w:val="baseline"/>
        </w:rPr>
      </w:pP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（一）发行人全称：重庆三峡银行股份有限公司；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方正仿宋_GBK" w:cs="Times New Roman" w:hAnsi="方正仿宋_GBK" w:hint="eastAsia"/>
          <w:caps w:val="0"/>
          <w:smallCaps w:val="0"/>
          <w:color w:val="auto"/>
          <w:sz w:val="32"/>
          <w:szCs w:val="32"/>
          <w:vertAlign w:val="baseline"/>
        </w:rPr>
      </w:pP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（二）产品性质：一般性存款；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方正仿宋_GBK" w:cs="Times New Roman" w:hAnsi="方正仿宋_GBK" w:hint="eastAsia"/>
          <w:caps w:val="0"/>
          <w:smallCaps w:val="0"/>
          <w:color w:val="auto"/>
          <w:sz w:val="32"/>
          <w:szCs w:val="32"/>
          <w:vertAlign w:val="baseline"/>
        </w:rPr>
      </w:pP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（三）发行对象：个人投资者；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方正仿宋_GBK" w:cs="Times New Roman" w:hAnsi="方正仿宋_GBK" w:hint="eastAsia"/>
          <w:caps w:val="0"/>
          <w:smallCaps w:val="0"/>
          <w:color w:val="auto"/>
          <w:sz w:val="32"/>
          <w:szCs w:val="32"/>
          <w:vertAlign w:val="baseline"/>
        </w:rPr>
      </w:pP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（四）发行时间：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2025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年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4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月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3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日至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2025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年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4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月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9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日，每款产品额满为止；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方正仿宋_GBK" w:cs="Times New Roman" w:hAnsi="方正仿宋_GBK" w:hint="eastAsia"/>
          <w:caps w:val="0"/>
          <w:smallCaps w:val="0"/>
          <w:color w:val="auto"/>
          <w:sz w:val="32"/>
          <w:szCs w:val="32"/>
          <w:vertAlign w:val="baseline"/>
        </w:rPr>
      </w:pP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（五）认购起点：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20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万元人民币，以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1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万元为单位整数倍递增；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方正仿宋_GBK" w:cs="Times New Roman" w:hAnsi="方正仿宋_GBK" w:hint="eastAsia"/>
          <w:caps w:val="0"/>
          <w:smallCaps w:val="0"/>
          <w:color w:val="auto"/>
          <w:sz w:val="32"/>
          <w:szCs w:val="32"/>
          <w:vertAlign w:val="baseline"/>
        </w:rPr>
      </w:pP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（六）是否支持提前支取：支持部分提前支取（上限次数为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50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次），提前支取金额为该产品递增金额的整数倍，提前支取部分按支取日我行挂牌公告的活期储蓄存款利率计息；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方正仿宋_GBK" w:cs="Times New Roman" w:hAnsi="方正仿宋_GBK" w:hint="eastAsia"/>
          <w:caps w:val="0"/>
          <w:smallCaps w:val="0"/>
          <w:color w:val="auto"/>
          <w:sz w:val="32"/>
          <w:szCs w:val="32"/>
          <w:vertAlign w:val="baseline"/>
        </w:rPr>
      </w:pP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（七）是否可转让：支持转让；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方正仿宋_GBK" w:cs="Times New Roman" w:hAnsi="方正仿宋_GBK" w:hint="eastAsia"/>
          <w:caps w:val="0"/>
          <w:smallCaps w:val="0"/>
          <w:color w:val="auto"/>
          <w:sz w:val="32"/>
          <w:szCs w:val="32"/>
          <w:vertAlign w:val="baseline"/>
        </w:rPr>
      </w:pP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（八）是否可质押：是；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方正仿宋_GBK" w:cs="Times New Roman" w:hAnsi="方正仿宋_GBK" w:hint="eastAsia"/>
          <w:caps w:val="0"/>
          <w:smallCaps w:val="0"/>
          <w:color w:val="auto"/>
          <w:sz w:val="32"/>
          <w:szCs w:val="32"/>
          <w:vertAlign w:val="baseline"/>
        </w:rPr>
      </w:pP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（九）销售渠道：营业网点柜面、智能柜员机、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ATM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机、手机银行、电话银行。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方正仿宋_GBK" w:cs="Times New Roman" w:hAnsi="Times New Roman"/>
          <w:caps w:val="0"/>
          <w:smallCaps w:val="0"/>
          <w:color w:val="auto"/>
          <w:sz w:val="32"/>
          <w:szCs w:val="32"/>
          <w:vertAlign w:val="baseline"/>
        </w:rPr>
      </w:pPr>
    </w:p>
    <w:tbl>
      <w:tblPr>
        <w:jc w:val="left"/>
        <w:tblInd w:w="96" w:type="dxa"/>
        <w:tblW w:w="1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652"/>
        <w:gridCol w:w="2065"/>
        <w:gridCol w:w="1235"/>
        <w:gridCol w:w="1465"/>
        <w:gridCol w:w="1223"/>
        <w:gridCol w:w="1189"/>
        <w:gridCol w:w="1120"/>
        <w:gridCol w:w="1120"/>
      </w:tblGrid>
      <w:tr>
        <w:trPr>
          <w:trHeight w:val="885"/>
          <w:gridAfter w:val="2"/>
          <w:wAfter w:w="2240" w:type="dxa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黑体" w:cs="Times New Roman" w:hAnsi="宋体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ascii="Times New Roman" w:eastAsia="黑体" w:cs="Times New Roman" w:hAnsi="宋体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黑体" w:cs="Times New Roman" w:hAnsi="Times New Roman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ascii="Times New Roman" w:eastAsia="黑体" w:cs="Times New Roman" w:hAnsi="宋体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产品代码</w:t>
            </w:r>
            <w:r>
              <w:rPr>
                <w:rFonts w:ascii="Times New Roman" w:eastAsia="黑体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黑体" w:cs="Times New Roman" w:hAnsi="宋体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ascii="Times New Roman" w:eastAsia="黑体" w:cs="Times New Roman" w:hAnsi="宋体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存单期限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黑体" w:cs="Times New Roman" w:hAnsi="宋体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ascii="Times New Roman" w:eastAsia="黑体" w:cs="Times New Roman" w:hAnsi="宋体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发行年利率（</w:t>
            </w:r>
            <w:r>
              <w:rPr>
                <w:rFonts w:ascii="Times New Roman" w:eastAsia="黑体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ascii="Times New Roman" w:eastAsia="黑体" w:cs="Times New Roman" w:hAnsi="宋体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黑体" w:cs="Times New Roman" w:hAnsi="Times New Roman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ascii="Times New Roman" w:eastAsia="黑体" w:cs="Times New Roman" w:hAnsi="宋体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基准利率±</w:t>
            </w:r>
            <w:r>
              <w:rPr>
                <w:rFonts w:ascii="Times New Roman" w:eastAsia="黑体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BP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黑体" w:cs="Times New Roman" w:hAnsi="宋体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ascii="Times New Roman" w:eastAsia="黑体" w:cs="Times New Roman" w:hAnsi="宋体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发行规模（万元）</w:t>
            </w:r>
          </w:p>
        </w:tc>
      </w:tr>
      <w:tr>
        <w:trPr>
          <w:trHeight w:val="499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方正仿宋_GBK" w:hint="eastAsia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方正仿宋_GBK" w:hint="eastAsia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经典版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SX2025014A09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方正仿宋_GBK" w:hint="eastAsia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9</w:t>
            </w:r>
            <w:r>
              <w:rPr>
                <w:rFonts w:ascii="Times New Roman" w:eastAsia="方正仿宋_GBK" w:cs="Times New Roman" w:hAnsi="方正仿宋_GBK" w:hint="eastAsia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个月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1.80%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方正仿宋_GBK" w:hint="eastAsia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—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2,000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方正仿宋_GBK" w:eastAsia="方正仿宋_GBK" w:cs="宋体" w:hAnsi="方正仿宋_GBK" w:hint="eastAsia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方正仿宋_GBK" w:eastAsia="方正仿宋_GBK" w:cs="宋体" w:hAnsi="方正仿宋_GBK" w:hint="eastAsia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rPr>
          <w:trHeight w:val="499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方正仿宋_GBK" w:hint="eastAsia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方正仿宋_GBK" w:hint="eastAsia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经典版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SX2025014A12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ascii="Times New Roman" w:eastAsia="方正仿宋_GBK" w:cs="Times New Roman" w:hAnsi="方正仿宋_GBK" w:hint="eastAsia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1.80%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5,000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方正仿宋_GBK" w:eastAsia="方正仿宋_GBK" w:cs="宋体" w:hAnsi="方正仿宋_GBK" w:hint="eastAsia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方正仿宋_GBK" w:eastAsia="方正仿宋_GBK" w:cs="宋体" w:hAnsi="方正仿宋_GBK" w:hint="eastAsia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ascii="方正仿宋_GBK" w:eastAsia="方正仿宋_GBK" w:cs="宋体" w:hAnsi="方正仿宋_GBK" w:hint="eastAsia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9,000</w:t>
            </w:r>
          </w:p>
        </w:tc>
      </w:tr>
      <w:tr>
        <w:trPr>
          <w:trHeight w:val="499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方正仿宋_GBK" w:hint="eastAsia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方正仿宋_GBK" w:hint="eastAsia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经典版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SX2025014A18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方正仿宋_GBK" w:hint="eastAsia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18</w:t>
            </w:r>
            <w:r>
              <w:rPr>
                <w:rFonts w:ascii="Times New Roman" w:eastAsia="方正仿宋_GBK" w:cs="Times New Roman" w:hAnsi="方正仿宋_GBK" w:hint="eastAsia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个月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2.10%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方正仿宋_GBK" w:hint="eastAsia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—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5,000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方正仿宋_GBK" w:eastAsia="方正仿宋_GBK" w:cs="宋体" w:hAnsi="方正仿宋_GBK" w:hint="eastAsia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方正仿宋_GBK" w:eastAsia="方正仿宋_GBK" w:cs="宋体" w:hAnsi="方正仿宋_GBK" w:hint="eastAsia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rPr>
          <w:trHeight w:val="499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方正仿宋_GBK" w:hint="eastAsia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方正仿宋_GBK" w:hint="eastAsia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经典版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SX2025014A24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方正仿宋_GBK" w:hint="eastAsia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ascii="Times New Roman" w:eastAsia="方正仿宋_GBK" w:cs="Times New Roman" w:hAnsi="方正仿宋_GBK" w:hint="eastAsia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2.10%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3,000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方正仿宋_GBK" w:eastAsia="方正仿宋_GBK" w:cs="宋体" w:hAnsi="方正仿宋_GBK" w:hint="eastAsia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方正仿宋_GBK" w:eastAsia="方正仿宋_GBK" w:cs="宋体" w:hAnsi="方正仿宋_GBK" w:hint="eastAsia"/>
                <w:caps w:val="0"/>
                <w:smallCaps w:val="0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rPr>
          <w:trHeight w:val="499"/>
          <w:gridAfter w:val="2"/>
          <w:wAfter w:w="2240" w:type="dxa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方正仿宋_GBK" w:hint="eastAsia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方正仿宋_GBK" w:hint="eastAsia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经典版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SX2025014A36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方正仿宋_GBK" w:hint="eastAsia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3</w:t>
            </w:r>
            <w:r>
              <w:rPr>
                <w:rFonts w:ascii="Times New Roman" w:eastAsia="方正仿宋_GBK" w:cs="Times New Roman" w:hAnsi="方正仿宋_GBK" w:hint="eastAsia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2.30%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-45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outlineLvl w:val="9"/>
              <w:rPr>
                <w:rFonts w:ascii="Times New Roman" w:eastAsia="方正仿宋_GBK" w:cs="Times New Roman" w:hAnsi="Times New Roman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4"/>
                <w:szCs w:val="30"/>
                <w:vertAlign w:val="baseline"/>
                <w:lang w:val="en-US" w:eastAsia="zh-CN"/>
              </w:rPr>
              <w:t>10,000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color="auto" w:fill="FFFFFF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Lines="50" w:before="156" w:beforeAutospacing="0" w:after="0" w:afterAutospacing="0" w:line="600" w:lineRule="exact"/>
        <w:ind w:left="0" w:right="0" w:firstLineChars="200" w:firstLine="640"/>
        <w:jc w:val="left"/>
        <w:outlineLvl w:val="9"/>
        <w:rPr>
          <w:rFonts w:ascii="Times New Roman" w:eastAsia="方正仿宋_GBK" w:cs="Times New Roman" w:hAnsi="Times New Roman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</w:rPr>
      </w:pP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欢迎广大投资者认购，详情请到我行各营业网点或致电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(023-96968)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咨询！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Lines="50" w:before="156" w:beforeAutospacing="0" w:after="0" w:afterAutospacing="0" w:line="600" w:lineRule="exact"/>
        <w:ind w:left="0" w:right="0" w:firstLineChars="200" w:firstLine="640"/>
        <w:jc w:val="left"/>
        <w:outlineLvl w:val="9"/>
        <w:rPr>
          <w:rFonts w:ascii="Times New Roman" w:eastAsia="方正仿宋_GBK" w:cs="Times New Roman" w:hAnsi="Times New Roman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</w:rPr>
      </w:pP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Lines="50" w:before="156" w:beforeAutospacing="0" w:after="0" w:afterAutospacing="0" w:line="600" w:lineRule="exact"/>
        <w:ind w:left="0" w:right="0" w:firstLineChars="200" w:firstLine="640"/>
        <w:jc w:val="left"/>
        <w:outlineLvl w:val="9"/>
        <w:rPr>
          <w:rFonts w:ascii="Times New Roman" w:eastAsia="方正仿宋_GBK" w:cs="Times New Roman" w:hAnsi="Times New Roman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Lines="50" w:before="156" w:beforeAutospacing="0" w:after="0" w:afterAutospacing="0" w:line="600" w:lineRule="exact"/>
        <w:ind w:left="0" w:right="0" w:firstLine="0"/>
        <w:jc w:val="left"/>
        <w:outlineLvl w:val="9"/>
        <w:rPr>
          <w:rFonts w:ascii="Times New Roman" w:eastAsia="方正仿宋_GBK" w:cs="Times New Roman" w:hAnsi="Times New Roman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outlineLvl w:val="9"/>
        <w:rPr>
          <w:rFonts w:ascii="Times New Roman" w:eastAsia="方正仿宋_GBK" w:cs="Times New Roman" w:hAnsi="Times New Roman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</w:rPr>
      </w:pP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重庆三峡银行股份有限公司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outlineLvl w:val="9"/>
        <w:rPr>
          <w:rFonts w:ascii="Times New Roman" w:eastAsia="方正仿宋_GBK" w:cs="Times New Roman" w:hAnsi="Times New Roman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</w:rPr>
      </w:pP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2025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年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4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月</w:t>
      </w:r>
      <w:r>
        <w:rPr>
          <w:rFonts w:ascii="Times New Roman" w:eastAsia="方正仿宋_GBK" w:cs="Times New Roman" w:hAnsi="Times New Roman"/>
          <w:b w:val="0"/>
          <w:bCs w:val="0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2</w:t>
      </w:r>
      <w:r>
        <w:rPr>
          <w:rFonts w:ascii="Times New Roman" w:eastAsia="方正仿宋_GBK" w:cs="Times New Roman" w:hAnsi="方正仿宋_GBK" w:hint="eastAsia"/>
          <w:b w:val="0"/>
          <w:bCs w:val="0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right"/>
        <w:outlineLvl w:val="9"/>
        <w:rPr>
          <w:rFonts w:ascii="方正仿宋_GBK" w:eastAsia="方正仿宋_GBK" w:cs="Times New Roman" w:hAnsi="方正仿宋_GBK" w:hint="eastAsia"/>
          <w:caps w:val="0"/>
          <w:smallCaps w:val="0"/>
          <w:color w:val="auto"/>
          <w:sz w:val="32"/>
          <w:szCs w:val="32"/>
          <w:vertAlign w:val="baseline"/>
        </w:rPr>
      </w:pP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方正黑体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228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50000" r="50000" b="5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8DE29D80-F003-4CCF-B9C7-A85EDD46ACB4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WPS_Yozo_Office9.0.5594.102ZH.CQ09</Application>
  <Pages>2</Pages>
  <Words>0</Words>
  <Characters>495</Characters>
  <Lines>0</Lines>
  <Paragraphs>24</Paragraphs>
  <CharactersWithSpaces>660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测试2</dc:creator>
  <cp:lastModifiedBy>CCQTGB</cp:lastModifiedBy>
  <cp:revision>0</cp:revision>
  <dcterms:created xsi:type="dcterms:W3CDTF">2018-12-25T00:33:00Z</dcterms:created>
  <dcterms:modified xsi:type="dcterms:W3CDTF">2025-04-02T10:45:47Z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2052-0.0.0.0</vt:lpwstr>
  </property>
</Properties>
</file>