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AC0A">
      <w:pPr>
        <w:spacing w:line="360" w:lineRule="auto"/>
        <w:ind w:firstLine="0" w:firstLineChars="0"/>
        <w:rPr>
          <w:rFonts w:ascii="Times New Roman" w:hAnsi="Times New Roman" w:cs="Cambria"/>
          <w:b/>
          <w:snapToGrid w:val="0"/>
          <w:kern w:val="0"/>
          <w:sz w:val="52"/>
          <w:szCs w:val="84"/>
          <w:highlight w:val="none"/>
        </w:rPr>
      </w:pPr>
    </w:p>
    <w:p w14:paraId="2305A2C1">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3C24FFF8">
      <w:pPr>
        <w:spacing w:line="360" w:lineRule="auto"/>
        <w:ind w:firstLine="0" w:firstLineChars="0"/>
        <w:jc w:val="center"/>
        <w:rPr>
          <w:rFonts w:hint="eastAsia" w:ascii="Times New Roman" w:hAnsi="Times New Roman" w:eastAsia="宋体" w:cs="Times New Roman"/>
          <w:b/>
          <w:snapToGrid w:val="0"/>
          <w:kern w:val="0"/>
          <w:sz w:val="48"/>
          <w:szCs w:val="84"/>
          <w:highlight w:val="none"/>
          <w:lang w:eastAsia="zh-CN"/>
        </w:rPr>
      </w:pPr>
      <w:r>
        <w:rPr>
          <w:rFonts w:ascii="Times New Roman" w:hAnsi="Times New Roman" w:cs="Times New Roman"/>
          <w:b/>
          <w:snapToGrid w:val="0"/>
          <w:kern w:val="0"/>
          <w:sz w:val="48"/>
          <w:szCs w:val="84"/>
          <w:highlight w:val="none"/>
        </w:rPr>
        <w:t>2024年度新一代核心系统持续优化</w:t>
      </w:r>
      <w:r>
        <w:rPr>
          <w:rFonts w:hint="eastAsia" w:ascii="Times New Roman" w:hAnsi="Times New Roman" w:cs="Times New Roman"/>
          <w:b/>
          <w:snapToGrid w:val="0"/>
          <w:kern w:val="0"/>
          <w:sz w:val="48"/>
          <w:szCs w:val="84"/>
          <w:highlight w:val="none"/>
        </w:rPr>
        <w:t>项目</w:t>
      </w:r>
      <w:r>
        <w:rPr>
          <w:rFonts w:hint="eastAsia" w:ascii="Times New Roman" w:hAnsi="Times New Roman" w:cs="Times New Roman"/>
          <w:b/>
          <w:snapToGrid w:val="0"/>
          <w:kern w:val="0"/>
          <w:sz w:val="48"/>
          <w:szCs w:val="84"/>
          <w:highlight w:val="none"/>
          <w:lang w:eastAsia="zh-CN"/>
        </w:rPr>
        <w:t>（</w:t>
      </w:r>
      <w:r>
        <w:rPr>
          <w:rFonts w:hint="eastAsia" w:ascii="Times New Roman" w:hAnsi="Times New Roman" w:cs="Times New Roman"/>
          <w:b/>
          <w:snapToGrid w:val="0"/>
          <w:kern w:val="0"/>
          <w:sz w:val="48"/>
          <w:szCs w:val="84"/>
          <w:highlight w:val="none"/>
          <w:lang w:val="en-US" w:eastAsia="zh-CN"/>
        </w:rPr>
        <w:t>第二次</w:t>
      </w:r>
      <w:r>
        <w:rPr>
          <w:rFonts w:hint="eastAsia" w:ascii="Times New Roman" w:hAnsi="Times New Roman" w:cs="Times New Roman"/>
          <w:b/>
          <w:snapToGrid w:val="0"/>
          <w:kern w:val="0"/>
          <w:sz w:val="48"/>
          <w:szCs w:val="84"/>
          <w:highlight w:val="none"/>
          <w:lang w:eastAsia="zh-CN"/>
        </w:rPr>
        <w:t>）</w:t>
      </w:r>
    </w:p>
    <w:p w14:paraId="2832FA17">
      <w:pPr>
        <w:spacing w:line="360" w:lineRule="auto"/>
        <w:ind w:firstLine="0" w:firstLineChars="0"/>
        <w:jc w:val="left"/>
        <w:rPr>
          <w:rFonts w:ascii="Times New Roman" w:hAnsi="Times New Roman" w:cs="Times New Roman"/>
          <w:snapToGrid w:val="0"/>
          <w:kern w:val="0"/>
          <w:sz w:val="18"/>
          <w:highlight w:val="none"/>
        </w:rPr>
      </w:pPr>
    </w:p>
    <w:p w14:paraId="5B64A4DC">
      <w:pPr>
        <w:spacing w:line="360" w:lineRule="auto"/>
        <w:ind w:firstLine="0" w:firstLineChars="0"/>
        <w:jc w:val="left"/>
        <w:rPr>
          <w:rFonts w:ascii="Times New Roman" w:hAnsi="Times New Roman" w:cs="Times New Roman"/>
          <w:snapToGrid w:val="0"/>
          <w:kern w:val="0"/>
          <w:sz w:val="20"/>
          <w:highlight w:val="none"/>
        </w:rPr>
      </w:pPr>
    </w:p>
    <w:p w14:paraId="23E89EE0">
      <w:pPr>
        <w:spacing w:line="360" w:lineRule="auto"/>
        <w:ind w:firstLine="0" w:firstLineChars="0"/>
        <w:jc w:val="left"/>
        <w:rPr>
          <w:rFonts w:ascii="Times New Roman" w:hAnsi="Times New Roman" w:cs="Times New Roman"/>
          <w:snapToGrid w:val="0"/>
          <w:kern w:val="0"/>
          <w:sz w:val="20"/>
          <w:highlight w:val="none"/>
        </w:rPr>
      </w:pPr>
    </w:p>
    <w:p w14:paraId="6D56FA90">
      <w:pPr>
        <w:spacing w:line="360" w:lineRule="auto"/>
        <w:ind w:firstLine="0" w:firstLineChars="0"/>
        <w:jc w:val="left"/>
        <w:rPr>
          <w:rFonts w:ascii="Times New Roman" w:hAnsi="Times New Roman" w:cs="Times New Roman"/>
          <w:snapToGrid w:val="0"/>
          <w:kern w:val="0"/>
          <w:sz w:val="20"/>
          <w:highlight w:val="none"/>
        </w:rPr>
      </w:pPr>
    </w:p>
    <w:p w14:paraId="4EB0F2BB">
      <w:pPr>
        <w:spacing w:line="360" w:lineRule="auto"/>
        <w:ind w:firstLine="0" w:firstLineChars="0"/>
        <w:jc w:val="left"/>
        <w:rPr>
          <w:rFonts w:ascii="Times New Roman" w:hAnsi="Times New Roman" w:cs="Times New Roman"/>
          <w:snapToGrid w:val="0"/>
          <w:kern w:val="0"/>
          <w:sz w:val="20"/>
          <w:highlight w:val="none"/>
        </w:rPr>
      </w:pPr>
    </w:p>
    <w:p w14:paraId="5C3FEA44">
      <w:pPr>
        <w:spacing w:line="360" w:lineRule="auto"/>
        <w:ind w:firstLine="0" w:firstLineChars="0"/>
        <w:jc w:val="left"/>
        <w:rPr>
          <w:rFonts w:ascii="Times New Roman" w:hAnsi="Times New Roman" w:cs="Times New Roman"/>
          <w:snapToGrid w:val="0"/>
          <w:kern w:val="0"/>
          <w:sz w:val="20"/>
          <w:highlight w:val="none"/>
        </w:rPr>
      </w:pPr>
    </w:p>
    <w:p w14:paraId="2E04F5CF">
      <w:pPr>
        <w:spacing w:line="360" w:lineRule="auto"/>
        <w:ind w:firstLine="0" w:firstLineChars="0"/>
        <w:jc w:val="left"/>
        <w:rPr>
          <w:rFonts w:ascii="Times New Roman" w:hAnsi="Times New Roman" w:cs="Times New Roman"/>
          <w:snapToGrid w:val="0"/>
          <w:kern w:val="0"/>
          <w:sz w:val="20"/>
          <w:highlight w:val="none"/>
        </w:rPr>
      </w:pPr>
    </w:p>
    <w:p w14:paraId="40131561">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162D4C85">
      <w:pPr>
        <w:spacing w:line="360" w:lineRule="auto"/>
        <w:ind w:firstLine="0" w:firstLineChars="0"/>
        <w:jc w:val="center"/>
        <w:rPr>
          <w:rFonts w:ascii="Times New Roman" w:hAnsi="Times New Roman" w:cs="Times New Roman"/>
          <w:b/>
          <w:snapToGrid w:val="0"/>
          <w:kern w:val="0"/>
          <w:szCs w:val="28"/>
          <w:highlight w:val="none"/>
        </w:rPr>
      </w:pPr>
    </w:p>
    <w:p w14:paraId="07BA638A">
      <w:pPr>
        <w:spacing w:line="360" w:lineRule="auto"/>
        <w:ind w:firstLine="0" w:firstLineChars="0"/>
        <w:jc w:val="center"/>
        <w:rPr>
          <w:rFonts w:ascii="Times New Roman" w:hAnsi="Times New Roman" w:cs="Times New Roman"/>
          <w:b/>
          <w:snapToGrid w:val="0"/>
          <w:kern w:val="0"/>
          <w:szCs w:val="28"/>
          <w:highlight w:val="none"/>
        </w:rPr>
      </w:pPr>
    </w:p>
    <w:p w14:paraId="3AEC6A1D">
      <w:pPr>
        <w:spacing w:line="360" w:lineRule="auto"/>
        <w:ind w:firstLine="0" w:firstLineChars="0"/>
        <w:jc w:val="center"/>
        <w:rPr>
          <w:rFonts w:ascii="Times New Roman" w:hAnsi="Times New Roman" w:cs="Times New Roman"/>
          <w:b/>
          <w:snapToGrid w:val="0"/>
          <w:kern w:val="0"/>
          <w:szCs w:val="28"/>
          <w:highlight w:val="none"/>
        </w:rPr>
      </w:pPr>
    </w:p>
    <w:p w14:paraId="17700FE3">
      <w:pPr>
        <w:ind w:firstLine="0" w:firstLineChars="0"/>
        <w:rPr>
          <w:rFonts w:ascii="Times New Roman" w:hAnsi="Times New Roman"/>
          <w:highlight w:val="none"/>
        </w:rPr>
      </w:pPr>
    </w:p>
    <w:p w14:paraId="01BBAF18">
      <w:pPr>
        <w:pStyle w:val="9"/>
        <w:rPr>
          <w:rFonts w:ascii="Times New Roman" w:hAnsi="Times New Roman"/>
          <w:highlight w:val="none"/>
        </w:rPr>
      </w:pPr>
    </w:p>
    <w:p w14:paraId="323F9A38">
      <w:pPr>
        <w:rPr>
          <w:rFonts w:ascii="Times New Roman" w:hAnsi="Times New Roman"/>
          <w:highlight w:val="none"/>
        </w:rPr>
      </w:pPr>
    </w:p>
    <w:p w14:paraId="582CF16A">
      <w:pPr>
        <w:rPr>
          <w:rFonts w:ascii="Times New Roman" w:hAnsi="Times New Roman"/>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9C0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F0935FA">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09793DEC">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494D3826">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1559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E234222">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34C08991">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2025</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1</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0EFA0AE1">
            <w:pPr>
              <w:rPr>
                <w:highlight w:val="none"/>
              </w:rPr>
            </w:pPr>
          </w:p>
        </w:tc>
      </w:tr>
    </w:tbl>
    <w:p w14:paraId="7A628E1B">
      <w:pPr>
        <w:rPr>
          <w:rFonts w:ascii="Times New Roman" w:hAnsi="Times New Roman"/>
          <w:highlight w:val="none"/>
        </w:rPr>
      </w:pPr>
    </w:p>
    <w:p w14:paraId="6DBE48E2">
      <w:pPr>
        <w:rPr>
          <w:rFonts w:ascii="Times New Roman" w:hAnsi="Times New Roman"/>
          <w:highlight w:val="none"/>
        </w:rPr>
        <w:sectPr>
          <w:pgSz w:w="11906" w:h="16838"/>
          <w:pgMar w:top="1440" w:right="1800" w:bottom="1440" w:left="1800" w:header="851" w:footer="992" w:gutter="0"/>
          <w:pgNumType w:start="1"/>
          <w:cols w:space="720" w:num="1"/>
          <w:docGrid w:type="lines" w:linePitch="312" w:charSpace="0"/>
        </w:sectPr>
      </w:pPr>
    </w:p>
    <w:p w14:paraId="52D59939">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011DCDDA">
      <w:pPr>
        <w:pStyle w:val="18"/>
        <w:tabs>
          <w:tab w:val="right" w:leader="dot" w:pos="8306"/>
        </w:tabs>
        <w:rPr>
          <w:rFonts w:ascii="Times New Roman" w:hAnsi="Times New Roman"/>
          <w:highlight w:val="none"/>
        </w:rPr>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highlight w:val="none"/>
        </w:rPr>
        <w:fldChar w:fldCharType="begin"/>
      </w:r>
      <w:r>
        <w:rPr>
          <w:highlight w:val="none"/>
        </w:rPr>
        <w:instrText xml:space="preserve">Hyperlink \l "_Toc678"</w:instrText>
      </w:r>
      <w:r>
        <w:rPr>
          <w:highlight w:val="none"/>
        </w:rPr>
        <w:fldChar w:fldCharType="separate"/>
      </w:r>
      <w:r>
        <w:rPr>
          <w:rFonts w:hint="eastAsia" w:ascii="Times New Roman" w:hAnsi="Times New Roman"/>
          <w:highlight w:val="none"/>
        </w:rPr>
        <w:t>第一章 比选公告</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_Toc678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highlight w:val="none"/>
        </w:rPr>
        <w:fldChar w:fldCharType="end"/>
      </w:r>
    </w:p>
    <w:p w14:paraId="3304B16A">
      <w:pPr>
        <w:pStyle w:val="18"/>
        <w:tabs>
          <w:tab w:val="right" w:leader="dot" w:pos="8306"/>
        </w:tabs>
        <w:rPr>
          <w:rFonts w:ascii="Times New Roman" w:hAnsi="Times New Roman"/>
          <w:highlight w:val="none"/>
        </w:rPr>
      </w:pPr>
      <w:r>
        <w:rPr>
          <w:highlight w:val="none"/>
        </w:rPr>
        <w:fldChar w:fldCharType="begin"/>
      </w:r>
      <w:r>
        <w:rPr>
          <w:highlight w:val="none"/>
        </w:rPr>
        <w:instrText xml:space="preserve">Hyperlink \l "_Toc27630"</w:instrText>
      </w:r>
      <w:r>
        <w:rPr>
          <w:highlight w:val="none"/>
        </w:rPr>
        <w:fldChar w:fldCharType="separate"/>
      </w:r>
      <w:r>
        <w:rPr>
          <w:rFonts w:hint="eastAsia" w:ascii="Times New Roman" w:hAnsi="Times New Roman"/>
          <w:highlight w:val="none"/>
        </w:rPr>
        <w:t>第二章 参选人须知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_Toc27630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highlight w:val="none"/>
        </w:rPr>
        <w:fldChar w:fldCharType="end"/>
      </w:r>
    </w:p>
    <w:p w14:paraId="1CA0124B">
      <w:pPr>
        <w:pStyle w:val="18"/>
        <w:tabs>
          <w:tab w:val="right" w:leader="dot" w:pos="8306"/>
        </w:tabs>
        <w:ind w:firstLine="480"/>
        <w:rPr>
          <w:rFonts w:ascii="Times New Roman" w:hAnsi="Times New Roman"/>
          <w:highlight w:val="none"/>
        </w:rPr>
      </w:pPr>
      <w:r>
        <w:rPr>
          <w:highlight w:val="none"/>
        </w:rPr>
        <w:fldChar w:fldCharType="begin"/>
      </w:r>
      <w:r>
        <w:rPr>
          <w:highlight w:val="none"/>
        </w:rPr>
        <w:instrText xml:space="preserve">Hyperlink \l "_Toc11825"</w:instrText>
      </w:r>
      <w:r>
        <w:rPr>
          <w:highlight w:val="none"/>
        </w:rPr>
        <w:fldChar w:fldCharType="separate"/>
      </w:r>
      <w:r>
        <w:rPr>
          <w:rFonts w:hint="eastAsia" w:ascii="Times New Roman" w:hAnsi="Times New Roman"/>
          <w:highlight w:val="none"/>
        </w:rPr>
        <w:t>第三章 项目要求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_Toc11825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highlight w:val="none"/>
        </w:rPr>
        <w:fldChar w:fldCharType="end"/>
      </w:r>
      <w:r>
        <w:rPr>
          <w:rFonts w:hint="eastAsia"/>
          <w:highlight w:val="none"/>
          <w:lang w:val="en-US" w:eastAsia="zh-CN"/>
        </w:rPr>
        <w:t xml:space="preserve"> </w:t>
      </w:r>
    </w:p>
    <w:p w14:paraId="6E3C0F51">
      <w:pPr>
        <w:pStyle w:val="18"/>
        <w:tabs>
          <w:tab w:val="right" w:leader="dot" w:pos="8306"/>
        </w:tabs>
        <w:rPr>
          <w:rFonts w:ascii="Times New Roman" w:hAnsi="Times New Roman"/>
          <w:highlight w:val="none"/>
        </w:rPr>
      </w:pPr>
      <w:r>
        <w:rPr>
          <w:highlight w:val="none"/>
        </w:rPr>
        <w:fldChar w:fldCharType="begin"/>
      </w:r>
      <w:r>
        <w:rPr>
          <w:highlight w:val="none"/>
        </w:rPr>
        <w:instrText xml:space="preserve">Hyperlink \l "_Toc24542"</w:instrText>
      </w:r>
      <w:r>
        <w:rPr>
          <w:highlight w:val="none"/>
        </w:rPr>
        <w:fldChar w:fldCharType="separate"/>
      </w:r>
      <w:r>
        <w:rPr>
          <w:rFonts w:hint="eastAsia" w:ascii="Times New Roman" w:hAnsi="Times New Roman"/>
          <w:highlight w:val="none"/>
        </w:rPr>
        <w:t>第四章 评审办法（</w:t>
      </w:r>
      <w:r>
        <w:rPr>
          <w:rFonts w:hint="eastAsia" w:ascii="Times New Roman" w:hAnsi="Times New Roman"/>
          <w:highlight w:val="none"/>
          <w:lang w:val="en-US" w:eastAsia="zh-CN"/>
        </w:rPr>
        <w:t>经评审的最低价法</w:t>
      </w:r>
      <w:r>
        <w:rPr>
          <w:rFonts w:hint="eastAsia" w:ascii="Times New Roman" w:hAnsi="Times New Roman"/>
          <w:highlight w:val="none"/>
        </w:rPr>
        <w:t>）</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_Toc24542 \h </w:instrText>
      </w:r>
      <w:r>
        <w:rPr>
          <w:rFonts w:ascii="Times New Roman" w:hAnsi="Times New Roman"/>
          <w:highlight w:val="none"/>
        </w:rPr>
        <w:fldChar w:fldCharType="separate"/>
      </w:r>
      <w:r>
        <w:rPr>
          <w:rFonts w:ascii="Times New Roman" w:hAnsi="Times New Roman"/>
          <w:highlight w:val="none"/>
        </w:rPr>
        <w:t>20</w:t>
      </w:r>
      <w:r>
        <w:rPr>
          <w:rFonts w:ascii="Times New Roman" w:hAnsi="Times New Roman"/>
          <w:highlight w:val="none"/>
        </w:rPr>
        <w:fldChar w:fldCharType="end"/>
      </w:r>
      <w:r>
        <w:rPr>
          <w:highlight w:val="none"/>
        </w:rPr>
        <w:fldChar w:fldCharType="end"/>
      </w:r>
    </w:p>
    <w:p w14:paraId="514ED89D">
      <w:pPr>
        <w:pStyle w:val="18"/>
        <w:tabs>
          <w:tab w:val="right" w:leader="dot" w:pos="8306"/>
        </w:tabs>
        <w:rPr>
          <w:rFonts w:ascii="Times New Roman" w:hAnsi="Times New Roman"/>
          <w:highlight w:val="none"/>
        </w:rPr>
      </w:pPr>
      <w:r>
        <w:rPr>
          <w:highlight w:val="none"/>
        </w:rPr>
        <w:fldChar w:fldCharType="begin"/>
      </w:r>
      <w:r>
        <w:rPr>
          <w:highlight w:val="none"/>
        </w:rPr>
        <w:instrText xml:space="preserve">Hyperlink \l "_Toc6341"</w:instrText>
      </w:r>
      <w:r>
        <w:rPr>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_Toc6341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highlight w:val="none"/>
        </w:rPr>
        <w:fldChar w:fldCharType="end"/>
      </w:r>
    </w:p>
    <w:p w14:paraId="68C06302">
      <w:pPr>
        <w:pStyle w:val="18"/>
        <w:tabs>
          <w:tab w:val="right" w:leader="dot" w:pos="8306"/>
        </w:tabs>
        <w:rPr>
          <w:rFonts w:ascii="Times New Roman" w:hAnsi="Times New Roman"/>
          <w:highlight w:val="none"/>
        </w:rPr>
      </w:pPr>
      <w:r>
        <w:rPr>
          <w:highlight w:val="none"/>
        </w:rPr>
        <w:fldChar w:fldCharType="begin"/>
      </w:r>
      <w:r>
        <w:rPr>
          <w:highlight w:val="none"/>
        </w:rPr>
        <w:instrText xml:space="preserve">Hyperlink \l "_Toc7021"</w:instrText>
      </w:r>
      <w:r>
        <w:rPr>
          <w:highlight w:val="none"/>
        </w:rPr>
        <w:fldChar w:fldCharType="separate"/>
      </w:r>
      <w:r>
        <w:rPr>
          <w:rFonts w:hint="eastAsia" w:ascii="Times New Roman" w:hAnsi="Times New Roman"/>
          <w:highlight w:val="none"/>
        </w:rPr>
        <w:t>第六章 参选文件格式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_Toc7021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highlight w:val="none"/>
        </w:rPr>
        <w:fldChar w:fldCharType="end"/>
      </w:r>
    </w:p>
    <w:p w14:paraId="6CA755B2">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385EC586">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1FFDC5FA">
      <w:pPr>
        <w:pStyle w:val="2"/>
        <w:jc w:val="center"/>
        <w:rPr>
          <w:rFonts w:ascii="Times New Roman" w:hAnsi="Times New Roman"/>
          <w:highlight w:val="none"/>
        </w:rPr>
      </w:pPr>
      <w:bookmarkStart w:id="0" w:name="_Toc440628903"/>
      <w:bookmarkStart w:id="1" w:name="_Toc469574661"/>
      <w:bookmarkStart w:id="2" w:name="_Toc678"/>
      <w:bookmarkStart w:id="3" w:name="_Toc6745"/>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p>
    <w:p w14:paraId="36F72CD3">
      <w:pPr>
        <w:rPr>
          <w:rFonts w:hint="eastAsia" w:ascii="Times New Roman" w:hAnsi="Times New Roman" w:cs="Times New Roman"/>
          <w:color w:val="000000"/>
          <w:highlight w:val="none"/>
        </w:rPr>
      </w:pPr>
      <w:bookmarkStart w:id="4" w:name="_Toc55379218"/>
      <w:bookmarkStart w:id="5" w:name="_Toc89675127"/>
      <w:r>
        <w:rPr>
          <w:rFonts w:hint="eastAsia" w:ascii="Times New Roman" w:hAnsi="Times New Roman" w:cs="Times New Roman"/>
          <w:color w:val="000000"/>
          <w:highlight w:val="none"/>
        </w:rPr>
        <w:t>我行新一代核心系统（以下简称“新核心系统”）于2022年7月23日顺利投产，投产以来整体运行平稳，各项指标良好，目前现系统进入运行维护期。为优化项目流程、提升交付效率，及时响应本行业务发展及监管需求，经对各部门新核心系统2024年项目需求收集整理，拟开展新核心系统2024年度持续优化项目建设。现对重庆三峡银行2024年度新一代核心系统持续优化项目</w:t>
      </w:r>
      <w:r>
        <w:rPr>
          <w:rFonts w:hint="eastAsia" w:ascii="Times New Roman" w:hAnsi="Times New Roman" w:cs="Times New Roman"/>
          <w:color w:val="000000"/>
          <w:highlight w:val="none"/>
          <w:lang w:eastAsia="zh-CN"/>
        </w:rPr>
        <w:t>（</w:t>
      </w:r>
      <w:r>
        <w:rPr>
          <w:rFonts w:hint="eastAsia" w:ascii="Times New Roman" w:hAnsi="Times New Roman" w:cs="Times New Roman"/>
          <w:color w:val="000000"/>
          <w:highlight w:val="none"/>
          <w:lang w:val="en-US" w:eastAsia="zh-CN"/>
        </w:rPr>
        <w:t>第二次</w:t>
      </w:r>
      <w:r>
        <w:rPr>
          <w:rFonts w:hint="eastAsia" w:ascii="Times New Roman" w:hAnsi="Times New Roman" w:cs="Times New Roman"/>
          <w:color w:val="000000"/>
          <w:highlight w:val="none"/>
          <w:lang w:eastAsia="zh-CN"/>
        </w:rPr>
        <w:t>）</w:t>
      </w:r>
      <w:r>
        <w:rPr>
          <w:rFonts w:hint="eastAsia" w:ascii="Times New Roman" w:hAnsi="Times New Roman" w:cs="Times New Roman"/>
          <w:color w:val="000000"/>
          <w:highlight w:val="none"/>
        </w:rPr>
        <w:t>进行公开比选，特邀请有</w:t>
      </w:r>
      <w:bookmarkStart w:id="6" w:name="_Hlk59455120"/>
      <w:r>
        <w:rPr>
          <w:rFonts w:hint="eastAsia" w:ascii="Times New Roman" w:hAnsi="Times New Roman" w:cs="Times New Roman"/>
          <w:color w:val="000000"/>
          <w:highlight w:val="none"/>
        </w:rPr>
        <w:t>意向</w:t>
      </w:r>
      <w:bookmarkEnd w:id="6"/>
      <w:r>
        <w:rPr>
          <w:rFonts w:hint="eastAsia" w:ascii="Times New Roman" w:hAnsi="Times New Roman" w:cs="Times New Roman"/>
          <w:color w:val="000000"/>
          <w:highlight w:val="none"/>
        </w:rPr>
        <w:t>的潜在参选人进行参选。</w:t>
      </w:r>
    </w:p>
    <w:p w14:paraId="6185E71D">
      <w:pPr>
        <w:pStyle w:val="3"/>
        <w:rPr>
          <w:rFonts w:ascii="Times New Roman" w:hAnsi="Times New Roman"/>
          <w:highlight w:val="none"/>
        </w:rPr>
      </w:pPr>
      <w:r>
        <w:rPr>
          <w:rFonts w:hint="eastAsia" w:ascii="Times New Roman" w:hAnsi="Times New Roman"/>
          <w:highlight w:val="none"/>
        </w:rPr>
        <w:t>1. 比选项目内容</w:t>
      </w:r>
      <w:bookmarkEnd w:id="4"/>
      <w:bookmarkEnd w:id="5"/>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C92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5E56D52">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序号</w:t>
            </w:r>
          </w:p>
        </w:tc>
        <w:tc>
          <w:tcPr>
            <w:tcW w:w="2826" w:type="dxa"/>
            <w:vAlign w:val="center"/>
          </w:tcPr>
          <w:p w14:paraId="22497BF0">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项目名称</w:t>
            </w:r>
          </w:p>
        </w:tc>
        <w:tc>
          <w:tcPr>
            <w:tcW w:w="1646" w:type="dxa"/>
            <w:vAlign w:val="center"/>
          </w:tcPr>
          <w:p w14:paraId="0B689CC3">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最高限价</w:t>
            </w:r>
          </w:p>
        </w:tc>
        <w:tc>
          <w:tcPr>
            <w:tcW w:w="1798" w:type="dxa"/>
            <w:vAlign w:val="center"/>
          </w:tcPr>
          <w:p w14:paraId="643A4B40">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中选人数量</w:t>
            </w:r>
          </w:p>
        </w:tc>
        <w:tc>
          <w:tcPr>
            <w:tcW w:w="1798" w:type="dxa"/>
            <w:vAlign w:val="center"/>
          </w:tcPr>
          <w:p w14:paraId="740B05B8">
            <w:pPr>
              <w:spacing w:line="36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备注</w:t>
            </w:r>
          </w:p>
        </w:tc>
      </w:tr>
      <w:tr w14:paraId="6AF8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D993FF3">
            <w:pPr>
              <w:spacing w:line="360" w:lineRule="auto"/>
              <w:ind w:firstLine="0" w:firstLineChars="0"/>
              <w:jc w:val="center"/>
              <w:rPr>
                <w:rFonts w:ascii="Times New Roman" w:hAnsi="Times New Roman" w:cs="Cambria"/>
                <w:snapToGrid w:val="0"/>
                <w:color w:val="000000"/>
                <w:kern w:val="0"/>
                <w:sz w:val="21"/>
                <w:szCs w:val="21"/>
                <w:highlight w:val="none"/>
              </w:rPr>
            </w:pPr>
            <w:r>
              <w:rPr>
                <w:rFonts w:hint="eastAsia" w:ascii="Times New Roman" w:hAnsi="Times New Roman" w:cs="Cambria"/>
                <w:snapToGrid w:val="0"/>
                <w:color w:val="000000"/>
                <w:kern w:val="0"/>
                <w:sz w:val="21"/>
                <w:szCs w:val="21"/>
                <w:highlight w:val="none"/>
              </w:rPr>
              <w:t>1</w:t>
            </w:r>
          </w:p>
        </w:tc>
        <w:tc>
          <w:tcPr>
            <w:tcW w:w="2826" w:type="dxa"/>
            <w:tcBorders>
              <w:top w:val="single" w:color="auto" w:sz="4" w:space="0"/>
              <w:left w:val="single" w:color="auto" w:sz="4" w:space="0"/>
              <w:right w:val="single" w:color="auto" w:sz="4" w:space="0"/>
            </w:tcBorders>
            <w:vAlign w:val="center"/>
          </w:tcPr>
          <w:p w14:paraId="29ED99B9">
            <w:pPr>
              <w:spacing w:line="360" w:lineRule="auto"/>
              <w:ind w:firstLine="0" w:firstLineChars="0"/>
              <w:jc w:val="center"/>
              <w:rPr>
                <w:rFonts w:ascii="Times New Roman" w:hAnsi="Times New Roman" w:cs="Cambria"/>
                <w:snapToGrid w:val="0"/>
                <w:color w:val="000000"/>
                <w:kern w:val="0"/>
                <w:sz w:val="21"/>
                <w:szCs w:val="21"/>
                <w:highlight w:val="none"/>
              </w:rPr>
            </w:pPr>
            <w:r>
              <w:rPr>
                <w:rFonts w:ascii="宋体" w:hAnsi="宋体" w:cs="Cambria"/>
                <w:snapToGrid w:val="0"/>
                <w:color w:val="000000"/>
                <w:kern w:val="0"/>
                <w:szCs w:val="24"/>
                <w:highlight w:val="none"/>
              </w:rPr>
              <w:t>重庆三峡银行</w:t>
            </w:r>
            <w:r>
              <w:rPr>
                <w:rFonts w:hint="eastAsia" w:ascii="宋体" w:hAnsi="宋体" w:cs="Cambria"/>
                <w:snapToGrid w:val="0"/>
                <w:color w:val="000000"/>
                <w:kern w:val="0"/>
                <w:szCs w:val="24"/>
                <w:highlight w:val="none"/>
              </w:rPr>
              <w:t>2024年度新一代核心系统持续优化项目</w:t>
            </w:r>
            <w:r>
              <w:rPr>
                <w:rFonts w:hint="eastAsia" w:ascii="Times New Roman" w:hAnsi="Times New Roman" w:cs="Times New Roman"/>
                <w:color w:val="000000"/>
                <w:highlight w:val="none"/>
                <w:lang w:eastAsia="zh-CN"/>
              </w:rPr>
              <w:t>（</w:t>
            </w:r>
            <w:r>
              <w:rPr>
                <w:rFonts w:hint="eastAsia" w:ascii="Times New Roman" w:hAnsi="Times New Roman" w:cs="Times New Roman"/>
                <w:color w:val="000000"/>
                <w:highlight w:val="none"/>
                <w:lang w:val="en-US" w:eastAsia="zh-CN"/>
              </w:rPr>
              <w:t>第二次</w:t>
            </w:r>
            <w:r>
              <w:rPr>
                <w:rFonts w:hint="eastAsia" w:ascii="Times New Roman" w:hAnsi="Times New Roman" w:cs="Times New Roman"/>
                <w:color w:val="000000"/>
                <w:highlight w:val="none"/>
                <w:lang w:eastAsia="zh-CN"/>
              </w:rPr>
              <w:t>）</w:t>
            </w:r>
          </w:p>
        </w:tc>
        <w:tc>
          <w:tcPr>
            <w:tcW w:w="1646" w:type="dxa"/>
            <w:tcBorders>
              <w:top w:val="single" w:color="auto" w:sz="4" w:space="0"/>
              <w:left w:val="single" w:color="auto" w:sz="4" w:space="0"/>
              <w:right w:val="single" w:color="auto" w:sz="4" w:space="0"/>
            </w:tcBorders>
            <w:vAlign w:val="center"/>
          </w:tcPr>
          <w:p w14:paraId="4A9F011B">
            <w:pPr>
              <w:tabs>
                <w:tab w:val="left" w:pos="3360"/>
              </w:tabs>
              <w:spacing w:line="360" w:lineRule="auto"/>
              <w:ind w:firstLine="0" w:firstLineChars="0"/>
              <w:jc w:val="center"/>
              <w:rPr>
                <w:rFonts w:ascii="宋体" w:hAnsi="宋体" w:cs="Cambria"/>
                <w:snapToGrid w:val="0"/>
                <w:color w:val="000000"/>
                <w:kern w:val="0"/>
                <w:szCs w:val="24"/>
                <w:highlight w:val="none"/>
              </w:rPr>
            </w:pPr>
            <w:r>
              <w:rPr>
                <w:rFonts w:hint="eastAsia" w:ascii="宋体" w:hAnsi="宋体" w:cs="Cambria"/>
                <w:snapToGrid w:val="0"/>
                <w:color w:val="000000"/>
                <w:kern w:val="0"/>
                <w:szCs w:val="24"/>
                <w:highlight w:val="none"/>
              </w:rPr>
              <w:t>288.54万元</w:t>
            </w:r>
          </w:p>
        </w:tc>
        <w:tc>
          <w:tcPr>
            <w:tcW w:w="1798" w:type="dxa"/>
            <w:tcBorders>
              <w:top w:val="single" w:color="auto" w:sz="4" w:space="0"/>
              <w:left w:val="single" w:color="auto" w:sz="4" w:space="0"/>
              <w:right w:val="single" w:color="auto" w:sz="4" w:space="0"/>
            </w:tcBorders>
            <w:vAlign w:val="center"/>
          </w:tcPr>
          <w:p w14:paraId="13CB84FC">
            <w:pPr>
              <w:tabs>
                <w:tab w:val="left" w:pos="3360"/>
              </w:tabs>
              <w:spacing w:line="360" w:lineRule="auto"/>
              <w:ind w:firstLine="0" w:firstLineChars="0"/>
              <w:jc w:val="center"/>
              <w:rPr>
                <w:rFonts w:ascii="宋体" w:hAnsi="宋体" w:cs="Cambria"/>
                <w:snapToGrid w:val="0"/>
                <w:color w:val="000000"/>
                <w:kern w:val="0"/>
                <w:szCs w:val="24"/>
                <w:highlight w:val="none"/>
              </w:rPr>
            </w:pPr>
            <w:r>
              <w:rPr>
                <w:rFonts w:hint="eastAsia" w:ascii="宋体" w:hAnsi="宋体" w:cs="Cambria"/>
                <w:snapToGrid w:val="0"/>
                <w:color w:val="000000"/>
                <w:kern w:val="0"/>
                <w:szCs w:val="24"/>
                <w:highlight w:val="none"/>
              </w:rPr>
              <w:t>1</w:t>
            </w:r>
          </w:p>
        </w:tc>
        <w:tc>
          <w:tcPr>
            <w:tcW w:w="1798" w:type="dxa"/>
            <w:vAlign w:val="center"/>
          </w:tcPr>
          <w:p w14:paraId="1F8A65EB">
            <w:pPr>
              <w:spacing w:line="360" w:lineRule="auto"/>
              <w:ind w:firstLine="0" w:firstLineChars="0"/>
              <w:jc w:val="center"/>
              <w:rPr>
                <w:rFonts w:ascii="Times New Roman" w:hAnsi="Times New Roman" w:cs="Cambria"/>
                <w:snapToGrid w:val="0"/>
                <w:color w:val="000000"/>
                <w:kern w:val="0"/>
                <w:sz w:val="21"/>
                <w:szCs w:val="21"/>
                <w:highlight w:val="none"/>
              </w:rPr>
            </w:pPr>
            <w:r>
              <w:rPr>
                <w:rFonts w:hint="eastAsia" w:ascii="宋体" w:hAnsi="宋体" w:cs="Cambria"/>
                <w:snapToGrid w:val="0"/>
                <w:color w:val="000000"/>
                <w:kern w:val="0"/>
                <w:szCs w:val="24"/>
                <w:highlight w:val="none"/>
              </w:rPr>
              <w:t>含税价</w:t>
            </w:r>
          </w:p>
        </w:tc>
      </w:tr>
    </w:tbl>
    <w:p w14:paraId="310F6F16">
      <w:pPr>
        <w:pStyle w:val="3"/>
        <w:rPr>
          <w:rFonts w:ascii="Times New Roman" w:hAnsi="Times New Roman"/>
          <w:highlight w:val="none"/>
        </w:rPr>
      </w:pPr>
      <w:bookmarkStart w:id="7" w:name="_Toc55379219"/>
      <w:bookmarkStart w:id="8" w:name="_Toc297817088"/>
      <w:bookmarkStart w:id="9" w:name="_Toc89675128"/>
      <w:bookmarkStart w:id="10" w:name="_Toc288224935"/>
      <w:bookmarkStart w:id="11" w:name="_Toc469574664"/>
      <w:r>
        <w:rPr>
          <w:rFonts w:hint="eastAsia" w:ascii="Times New Roman" w:hAnsi="Times New Roman"/>
          <w:highlight w:val="none"/>
        </w:rPr>
        <w:t>2. 参选人资格要求</w:t>
      </w:r>
      <w:bookmarkEnd w:id="7"/>
      <w:bookmarkEnd w:id="8"/>
      <w:bookmarkEnd w:id="9"/>
      <w:bookmarkEnd w:id="10"/>
      <w:bookmarkEnd w:id="11"/>
    </w:p>
    <w:p w14:paraId="27FC6A4A">
      <w:pPr>
        <w:rPr>
          <w:rFonts w:hint="eastAsia" w:ascii="Times New Roman" w:hAnsi="Times New Roman" w:cs="Times New Roman"/>
          <w:color w:val="000000"/>
          <w:highlight w:val="none"/>
        </w:rPr>
      </w:pPr>
      <w:bookmarkStart w:id="12" w:name="_Hlk55488870"/>
      <w:r>
        <w:rPr>
          <w:rFonts w:hint="eastAsia" w:ascii="Times New Roman" w:hAnsi="Times New Roman" w:cs="Times New Roman"/>
          <w:color w:val="000000"/>
          <w:highlight w:val="none"/>
        </w:rPr>
        <w:t>2.1 具有独立承担民事责任的能力</w:t>
      </w:r>
    </w:p>
    <w:p w14:paraId="14705512">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【提供参选人有效营业执照（副本）或事业单位法人证书（副本）或个体工商户营业执照或有效的自然人身份证明；参选人法定代表人身份证明和法定代表人授权代表委托书。】</w:t>
      </w:r>
    </w:p>
    <w:p w14:paraId="6E2BF5CF">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注：若为法定代表人办理并签署参选文件的，不提供授权代表委托书。</w:t>
      </w:r>
    </w:p>
    <w:p w14:paraId="515F2286">
      <w:pPr>
        <w:rPr>
          <w:rFonts w:ascii="Times New Roman" w:hAnsi="Times New Roman" w:cs="Times New Roman"/>
          <w:color w:val="000000"/>
          <w:highlight w:val="none"/>
        </w:rPr>
      </w:pPr>
      <w:r>
        <w:rPr>
          <w:rFonts w:hint="eastAsia" w:ascii="Times New Roman" w:hAnsi="Times New Roman" w:cs="Times New Roman"/>
          <w:color w:val="000000"/>
          <w:highlight w:val="none"/>
        </w:rPr>
        <w:t>2.2 具有良好的商业信誉和健全的财务会计制度【提供书面声明】；</w:t>
      </w:r>
    </w:p>
    <w:p w14:paraId="3F7E51C6">
      <w:pPr>
        <w:rPr>
          <w:rFonts w:ascii="Times New Roman" w:hAnsi="Times New Roman" w:cs="Times New Roman"/>
          <w:color w:val="000000"/>
          <w:highlight w:val="none"/>
        </w:rPr>
      </w:pPr>
      <w:r>
        <w:rPr>
          <w:rFonts w:hint="eastAsia" w:ascii="Times New Roman" w:hAnsi="Times New Roman" w:cs="Times New Roman"/>
          <w:color w:val="000000"/>
          <w:highlight w:val="none"/>
        </w:rPr>
        <w:t>2.3 具有履行合同所必需的设备和专业技术能力【提供书面声明】；</w:t>
      </w:r>
    </w:p>
    <w:p w14:paraId="2AB64176">
      <w:pPr>
        <w:rPr>
          <w:rFonts w:ascii="Times New Roman" w:hAnsi="Times New Roman" w:cs="Times New Roman"/>
          <w:color w:val="000000"/>
          <w:highlight w:val="none"/>
        </w:rPr>
      </w:pPr>
      <w:r>
        <w:rPr>
          <w:rFonts w:hint="eastAsia" w:ascii="Times New Roman" w:hAnsi="Times New Roman" w:cs="Times New Roman"/>
          <w:color w:val="000000"/>
          <w:highlight w:val="none"/>
        </w:rPr>
        <w:t>2.4 有依法缴纳税收和社会保障金的良好记录【提供书面声明】；</w:t>
      </w:r>
    </w:p>
    <w:p w14:paraId="4F2A989E">
      <w:pPr>
        <w:rPr>
          <w:rFonts w:ascii="Times New Roman" w:hAnsi="Times New Roman" w:cs="Times New Roman"/>
          <w:color w:val="000000"/>
          <w:highlight w:val="none"/>
        </w:rPr>
      </w:pPr>
      <w:r>
        <w:rPr>
          <w:rFonts w:hint="eastAsia" w:ascii="Times New Roman" w:hAnsi="Times New Roman" w:cs="Times New Roman"/>
          <w:color w:val="000000"/>
          <w:highlight w:val="none"/>
        </w:rPr>
        <w:t>2.5 三年内在经营活动中没有重大违法记录【提供书面声明】；</w:t>
      </w:r>
    </w:p>
    <w:p w14:paraId="06EA1120">
      <w:pPr>
        <w:rPr>
          <w:rFonts w:ascii="Times New Roman" w:hAnsi="Times New Roman" w:cs="Times New Roman"/>
          <w:color w:val="000000"/>
          <w:highlight w:val="none"/>
        </w:rPr>
      </w:pPr>
      <w:r>
        <w:rPr>
          <w:rFonts w:hint="eastAsia" w:ascii="Times New Roman" w:hAnsi="Times New Roman" w:cs="Times New Roman"/>
          <w:color w:val="000000"/>
          <w:highlight w:val="none"/>
        </w:rPr>
        <w:t>2.6 法人及法定代表人没有被人民法院列为失信被执行人名单【提供中国执行信息公开网截图并加盖单位鲜章】；</w:t>
      </w:r>
    </w:p>
    <w:p w14:paraId="794E7480">
      <w:pPr>
        <w:rPr>
          <w:rFonts w:ascii="Times New Roman" w:hAnsi="Times New Roman" w:cs="Times New Roman"/>
          <w:color w:val="000000"/>
          <w:highlight w:val="none"/>
        </w:rPr>
      </w:pPr>
      <w:r>
        <w:rPr>
          <w:rFonts w:hint="eastAsia" w:ascii="Times New Roman" w:hAnsi="Times New Roman" w:cs="Times New Roman"/>
          <w:color w:val="000000"/>
          <w:highlight w:val="none"/>
        </w:rPr>
        <w:t>2.7 本项目不允许任何形式的转包【提供书面声明】。</w:t>
      </w:r>
    </w:p>
    <w:p w14:paraId="1143BA5C">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2.8 本次招标不接受联合体参选。</w:t>
      </w:r>
    </w:p>
    <w:p w14:paraId="66E62260">
      <w:pPr>
        <w:rPr>
          <w:rFonts w:ascii="Times New Roman" w:hAnsi="Times New Roman" w:cs="Times New Roman"/>
          <w:color w:val="000000"/>
          <w:highlight w:val="none"/>
        </w:rPr>
      </w:pPr>
      <w:r>
        <w:rPr>
          <w:rFonts w:hint="eastAsia" w:ascii="Times New Roman" w:hAnsi="Times New Roman" w:cs="Times New Roman"/>
          <w:color w:val="000000"/>
          <w:highlight w:val="none"/>
        </w:rPr>
        <w:t xml:space="preserve">2.9 </w:t>
      </w:r>
      <w:r>
        <w:rPr>
          <w:rFonts w:ascii="Times New Roman" w:hAnsi="Times New Roman" w:cs="Times New Roman"/>
          <w:color w:val="000000"/>
          <w:highlight w:val="none"/>
        </w:rPr>
        <w:t>参选人注册成立时间不少于3年，且近3年财务状况稳定【注册成立时间提供营业执照、财务状况提供书面声明】</w:t>
      </w:r>
      <w:r>
        <w:rPr>
          <w:rFonts w:hint="eastAsia" w:ascii="Times New Roman" w:hAnsi="Times New Roman"/>
          <w:color w:val="000000"/>
          <w:highlight w:val="none"/>
        </w:rPr>
        <w:t>；</w:t>
      </w:r>
    </w:p>
    <w:p w14:paraId="4BCDA04C">
      <w:pPr>
        <w:rPr>
          <w:rFonts w:ascii="Times New Roman" w:hAnsi="Times New Roman"/>
          <w:color w:val="auto"/>
          <w:highlight w:val="none"/>
        </w:rPr>
      </w:pPr>
      <w:r>
        <w:rPr>
          <w:rFonts w:hint="eastAsia" w:ascii="Times New Roman" w:hAnsi="Times New Roman"/>
          <w:color w:val="auto"/>
          <w:highlight w:val="none"/>
        </w:rPr>
        <w:t>2.10 实施团队要求</w:t>
      </w:r>
    </w:p>
    <w:p w14:paraId="4FD5FD7D">
      <w:pPr>
        <w:ind w:firstLine="480"/>
        <w:rPr>
          <w:rFonts w:hint="eastAsia" w:ascii="Times New Roman" w:hAnsi="Times New Roman"/>
          <w:highlight w:val="none"/>
        </w:rPr>
      </w:pPr>
      <w:r>
        <w:rPr>
          <w:rFonts w:hint="eastAsia" w:ascii="Times New Roman" w:hAnsi="Times New Roman"/>
          <w:color w:val="auto"/>
          <w:highlight w:val="none"/>
        </w:rPr>
        <w:t>项目实施团队总人数不低于</w:t>
      </w:r>
      <w:r>
        <w:rPr>
          <w:rFonts w:ascii="Times New Roman" w:hAnsi="Times New Roman"/>
          <w:color w:val="auto"/>
          <w:highlight w:val="none"/>
        </w:rPr>
        <w:t>6</w:t>
      </w:r>
      <w:r>
        <w:rPr>
          <w:rFonts w:hint="eastAsia" w:ascii="Times New Roman" w:hAnsi="Times New Roman"/>
          <w:color w:val="auto"/>
          <w:highlight w:val="none"/>
        </w:rPr>
        <w:t>人，实施团队至少包括项目经理1名，项目组开发人员</w:t>
      </w:r>
      <w:r>
        <w:rPr>
          <w:rFonts w:ascii="Times New Roman" w:hAnsi="Times New Roman"/>
          <w:color w:val="auto"/>
          <w:highlight w:val="none"/>
        </w:rPr>
        <w:t>5</w:t>
      </w:r>
      <w:r>
        <w:rPr>
          <w:rFonts w:hint="eastAsia" w:ascii="Times New Roman" w:hAnsi="Times New Roman"/>
          <w:color w:val="auto"/>
          <w:highlight w:val="none"/>
        </w:rPr>
        <w:t>名，</w:t>
      </w:r>
      <w:r>
        <w:rPr>
          <w:rFonts w:hint="eastAsia" w:ascii="Times New Roman" w:hAnsi="Times New Roman"/>
          <w:color w:val="auto"/>
          <w:highlight w:val="none"/>
          <w:lang w:val="en-US" w:eastAsia="zh-CN"/>
        </w:rPr>
        <w:t>其中项目组开发人员</w:t>
      </w:r>
      <w:r>
        <w:rPr>
          <w:rFonts w:hint="eastAsia" w:ascii="Times New Roman" w:hAnsi="Times New Roman"/>
          <w:highlight w:val="none"/>
        </w:rPr>
        <w:t>具有3年（含）以上</w:t>
      </w:r>
      <w:r>
        <w:rPr>
          <w:rFonts w:hint="eastAsia" w:ascii="Times New Roman" w:hAnsi="Times New Roman" w:cs="Cambria"/>
          <w:kern w:val="0"/>
          <w:highlight w:val="none"/>
        </w:rPr>
        <w:t>长亮核心系统V8版</w:t>
      </w:r>
      <w:r>
        <w:rPr>
          <w:rFonts w:hint="eastAsia" w:ascii="Times New Roman" w:hAnsi="Times New Roman"/>
          <w:highlight w:val="none"/>
        </w:rPr>
        <w:t>项目开发经验，并具备银行同类型系统体系化知识</w:t>
      </w:r>
      <w:r>
        <w:rPr>
          <w:rFonts w:hint="eastAsia" w:ascii="Times New Roman" w:hAnsi="Times New Roman"/>
          <w:highlight w:val="none"/>
          <w:lang w:eastAsia="zh-CN"/>
        </w:rPr>
        <w:t>；</w:t>
      </w:r>
      <w:r>
        <w:rPr>
          <w:rFonts w:hint="eastAsia" w:ascii="Times New Roman" w:hAnsi="Times New Roman"/>
          <w:color w:val="auto"/>
          <w:highlight w:val="none"/>
          <w:lang w:val="en-US" w:eastAsia="zh-CN"/>
        </w:rPr>
        <w:t>项目经理</w:t>
      </w:r>
      <w:r>
        <w:rPr>
          <w:rFonts w:hint="eastAsia" w:ascii="Times New Roman" w:hAnsi="Times New Roman" w:cs="Cambria"/>
          <w:kern w:val="0"/>
          <w:highlight w:val="none"/>
        </w:rPr>
        <w:t>具有</w:t>
      </w:r>
      <w:r>
        <w:rPr>
          <w:rFonts w:ascii="Times New Roman" w:hAnsi="Times New Roman" w:cs="Cambria"/>
          <w:kern w:val="0"/>
          <w:highlight w:val="none"/>
        </w:rPr>
        <w:t>7</w:t>
      </w:r>
      <w:r>
        <w:rPr>
          <w:rFonts w:hint="eastAsia" w:ascii="Times New Roman" w:hAnsi="Times New Roman" w:cs="Cambria"/>
          <w:kern w:val="0"/>
          <w:highlight w:val="none"/>
        </w:rPr>
        <w:t>年（含）以上长亮核心系统V7/V8版项目管理及开发经验</w:t>
      </w:r>
      <w:r>
        <w:rPr>
          <w:rFonts w:hint="eastAsia" w:ascii="Times New Roman" w:hAnsi="Times New Roman" w:cs="Cambria"/>
          <w:kern w:val="0"/>
          <w:highlight w:val="none"/>
          <w:lang w:val="en-US" w:eastAsia="zh-CN"/>
        </w:rPr>
        <w:t>且</w:t>
      </w:r>
      <w:r>
        <w:rPr>
          <w:rFonts w:hint="eastAsia" w:ascii="Times New Roman" w:hAnsi="Times New Roman" w:cs="Cambria"/>
          <w:kern w:val="0"/>
          <w:highlight w:val="none"/>
        </w:rPr>
        <w:t>至少具有3年(含)以上长亮核心系统V8版项目开发经验，3个及以上长亮核心系统V7/V8版实施经验</w:t>
      </w:r>
      <w:r>
        <w:rPr>
          <w:rFonts w:hint="eastAsia" w:ascii="Times New Roman" w:hAnsi="Times New Roman"/>
          <w:highlight w:val="none"/>
        </w:rPr>
        <w:t>；直接对项目的实施负责，通过对工期、成本、质量的控制（包括总体制定、执行、跟踪、调整相关计划，协调项目可用资源），确保项目按要求完成。</w:t>
      </w:r>
    </w:p>
    <w:p w14:paraId="5E6A5AD7">
      <w:pPr>
        <w:ind w:firstLine="48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hint="eastAsia" w:ascii="Times New Roman" w:hAnsi="Times New Roman"/>
          <w:color w:val="auto"/>
          <w:highlight w:val="none"/>
        </w:rPr>
        <w:t>项目组成员</w:t>
      </w:r>
      <w:r>
        <w:rPr>
          <w:rFonts w:hint="eastAsia" w:ascii="Times New Roman" w:hAnsi="Times New Roman"/>
          <w:color w:val="auto"/>
          <w:highlight w:val="none"/>
          <w:lang w:val="en-US" w:eastAsia="zh-CN"/>
        </w:rPr>
        <w:t>个人</w:t>
      </w:r>
      <w:r>
        <w:rPr>
          <w:rFonts w:hint="eastAsia" w:ascii="Times New Roman" w:hAnsi="Times New Roman"/>
          <w:color w:val="auto"/>
          <w:highlight w:val="none"/>
        </w:rPr>
        <w:t>简历表，相关工作及项目经历需提供相应的证明材料，包括但不限于</w:t>
      </w:r>
      <w:r>
        <w:rPr>
          <w:rFonts w:hint="eastAsia" w:ascii="Times New Roman" w:hAnsi="Times New Roman"/>
          <w:color w:val="auto"/>
          <w:highlight w:val="none"/>
          <w:lang w:val="en-US" w:eastAsia="zh-CN"/>
        </w:rPr>
        <w:t>相关</w:t>
      </w:r>
      <w:r>
        <w:rPr>
          <w:rFonts w:hint="eastAsia" w:ascii="Times New Roman" w:hAnsi="Times New Roman"/>
          <w:color w:val="auto"/>
          <w:highlight w:val="none"/>
        </w:rPr>
        <w:t>合同中项目组成员名单</w:t>
      </w:r>
      <w:r>
        <w:rPr>
          <w:rFonts w:hint="eastAsia" w:ascii="Times New Roman" w:hAnsi="Times New Roman"/>
          <w:color w:val="auto"/>
          <w:highlight w:val="none"/>
          <w:lang w:eastAsia="zh-CN"/>
        </w:rPr>
        <w:t>、</w:t>
      </w:r>
      <w:r>
        <w:rPr>
          <w:rFonts w:hint="eastAsia" w:ascii="Times New Roman" w:hAnsi="Times New Roman"/>
          <w:color w:val="auto"/>
          <w:highlight w:val="none"/>
        </w:rPr>
        <w:t>盖有</w:t>
      </w:r>
      <w:r>
        <w:rPr>
          <w:rFonts w:hint="eastAsia" w:ascii="Times New Roman" w:hAnsi="Times New Roman"/>
          <w:color w:val="auto"/>
          <w:highlight w:val="none"/>
          <w:lang w:val="en-US" w:eastAsia="zh-CN"/>
        </w:rPr>
        <w:t>参选人</w:t>
      </w:r>
      <w:r>
        <w:rPr>
          <w:rFonts w:hint="eastAsia" w:ascii="Times New Roman" w:hAnsi="Times New Roman"/>
          <w:color w:val="auto"/>
          <w:highlight w:val="none"/>
        </w:rPr>
        <w:t>公章的</w:t>
      </w:r>
      <w:r>
        <w:rPr>
          <w:rFonts w:hint="eastAsia" w:ascii="Times New Roman" w:hAnsi="Times New Roman"/>
          <w:color w:val="auto"/>
          <w:highlight w:val="none"/>
          <w:lang w:val="en-US" w:eastAsia="zh-CN"/>
        </w:rPr>
        <w:t>承诺函等</w:t>
      </w:r>
      <w:r>
        <w:rPr>
          <w:rFonts w:hint="eastAsia" w:ascii="Times New Roman" w:hAnsi="Times New Roman"/>
          <w:color w:val="auto"/>
          <w:highlight w:val="none"/>
        </w:rPr>
        <w:t>证明材料</w:t>
      </w:r>
      <w:r>
        <w:rPr>
          <w:rFonts w:hint="eastAsia" w:ascii="Times New Roman" w:hAnsi="Times New Roman"/>
          <w:color w:val="auto"/>
          <w:highlight w:val="none"/>
          <w:lang w:eastAsia="zh-CN"/>
        </w:rPr>
        <w:t>】</w:t>
      </w:r>
    </w:p>
    <w:p w14:paraId="766C8050">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止挂网日，存在上述情况的公司已纳入下列清单。</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58C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D2D3AC9">
            <w:pPr>
              <w:spacing w:line="360" w:lineRule="auto"/>
              <w:ind w:firstLine="0" w:firstLineChars="0"/>
              <w:jc w:val="center"/>
              <w:rPr>
                <w:rFonts w:hint="eastAsia" w:ascii="Times New Roman" w:hAnsi="Times New Roman" w:cs="Times New Roman"/>
                <w:bCs/>
                <w:color w:val="000000"/>
                <w:highlight w:val="none"/>
              </w:rPr>
            </w:pPr>
            <w:r>
              <w:rPr>
                <w:rFonts w:hint="eastAsia" w:ascii="Times New Roman" w:hAnsi="Times New Roman" w:cs="Times New Roman"/>
                <w:bCs/>
                <w:color w:val="000000"/>
                <w:highlight w:val="none"/>
              </w:rPr>
              <w:t>序号</w:t>
            </w:r>
          </w:p>
        </w:tc>
        <w:tc>
          <w:tcPr>
            <w:tcW w:w="4933" w:type="dxa"/>
          </w:tcPr>
          <w:p w14:paraId="3C214820">
            <w:pPr>
              <w:spacing w:line="360" w:lineRule="auto"/>
              <w:ind w:firstLine="0" w:firstLineChars="0"/>
              <w:jc w:val="center"/>
              <w:rPr>
                <w:rFonts w:hint="eastAsia" w:ascii="Times New Roman" w:hAnsi="Times New Roman" w:cs="Times New Roman"/>
                <w:bCs/>
                <w:color w:val="000000"/>
                <w:highlight w:val="none"/>
              </w:rPr>
            </w:pPr>
            <w:r>
              <w:rPr>
                <w:rFonts w:hint="eastAsia" w:ascii="Times New Roman" w:hAnsi="Times New Roman" w:cs="Times New Roman"/>
                <w:bCs/>
                <w:color w:val="000000"/>
                <w:highlight w:val="none"/>
              </w:rPr>
              <w:t>公司</w:t>
            </w:r>
          </w:p>
        </w:tc>
      </w:tr>
      <w:tr w14:paraId="0B79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9F9D15F">
            <w:pPr>
              <w:spacing w:line="360" w:lineRule="auto"/>
              <w:ind w:firstLine="0" w:firstLineChars="0"/>
              <w:jc w:val="center"/>
              <w:rPr>
                <w:rFonts w:hint="eastAsia" w:ascii="Times New Roman" w:hAnsi="Times New Roman" w:cs="Times New Roman"/>
                <w:color w:val="000000"/>
                <w:highlight w:val="none"/>
              </w:rPr>
            </w:pPr>
            <w:r>
              <w:rPr>
                <w:rFonts w:hint="eastAsia" w:ascii="Times New Roman" w:hAnsi="Times New Roman" w:cs="Times New Roman"/>
                <w:color w:val="000000"/>
                <w:highlight w:val="none"/>
              </w:rPr>
              <w:t>1</w:t>
            </w:r>
          </w:p>
        </w:tc>
        <w:tc>
          <w:tcPr>
            <w:tcW w:w="4933" w:type="dxa"/>
          </w:tcPr>
          <w:p w14:paraId="75F0B827">
            <w:pPr>
              <w:spacing w:line="360" w:lineRule="auto"/>
              <w:ind w:firstLine="0" w:firstLineChars="0"/>
              <w:jc w:val="center"/>
              <w:rPr>
                <w:rFonts w:hint="eastAsia" w:ascii="Times New Roman" w:hAnsi="Times New Roman" w:cs="Times New Roman"/>
                <w:color w:val="000000"/>
                <w:highlight w:val="none"/>
              </w:rPr>
            </w:pPr>
            <w:r>
              <w:rPr>
                <w:rFonts w:hint="eastAsia" w:ascii="Times New Roman" w:hAnsi="Times New Roman" w:cs="Times New Roman"/>
                <w:color w:val="000000"/>
                <w:highlight w:val="none"/>
              </w:rPr>
              <w:t>依米康软件技术（深圳）有限责任公司</w:t>
            </w:r>
          </w:p>
        </w:tc>
      </w:tr>
    </w:tbl>
    <w:p w14:paraId="110488C6">
      <w:pPr>
        <w:rPr>
          <w:rFonts w:ascii="Times New Roman" w:hAnsi="Times New Roman"/>
          <w:highlight w:val="none"/>
        </w:rPr>
      </w:pPr>
    </w:p>
    <w:bookmarkEnd w:id="12"/>
    <w:p w14:paraId="3FA3EAD8">
      <w:pPr>
        <w:pStyle w:val="3"/>
        <w:rPr>
          <w:rFonts w:ascii="Times New Roman" w:hAnsi="Times New Roman"/>
          <w:highlight w:val="none"/>
        </w:rPr>
      </w:pPr>
      <w:bookmarkStart w:id="13" w:name="_Toc55379220"/>
      <w:bookmarkStart w:id="14" w:name="_Toc89675130"/>
      <w:bookmarkStart w:id="15" w:name="_Toc297817090"/>
      <w:bookmarkStart w:id="16" w:name="_Toc469574667"/>
      <w:r>
        <w:rPr>
          <w:rFonts w:hint="eastAsia" w:ascii="Times New Roman" w:hAnsi="Times New Roman"/>
          <w:highlight w:val="none"/>
        </w:rPr>
        <w:t>3. 比选文件的获取</w:t>
      </w:r>
      <w:bookmarkEnd w:id="13"/>
    </w:p>
    <w:p w14:paraId="0F440B81">
      <w:pPr>
        <w:ind w:firstLine="420"/>
        <w:rPr>
          <w:color w:val="auto"/>
          <w:highlight w:val="none"/>
        </w:rPr>
      </w:pPr>
      <w:r>
        <w:rPr>
          <w:rFonts w:hint="eastAsia"/>
          <w:color w:val="auto"/>
          <w:highlight w:val="none"/>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4079FE33">
      <w:pPr>
        <w:ind w:firstLine="420"/>
        <w:rPr>
          <w:color w:val="auto"/>
          <w:highlight w:val="none"/>
        </w:rPr>
      </w:pPr>
      <w:r>
        <w:rPr>
          <w:rFonts w:hint="eastAsia"/>
          <w:color w:val="auto"/>
          <w:highlight w:val="none"/>
        </w:rPr>
        <w:t>3.2 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日到参选截止时间，在重庆市公共资源交易网（www.cqggzy.com）下载比选文件。</w:t>
      </w:r>
    </w:p>
    <w:p w14:paraId="2D62DF94">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3.</w:t>
      </w:r>
      <w:r>
        <w:rPr>
          <w:rFonts w:hint="eastAsia" w:ascii="Times New Roman" w:hAnsi="Times New Roman" w:cs="Times New Roman"/>
          <w:color w:val="000000"/>
          <w:highlight w:val="none"/>
          <w:lang w:val="en-US" w:eastAsia="zh-CN"/>
        </w:rPr>
        <w:t xml:space="preserve">3 </w:t>
      </w:r>
      <w:r>
        <w:rPr>
          <w:rFonts w:hint="eastAsia" w:ascii="Times New Roman" w:hAnsi="Times New Roman" w:cs="Times New Roman"/>
          <w:color w:val="000000"/>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23</w:t>
      </w:r>
      <w:r>
        <w:rPr>
          <w:rFonts w:hint="eastAsia"/>
          <w:color w:val="auto"/>
          <w:highlight w:val="none"/>
        </w:rPr>
        <w:t>日</w:t>
      </w:r>
      <w:r>
        <w:rPr>
          <w:rFonts w:hint="eastAsia" w:ascii="Times New Roman" w:hAnsi="Times New Roman" w:cs="Times New Roman"/>
          <w:color w:val="000000"/>
          <w:highlight w:val="none"/>
          <w:u w:val="single"/>
          <w:lang w:val="en-US" w:eastAsia="zh-CN"/>
        </w:rPr>
        <w:t>17</w:t>
      </w:r>
      <w:r>
        <w:rPr>
          <w:rFonts w:hint="eastAsia" w:ascii="Times New Roman" w:hAnsi="Times New Roman" w:cs="Times New Roman"/>
          <w:color w:val="000000"/>
          <w:highlight w:val="none"/>
        </w:rPr>
        <w:t>时</w:t>
      </w:r>
      <w:r>
        <w:rPr>
          <w:rFonts w:hint="eastAsia" w:ascii="Times New Roman" w:hAnsi="Times New Roman" w:cs="Times New Roman"/>
          <w:color w:val="000000"/>
          <w:highlight w:val="none"/>
          <w:u w:val="single"/>
          <w:lang w:val="en-US" w:eastAsia="zh-CN"/>
        </w:rPr>
        <w:t>00</w:t>
      </w:r>
      <w:r>
        <w:rPr>
          <w:rFonts w:hint="eastAsia" w:ascii="Times New Roman" w:hAnsi="Times New Roman" w:cs="Times New Roman"/>
          <w:color w:val="000000"/>
          <w:highlight w:val="none"/>
        </w:rPr>
        <w:t>分（北京时间）前自行在重庆市公共资源交易网（http://www.cqggzy.com/）比选公告的“我要提问”栏目匿名提出。参选人未提出，则视为参选人已全面确认比选文件内容。</w:t>
      </w:r>
    </w:p>
    <w:p w14:paraId="6ABA323F">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3.</w:t>
      </w:r>
      <w:r>
        <w:rPr>
          <w:rFonts w:hint="eastAsia" w:ascii="Times New Roman" w:hAnsi="Times New Roman" w:cs="Times New Roman"/>
          <w:color w:val="000000"/>
          <w:highlight w:val="none"/>
          <w:lang w:val="en-US" w:eastAsia="zh-CN"/>
        </w:rPr>
        <w:t>4</w:t>
      </w:r>
      <w:r>
        <w:rPr>
          <w:rFonts w:hint="eastAsia" w:ascii="Times New Roman" w:hAnsi="Times New Roman" w:cs="Times New Roman"/>
          <w:color w:val="000000"/>
          <w:highlight w:val="none"/>
        </w:rPr>
        <w:t xml:space="preserve">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0873161D">
      <w:pPr>
        <w:pStyle w:val="3"/>
        <w:rPr>
          <w:rFonts w:ascii="Times New Roman" w:hAnsi="Times New Roman"/>
          <w:highlight w:val="none"/>
        </w:rPr>
      </w:pPr>
      <w:bookmarkStart w:id="17" w:name="_Toc55379221"/>
      <w:r>
        <w:rPr>
          <w:rFonts w:hint="eastAsia" w:ascii="Times New Roman" w:hAnsi="Times New Roman"/>
          <w:highlight w:val="none"/>
        </w:rPr>
        <w:t>4. 参选保证金的递交</w:t>
      </w:r>
      <w:bookmarkEnd w:id="14"/>
      <w:bookmarkEnd w:id="15"/>
      <w:bookmarkEnd w:id="16"/>
      <w:bookmarkEnd w:id="17"/>
    </w:p>
    <w:p w14:paraId="30E2AEE1">
      <w:pPr>
        <w:rPr>
          <w:rFonts w:hint="eastAsia" w:ascii="Times New Roman" w:hAnsi="Times New Roman" w:cs="Times New Roman"/>
          <w:color w:val="000000"/>
          <w:highlight w:val="none"/>
        </w:rPr>
      </w:pPr>
      <w:bookmarkStart w:id="18" w:name="_Toc469574668"/>
      <w:bookmarkStart w:id="19" w:name="_Toc55379222"/>
      <w:bookmarkStart w:id="20" w:name="_Toc89675131"/>
      <w:bookmarkStart w:id="21" w:name="_Toc297817091"/>
      <w:r>
        <w:rPr>
          <w:rFonts w:hint="eastAsia" w:ascii="Times New Roman" w:hAnsi="Times New Roman" w:cs="Times New Roman"/>
          <w:color w:val="000000"/>
          <w:highlight w:val="none"/>
        </w:rPr>
        <w:t>4.1 参选保证金的金额：</w:t>
      </w:r>
      <w:r>
        <w:rPr>
          <w:rFonts w:hint="eastAsia" w:ascii="Times New Roman" w:hAnsi="Times New Roman" w:cs="Times New Roman"/>
          <w:color w:val="000000"/>
          <w:highlight w:val="none"/>
          <w:u w:val="single"/>
        </w:rPr>
        <w:t>57000</w:t>
      </w:r>
      <w:r>
        <w:rPr>
          <w:rFonts w:hint="eastAsia" w:ascii="Times New Roman" w:hAnsi="Times New Roman" w:cs="Times New Roman"/>
          <w:bCs/>
          <w:color w:val="000000"/>
          <w:highlight w:val="none"/>
          <w:u w:val="single"/>
        </w:rPr>
        <w:t>元整</w:t>
      </w:r>
      <w:r>
        <w:rPr>
          <w:rFonts w:hint="eastAsia" w:ascii="Times New Roman" w:hAnsi="Times New Roman" w:cs="Times New Roman"/>
          <w:bCs/>
          <w:color w:val="000000"/>
          <w:highlight w:val="none"/>
        </w:rPr>
        <w:t>（大写：伍万柒仟元整）</w:t>
      </w:r>
      <w:r>
        <w:rPr>
          <w:rFonts w:hint="eastAsia" w:ascii="Times New Roman" w:hAnsi="Times New Roman" w:cs="Times New Roman"/>
          <w:color w:val="000000"/>
          <w:highlight w:val="none"/>
        </w:rPr>
        <w:t>。</w:t>
      </w:r>
    </w:p>
    <w:p w14:paraId="1EE74D59">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F17BBD9">
      <w:pPr>
        <w:rPr>
          <w:rFonts w:hint="eastAsia" w:ascii="Times New Roman" w:hAnsi="Times New Roman" w:cs="Times New Roman"/>
          <w:color w:val="000000"/>
          <w:highlight w:val="none"/>
        </w:rPr>
      </w:pPr>
      <w:r>
        <w:rPr>
          <w:rFonts w:hint="eastAsia" w:ascii="Times New Roman" w:hAnsi="Times New Roman" w:cs="Times New Roman"/>
          <w:bCs/>
          <w:color w:val="000000"/>
          <w:highlight w:val="none"/>
        </w:rPr>
        <w:t>参选人必须在付款凭证备注栏中注明项目简称。可简写成：</w:t>
      </w:r>
      <w:r>
        <w:rPr>
          <w:rFonts w:hint="eastAsia" w:ascii="Times New Roman" w:hAnsi="Times New Roman" w:cs="Times New Roman"/>
          <w:bCs/>
          <w:color w:val="000000"/>
          <w:highlight w:val="none"/>
          <w:u w:val="single"/>
        </w:rPr>
        <w:t>核心系统持续优化项目</w:t>
      </w:r>
      <w:r>
        <w:rPr>
          <w:rFonts w:hint="eastAsia" w:ascii="Times New Roman" w:hAnsi="Times New Roman" w:cs="Times New Roman"/>
          <w:bCs/>
          <w:color w:val="000000"/>
          <w:highlight w:val="none"/>
        </w:rPr>
        <w:t>。</w:t>
      </w:r>
    </w:p>
    <w:p w14:paraId="38711695">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4.3 参选保证金递交的截止时间为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ascii="Times New Roman" w:hAnsi="Times New Roman" w:cs="Times New Roman"/>
          <w:color w:val="000000"/>
          <w:highlight w:val="none"/>
        </w:rPr>
        <w:t>（北京时间）。</w:t>
      </w:r>
    </w:p>
    <w:p w14:paraId="7141AE10">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4.4 参选保证金专用账户如下：</w:t>
      </w:r>
    </w:p>
    <w:p w14:paraId="1371F9A2">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4E9C7F60">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参选保证金以重庆市公共资源交易中心比选现场展示的保证金交纳情况为准。</w:t>
      </w:r>
    </w:p>
    <w:bookmarkEnd w:id="18"/>
    <w:bookmarkEnd w:id="19"/>
    <w:bookmarkEnd w:id="20"/>
    <w:bookmarkEnd w:id="21"/>
    <w:p w14:paraId="798A91BA">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5. 参选文件的递交</w:t>
      </w:r>
    </w:p>
    <w:p w14:paraId="29815FD2">
      <w:pPr>
        <w:rPr>
          <w:rFonts w:hint="eastAsia" w:ascii="Times New Roman" w:hAnsi="Times New Roman" w:cs="Times New Roman"/>
          <w:color w:val="000000"/>
          <w:highlight w:val="none"/>
        </w:rPr>
      </w:pPr>
      <w:bookmarkStart w:id="22" w:name="_Toc55379223"/>
      <w:bookmarkStart w:id="23" w:name="_Toc469574669"/>
      <w:bookmarkStart w:id="24" w:name="_Toc89675132"/>
      <w:r>
        <w:rPr>
          <w:rFonts w:hint="eastAsia" w:ascii="Times New Roman" w:hAnsi="Times New Roman" w:cs="Times New Roman"/>
          <w:color w:val="000000"/>
          <w:highlight w:val="none"/>
        </w:rPr>
        <w:t>5.1 参选文件现场递交的开始时间为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r>
        <w:rPr>
          <w:rFonts w:hint="eastAsia" w:ascii="Times New Roman" w:hAnsi="Times New Roman" w:cs="Times New Roman"/>
          <w:color w:val="000000"/>
          <w:highlight w:val="none"/>
        </w:rPr>
        <w:t>(北京时间)</w:t>
      </w:r>
      <w:r>
        <w:rPr>
          <w:rFonts w:hint="eastAsia"/>
          <w:highlight w:val="none"/>
        </w:rPr>
        <w:t>至参选截止时间。</w:t>
      </w:r>
    </w:p>
    <w:p w14:paraId="377D619F">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5.2 递交地点为</w:t>
      </w:r>
      <w:r>
        <w:rPr>
          <w:rFonts w:hint="eastAsia"/>
          <w:highlight w:val="none"/>
        </w:rPr>
        <w:t>重庆市渝北区青枫北路6号渝兴广场B10栋</w:t>
      </w:r>
      <w:r>
        <w:rPr>
          <w:rFonts w:hint="eastAsia" w:ascii="Times New Roman" w:hAnsi="Times New Roman" w:cs="Times New Roman"/>
          <w:color w:val="000000"/>
          <w:highlight w:val="none"/>
        </w:rPr>
        <w:t>重庆市公共资源交易中心开标区（具体请登陆重庆市公共资源交易网（www.cqggzy.com）查询或递交文件当日见交易中心大厅电子显示屏）。</w:t>
      </w:r>
    </w:p>
    <w:p w14:paraId="218C1CBB">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5.3 逾期送达的参选文件，不予接收。</w:t>
      </w:r>
    </w:p>
    <w:p w14:paraId="25C33B28">
      <w:pPr>
        <w:rPr>
          <w:rFonts w:hint="eastAsia" w:ascii="Times New Roman" w:hAnsi="Times New Roman" w:cs="Times New Roman"/>
          <w:color w:val="000000"/>
          <w:highlight w:val="none"/>
        </w:rPr>
      </w:pPr>
      <w:r>
        <w:rPr>
          <w:rFonts w:hint="eastAsia" w:ascii="Times New Roman" w:hAnsi="Times New Roman" w:cs="Times New Roman"/>
          <w:color w:val="000000"/>
          <w:highlight w:val="none"/>
        </w:rPr>
        <w:t>6. 发布公告的媒介</w:t>
      </w:r>
      <w:bookmarkEnd w:id="22"/>
      <w:bookmarkEnd w:id="23"/>
      <w:bookmarkEnd w:id="24"/>
    </w:p>
    <w:p w14:paraId="5D88F9D2">
      <w:pPr>
        <w:rPr>
          <w:rFonts w:hint="eastAsia" w:ascii="Times New Roman" w:hAnsi="Times New Roman" w:cs="Times New Roman"/>
          <w:color w:val="000000"/>
          <w:highlight w:val="none"/>
        </w:rPr>
      </w:pPr>
      <w:bookmarkStart w:id="25" w:name="_Toc469574670"/>
      <w:bookmarkStart w:id="26" w:name="_Toc89675133"/>
      <w:bookmarkStart w:id="27" w:name="_Toc250565211"/>
      <w:bookmarkStart w:id="28" w:name="_Toc55379224"/>
      <w:r>
        <w:rPr>
          <w:rFonts w:hint="eastAsia" w:ascii="Times New Roman" w:hAnsi="Times New Roman" w:cs="Times New Roman"/>
          <w:color w:val="000000"/>
          <w:highlight w:val="none"/>
        </w:rPr>
        <w:t>本次比选公告同时在《重庆市公共资源交易网（www.cqggzy.com）》《重庆三峡银行官网（https://www.ccqtgb.com）》和《中国</w:t>
      </w:r>
      <w:r>
        <w:rPr>
          <w:rFonts w:hint="eastAsia" w:ascii="Times New Roman" w:hAnsi="Times New Roman" w:cs="Times New Roman"/>
          <w:color w:val="000000"/>
          <w:highlight w:val="none"/>
          <w:lang w:val="en-US" w:eastAsia="zh-CN"/>
        </w:rPr>
        <w:t>招标投标</w:t>
      </w:r>
      <w:r>
        <w:rPr>
          <w:rFonts w:hint="eastAsia" w:ascii="Times New Roman" w:hAnsi="Times New Roman" w:cs="Times New Roman"/>
          <w:color w:val="000000"/>
          <w:highlight w:val="none"/>
        </w:rPr>
        <w:t>公共服务平台（http://www.cebpubservice.com）》上发布。</w:t>
      </w:r>
    </w:p>
    <w:p w14:paraId="3A551E9A">
      <w:pPr>
        <w:pStyle w:val="3"/>
        <w:numPr>
          <w:ilvl w:val="0"/>
          <w:numId w:val="1"/>
        </w:numPr>
        <w:rPr>
          <w:rFonts w:hint="eastAsia" w:ascii="Times New Roman" w:hAnsi="Times New Roman"/>
          <w:highlight w:val="none"/>
        </w:rPr>
      </w:pPr>
      <w:r>
        <w:rPr>
          <w:rFonts w:hint="eastAsia" w:ascii="Times New Roman" w:hAnsi="Times New Roman"/>
          <w:highlight w:val="none"/>
        </w:rPr>
        <w:t>联系方式</w:t>
      </w:r>
      <w:bookmarkEnd w:id="25"/>
      <w:bookmarkEnd w:id="26"/>
      <w:bookmarkEnd w:id="27"/>
      <w:bookmarkEnd w:id="28"/>
    </w:p>
    <w:tbl>
      <w:tblPr>
        <w:tblStyle w:val="21"/>
        <w:tblW w:w="0" w:type="auto"/>
        <w:tblInd w:w="0" w:type="dxa"/>
        <w:tblLayout w:type="fixed"/>
        <w:tblCellMar>
          <w:top w:w="0" w:type="dxa"/>
          <w:left w:w="108" w:type="dxa"/>
          <w:bottom w:w="0" w:type="dxa"/>
          <w:right w:w="108" w:type="dxa"/>
        </w:tblCellMar>
      </w:tblPr>
      <w:tblGrid>
        <w:gridCol w:w="3090"/>
        <w:gridCol w:w="5333"/>
      </w:tblGrid>
      <w:tr w14:paraId="27E9B2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B4101AB">
            <w:pPr>
              <w:ind w:firstLine="0" w:firstLineChars="0"/>
              <w:jc w:val="left"/>
              <w:rPr>
                <w:highlight w:val="none"/>
              </w:rPr>
            </w:pPr>
            <w:r>
              <w:rPr>
                <w:rFonts w:hint="eastAsia"/>
                <w:highlight w:val="none"/>
              </w:rPr>
              <w:t>7.1 项目需求咨询</w:t>
            </w:r>
          </w:p>
        </w:tc>
      </w:tr>
      <w:tr w14:paraId="3C440BA8">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B708C05">
            <w:pPr>
              <w:ind w:firstLine="0" w:firstLineChars="0"/>
              <w:jc w:val="left"/>
              <w:rPr>
                <w:rFonts w:cs="宋体"/>
                <w:szCs w:val="21"/>
                <w:highlight w:val="none"/>
              </w:rPr>
            </w:pPr>
            <w:r>
              <w:rPr>
                <w:rFonts w:hint="eastAsia"/>
                <w:highlight w:val="none"/>
              </w:rPr>
              <w:t>项目联系人：</w:t>
            </w:r>
            <w:r>
              <w:rPr>
                <w:rFonts w:ascii="Times New Roman" w:hAnsi="Times New Roman" w:cs="宋体"/>
                <w:color w:val="auto"/>
                <w:sz w:val="21"/>
                <w:szCs w:val="21"/>
                <w:highlight w:val="none"/>
              </w:rPr>
              <w:t>傅岽梅</w:t>
            </w:r>
          </w:p>
        </w:tc>
        <w:tc>
          <w:tcPr>
            <w:tcW w:w="5333" w:type="dxa"/>
            <w:tcBorders>
              <w:top w:val="nil"/>
              <w:left w:val="nil"/>
              <w:bottom w:val="nil"/>
              <w:right w:val="single" w:color="auto" w:sz="4" w:space="0"/>
            </w:tcBorders>
          </w:tcPr>
          <w:p w14:paraId="37B88145">
            <w:pPr>
              <w:ind w:firstLine="0" w:firstLineChars="0"/>
              <w:jc w:val="left"/>
              <w:rPr>
                <w:rFonts w:cs="宋体"/>
                <w:szCs w:val="21"/>
                <w:highlight w:val="none"/>
              </w:rPr>
            </w:pPr>
            <w:r>
              <w:rPr>
                <w:rFonts w:hint="eastAsia"/>
                <w:highlight w:val="none"/>
              </w:rPr>
              <w:t>联系方式：</w:t>
            </w:r>
            <w:r>
              <w:rPr>
                <w:rFonts w:hint="eastAsia" w:ascii="Times New Roman" w:hAnsi="Times New Roman" w:cs="宋体"/>
                <w:sz w:val="21"/>
                <w:szCs w:val="21"/>
                <w:highlight w:val="none"/>
              </w:rPr>
              <w:t>023-88890</w:t>
            </w:r>
            <w:r>
              <w:rPr>
                <w:rFonts w:ascii="Times New Roman" w:hAnsi="Times New Roman" w:cs="宋体"/>
                <w:sz w:val="21"/>
                <w:szCs w:val="21"/>
                <w:highlight w:val="none"/>
              </w:rPr>
              <w:t>617</w:t>
            </w:r>
          </w:p>
        </w:tc>
      </w:tr>
      <w:tr w14:paraId="615F574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8012D6">
            <w:pPr>
              <w:ind w:firstLine="0" w:firstLineChars="0"/>
              <w:jc w:val="left"/>
              <w:rPr>
                <w:highlight w:val="none"/>
              </w:rPr>
            </w:pPr>
          </w:p>
        </w:tc>
      </w:tr>
      <w:tr w14:paraId="5FA2C40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1A55B0D">
            <w:pPr>
              <w:ind w:firstLine="0" w:firstLineChars="0"/>
              <w:jc w:val="left"/>
              <w:rPr>
                <w:highlight w:val="none"/>
              </w:rPr>
            </w:pPr>
            <w:r>
              <w:rPr>
                <w:rFonts w:hint="eastAsia"/>
                <w:highlight w:val="none"/>
              </w:rPr>
              <w:t>7.2 项目流程咨询</w:t>
            </w:r>
          </w:p>
        </w:tc>
      </w:tr>
      <w:tr w14:paraId="06DE5F4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475D99">
            <w:pPr>
              <w:ind w:firstLine="0" w:firstLineChars="0"/>
              <w:jc w:val="left"/>
              <w:rPr>
                <w:highlight w:val="none"/>
              </w:rPr>
            </w:pPr>
            <w:r>
              <w:rPr>
                <w:rFonts w:hint="eastAsia"/>
                <w:highlight w:val="none"/>
              </w:rPr>
              <w:t>平台服务机构：重庆联合产权交易所集团股份有限公司</w:t>
            </w:r>
          </w:p>
        </w:tc>
      </w:tr>
      <w:tr w14:paraId="02430505">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BF9A5C0">
            <w:pPr>
              <w:ind w:firstLine="0" w:firstLineChars="0"/>
              <w:jc w:val="left"/>
              <w:rPr>
                <w:rFonts w:cs="宋体"/>
                <w:szCs w:val="21"/>
                <w:highlight w:val="none"/>
              </w:rPr>
            </w:pPr>
            <w:r>
              <w:rPr>
                <w:rFonts w:hint="eastAsia"/>
                <w:highlight w:val="none"/>
              </w:rPr>
              <w:t>平台联系人：</w:t>
            </w:r>
            <w:r>
              <w:rPr>
                <w:rFonts w:hint="eastAsia"/>
                <w:highlight w:val="none"/>
                <w:lang w:val="en-US" w:eastAsia="zh-CN"/>
              </w:rPr>
              <w:t>张</w:t>
            </w:r>
            <w:r>
              <w:rPr>
                <w:rFonts w:hint="eastAsia"/>
                <w:highlight w:val="none"/>
              </w:rPr>
              <w:t>老师</w:t>
            </w:r>
          </w:p>
        </w:tc>
        <w:tc>
          <w:tcPr>
            <w:tcW w:w="5333" w:type="dxa"/>
            <w:tcBorders>
              <w:top w:val="nil"/>
              <w:left w:val="nil"/>
              <w:bottom w:val="nil"/>
              <w:right w:val="single" w:color="auto" w:sz="4" w:space="0"/>
            </w:tcBorders>
          </w:tcPr>
          <w:p w14:paraId="53586C63">
            <w:pPr>
              <w:ind w:firstLine="0" w:firstLineChars="0"/>
              <w:jc w:val="left"/>
              <w:rPr>
                <w:rFonts w:cs="宋体"/>
                <w:szCs w:val="21"/>
                <w:highlight w:val="none"/>
              </w:rPr>
            </w:pPr>
            <w:r>
              <w:rPr>
                <w:rFonts w:hint="eastAsia"/>
                <w:highlight w:val="none"/>
              </w:rPr>
              <w:t>联系方式：023-63621694</w:t>
            </w:r>
          </w:p>
        </w:tc>
      </w:tr>
      <w:tr w14:paraId="6CB587E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2453F3">
            <w:pPr>
              <w:ind w:firstLine="0" w:firstLineChars="0"/>
              <w:jc w:val="left"/>
              <w:rPr>
                <w:highlight w:val="none"/>
              </w:rPr>
            </w:pPr>
          </w:p>
        </w:tc>
      </w:tr>
      <w:tr w14:paraId="0ECE1BD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B2B14EA">
            <w:pPr>
              <w:ind w:firstLine="0" w:firstLineChars="0"/>
              <w:jc w:val="left"/>
              <w:rPr>
                <w:highlight w:val="none"/>
              </w:rPr>
            </w:pPr>
            <w:r>
              <w:rPr>
                <w:rFonts w:hint="eastAsia"/>
                <w:highlight w:val="none"/>
              </w:rPr>
              <w:t>7.3 比选人联系方式</w:t>
            </w:r>
          </w:p>
        </w:tc>
      </w:tr>
      <w:tr w14:paraId="37F11A56">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40DED5B">
            <w:pPr>
              <w:ind w:firstLine="0" w:firstLineChars="0"/>
              <w:jc w:val="left"/>
              <w:rPr>
                <w:rFonts w:hint="eastAsia" w:eastAsia="宋体" w:cs="宋体"/>
                <w:szCs w:val="21"/>
                <w:highlight w:val="none"/>
                <w:lang w:val="en-US" w:eastAsia="zh-CN"/>
              </w:rPr>
            </w:pPr>
            <w:r>
              <w:rPr>
                <w:rFonts w:hint="eastAsia"/>
                <w:highlight w:val="none"/>
              </w:rPr>
              <w:t>联系人：敬</w:t>
            </w:r>
            <w:r>
              <w:rPr>
                <w:rFonts w:hint="eastAsia"/>
                <w:highlight w:val="none"/>
                <w:lang w:val="en-US" w:eastAsia="zh-CN"/>
              </w:rPr>
              <w:t>老师</w:t>
            </w:r>
          </w:p>
        </w:tc>
        <w:tc>
          <w:tcPr>
            <w:tcW w:w="5333" w:type="dxa"/>
            <w:tcBorders>
              <w:top w:val="nil"/>
              <w:left w:val="nil"/>
              <w:bottom w:val="nil"/>
              <w:right w:val="single" w:color="auto" w:sz="4" w:space="0"/>
            </w:tcBorders>
          </w:tcPr>
          <w:p w14:paraId="75577A05">
            <w:pPr>
              <w:ind w:firstLine="0" w:firstLineChars="0"/>
              <w:jc w:val="left"/>
              <w:rPr>
                <w:rFonts w:cs="宋体"/>
                <w:szCs w:val="21"/>
                <w:highlight w:val="none"/>
              </w:rPr>
            </w:pPr>
            <w:r>
              <w:rPr>
                <w:rFonts w:hint="eastAsia"/>
                <w:highlight w:val="none"/>
              </w:rPr>
              <w:t>联系方式：023-88890395</w:t>
            </w:r>
          </w:p>
        </w:tc>
      </w:tr>
      <w:tr w14:paraId="17B20D6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78C2D49">
            <w:pPr>
              <w:ind w:firstLine="0" w:firstLineChars="0"/>
              <w:jc w:val="left"/>
              <w:rPr>
                <w:highlight w:val="none"/>
              </w:rPr>
            </w:pPr>
            <w:r>
              <w:rPr>
                <w:rFonts w:hint="eastAsia"/>
                <w:highlight w:val="none"/>
              </w:rPr>
              <w:t>比选人地址：重庆市渝北区嘉州路88号中渝国际都会4号写字楼21层</w:t>
            </w:r>
          </w:p>
        </w:tc>
      </w:tr>
    </w:tbl>
    <w:p w14:paraId="0E558B7D">
      <w:pPr>
        <w:numPr>
          <w:ilvl w:val="-1"/>
          <w:numId w:val="0"/>
        </w:numPr>
        <w:ind w:firstLine="0" w:firstLineChars="0"/>
        <w:rPr>
          <w:highlight w:val="none"/>
        </w:rPr>
      </w:pPr>
    </w:p>
    <w:p w14:paraId="3E6F2DCD">
      <w:pPr>
        <w:rPr>
          <w:rFonts w:ascii="Times New Roman" w:hAnsi="Times New Roman"/>
          <w:highlight w:val="none"/>
        </w:rPr>
      </w:pPr>
    </w:p>
    <w:p w14:paraId="12FD6340">
      <w:pPr>
        <w:rPr>
          <w:rFonts w:ascii="Times New Roman" w:hAnsi="Times New Roman"/>
          <w:highlight w:val="none"/>
        </w:rPr>
      </w:pPr>
    </w:p>
    <w:p w14:paraId="5E906685">
      <w:pPr>
        <w:spacing w:line="240" w:lineRule="auto"/>
        <w:ind w:firstLine="0" w:firstLineChars="0"/>
        <w:jc w:val="right"/>
        <w:rPr>
          <w:rFonts w:ascii="Times New Roman" w:hAnsi="Times New Roman"/>
          <w:highlight w:val="none"/>
        </w:rPr>
      </w:pPr>
      <w:r>
        <w:rPr>
          <w:rFonts w:hint="eastAsia" w:ascii="Times New Roman" w:hAnsi="Times New Roman"/>
          <w:highlight w:val="none"/>
        </w:rPr>
        <w:t>重庆三峡银行股份有限公司</w:t>
      </w:r>
    </w:p>
    <w:p w14:paraId="3EFB0D83">
      <w:pPr>
        <w:jc w:val="right"/>
        <w:rPr>
          <w:rFonts w:ascii="Times New Roman" w:hAnsi="Times New Roman"/>
          <w:highlight w:val="none"/>
        </w:rPr>
      </w:pPr>
      <w:r>
        <w:rPr>
          <w:rFonts w:hint="eastAsia" w:ascii="Times New Roman" w:hAnsi="Times New Roman"/>
          <w:highlight w:val="none"/>
          <w:lang w:val="en-US" w:eastAsia="zh-CN"/>
        </w:rPr>
        <w:t xml:space="preserve"> 2025</w:t>
      </w:r>
      <w:bookmarkStart w:id="155" w:name="_GoBack"/>
      <w:bookmarkEnd w:id="155"/>
      <w:r>
        <w:rPr>
          <w:rFonts w:hint="eastAsia" w:ascii="Times New Roman" w:hAnsi="Times New Roman"/>
          <w:highlight w:val="none"/>
        </w:rPr>
        <w:t>年</w:t>
      </w:r>
      <w:r>
        <w:rPr>
          <w:rFonts w:hint="eastAsia" w:ascii="Times New Roman" w:hAnsi="Times New Roman"/>
          <w:highlight w:val="none"/>
          <w:lang w:val="en-US" w:eastAsia="zh-CN"/>
        </w:rPr>
        <w:t>1</w:t>
      </w:r>
      <w:r>
        <w:rPr>
          <w:rFonts w:hint="eastAsia" w:ascii="Times New Roman" w:hAnsi="Times New Roman"/>
          <w:highlight w:val="none"/>
        </w:rPr>
        <w:t>月</w:t>
      </w:r>
      <w:r>
        <w:rPr>
          <w:rFonts w:hint="eastAsia" w:ascii="Times New Roman" w:hAnsi="Times New Roman"/>
          <w:highlight w:val="none"/>
          <w:lang w:val="en-US" w:eastAsia="zh-CN"/>
        </w:rPr>
        <w:t>20</w:t>
      </w:r>
      <w:r>
        <w:rPr>
          <w:rFonts w:hint="eastAsia" w:ascii="Times New Roman" w:hAnsi="Times New Roman"/>
          <w:highlight w:val="none"/>
        </w:rPr>
        <w:t>日</w:t>
      </w:r>
    </w:p>
    <w:p w14:paraId="552843A4">
      <w:pPr>
        <w:rPr>
          <w:rFonts w:ascii="Times New Roman" w:hAnsi="Times New Roman"/>
          <w:highlight w:val="none"/>
        </w:rPr>
      </w:pPr>
      <w:r>
        <w:rPr>
          <w:rFonts w:ascii="Times New Roman" w:hAnsi="Times New Roman"/>
          <w:highlight w:val="none"/>
        </w:rPr>
        <w:br w:type="page"/>
      </w:r>
    </w:p>
    <w:p w14:paraId="3C56971A">
      <w:pPr>
        <w:pStyle w:val="2"/>
        <w:rPr>
          <w:rFonts w:ascii="Times New Roman" w:hAnsi="Times New Roman"/>
          <w:highlight w:val="none"/>
        </w:rPr>
      </w:pPr>
      <w:bookmarkStart w:id="29" w:name="_Toc89675159"/>
      <w:bookmarkStart w:id="30" w:name="_Toc303066033"/>
      <w:bookmarkStart w:id="31" w:name="_Toc27630"/>
      <w:r>
        <w:rPr>
          <w:rFonts w:hint="eastAsia" w:ascii="Times New Roman" w:hAnsi="Times New Roman"/>
          <w:highlight w:val="none"/>
        </w:rPr>
        <w:t>第二章 参选人须知</w:t>
      </w:r>
      <w:bookmarkEnd w:id="29"/>
      <w:bookmarkEnd w:id="30"/>
      <w:bookmarkEnd w:id="31"/>
    </w:p>
    <w:p w14:paraId="1340C765">
      <w:pPr>
        <w:pStyle w:val="3"/>
        <w:rPr>
          <w:rFonts w:ascii="Times New Roman" w:hAnsi="Times New Roman"/>
          <w:highlight w:val="none"/>
        </w:rPr>
      </w:pPr>
      <w:bookmarkStart w:id="32" w:name="_Toc89675160"/>
      <w:r>
        <w:rPr>
          <w:rFonts w:hint="eastAsia" w:ascii="Times New Roman" w:hAnsi="Times New Roman"/>
          <w:highlight w:val="none"/>
        </w:rPr>
        <w:t>1. 项目信息</w:t>
      </w:r>
    </w:p>
    <w:p w14:paraId="70D5E589">
      <w:pPr>
        <w:pStyle w:val="4"/>
        <w:rPr>
          <w:rFonts w:ascii="Times New Roman" w:hAnsi="Times New Roman"/>
          <w:highlight w:val="none"/>
        </w:rPr>
      </w:pPr>
      <w:r>
        <w:rPr>
          <w:rFonts w:hint="eastAsia" w:ascii="Times New Roman" w:hAnsi="Times New Roman"/>
          <w:highlight w:val="none"/>
        </w:rPr>
        <w:t>1.1 比选人</w:t>
      </w:r>
    </w:p>
    <w:p w14:paraId="23434B8F">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6E14920A">
      <w:pPr>
        <w:pStyle w:val="4"/>
        <w:rPr>
          <w:rFonts w:ascii="Times New Roman" w:hAnsi="Times New Roman"/>
          <w:highlight w:val="none"/>
        </w:rPr>
      </w:pPr>
      <w:r>
        <w:rPr>
          <w:rFonts w:hint="eastAsia" w:ascii="Times New Roman" w:hAnsi="Times New Roman"/>
          <w:highlight w:val="none"/>
        </w:rPr>
        <w:t>1.2 最高限价</w:t>
      </w:r>
    </w:p>
    <w:p w14:paraId="3F7954A6">
      <w:pPr>
        <w:rPr>
          <w:rFonts w:ascii="Times New Roman" w:hAnsi="Times New Roman"/>
          <w:color w:val="FF0000"/>
          <w:highlight w:val="none"/>
        </w:rPr>
      </w:pPr>
      <w:r>
        <w:rPr>
          <w:rFonts w:hint="eastAsia" w:ascii="Times New Roman" w:hAnsi="Times New Roman"/>
          <w:color w:val="000000"/>
          <w:highlight w:val="none"/>
        </w:rPr>
        <w:t>本项目最高限价为：</w:t>
      </w:r>
      <w:r>
        <w:rPr>
          <w:rFonts w:ascii="Times New Roman" w:hAnsi="Times New Roman"/>
          <w:color w:val="000000"/>
          <w:highlight w:val="none"/>
        </w:rPr>
        <w:t>2885400元</w:t>
      </w:r>
      <w:r>
        <w:rPr>
          <w:rFonts w:hint="eastAsia" w:ascii="Times New Roman" w:hAnsi="Times New Roman"/>
          <w:color w:val="000000"/>
          <w:highlight w:val="none"/>
        </w:rPr>
        <w:t>（人民币大写：</w:t>
      </w:r>
      <w:r>
        <w:rPr>
          <w:rFonts w:ascii="Times New Roman" w:hAnsi="Times New Roman"/>
          <w:color w:val="000000"/>
          <w:highlight w:val="none"/>
          <w:u w:val="single"/>
        </w:rPr>
        <w:t>贰佰捌拾捌万伍仟肆佰元整</w:t>
      </w:r>
      <w:r>
        <w:rPr>
          <w:rFonts w:hint="eastAsia" w:ascii="Times New Roman" w:hAnsi="Times New Roman"/>
          <w:color w:val="000000"/>
          <w:highlight w:val="none"/>
        </w:rPr>
        <w:t>）。</w:t>
      </w:r>
    </w:p>
    <w:p w14:paraId="43282223">
      <w:pPr>
        <w:pStyle w:val="4"/>
        <w:rPr>
          <w:rFonts w:ascii="Times New Roman" w:hAnsi="Times New Roman"/>
          <w:highlight w:val="none"/>
        </w:rPr>
      </w:pPr>
      <w:r>
        <w:rPr>
          <w:rFonts w:hint="eastAsia" w:ascii="Times New Roman" w:hAnsi="Times New Roman"/>
          <w:highlight w:val="none"/>
        </w:rPr>
        <w:t>1.3 项目概况</w:t>
      </w:r>
    </w:p>
    <w:bookmarkEnd w:id="32"/>
    <w:p w14:paraId="3B514EC0">
      <w:pPr>
        <w:rPr>
          <w:rFonts w:ascii="Times New Roman" w:hAnsi="Times New Roman"/>
          <w:highlight w:val="none"/>
        </w:rPr>
      </w:pPr>
      <w:bookmarkStart w:id="33" w:name="_Toc89675161"/>
      <w:r>
        <w:rPr>
          <w:rFonts w:ascii="Times New Roman" w:hAnsi="Times New Roman"/>
          <w:highlight w:val="none"/>
        </w:rPr>
        <w:t>我行</w:t>
      </w:r>
      <w:r>
        <w:rPr>
          <w:rFonts w:hint="eastAsia" w:ascii="Times New Roman" w:hAnsi="Times New Roman"/>
          <w:highlight w:val="none"/>
        </w:rPr>
        <w:t>新一代核心系统</w:t>
      </w:r>
      <w:r>
        <w:rPr>
          <w:rFonts w:ascii="Times New Roman" w:hAnsi="Times New Roman"/>
          <w:highlight w:val="none"/>
        </w:rPr>
        <w:t>（</w:t>
      </w:r>
      <w:r>
        <w:rPr>
          <w:rFonts w:hint="eastAsia" w:ascii="Times New Roman" w:hAnsi="Times New Roman"/>
          <w:highlight w:val="none"/>
        </w:rPr>
        <w:t>以下简称“新核心系统”</w:t>
      </w:r>
      <w:r>
        <w:rPr>
          <w:rFonts w:ascii="Times New Roman" w:hAnsi="Times New Roman"/>
          <w:highlight w:val="none"/>
        </w:rPr>
        <w:t>）</w:t>
      </w:r>
      <w:r>
        <w:rPr>
          <w:rFonts w:hint="eastAsia" w:ascii="Times New Roman" w:hAnsi="Times New Roman"/>
          <w:highlight w:val="none"/>
        </w:rPr>
        <w:t>于</w:t>
      </w:r>
      <w:r>
        <w:rPr>
          <w:rFonts w:ascii="Times New Roman" w:hAnsi="Times New Roman"/>
          <w:highlight w:val="none"/>
        </w:rPr>
        <w:t>2022</w:t>
      </w:r>
      <w:r>
        <w:rPr>
          <w:rFonts w:hint="eastAsia" w:ascii="Times New Roman" w:hAnsi="Times New Roman"/>
          <w:highlight w:val="none"/>
        </w:rPr>
        <w:t>年</w:t>
      </w:r>
      <w:r>
        <w:rPr>
          <w:rFonts w:ascii="Times New Roman" w:hAnsi="Times New Roman"/>
          <w:highlight w:val="none"/>
        </w:rPr>
        <w:t>7</w:t>
      </w:r>
      <w:r>
        <w:rPr>
          <w:rFonts w:hint="eastAsia" w:ascii="Times New Roman" w:hAnsi="Times New Roman"/>
          <w:highlight w:val="none"/>
        </w:rPr>
        <w:t>月</w:t>
      </w:r>
      <w:r>
        <w:rPr>
          <w:rFonts w:ascii="Times New Roman" w:hAnsi="Times New Roman"/>
          <w:highlight w:val="none"/>
        </w:rPr>
        <w:t>23</w:t>
      </w:r>
      <w:r>
        <w:rPr>
          <w:rFonts w:hint="eastAsia" w:ascii="Times New Roman" w:hAnsi="Times New Roman"/>
          <w:highlight w:val="none"/>
        </w:rPr>
        <w:t>日顺利投产</w:t>
      </w:r>
      <w:r>
        <w:rPr>
          <w:rFonts w:ascii="Times New Roman" w:hAnsi="Times New Roman"/>
          <w:highlight w:val="none"/>
        </w:rPr>
        <w:t>，</w:t>
      </w:r>
      <w:r>
        <w:rPr>
          <w:rFonts w:hint="eastAsia" w:ascii="Times New Roman" w:hAnsi="Times New Roman"/>
          <w:highlight w:val="none"/>
        </w:rPr>
        <w:t>投产以来整体运行平稳</w:t>
      </w:r>
      <w:r>
        <w:rPr>
          <w:rFonts w:ascii="Times New Roman" w:hAnsi="Times New Roman"/>
          <w:highlight w:val="none"/>
        </w:rPr>
        <w:t>，</w:t>
      </w:r>
      <w:r>
        <w:rPr>
          <w:rFonts w:hint="eastAsia" w:ascii="Times New Roman" w:hAnsi="Times New Roman"/>
          <w:highlight w:val="none"/>
        </w:rPr>
        <w:t>各项指标良好，目前现系统进入运行维护期。为优化项目流程</w:t>
      </w:r>
      <w:r>
        <w:rPr>
          <w:rFonts w:ascii="Times New Roman" w:hAnsi="Times New Roman"/>
          <w:highlight w:val="none"/>
        </w:rPr>
        <w:t>、</w:t>
      </w:r>
      <w:r>
        <w:rPr>
          <w:rFonts w:hint="eastAsia" w:ascii="Times New Roman" w:hAnsi="Times New Roman"/>
          <w:highlight w:val="none"/>
        </w:rPr>
        <w:t>提升交付效率</w:t>
      </w:r>
      <w:r>
        <w:rPr>
          <w:rFonts w:ascii="Times New Roman" w:hAnsi="Times New Roman"/>
          <w:highlight w:val="none"/>
        </w:rPr>
        <w:t>，</w:t>
      </w:r>
      <w:r>
        <w:rPr>
          <w:rFonts w:hint="eastAsia" w:ascii="Times New Roman" w:hAnsi="Times New Roman"/>
          <w:highlight w:val="none"/>
        </w:rPr>
        <w:t>及时响应本行业务发展及监管需求</w:t>
      </w:r>
      <w:r>
        <w:rPr>
          <w:rFonts w:ascii="Times New Roman" w:hAnsi="Times New Roman"/>
          <w:highlight w:val="none"/>
        </w:rPr>
        <w:t>，</w:t>
      </w:r>
      <w:r>
        <w:rPr>
          <w:rFonts w:hint="eastAsia" w:ascii="Times New Roman" w:hAnsi="Times New Roman"/>
          <w:highlight w:val="none"/>
        </w:rPr>
        <w:t>经对各部门新核心系统202</w:t>
      </w:r>
      <w:r>
        <w:rPr>
          <w:rFonts w:ascii="Times New Roman" w:hAnsi="Times New Roman"/>
          <w:highlight w:val="none"/>
        </w:rPr>
        <w:t>4</w:t>
      </w:r>
      <w:r>
        <w:rPr>
          <w:rFonts w:hint="eastAsia" w:ascii="Times New Roman" w:hAnsi="Times New Roman"/>
          <w:highlight w:val="none"/>
        </w:rPr>
        <w:t>年项目需求收集整理，</w:t>
      </w:r>
      <w:r>
        <w:rPr>
          <w:rFonts w:ascii="Times New Roman" w:hAnsi="Times New Roman"/>
          <w:bCs/>
          <w:highlight w:val="none"/>
        </w:rPr>
        <w:t>拟开展</w:t>
      </w:r>
      <w:r>
        <w:rPr>
          <w:rFonts w:hint="eastAsia" w:ascii="Times New Roman" w:hAnsi="Times New Roman"/>
          <w:highlight w:val="none"/>
        </w:rPr>
        <w:t>新核心系统</w:t>
      </w:r>
      <w:r>
        <w:rPr>
          <w:rFonts w:ascii="Times New Roman" w:hAnsi="Times New Roman"/>
          <w:highlight w:val="none"/>
        </w:rPr>
        <w:t>2024年度</w:t>
      </w:r>
      <w:r>
        <w:rPr>
          <w:rFonts w:ascii="Times New Roman" w:hAnsi="Times New Roman"/>
          <w:bCs/>
          <w:highlight w:val="none"/>
        </w:rPr>
        <w:t>持续优化项目建设</w:t>
      </w:r>
      <w:r>
        <w:rPr>
          <w:rFonts w:hint="eastAsia" w:ascii="Times New Roman" w:hAnsi="Times New Roman"/>
          <w:highlight w:val="none"/>
        </w:rPr>
        <w:t>。</w:t>
      </w:r>
    </w:p>
    <w:p w14:paraId="1CBE631B">
      <w:pPr>
        <w:pStyle w:val="4"/>
        <w:rPr>
          <w:rFonts w:ascii="Times New Roman" w:hAnsi="Times New Roman"/>
          <w:highlight w:val="none"/>
        </w:rPr>
      </w:pPr>
      <w:r>
        <w:rPr>
          <w:rFonts w:hint="eastAsia" w:ascii="Times New Roman" w:hAnsi="Times New Roman"/>
          <w:highlight w:val="none"/>
        </w:rPr>
        <w:t>1.4 项目目标</w:t>
      </w:r>
    </w:p>
    <w:p w14:paraId="2ACFA371">
      <w:pPr>
        <w:rPr>
          <w:rFonts w:ascii="Times New Roman" w:hAnsi="Times New Roman"/>
          <w:highlight w:val="none"/>
        </w:rPr>
      </w:pPr>
      <w:r>
        <w:rPr>
          <w:rFonts w:hint="eastAsia" w:ascii="Times New Roman" w:hAnsi="Times New Roman" w:cs="Times New Roman"/>
          <w:highlight w:val="none"/>
        </w:rPr>
        <w:t>根据各条线部门业务规划、监管部门要求、内部风险管理要求，持续优化系统业务流程，丰富场景服务功能</w:t>
      </w:r>
      <w:r>
        <w:rPr>
          <w:rFonts w:hint="eastAsia" w:ascii="Times New Roman" w:hAnsi="Times New Roman"/>
          <w:highlight w:val="none"/>
        </w:rPr>
        <w:t>。</w:t>
      </w:r>
    </w:p>
    <w:p w14:paraId="14C8C3A8">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3"/>
    </w:p>
    <w:p w14:paraId="7A7DB360">
      <w:pPr>
        <w:rPr>
          <w:rFonts w:ascii="Times New Roman" w:hAnsi="Times New Roman"/>
          <w:highlight w:val="none"/>
        </w:rPr>
      </w:pPr>
      <w:r>
        <w:rPr>
          <w:rFonts w:hint="eastAsia" w:ascii="Times New Roman" w:hAnsi="Times New Roman"/>
          <w:highlight w:val="none"/>
        </w:rPr>
        <w:t>2.1 合格参选人条件</w:t>
      </w:r>
    </w:p>
    <w:p w14:paraId="37EF4FC0">
      <w:pPr>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40C461E3">
      <w:pPr>
        <w:rPr>
          <w:rFonts w:ascii="Times New Roman" w:hAnsi="Times New Roman"/>
          <w:highlight w:val="none"/>
        </w:rPr>
      </w:pPr>
      <w:r>
        <w:rPr>
          <w:rFonts w:hint="eastAsia" w:ascii="Times New Roman" w:hAnsi="Times New Roman"/>
          <w:highlight w:val="none"/>
        </w:rPr>
        <w:t>2.2 参选人的风险</w:t>
      </w:r>
    </w:p>
    <w:p w14:paraId="6A1A10FF">
      <w:pPr>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6184D3F9">
      <w:pPr>
        <w:pStyle w:val="3"/>
        <w:rPr>
          <w:rFonts w:ascii="Times New Roman" w:hAnsi="Times New Roman"/>
          <w:highlight w:val="none"/>
        </w:rPr>
      </w:pPr>
      <w:bookmarkStart w:id="34" w:name="_Toc89675162"/>
      <w:r>
        <w:rPr>
          <w:rFonts w:hint="eastAsia" w:ascii="Times New Roman" w:hAnsi="Times New Roman"/>
          <w:highlight w:val="none"/>
        </w:rPr>
        <w:t>3. 比选文件</w:t>
      </w:r>
      <w:bookmarkEnd w:id="34"/>
    </w:p>
    <w:p w14:paraId="77B56F0D">
      <w:pPr>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476C9CAC">
      <w:pPr>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683D4F58">
      <w:pPr>
        <w:pStyle w:val="3"/>
        <w:rPr>
          <w:rFonts w:ascii="Times New Roman" w:hAnsi="Times New Roman"/>
          <w:highlight w:val="none"/>
        </w:rPr>
      </w:pPr>
      <w:bookmarkStart w:id="35" w:name="_Toc89675163"/>
      <w:r>
        <w:rPr>
          <w:rFonts w:hint="eastAsia" w:ascii="Times New Roman" w:hAnsi="Times New Roman"/>
          <w:highlight w:val="none"/>
        </w:rPr>
        <w:t xml:space="preserve">4. </w:t>
      </w:r>
      <w:r>
        <w:rPr>
          <w:rFonts w:ascii="Times New Roman" w:hAnsi="Times New Roman"/>
          <w:highlight w:val="none"/>
        </w:rPr>
        <w:t>参选</w:t>
      </w:r>
      <w:bookmarkEnd w:id="35"/>
    </w:p>
    <w:p w14:paraId="7A34F7CA">
      <w:pPr>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350C3B0B">
      <w:pPr>
        <w:pStyle w:val="4"/>
        <w:rPr>
          <w:rFonts w:ascii="Times New Roman" w:hAnsi="Times New Roman"/>
          <w:highlight w:val="none"/>
        </w:rPr>
      </w:pPr>
      <w:r>
        <w:rPr>
          <w:rFonts w:hint="eastAsia" w:ascii="Times New Roman" w:hAnsi="Times New Roman"/>
          <w:highlight w:val="none"/>
        </w:rPr>
        <w:t>4.1 参选文件组成</w:t>
      </w:r>
    </w:p>
    <w:p w14:paraId="16E64D25">
      <w:pPr>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08CDEA86">
      <w:pPr>
        <w:pStyle w:val="4"/>
        <w:rPr>
          <w:rFonts w:ascii="Times New Roman" w:hAnsi="Times New Roman"/>
          <w:highlight w:val="none"/>
        </w:rPr>
      </w:pPr>
      <w:r>
        <w:rPr>
          <w:rFonts w:hint="eastAsia" w:ascii="Times New Roman" w:hAnsi="Times New Roman"/>
          <w:highlight w:val="none"/>
        </w:rPr>
        <w:t>4.2 联合参选</w:t>
      </w:r>
    </w:p>
    <w:p w14:paraId="531B3C6F">
      <w:pPr>
        <w:rPr>
          <w:rFonts w:ascii="Times New Roman" w:hAnsi="Times New Roman"/>
          <w:highlight w:val="none"/>
        </w:rPr>
      </w:pPr>
      <w:r>
        <w:rPr>
          <w:rFonts w:hint="eastAsia" w:ascii="Times New Roman" w:hAnsi="Times New Roman"/>
          <w:highlight w:val="none"/>
        </w:rPr>
        <w:t>本比选项目不接受联合参选</w:t>
      </w:r>
    </w:p>
    <w:p w14:paraId="3B6A024E">
      <w:pPr>
        <w:pStyle w:val="4"/>
        <w:rPr>
          <w:rFonts w:ascii="Times New Roman" w:hAnsi="Times New Roman"/>
          <w:highlight w:val="none"/>
        </w:rPr>
      </w:pPr>
      <w:r>
        <w:rPr>
          <w:rFonts w:hint="eastAsia" w:ascii="Times New Roman" w:hAnsi="Times New Roman"/>
          <w:highlight w:val="none"/>
        </w:rPr>
        <w:t>4.3 参选有效期</w:t>
      </w:r>
    </w:p>
    <w:p w14:paraId="0A224D8D">
      <w:pPr>
        <w:rPr>
          <w:rFonts w:ascii="Times New Roman" w:hAnsi="Times New Roman"/>
          <w:highlight w:val="none"/>
        </w:rPr>
      </w:pPr>
      <w:r>
        <w:rPr>
          <w:rFonts w:hint="eastAsia" w:ascii="Times New Roman" w:hAnsi="Times New Roman"/>
          <w:highlight w:val="none"/>
        </w:rPr>
        <w:t>参选有效期为参选截止日期后90天内。</w:t>
      </w:r>
    </w:p>
    <w:p w14:paraId="65DA008D">
      <w:pPr>
        <w:pStyle w:val="4"/>
        <w:rPr>
          <w:rFonts w:ascii="Times New Roman" w:hAnsi="Times New Roman"/>
          <w:highlight w:val="none"/>
        </w:rPr>
      </w:pPr>
      <w:r>
        <w:rPr>
          <w:rFonts w:hint="eastAsia" w:ascii="Times New Roman" w:hAnsi="Times New Roman"/>
          <w:highlight w:val="none"/>
        </w:rPr>
        <w:t>4.4 参选保证金</w:t>
      </w:r>
    </w:p>
    <w:p w14:paraId="3308E096">
      <w:pPr>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4ED0108C">
      <w:pPr>
        <w:rPr>
          <w:rFonts w:ascii="Times New Roman" w:hAnsi="Times New Roman"/>
          <w:highlight w:val="none"/>
        </w:rPr>
      </w:pPr>
      <w:r>
        <w:rPr>
          <w:rFonts w:hint="eastAsia" w:ascii="Times New Roman" w:hAnsi="Times New Roman"/>
          <w:highlight w:val="none"/>
        </w:rPr>
        <w:t>4.4.2 参选保证金为参选的有效约束条件。</w:t>
      </w:r>
    </w:p>
    <w:p w14:paraId="1C8F2002">
      <w:pPr>
        <w:rPr>
          <w:rFonts w:ascii="Times New Roman" w:hAnsi="Times New Roman"/>
          <w:highlight w:val="none"/>
        </w:rPr>
      </w:pPr>
      <w:r>
        <w:rPr>
          <w:rFonts w:hint="eastAsia" w:ascii="Times New Roman" w:hAnsi="Times New Roman"/>
          <w:highlight w:val="none"/>
        </w:rPr>
        <w:t>4.4.3 参选保证金有效期与参选文件有效期一致。</w:t>
      </w:r>
    </w:p>
    <w:p w14:paraId="1728E7CA">
      <w:pPr>
        <w:rPr>
          <w:rFonts w:ascii="Times New Roman" w:hAnsi="Times New Roman"/>
          <w:highlight w:val="none"/>
        </w:rPr>
      </w:pPr>
      <w:r>
        <w:rPr>
          <w:rFonts w:hint="eastAsia" w:ascii="Times New Roman" w:hAnsi="Times New Roman"/>
          <w:highlight w:val="none"/>
        </w:rPr>
        <w:t>4.4.4 参选保证金币种应与参选报价币种相同。</w:t>
      </w:r>
    </w:p>
    <w:p w14:paraId="44C4CE4D">
      <w:pPr>
        <w:rPr>
          <w:rFonts w:ascii="Times New Roman" w:hAnsi="Times New Roman"/>
          <w:highlight w:val="none"/>
        </w:rPr>
      </w:pPr>
      <w:r>
        <w:rPr>
          <w:rFonts w:hint="eastAsia" w:ascii="Times New Roman" w:hAnsi="Times New Roman"/>
          <w:highlight w:val="none"/>
        </w:rPr>
        <w:t>4.4.5 参选保证金的退还：</w:t>
      </w:r>
    </w:p>
    <w:p w14:paraId="313F9493">
      <w:pPr>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888E965">
      <w:pPr>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1163506">
      <w:pPr>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78EBEAC0">
      <w:pPr>
        <w:rPr>
          <w:rFonts w:ascii="Times New Roman" w:hAnsi="Times New Roman"/>
          <w:highlight w:val="none"/>
        </w:rPr>
      </w:pPr>
      <w:r>
        <w:rPr>
          <w:rFonts w:hint="eastAsia" w:ascii="Times New Roman" w:hAnsi="Times New Roman"/>
          <w:highlight w:val="none"/>
        </w:rPr>
        <w:t>4.4.6 参选人有下列情形之一的，参选保证金将不予退还：</w:t>
      </w:r>
    </w:p>
    <w:p w14:paraId="165AF71B">
      <w:pPr>
        <w:rPr>
          <w:rFonts w:ascii="Times New Roman" w:hAnsi="Times New Roman"/>
          <w:highlight w:val="none"/>
        </w:rPr>
      </w:pPr>
      <w:r>
        <w:rPr>
          <w:rFonts w:hint="eastAsia" w:ascii="Times New Roman" w:hAnsi="Times New Roman"/>
          <w:highlight w:val="none"/>
        </w:rPr>
        <w:t>4.4.6.1 参选人在参选有效期内撤销参选文件的；</w:t>
      </w:r>
    </w:p>
    <w:p w14:paraId="739D4BE5">
      <w:pPr>
        <w:rPr>
          <w:rFonts w:ascii="Times New Roman" w:hAnsi="Times New Roman"/>
          <w:highlight w:val="none"/>
        </w:rPr>
      </w:pPr>
      <w:r>
        <w:rPr>
          <w:rFonts w:hint="eastAsia" w:ascii="Times New Roman" w:hAnsi="Times New Roman"/>
          <w:highlight w:val="none"/>
        </w:rPr>
        <w:t>4.4.6.2 参选人在参选过程中弄虚作假，提供虚假材料的；</w:t>
      </w:r>
    </w:p>
    <w:p w14:paraId="330672AC">
      <w:pPr>
        <w:rPr>
          <w:rFonts w:ascii="Times New Roman" w:hAnsi="Times New Roman"/>
          <w:highlight w:val="none"/>
        </w:rPr>
      </w:pPr>
      <w:r>
        <w:rPr>
          <w:rFonts w:hint="eastAsia" w:ascii="Times New Roman" w:hAnsi="Times New Roman"/>
          <w:highlight w:val="none"/>
        </w:rPr>
        <w:t>4.4.6.3 中选人无正当理由不与比选人签订合同的；</w:t>
      </w:r>
    </w:p>
    <w:p w14:paraId="5D4CB8B8">
      <w:pPr>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36082431">
      <w:pPr>
        <w:rPr>
          <w:rFonts w:ascii="Times New Roman" w:hAnsi="Times New Roman"/>
          <w:highlight w:val="none"/>
        </w:rPr>
      </w:pPr>
      <w:r>
        <w:rPr>
          <w:rFonts w:hint="eastAsia" w:ascii="Times New Roman" w:hAnsi="Times New Roman"/>
          <w:highlight w:val="none"/>
        </w:rPr>
        <w:t>4.4.6.5 中选人拒绝履行合同义务的；</w:t>
      </w:r>
    </w:p>
    <w:p w14:paraId="247C456B">
      <w:pPr>
        <w:rPr>
          <w:rFonts w:ascii="Times New Roman" w:hAnsi="Times New Roman"/>
          <w:highlight w:val="none"/>
        </w:rPr>
      </w:pPr>
      <w:r>
        <w:rPr>
          <w:rFonts w:hint="eastAsia" w:ascii="Times New Roman" w:hAnsi="Times New Roman"/>
          <w:highlight w:val="none"/>
        </w:rPr>
        <w:t>4.4.6.6 其他严重扰乱比选程序的；</w:t>
      </w:r>
    </w:p>
    <w:p w14:paraId="5FE48D27">
      <w:pPr>
        <w:pStyle w:val="4"/>
        <w:rPr>
          <w:rFonts w:ascii="Times New Roman" w:hAnsi="Times New Roman"/>
          <w:highlight w:val="none"/>
        </w:rPr>
      </w:pPr>
      <w:r>
        <w:rPr>
          <w:rFonts w:hint="eastAsia" w:ascii="Times New Roman" w:hAnsi="Times New Roman"/>
          <w:highlight w:val="none"/>
        </w:rPr>
        <w:t>4.5 参选文件的份数和签署</w:t>
      </w:r>
    </w:p>
    <w:p w14:paraId="4E909A30">
      <w:pPr>
        <w:bidi w:val="0"/>
        <w:rPr>
          <w:rFonts w:hint="eastAsia"/>
          <w:color w:val="auto"/>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w:t>
      </w:r>
    </w:p>
    <w:p w14:paraId="06389A0E">
      <w:pPr>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37EC56DF">
      <w:pPr>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4C881423">
      <w:pPr>
        <w:rPr>
          <w:rFonts w:ascii="Times New Roman" w:hAnsi="Times New Roman"/>
          <w:highlight w:val="none"/>
        </w:rPr>
      </w:pPr>
      <w:r>
        <w:rPr>
          <w:rFonts w:hint="eastAsia" w:ascii="Times New Roman" w:hAnsi="Times New Roman"/>
          <w:highlight w:val="none"/>
        </w:rPr>
        <w:t>4.5.4 电报、电话、邮寄、传真形式的参选文件概不接受。</w:t>
      </w:r>
    </w:p>
    <w:p w14:paraId="4B2DB76E">
      <w:pPr>
        <w:pStyle w:val="4"/>
        <w:rPr>
          <w:rFonts w:ascii="Times New Roman" w:hAnsi="Times New Roman"/>
          <w:highlight w:val="none"/>
        </w:rPr>
      </w:pPr>
      <w:r>
        <w:rPr>
          <w:rFonts w:hint="eastAsia" w:ascii="Times New Roman" w:hAnsi="Times New Roman"/>
          <w:highlight w:val="none"/>
        </w:rPr>
        <w:t>4.6 参选文件的密封与标记</w:t>
      </w:r>
    </w:p>
    <w:p w14:paraId="3AEAF19D">
      <w:pPr>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45B32012">
      <w:pPr>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6A0671E3">
      <w:pPr>
        <w:pStyle w:val="4"/>
        <w:rPr>
          <w:rFonts w:ascii="Times New Roman" w:hAnsi="Times New Roman"/>
          <w:highlight w:val="none"/>
        </w:rPr>
      </w:pPr>
      <w:r>
        <w:rPr>
          <w:rFonts w:hint="eastAsia" w:ascii="Times New Roman" w:hAnsi="Times New Roman"/>
          <w:highlight w:val="none"/>
        </w:rPr>
        <w:t>4.7 参选报价</w:t>
      </w:r>
    </w:p>
    <w:p w14:paraId="54E67726">
      <w:pPr>
        <w:rPr>
          <w:rFonts w:ascii="Times New Roman" w:hAnsi="Times New Roman"/>
          <w:highlight w:val="none"/>
        </w:rPr>
      </w:pPr>
      <w:r>
        <w:rPr>
          <w:rFonts w:hint="eastAsia" w:ascii="Times New Roman" w:hAnsi="Times New Roman"/>
          <w:highlight w:val="none"/>
        </w:rPr>
        <w:t>4.7.1 参选人应严格按照“参选文件格式”填写报价。</w:t>
      </w:r>
    </w:p>
    <w:p w14:paraId="3FF8A392">
      <w:pPr>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1AE967EC">
      <w:pPr>
        <w:rPr>
          <w:rFonts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448939B1">
      <w:pPr>
        <w:pStyle w:val="4"/>
        <w:rPr>
          <w:rFonts w:ascii="Times New Roman" w:hAnsi="Times New Roman"/>
          <w:highlight w:val="none"/>
        </w:rPr>
      </w:pPr>
      <w:r>
        <w:rPr>
          <w:rFonts w:hint="eastAsia" w:ascii="Times New Roman" w:hAnsi="Times New Roman"/>
          <w:highlight w:val="none"/>
        </w:rPr>
        <w:t>4.8 修正错误</w:t>
      </w:r>
    </w:p>
    <w:p w14:paraId="108B2174">
      <w:pPr>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7945A221">
      <w:pPr>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287D1561">
      <w:pPr>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71DE44CF">
      <w:pPr>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4844C683">
      <w:pPr>
        <w:rPr>
          <w:rFonts w:hint="eastAsia" w:ascii="Times New Roman" w:hAnsi="Times New Roman"/>
          <w:highlight w:val="none"/>
        </w:rPr>
      </w:pPr>
      <w:r>
        <w:rPr>
          <w:rFonts w:hint="eastAsia" w:ascii="Times New Roman" w:hAnsi="Times New Roman"/>
          <w:highlight w:val="none"/>
        </w:rPr>
        <w:t>4.8.4 对不同文字文本参选文件的解释发生异议的，以中文文本为准。</w:t>
      </w:r>
    </w:p>
    <w:p w14:paraId="6F5E6EF2">
      <w:pPr>
        <w:ind w:firstLine="480"/>
        <w:outlineLvl w:val="3"/>
        <w:rPr>
          <w:rFonts w:hint="eastAsia" w:ascii="Times New Roman" w:hAnsi="Times New Roman"/>
          <w:highlight w:val="none"/>
        </w:rPr>
      </w:pPr>
      <w:r>
        <w:rPr>
          <w:rFonts w:hint="eastAsia"/>
          <w:color w:val="auto"/>
          <w:highlight w:val="none"/>
          <w:lang w:val="en-US" w:eastAsia="zh-CN"/>
        </w:rPr>
        <w:t>4.8.5 含税金额与不含税金额不一致的，以含税金额为准。</w:t>
      </w:r>
    </w:p>
    <w:p w14:paraId="4F1359B4">
      <w:pPr>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8B98097">
      <w:pPr>
        <w:pStyle w:val="3"/>
        <w:rPr>
          <w:rFonts w:ascii="Times New Roman" w:hAnsi="Times New Roman"/>
          <w:highlight w:val="none"/>
        </w:rPr>
      </w:pPr>
      <w:bookmarkStart w:id="36" w:name="_Toc89675166"/>
      <w:r>
        <w:rPr>
          <w:rFonts w:hint="eastAsia" w:ascii="Times New Roman" w:hAnsi="Times New Roman"/>
          <w:highlight w:val="none"/>
        </w:rPr>
        <w:t>5. 比选程序</w:t>
      </w:r>
    </w:p>
    <w:p w14:paraId="79A995E6">
      <w:pPr>
        <w:rPr>
          <w:rFonts w:ascii="Times New Roman" w:hAnsi="Times New Roman"/>
          <w:highlight w:val="none"/>
        </w:rPr>
      </w:pPr>
      <w:r>
        <w:rPr>
          <w:rFonts w:hint="eastAsia" w:ascii="Times New Roman" w:hAnsi="Times New Roman"/>
          <w:highlight w:val="none"/>
        </w:rPr>
        <w:t>主持人按下列程序进行比选：</w:t>
      </w:r>
    </w:p>
    <w:p w14:paraId="7B94AB89">
      <w:pPr>
        <w:rPr>
          <w:rFonts w:ascii="Times New Roman" w:hAnsi="Times New Roman"/>
          <w:highlight w:val="none"/>
        </w:rPr>
      </w:pPr>
      <w:r>
        <w:rPr>
          <w:rFonts w:hint="eastAsia" w:ascii="Times New Roman" w:hAnsi="Times New Roman"/>
          <w:highlight w:val="none"/>
        </w:rPr>
        <w:t>5.1 宣布比选纪律；</w:t>
      </w:r>
    </w:p>
    <w:p w14:paraId="3A3DD315">
      <w:pPr>
        <w:rPr>
          <w:rFonts w:ascii="Times New Roman" w:hAnsi="Times New Roman"/>
          <w:highlight w:val="none"/>
        </w:rPr>
      </w:pPr>
      <w:r>
        <w:rPr>
          <w:rFonts w:hint="eastAsia" w:ascii="Times New Roman" w:hAnsi="Times New Roman"/>
          <w:highlight w:val="none"/>
        </w:rPr>
        <w:t>5.2 宣布比选人、唱标人、记录人、监督人等有关人员姓名；</w:t>
      </w:r>
    </w:p>
    <w:p w14:paraId="3B6003F8">
      <w:pPr>
        <w:rPr>
          <w:rFonts w:ascii="Times New Roman" w:hAnsi="Times New Roman"/>
          <w:highlight w:val="none"/>
        </w:rPr>
      </w:pPr>
      <w:r>
        <w:rPr>
          <w:rFonts w:hint="eastAsia" w:ascii="Times New Roman" w:hAnsi="Times New Roman"/>
          <w:highlight w:val="none"/>
        </w:rPr>
        <w:t>5.3 公布在</w:t>
      </w:r>
      <w:r>
        <w:rPr>
          <w:rFonts w:hint="eastAsia" w:ascii="Times New Roman" w:hAnsi="Times New Roman"/>
          <w:highlight w:val="none"/>
          <w:lang w:val="en-US" w:eastAsia="zh-CN"/>
        </w:rPr>
        <w:t>参选</w:t>
      </w:r>
      <w:r>
        <w:rPr>
          <w:rFonts w:hint="eastAsia" w:ascii="Times New Roman" w:hAnsi="Times New Roman"/>
          <w:highlight w:val="none"/>
        </w:rPr>
        <w:t>截止时间前递交参选文件的参选人名称，并点名确认参选人是否派人到场；</w:t>
      </w:r>
    </w:p>
    <w:p w14:paraId="50F397F1">
      <w:pPr>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75E8A423">
      <w:pPr>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71A5C756">
      <w:pPr>
        <w:rPr>
          <w:rFonts w:ascii="Times New Roman" w:hAnsi="Times New Roman"/>
          <w:highlight w:val="none"/>
        </w:rPr>
      </w:pPr>
      <w:r>
        <w:rPr>
          <w:rFonts w:hint="eastAsia" w:ascii="Times New Roman" w:hAnsi="Times New Roman"/>
          <w:highlight w:val="none"/>
        </w:rPr>
        <w:t>5.6 设有最高限价的，公布最高限价；</w:t>
      </w:r>
    </w:p>
    <w:p w14:paraId="682878A9">
      <w:pPr>
        <w:rPr>
          <w:rFonts w:ascii="Times New Roman" w:hAnsi="Times New Roman"/>
          <w:highlight w:val="none"/>
        </w:rPr>
      </w:pPr>
      <w:r>
        <w:rPr>
          <w:rFonts w:hint="eastAsia" w:ascii="Times New Roman" w:hAnsi="Times New Roman"/>
          <w:highlight w:val="none"/>
        </w:rPr>
        <w:t>5.7 开启参选文件；</w:t>
      </w:r>
    </w:p>
    <w:p w14:paraId="62B66EDE">
      <w:pPr>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124C9FB5">
      <w:pPr>
        <w:rPr>
          <w:rFonts w:ascii="Times New Roman" w:hAnsi="Times New Roman"/>
          <w:highlight w:val="none"/>
        </w:rPr>
      </w:pPr>
      <w:r>
        <w:rPr>
          <w:rFonts w:hint="eastAsia" w:ascii="Times New Roman" w:hAnsi="Times New Roman"/>
          <w:highlight w:val="none"/>
        </w:rPr>
        <w:t>5.9 比选结束。</w:t>
      </w:r>
    </w:p>
    <w:p w14:paraId="7A18CA98">
      <w:pPr>
        <w:pStyle w:val="3"/>
        <w:rPr>
          <w:rFonts w:ascii="Times New Roman" w:hAnsi="Times New Roman"/>
          <w:highlight w:val="none"/>
        </w:rPr>
      </w:pPr>
      <w:r>
        <w:rPr>
          <w:rFonts w:hint="eastAsia" w:ascii="Times New Roman" w:hAnsi="Times New Roman"/>
          <w:highlight w:val="none"/>
        </w:rPr>
        <w:t>6. 评审</w:t>
      </w:r>
    </w:p>
    <w:p w14:paraId="07FAF08C">
      <w:pPr>
        <w:rPr>
          <w:rFonts w:ascii="Times New Roman" w:hAnsi="Times New Roman"/>
          <w:highlight w:val="none"/>
        </w:rPr>
      </w:pPr>
      <w:r>
        <w:rPr>
          <w:rFonts w:hint="eastAsia" w:ascii="Times New Roman" w:hAnsi="Times New Roman"/>
          <w:highlight w:val="none"/>
        </w:rPr>
        <w:t>见第四章内容。</w:t>
      </w:r>
    </w:p>
    <w:p w14:paraId="46B83458">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36"/>
    </w:p>
    <w:p w14:paraId="33A9FB7B">
      <w:pPr>
        <w:rPr>
          <w:rFonts w:ascii="Times New Roman" w:hAnsi="Times New Roman"/>
          <w:highlight w:val="none"/>
        </w:rPr>
      </w:pPr>
      <w:r>
        <w:rPr>
          <w:rFonts w:hint="eastAsia" w:ascii="Times New Roman" w:hAnsi="Times New Roman"/>
          <w:highlight w:val="none"/>
        </w:rPr>
        <w:t>7.1 定选原则</w:t>
      </w:r>
    </w:p>
    <w:p w14:paraId="12C81819">
      <w:pPr>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2D3CC4A3">
      <w:pPr>
        <w:rPr>
          <w:rFonts w:ascii="Times New Roman" w:hAnsi="Times New Roman"/>
          <w:highlight w:val="none"/>
        </w:rPr>
      </w:pPr>
      <w:r>
        <w:rPr>
          <w:rFonts w:hint="eastAsia" w:ascii="Times New Roman" w:hAnsi="Times New Roman"/>
          <w:highlight w:val="none"/>
        </w:rPr>
        <w:t>7.2 不承诺最低价格中选。</w:t>
      </w:r>
    </w:p>
    <w:p w14:paraId="44FB7A7E">
      <w:pPr>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3DECE9FD">
      <w:pPr>
        <w:pStyle w:val="3"/>
        <w:rPr>
          <w:rFonts w:ascii="Times New Roman" w:hAnsi="Times New Roman"/>
          <w:highlight w:val="none"/>
        </w:rPr>
      </w:pPr>
      <w:bookmarkStart w:id="37" w:name="_Toc89675168"/>
      <w:bookmarkStart w:id="38" w:name="_Toc12245"/>
      <w:r>
        <w:rPr>
          <w:rFonts w:hint="eastAsia" w:ascii="Times New Roman" w:hAnsi="Times New Roman"/>
          <w:highlight w:val="none"/>
        </w:rPr>
        <w:t>8. 签订合同</w:t>
      </w:r>
      <w:bookmarkEnd w:id="37"/>
      <w:bookmarkEnd w:id="38"/>
    </w:p>
    <w:p w14:paraId="6FF4AD4A">
      <w:pPr>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575BC3CE">
      <w:pPr>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0DC04164">
      <w:pPr>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4329EE5F">
      <w:pPr>
        <w:rPr>
          <w:rFonts w:ascii="Times New Roman" w:hAnsi="Times New Roman"/>
          <w:highlight w:val="none"/>
        </w:rPr>
      </w:pPr>
      <w:r>
        <w:rPr>
          <w:rFonts w:hint="eastAsia" w:ascii="Times New Roman" w:hAnsi="Times New Roman"/>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008A70B9">
      <w:pPr>
        <w:rPr>
          <w:rFonts w:ascii="Times New Roman" w:hAnsi="Times New Roman"/>
          <w:highlight w:val="none"/>
        </w:rPr>
      </w:pPr>
      <w:r>
        <w:rPr>
          <w:rFonts w:hint="eastAsia" w:ascii="Times New Roman" w:hAnsi="Times New Roman"/>
          <w:highlight w:val="none"/>
        </w:rPr>
        <w:t>8.5 该项目不允许任何形式的转包。</w:t>
      </w:r>
    </w:p>
    <w:p w14:paraId="422AA556">
      <w:pPr>
        <w:pStyle w:val="3"/>
        <w:rPr>
          <w:rFonts w:ascii="Times New Roman" w:hAnsi="Times New Roman"/>
          <w:highlight w:val="none"/>
        </w:rPr>
      </w:pPr>
      <w:r>
        <w:rPr>
          <w:rFonts w:hint="eastAsia" w:ascii="Times New Roman" w:hAnsi="Times New Roman"/>
          <w:highlight w:val="none"/>
        </w:rPr>
        <w:t>9. 纪律与要求</w:t>
      </w:r>
    </w:p>
    <w:p w14:paraId="1871DC68">
      <w:pPr>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1638C944">
      <w:pPr>
        <w:rPr>
          <w:rFonts w:ascii="Times New Roman" w:hAnsi="Times New Roman"/>
          <w:highlight w:val="none"/>
        </w:rPr>
      </w:pPr>
      <w:r>
        <w:rPr>
          <w:rFonts w:hint="eastAsia" w:ascii="Times New Roman" w:hAnsi="Times New Roman"/>
          <w:highlight w:val="none"/>
        </w:rPr>
        <w:t>9.1 有下列情形之一的，属于参选人相互串通参选：</w:t>
      </w:r>
    </w:p>
    <w:p w14:paraId="51CCACE2">
      <w:pPr>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6B2791C4">
      <w:pPr>
        <w:rPr>
          <w:rFonts w:ascii="Times New Roman" w:hAnsi="Times New Roman"/>
          <w:highlight w:val="none"/>
        </w:rPr>
      </w:pPr>
      <w:r>
        <w:rPr>
          <w:rFonts w:hint="eastAsia" w:ascii="Times New Roman" w:hAnsi="Times New Roman"/>
          <w:highlight w:val="none"/>
        </w:rPr>
        <w:t>9.1.2 参选人之间约定中选人；</w:t>
      </w:r>
    </w:p>
    <w:p w14:paraId="24B6F6E3">
      <w:pPr>
        <w:rPr>
          <w:rFonts w:ascii="Times New Roman" w:hAnsi="Times New Roman"/>
          <w:highlight w:val="none"/>
        </w:rPr>
      </w:pPr>
      <w:r>
        <w:rPr>
          <w:rFonts w:hint="eastAsia" w:ascii="Times New Roman" w:hAnsi="Times New Roman"/>
          <w:highlight w:val="none"/>
        </w:rPr>
        <w:t>9.1.3 参选人之间约定部分参选人放弃参选或者中选；</w:t>
      </w:r>
    </w:p>
    <w:p w14:paraId="094DE9D8">
      <w:pPr>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3C1BFA8B">
      <w:pPr>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2EC717C9">
      <w:pPr>
        <w:rPr>
          <w:rFonts w:ascii="Times New Roman" w:hAnsi="Times New Roman"/>
          <w:highlight w:val="none"/>
        </w:rPr>
      </w:pPr>
      <w:r>
        <w:rPr>
          <w:rFonts w:hint="eastAsia" w:ascii="Times New Roman" w:hAnsi="Times New Roman"/>
          <w:highlight w:val="none"/>
        </w:rPr>
        <w:t>9.2 有下列情形之一的，视为参选人相互串通参选：</w:t>
      </w:r>
    </w:p>
    <w:p w14:paraId="68CD23CA">
      <w:pPr>
        <w:rPr>
          <w:rFonts w:ascii="Times New Roman" w:hAnsi="Times New Roman"/>
          <w:highlight w:val="none"/>
        </w:rPr>
      </w:pPr>
      <w:r>
        <w:rPr>
          <w:rFonts w:hint="eastAsia" w:ascii="Times New Roman" w:hAnsi="Times New Roman"/>
          <w:highlight w:val="none"/>
        </w:rPr>
        <w:t>9.2.1 不同参选人的参选文件由同一单位或者个人编制；</w:t>
      </w:r>
    </w:p>
    <w:p w14:paraId="76461210">
      <w:pPr>
        <w:rPr>
          <w:rFonts w:ascii="Times New Roman" w:hAnsi="Times New Roman"/>
          <w:highlight w:val="none"/>
        </w:rPr>
      </w:pPr>
      <w:r>
        <w:rPr>
          <w:rFonts w:hint="eastAsia" w:ascii="Times New Roman" w:hAnsi="Times New Roman"/>
          <w:highlight w:val="none"/>
        </w:rPr>
        <w:t>9.2.2 不同参选人委托同一单位或者个人办理参选事宜；</w:t>
      </w:r>
    </w:p>
    <w:p w14:paraId="53034C1D">
      <w:pPr>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20B9F737">
      <w:pPr>
        <w:rPr>
          <w:rFonts w:ascii="Times New Roman" w:hAnsi="Times New Roman"/>
          <w:highlight w:val="none"/>
        </w:rPr>
      </w:pPr>
      <w:r>
        <w:rPr>
          <w:rFonts w:hint="eastAsia" w:ascii="Times New Roman" w:hAnsi="Times New Roman"/>
          <w:highlight w:val="none"/>
        </w:rPr>
        <w:t>9.2.4 不同参选人的参选文件相互混装；</w:t>
      </w:r>
    </w:p>
    <w:p w14:paraId="4B4611EE">
      <w:pPr>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4AF6A6B7">
      <w:pPr>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4BC27930">
      <w:pPr>
        <w:rPr>
          <w:rFonts w:ascii="Times New Roman" w:hAnsi="Times New Roman"/>
          <w:highlight w:val="none"/>
        </w:rPr>
      </w:pPr>
      <w:r>
        <w:rPr>
          <w:rFonts w:hint="eastAsia" w:ascii="Times New Roman" w:hAnsi="Times New Roman"/>
          <w:highlight w:val="none"/>
        </w:rPr>
        <w:t>9.4 参选人有下列情形之一的，属于弄虚作假的行为：</w:t>
      </w:r>
    </w:p>
    <w:p w14:paraId="702562EB">
      <w:pPr>
        <w:rPr>
          <w:rFonts w:ascii="Times New Roman" w:hAnsi="Times New Roman"/>
          <w:highlight w:val="none"/>
        </w:rPr>
      </w:pPr>
      <w:r>
        <w:rPr>
          <w:rFonts w:hint="eastAsia" w:ascii="Times New Roman" w:hAnsi="Times New Roman"/>
          <w:highlight w:val="none"/>
        </w:rPr>
        <w:t>9.4.1 使用伪造、变造的许可证件；</w:t>
      </w:r>
    </w:p>
    <w:p w14:paraId="2CB6EFEC">
      <w:pPr>
        <w:rPr>
          <w:rFonts w:ascii="Times New Roman" w:hAnsi="Times New Roman"/>
          <w:highlight w:val="none"/>
        </w:rPr>
      </w:pPr>
      <w:r>
        <w:rPr>
          <w:rFonts w:hint="eastAsia" w:ascii="Times New Roman" w:hAnsi="Times New Roman"/>
          <w:highlight w:val="none"/>
        </w:rPr>
        <w:t>9.4.2 提供虚假的财务状况或者虚假业绩；</w:t>
      </w:r>
    </w:p>
    <w:p w14:paraId="7DB901CE">
      <w:pPr>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6705700B">
      <w:pPr>
        <w:rPr>
          <w:rFonts w:ascii="Times New Roman" w:hAnsi="Times New Roman"/>
          <w:highlight w:val="none"/>
        </w:rPr>
      </w:pPr>
      <w:r>
        <w:rPr>
          <w:rFonts w:hint="eastAsia" w:ascii="Times New Roman" w:hAnsi="Times New Roman"/>
          <w:highlight w:val="none"/>
        </w:rPr>
        <w:t>9.4.4 提供虚假的信用状况；</w:t>
      </w:r>
    </w:p>
    <w:p w14:paraId="616BB084">
      <w:pPr>
        <w:rPr>
          <w:rFonts w:ascii="Times New Roman" w:hAnsi="Times New Roman"/>
          <w:highlight w:val="none"/>
        </w:rPr>
      </w:pPr>
      <w:r>
        <w:rPr>
          <w:rFonts w:hint="eastAsia" w:ascii="Times New Roman" w:hAnsi="Times New Roman"/>
          <w:highlight w:val="none"/>
        </w:rPr>
        <w:t>9.4.5 其它弄虚作假的行为。</w:t>
      </w:r>
    </w:p>
    <w:p w14:paraId="075D11FB">
      <w:pPr>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137DE5FF">
      <w:pPr>
        <w:pStyle w:val="3"/>
        <w:rPr>
          <w:rFonts w:ascii="Times New Roman" w:hAnsi="Times New Roman"/>
          <w:highlight w:val="none"/>
        </w:rPr>
      </w:pPr>
      <w:bookmarkStart w:id="39" w:name="_Toc89675169"/>
      <w:r>
        <w:rPr>
          <w:rFonts w:hint="eastAsia" w:ascii="Times New Roman" w:hAnsi="Times New Roman"/>
          <w:highlight w:val="none"/>
        </w:rPr>
        <w:t>10. 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164FE7C6">
      <w:pPr>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0E86B262">
      <w:pPr>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2B5DF4AA">
      <w:pPr>
        <w:rPr>
          <w:rFonts w:ascii="Times New Roman" w:hAnsi="Times New Roman"/>
          <w:highlight w:val="none"/>
        </w:rPr>
      </w:pPr>
      <w:r>
        <w:rPr>
          <w:rFonts w:hint="eastAsia" w:ascii="Times New Roman" w:hAnsi="Times New Roman"/>
          <w:highlight w:val="none"/>
        </w:rPr>
        <w:t>采购投诉邮箱：</w:t>
      </w:r>
      <w:bookmarkStart w:id="40" w:name="_Hlk74215856"/>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bookmarkEnd w:id="40"/>
    </w:p>
    <w:p w14:paraId="4F642AA8">
      <w:pPr>
        <w:pStyle w:val="3"/>
        <w:pBdr>
          <w:top w:val="none" w:color="auto" w:sz="0" w:space="0"/>
          <w:left w:val="none" w:color="auto" w:sz="0" w:space="0"/>
          <w:bottom w:val="none" w:color="auto" w:sz="0" w:space="0"/>
          <w:right w:val="none" w:color="auto" w:sz="0" w:space="0"/>
          <w:between w:val="none" w:color="auto" w:sz="0" w:space="0"/>
        </w:pBdr>
        <w:shd w:val="clear" w:color="auto" w:fill="auto"/>
        <w:rPr>
          <w:rFonts w:ascii="Times New Roman" w:hAnsi="Times New Roman"/>
          <w:highlight w:val="none"/>
        </w:rPr>
      </w:pPr>
      <w:bookmarkStart w:id="41" w:name="_Toc89675157"/>
      <w:bookmarkStart w:id="42" w:name="_Toc11439"/>
      <w:bookmarkStart w:id="43" w:name="_Toc15059431"/>
      <w:bookmarkStart w:id="44" w:name="_Toc275199618"/>
      <w:bookmarkStart w:id="45" w:name="_Toc440628924"/>
      <w:r>
        <w:rPr>
          <w:rFonts w:hint="eastAsia" w:ascii="Times New Roman" w:hAnsi="Times New Roman"/>
          <w:highlight w:val="none"/>
        </w:rPr>
        <w:t>11. 无效参选条款</w:t>
      </w:r>
      <w:bookmarkEnd w:id="41"/>
      <w:bookmarkEnd w:id="42"/>
      <w:bookmarkEnd w:id="43"/>
      <w:bookmarkEnd w:id="44"/>
      <w:bookmarkEnd w:id="45"/>
    </w:p>
    <w:p w14:paraId="6A044976">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Times New Roman" w:hAnsi="Times New Roman"/>
          <w:highlight w:val="none"/>
        </w:rPr>
      </w:pPr>
      <w:r>
        <w:rPr>
          <w:rFonts w:hint="eastAsia" w:ascii="Times New Roman" w:hAnsi="Times New Roman"/>
          <w:highlight w:val="none"/>
        </w:rPr>
        <w:t>参选人或其参选文件出现下列情况之一者，应为无效参选：</w:t>
      </w:r>
    </w:p>
    <w:p w14:paraId="534C3258">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Times New Roman" w:hAnsi="Times New Roman"/>
          <w:highlight w:val="none"/>
        </w:rPr>
      </w:pPr>
      <w:r>
        <w:rPr>
          <w:rFonts w:hint="eastAsia" w:ascii="Times New Roman" w:hAnsi="Times New Roman"/>
          <w:highlight w:val="none"/>
        </w:rPr>
        <w:t>11.1 参选人未按比选文件规定提交足额参选保证金的。</w:t>
      </w:r>
    </w:p>
    <w:p w14:paraId="4CD9BC3C">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Times New Roman" w:hAnsi="Times New Roman"/>
          <w:highlight w:val="none"/>
        </w:rPr>
      </w:pPr>
      <w:r>
        <w:rPr>
          <w:rFonts w:hint="eastAsia" w:ascii="Times New Roman" w:hAnsi="Times New Roman"/>
          <w:highlight w:val="none"/>
        </w:rPr>
        <w:t>11.2 参选人未通过资格性检查，参选文件未通过符合性检查或参选文件经证实存在弄虚作假的。</w:t>
      </w:r>
    </w:p>
    <w:p w14:paraId="277A3E86">
      <w:pPr>
        <w:rPr>
          <w:rFonts w:hint="eastAsia"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360C0E84">
      <w:pPr>
        <w:rPr>
          <w:rFonts w:hint="eastAsia"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432DB8C8">
      <w:pPr>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732260E2">
      <w:pPr>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6C212298">
      <w:pPr>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36C12FEC">
      <w:pPr>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345BAC78">
      <w:pPr>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630C990A">
      <w:pPr>
        <w:rPr>
          <w:rFonts w:ascii="Times New Roman" w:hAnsi="Times New Roman"/>
          <w:highlight w:val="none"/>
        </w:rPr>
      </w:pPr>
      <w:r>
        <w:rPr>
          <w:rFonts w:hint="eastAsia" w:ascii="Times New Roman" w:hAnsi="Times New Roman"/>
          <w:highlight w:val="none"/>
        </w:rPr>
        <w:t>11.10 出现影响比选公正的违法、违规行为的。</w:t>
      </w:r>
    </w:p>
    <w:p w14:paraId="5A3DB7CD">
      <w:pPr>
        <w:rPr>
          <w:rFonts w:ascii="Times New Roman" w:hAnsi="Times New Roman"/>
          <w:highlight w:val="none"/>
        </w:rPr>
      </w:pPr>
      <w:r>
        <w:rPr>
          <w:rFonts w:hint="eastAsia" w:ascii="Times New Roman" w:hAnsi="Times New Roman"/>
          <w:highlight w:val="none"/>
        </w:rPr>
        <w:t>11.11 与比选人、评审专家、其他参选人恶意串通。</w:t>
      </w:r>
    </w:p>
    <w:p w14:paraId="797F5B2E">
      <w:pPr>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3130632E">
      <w:pPr>
        <w:rPr>
          <w:rFonts w:ascii="Times New Roman" w:hAnsi="Times New Roman"/>
          <w:highlight w:val="none"/>
        </w:rPr>
      </w:pPr>
      <w:r>
        <w:rPr>
          <w:rFonts w:hint="eastAsia" w:ascii="Times New Roman" w:hAnsi="Times New Roman"/>
          <w:highlight w:val="none"/>
        </w:rPr>
        <w:t>11.13 提供虚假材料谋取中选资格的。</w:t>
      </w:r>
    </w:p>
    <w:p w14:paraId="3064CDD8">
      <w:pPr>
        <w:rPr>
          <w:rFonts w:ascii="Times New Roman" w:hAnsi="Times New Roman"/>
          <w:highlight w:val="none"/>
        </w:rPr>
      </w:pPr>
      <w:r>
        <w:rPr>
          <w:rFonts w:hint="eastAsia" w:ascii="Times New Roman" w:hAnsi="Times New Roman"/>
          <w:highlight w:val="none"/>
        </w:rPr>
        <w:t>11.14 参选文件含有比选人不能接受的附件条件的。</w:t>
      </w:r>
    </w:p>
    <w:p w14:paraId="25D0009A">
      <w:pPr>
        <w:pStyle w:val="3"/>
        <w:rPr>
          <w:rFonts w:ascii="Times New Roman" w:hAnsi="Times New Roman"/>
          <w:highlight w:val="none"/>
        </w:rPr>
      </w:pPr>
      <w:r>
        <w:rPr>
          <w:rFonts w:hint="eastAsia" w:ascii="Times New Roman" w:hAnsi="Times New Roman"/>
          <w:highlight w:val="none"/>
        </w:rPr>
        <w:t>12. 比选失败情形</w:t>
      </w:r>
    </w:p>
    <w:p w14:paraId="457EA077">
      <w:pPr>
        <w:snapToGrid w:val="0"/>
        <w:rPr>
          <w:rFonts w:ascii="Times New Roman" w:hAnsi="Times New Roman"/>
          <w:highlight w:val="none"/>
        </w:rPr>
      </w:pPr>
      <w:r>
        <w:rPr>
          <w:rFonts w:hint="eastAsia" w:ascii="Times New Roman" w:hAnsi="Times New Roman"/>
          <w:highlight w:val="none"/>
        </w:rPr>
        <w:t>出现以下情形本次比选失败：</w:t>
      </w:r>
    </w:p>
    <w:p w14:paraId="7CBA426F">
      <w:pPr>
        <w:snapToGrid w:val="0"/>
        <w:rPr>
          <w:rFonts w:ascii="Times New Roman" w:hAnsi="Times New Roman"/>
          <w:highlight w:val="none"/>
        </w:rPr>
      </w:pPr>
      <w:r>
        <w:rPr>
          <w:rFonts w:hint="eastAsia" w:ascii="Times New Roman" w:hAnsi="Times New Roman"/>
          <w:highlight w:val="none"/>
        </w:rPr>
        <w:t xml:space="preserve">12.1 </w:t>
      </w:r>
      <w:r>
        <w:rPr>
          <w:rFonts w:hint="eastAsia" w:ascii="Times New Roman" w:hAnsi="Times New Roman"/>
          <w:highlight w:val="none"/>
          <w:lang w:val="en-US" w:eastAsia="zh-CN"/>
        </w:rPr>
        <w:t>参选</w:t>
      </w:r>
      <w:r>
        <w:rPr>
          <w:rFonts w:hint="eastAsia" w:ascii="Times New Roman" w:hAnsi="Times New Roman"/>
          <w:highlight w:val="none"/>
        </w:rPr>
        <w:t>截止时间止，参选人少于</w:t>
      </w:r>
      <w:r>
        <w:rPr>
          <w:rFonts w:hint="eastAsia" w:ascii="Times New Roman" w:hAnsi="Times New Roman"/>
          <w:highlight w:val="none"/>
          <w:lang w:val="en-US" w:eastAsia="zh-CN"/>
        </w:rPr>
        <w:t>1</w:t>
      </w:r>
      <w:r>
        <w:rPr>
          <w:rFonts w:hint="eastAsia" w:ascii="Times New Roman" w:hAnsi="Times New Roman"/>
          <w:highlight w:val="none"/>
        </w:rPr>
        <w:t>个的。</w:t>
      </w:r>
    </w:p>
    <w:p w14:paraId="59DABB95">
      <w:pPr>
        <w:rPr>
          <w:rFonts w:ascii="Times New Roman" w:hAnsi="Times New Roman"/>
          <w:highlight w:val="none"/>
        </w:rPr>
      </w:pPr>
      <w:r>
        <w:rPr>
          <w:rFonts w:hint="eastAsia" w:ascii="Times New Roman" w:hAnsi="Times New Roman"/>
          <w:highlight w:val="none"/>
        </w:rPr>
        <w:t>12.2 经评审委员会评审后否决所有参选的。</w:t>
      </w:r>
    </w:p>
    <w:p w14:paraId="7D0C9A30">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39"/>
    </w:p>
    <w:p w14:paraId="27DBDA95">
      <w:pPr>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79740750">
      <w:pPr>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266D85AA">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053E501C">
      <w:pPr>
        <w:rPr>
          <w:rFonts w:ascii="Times New Roman" w:hAnsi="Times New Roman"/>
          <w:highlight w:val="none"/>
        </w:rPr>
      </w:pPr>
      <w:r>
        <w:rPr>
          <w:rFonts w:hint="eastAsia" w:ascii="Times New Roman" w:hAnsi="Times New Roman"/>
          <w:highlight w:val="none"/>
        </w:rPr>
        <w:t>参选人参与本比选项目时，一切与参选有关的费用均由参选人自理。</w:t>
      </w:r>
    </w:p>
    <w:p w14:paraId="0B87462E">
      <w:pPr>
        <w:rPr>
          <w:rFonts w:ascii="Times New Roman" w:hAnsi="Times New Roman"/>
          <w:highlight w:val="none"/>
        </w:rPr>
      </w:pPr>
      <w:r>
        <w:rPr>
          <w:rFonts w:hint="eastAsia" w:ascii="Times New Roman" w:hAnsi="Times New Roman"/>
          <w:highlight w:val="none"/>
        </w:rPr>
        <w:t>本项目平台服务费为</w:t>
      </w:r>
      <w:r>
        <w:rPr>
          <w:rFonts w:hint="eastAsia" w:ascii="Times New Roman" w:hAnsi="Times New Roman"/>
          <w:highlight w:val="none"/>
          <w:lang w:val="en-US" w:eastAsia="zh-CN"/>
        </w:rPr>
        <w:t>15000.00</w:t>
      </w:r>
      <w:r>
        <w:rPr>
          <w:rFonts w:hint="eastAsia" w:ascii="Times New Roman" w:hAnsi="Times New Roman"/>
          <w:highlight w:val="none"/>
        </w:rPr>
        <w:t>元，由中选人向重庆联合产权交易所集团股份有限公司支付。中选人应在领取中选通知书时一次性缴纳，请各参选人综合考虑进行报价。</w:t>
      </w:r>
    </w:p>
    <w:p w14:paraId="26073D69">
      <w:pPr>
        <w:widowControl/>
        <w:jc w:val="left"/>
        <w:rPr>
          <w:rFonts w:ascii="Times New Roman" w:hAnsi="Times New Roman" w:cs="Cambria"/>
          <w:snapToGrid w:val="0"/>
          <w:kern w:val="0"/>
          <w:szCs w:val="28"/>
          <w:highlight w:val="none"/>
        </w:rPr>
      </w:pPr>
      <w:r>
        <w:rPr>
          <w:rFonts w:ascii="Times New Roman" w:hAnsi="Times New Roman" w:cs="Cambria"/>
          <w:snapToGrid w:val="0"/>
          <w:kern w:val="0"/>
          <w:szCs w:val="28"/>
          <w:highlight w:val="none"/>
        </w:rPr>
        <w:br w:type="page"/>
      </w:r>
    </w:p>
    <w:p w14:paraId="3543BF3A">
      <w:pPr>
        <w:pStyle w:val="2"/>
        <w:rPr>
          <w:rFonts w:ascii="Times New Roman" w:hAnsi="Times New Roman"/>
          <w:highlight w:val="none"/>
        </w:rPr>
      </w:pPr>
      <w:bookmarkStart w:id="46" w:name="_Toc11825"/>
      <w:r>
        <w:rPr>
          <w:rFonts w:hint="eastAsia" w:ascii="Times New Roman" w:hAnsi="Times New Roman"/>
          <w:highlight w:val="none"/>
        </w:rPr>
        <w:t>第三章 项目要求</w:t>
      </w:r>
      <w:bookmarkEnd w:id="46"/>
    </w:p>
    <w:p w14:paraId="0DB53EE4">
      <w:pPr>
        <w:pStyle w:val="3"/>
        <w:numPr>
          <w:ilvl w:val="0"/>
          <w:numId w:val="2"/>
        </w:numPr>
        <w:rPr>
          <w:rFonts w:ascii="Times New Roman" w:hAnsi="Times New Roman"/>
          <w:highlight w:val="none"/>
        </w:rPr>
      </w:pPr>
      <w:r>
        <w:rPr>
          <w:rFonts w:hint="eastAsia" w:ascii="Times New Roman" w:hAnsi="Times New Roman"/>
          <w:highlight w:val="none"/>
        </w:rPr>
        <w:t>业务需求</w:t>
      </w:r>
    </w:p>
    <w:p w14:paraId="2B97010E">
      <w:pPr>
        <w:rPr>
          <w:rFonts w:ascii="Times New Roman" w:hAnsi="Times New Roman"/>
          <w:color w:val="000000"/>
          <w:szCs w:val="24"/>
          <w:highlight w:val="none"/>
        </w:rPr>
      </w:pPr>
      <w:r>
        <w:rPr>
          <w:rFonts w:hint="eastAsia" w:ascii="Times New Roman" w:hAnsi="Times New Roman"/>
          <w:color w:val="000000"/>
          <w:szCs w:val="24"/>
          <w:highlight w:val="none"/>
        </w:rPr>
        <w:t>我行新一代核心系统（以下简称“新核心”）于2022年7月23日顺利投产，投产以来，整体运行平稳，现系统进入持续迭代期，在业务开展过程中，新的业务需求、监管需求陆续提出，为优化系统流程、提升交付效率、及时响应本行业务发展及监管需求，2024年亟待开展以下工作：</w:t>
      </w:r>
    </w:p>
    <w:p w14:paraId="628E1ECA">
      <w:pPr>
        <w:snapToGrid w:val="0"/>
        <w:rPr>
          <w:rFonts w:hint="eastAsia" w:ascii="Times New Roman" w:hAnsi="Times New Roman"/>
          <w:color w:val="000000"/>
          <w:szCs w:val="24"/>
          <w:highlight w:val="none"/>
        </w:rPr>
      </w:pPr>
      <w:r>
        <w:rPr>
          <w:rFonts w:ascii="Times New Roman" w:hAnsi="Times New Roman"/>
          <w:color w:val="000000"/>
          <w:szCs w:val="24"/>
          <w:highlight w:val="none"/>
        </w:rPr>
        <w:t>一</w:t>
      </w:r>
      <w:r>
        <w:rPr>
          <w:rFonts w:hint="eastAsia" w:ascii="Times New Roman" w:hAnsi="Times New Roman"/>
          <w:color w:val="000000"/>
          <w:szCs w:val="24"/>
          <w:highlight w:val="none"/>
        </w:rPr>
        <w:t>、根据监管要求进行全面信创改造</w:t>
      </w:r>
    </w:p>
    <w:p w14:paraId="3CECEFFD">
      <w:pPr>
        <w:pStyle w:val="36"/>
        <w:snapToGrid w:val="0"/>
        <w:rPr>
          <w:rFonts w:cs="Cambria Math"/>
          <w:color w:val="000000"/>
          <w:sz w:val="24"/>
          <w:szCs w:val="24"/>
          <w:highlight w:val="none"/>
        </w:rPr>
      </w:pPr>
      <w:r>
        <w:rPr>
          <w:rFonts w:hint="eastAsia" w:cs="Cambria Math"/>
          <w:color w:val="000000"/>
          <w:sz w:val="24"/>
          <w:szCs w:val="24"/>
          <w:highlight w:val="none"/>
        </w:rPr>
        <w:t>配合移动作业系统、银联无卡支付前置等系统信创改造。</w:t>
      </w:r>
    </w:p>
    <w:p w14:paraId="5792A34C">
      <w:pPr>
        <w:snapToGrid w:val="0"/>
        <w:rPr>
          <w:rFonts w:ascii="Times New Roman" w:hAnsi="Times New Roman"/>
          <w:color w:val="000000"/>
          <w:szCs w:val="24"/>
          <w:highlight w:val="none"/>
        </w:rPr>
      </w:pPr>
      <w:r>
        <w:rPr>
          <w:rFonts w:hint="eastAsia" w:ascii="Times New Roman" w:hAnsi="Times New Roman"/>
          <w:color w:val="000000"/>
          <w:szCs w:val="24"/>
          <w:highlight w:val="none"/>
        </w:rPr>
        <w:t>二、支撑业务发展需求</w:t>
      </w:r>
    </w:p>
    <w:p w14:paraId="5BA6945B">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满足住房交易中心及资源中心等客户要求，提高客户体验，提出一体化平台存量房资金监管业务需求、保交楼专项借款资金监管/公共资源中心业务需求、商品房预售资金监管功能升级优化需求、高速ETC业务优化需求、智慧财资系统建设需求、市人力社保局农民工保证金业务需求、保证金状态自动控制和保证金解押、扣划、追加等7项需求。为丰富条线产品服务，提高客户体验，提出财富存•臻享版、大额存单预约优化需求、存E贷增加质物、社保卡同号换卡、同号换卡撤销、金融代销平台新增保险、基金等优化需求、商户服务平台需求、优化个人账户动账短信起点金额需求等10项需求。</w:t>
      </w:r>
    </w:p>
    <w:p w14:paraId="0BEA5AE8">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为丰富条线产品服务，提高客户体验，提出舟e贷-异常情况还款需求、三峡付个人APP业务与功能迁移需求、网银电子回单查询优化业务需求。</w:t>
      </w:r>
    </w:p>
    <w:p w14:paraId="519F45FF">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为丰富产品服务，提高客户体验，提出配合保函业务平台项目建设需求。</w:t>
      </w:r>
    </w:p>
    <w:p w14:paraId="3B5BB59C">
      <w:pPr>
        <w:snapToGrid w:val="0"/>
        <w:rPr>
          <w:rFonts w:ascii="Times New Roman" w:hAnsi="Times New Roman"/>
          <w:color w:val="000000"/>
          <w:szCs w:val="24"/>
          <w:highlight w:val="none"/>
        </w:rPr>
      </w:pPr>
      <w:r>
        <w:rPr>
          <w:rFonts w:hint="eastAsia" w:ascii="Times New Roman" w:hAnsi="Times New Roman"/>
          <w:color w:val="000000"/>
          <w:szCs w:val="24"/>
          <w:highlight w:val="none"/>
        </w:rPr>
        <w:t>三、内部管理提升需求</w:t>
      </w:r>
    </w:p>
    <w:p w14:paraId="64A0684F">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优化业务流程，提高系统风控能力，提升柜员体验，提高业务准确率及效率，支持我行业务发展，提出客户信息优化、单位业务优化、个人业务优化、差额定价优化、凭证管理优化等、现金管理优化、内部管理优化等需求16项。</w:t>
      </w:r>
    </w:p>
    <w:p w14:paraId="598F46A7">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为防范操作风险、提高系统风控能力、提升柜员体验提出授信手机号实名认证需求。</w:t>
      </w:r>
    </w:p>
    <w:p w14:paraId="387A51DA">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为防范操作风险、提升客户体验提出账户只收不付，不影响贷款扣款优化需求。</w:t>
      </w:r>
    </w:p>
    <w:p w14:paraId="156C2B81">
      <w:pPr>
        <w:snapToGrid w:val="0"/>
        <w:rPr>
          <w:rFonts w:hint="eastAsia" w:ascii="Times New Roman" w:hAnsi="Times New Roman"/>
          <w:color w:val="000000"/>
          <w:szCs w:val="24"/>
          <w:highlight w:val="none"/>
        </w:rPr>
      </w:pPr>
      <w:r>
        <w:rPr>
          <w:rFonts w:ascii="Times New Roman" w:hAnsi="Times New Roman"/>
          <w:color w:val="000000"/>
          <w:szCs w:val="24"/>
          <w:highlight w:val="none"/>
        </w:rPr>
        <w:t>四、</w:t>
      </w:r>
      <w:r>
        <w:rPr>
          <w:rFonts w:hint="eastAsia" w:ascii="Times New Roman" w:hAnsi="Times New Roman"/>
          <w:color w:val="000000"/>
          <w:szCs w:val="24"/>
          <w:highlight w:val="none"/>
        </w:rPr>
        <w:t>满足新的监管要求</w:t>
      </w:r>
    </w:p>
    <w:p w14:paraId="2CDCFA86">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为满足监管要求，提出建设银行对公账户实时风控模型、配合统一集中查控平台建设配合统一集中账户管理系统升级、非柜面限额分层管理业务优化需求、外国人永居证需求、一键查卡功能优化需求等8项需求。</w:t>
      </w:r>
    </w:p>
    <w:p w14:paraId="599C6295">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为满足教培资金监管要求及两江新区政府监管要求，提出对接全国教培平台二期接口优化需求、驾培资金监管需求、两江新区监管企业资金动帐明细推送需求。</w:t>
      </w:r>
    </w:p>
    <w:p w14:paraId="034CF06F">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为满足监管要求，降低POS消费业务风险，提出银行卡消费限额需求。</w:t>
      </w:r>
    </w:p>
    <w:p w14:paraId="53F0C4A9">
      <w:pPr>
        <w:snapToGrid w:val="0"/>
        <w:rPr>
          <w:rFonts w:ascii="Times New Roman" w:hAnsi="Times New Roman"/>
          <w:color w:val="000000"/>
          <w:szCs w:val="24"/>
          <w:highlight w:val="none"/>
        </w:rPr>
      </w:pPr>
      <w:r>
        <w:rPr>
          <w:rFonts w:ascii="Times New Roman" w:hAnsi="Times New Roman"/>
          <w:color w:val="000000"/>
          <w:szCs w:val="24"/>
          <w:highlight w:val="none"/>
        </w:rPr>
        <w:t>五、</w:t>
      </w:r>
      <w:r>
        <w:rPr>
          <w:rFonts w:hint="eastAsia" w:ascii="Times New Roman" w:hAnsi="Times New Roman"/>
          <w:color w:val="000000"/>
          <w:szCs w:val="24"/>
          <w:highlight w:val="none"/>
        </w:rPr>
        <w:t>持续安全提升需求</w:t>
      </w:r>
    </w:p>
    <w:p w14:paraId="24D59E9F">
      <w:pPr>
        <w:snapToGrid w:val="0"/>
        <w:ind w:left="440"/>
        <w:rPr>
          <w:rFonts w:ascii="Times New Roman" w:hAnsi="Times New Roman"/>
          <w:color w:val="000000"/>
          <w:szCs w:val="24"/>
          <w:highlight w:val="none"/>
        </w:rPr>
      </w:pPr>
      <w:r>
        <w:rPr>
          <w:rFonts w:hint="eastAsia" w:ascii="Times New Roman" w:hAnsi="Times New Roman"/>
          <w:color w:val="000000"/>
          <w:szCs w:val="24"/>
          <w:highlight w:val="none"/>
        </w:rPr>
        <w:t>为满足安全渗透测试，漏洞扫描，等保测评，个人隐私信息等持续提升要求，对系统进行持续优化。</w:t>
      </w:r>
    </w:p>
    <w:p w14:paraId="5B942684">
      <w:pPr>
        <w:pStyle w:val="3"/>
        <w:numPr>
          <w:ilvl w:val="0"/>
          <w:numId w:val="2"/>
        </w:numPr>
        <w:rPr>
          <w:rFonts w:ascii="Times New Roman" w:hAnsi="Times New Roman"/>
          <w:highlight w:val="none"/>
        </w:rPr>
      </w:pPr>
      <w:r>
        <w:rPr>
          <w:rFonts w:hint="eastAsia" w:ascii="Times New Roman" w:hAnsi="Times New Roman"/>
          <w:highlight w:val="none"/>
        </w:rPr>
        <w:t>技术要求</w:t>
      </w:r>
    </w:p>
    <w:p w14:paraId="4A22050F">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 </w:t>
      </w:r>
      <w:r>
        <w:rPr>
          <w:rFonts w:hint="eastAsia" w:ascii="Times New Roman" w:hAnsi="Times New Roman"/>
          <w:color w:val="000000"/>
          <w:szCs w:val="24"/>
          <w:highlight w:val="none"/>
        </w:rPr>
        <w:t>总体原则</w:t>
      </w:r>
    </w:p>
    <w:p w14:paraId="1FB94345">
      <w:pPr>
        <w:rPr>
          <w:rFonts w:ascii="Times New Roman" w:hAnsi="Times New Roman"/>
          <w:color w:val="000000"/>
          <w:szCs w:val="24"/>
          <w:highlight w:val="none"/>
        </w:rPr>
      </w:pPr>
      <w:r>
        <w:rPr>
          <w:rFonts w:hint="eastAsia" w:ascii="Times New Roman" w:hAnsi="Times New Roman"/>
          <w:color w:val="000000"/>
          <w:szCs w:val="24"/>
          <w:highlight w:val="none"/>
        </w:rPr>
        <w:t>系统的建设应遵循集成性、先进性、可扩展性、稳定性、安全性、经济性、前瞻性和可维护性相结合的原则。</w:t>
      </w:r>
    </w:p>
    <w:p w14:paraId="36E6ABDA">
      <w:pPr>
        <w:rPr>
          <w:rFonts w:ascii="Times New Roman" w:hAnsi="Times New Roman"/>
          <w:color w:val="000000"/>
          <w:szCs w:val="24"/>
          <w:highlight w:val="none"/>
        </w:rPr>
      </w:pPr>
      <w:r>
        <w:rPr>
          <w:rFonts w:ascii="Times New Roman" w:hAnsi="Times New Roman"/>
          <w:color w:val="000000"/>
          <w:szCs w:val="24"/>
          <w:highlight w:val="none"/>
        </w:rPr>
        <w:t xml:space="preserve">2.1.1 </w:t>
      </w:r>
      <w:r>
        <w:rPr>
          <w:rFonts w:hint="eastAsia" w:ascii="Times New Roman" w:hAnsi="Times New Roman"/>
          <w:color w:val="000000"/>
          <w:szCs w:val="24"/>
          <w:highlight w:val="none"/>
        </w:rPr>
        <w:t>集成性：系统建设需充分考虑与其它系统的集成，能快速与比选人其它业务和管理系统的集成。</w:t>
      </w:r>
    </w:p>
    <w:p w14:paraId="0CF8DFD2">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2 先进性：软件系统的选择与开发应在满足业务需求的基础上具有易改造、易升级、易操作、易维护等特点。</w:t>
      </w:r>
    </w:p>
    <w:p w14:paraId="1A14D6A4">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3 可扩展性：支持业务和系统的可扩展，支持行业应用可扩展，具有向后兼容的能力。</w:t>
      </w:r>
    </w:p>
    <w:p w14:paraId="33198395">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4 稳定性：系统要确保系统平稳运行，支持7×24小时连续运行，满足高峰处理的需要。</w:t>
      </w:r>
    </w:p>
    <w:p w14:paraId="206CFF29">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5 安全性：</w:t>
      </w:r>
    </w:p>
    <w:p w14:paraId="6FDBECDB">
      <w:pPr>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）系统必须建立在成熟稳定的硬件环境和应用软件基础上，通过完善的备份恢复策略、安全控制机制、可靠的运行管理监控和故障处理手段来保障系统的运行稳定、安全。</w:t>
      </w:r>
    </w:p>
    <w:p w14:paraId="5A738D8F">
      <w:pPr>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501678E6">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25B1273F">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0C666401">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8 可维护性：系统可维护，运行成本可控。</w:t>
      </w:r>
    </w:p>
    <w:p w14:paraId="61BDD241">
      <w:pPr>
        <w:pStyle w:val="4"/>
        <w:rPr>
          <w:rFonts w:ascii="Times New Roman" w:hAnsi="Times New Roman"/>
          <w:color w:val="000000"/>
          <w:szCs w:val="24"/>
          <w:highlight w:val="none"/>
        </w:rPr>
      </w:pPr>
      <w:r>
        <w:rPr>
          <w:rFonts w:hint="eastAsia" w:ascii="Times New Roman" w:hAnsi="Times New Roman"/>
          <w:color w:val="000000"/>
          <w:szCs w:val="24"/>
          <w:highlight w:val="none"/>
        </w:rPr>
        <w:t>2.2 用户体验要求</w:t>
      </w:r>
    </w:p>
    <w:p w14:paraId="26E44183">
      <w:pPr>
        <w:rPr>
          <w:rFonts w:ascii="Times New Roman" w:hAnsi="Times New Roman"/>
          <w:color w:val="000000"/>
          <w:szCs w:val="24"/>
          <w:highlight w:val="none"/>
        </w:rPr>
      </w:pPr>
      <w:r>
        <w:rPr>
          <w:rFonts w:hint="eastAsia" w:ascii="Times New Roman" w:hAnsi="Times New Roman"/>
          <w:color w:val="000000"/>
          <w:szCs w:val="24"/>
          <w:highlight w:val="none"/>
        </w:rPr>
        <w:t>界面可根据用户需求灵活更改（增强标签分类特性），注重用户体验，使系统各项功能易见、易学、易用。</w:t>
      </w:r>
    </w:p>
    <w:p w14:paraId="6FC4E643">
      <w:pPr>
        <w:rPr>
          <w:rFonts w:ascii="Times New Roman" w:hAnsi="Times New Roman"/>
          <w:color w:val="000000"/>
          <w:szCs w:val="24"/>
          <w:highlight w:val="none"/>
        </w:rPr>
      </w:pPr>
      <w:r>
        <w:rPr>
          <w:rFonts w:hint="eastAsia" w:ascii="Times New Roman" w:hAnsi="Times New Roman"/>
          <w:color w:val="000000"/>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23CE1BC9">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.3 </w:t>
      </w:r>
      <w:r>
        <w:rPr>
          <w:rFonts w:hint="eastAsia" w:ascii="Times New Roman" w:hAnsi="Times New Roman"/>
          <w:color w:val="000000"/>
          <w:szCs w:val="24"/>
          <w:highlight w:val="none"/>
        </w:rPr>
        <w:t>系统技术架构要求</w:t>
      </w:r>
    </w:p>
    <w:p w14:paraId="652D4907">
      <w:pPr>
        <w:rPr>
          <w:rFonts w:ascii="Times New Roman" w:hAnsi="Times New Roman"/>
          <w:color w:val="000000"/>
          <w:szCs w:val="24"/>
          <w:highlight w:val="none"/>
        </w:rPr>
      </w:pPr>
      <w:r>
        <w:rPr>
          <w:rFonts w:hint="eastAsia" w:ascii="Times New Roman" w:hAnsi="Times New Roman"/>
          <w:color w:val="000000"/>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0D97E908">
      <w:pPr>
        <w:rPr>
          <w:rFonts w:ascii="Times New Roman" w:hAnsi="Times New Roman"/>
          <w:color w:val="000000"/>
          <w:szCs w:val="24"/>
          <w:highlight w:val="none"/>
        </w:rPr>
      </w:pPr>
      <w:r>
        <w:rPr>
          <w:rFonts w:hint="eastAsia" w:ascii="Times New Roman" w:hAnsi="Times New Roman"/>
          <w:color w:val="000000"/>
          <w:szCs w:val="24"/>
          <w:highlight w:val="none"/>
        </w:rPr>
        <w:t>2）系统技术架构合理，数据结构合理，避免数据冗余，具有良好的扩展性、维护性和稳定性。如服务限流机制、服务降级机制等服务管控机制的应用，保障系统稳定运行。</w:t>
      </w:r>
    </w:p>
    <w:p w14:paraId="7CB09D5D">
      <w:pPr>
        <w:rPr>
          <w:rFonts w:ascii="Times New Roman" w:hAnsi="Times New Roman"/>
          <w:color w:val="000000"/>
          <w:szCs w:val="24"/>
          <w:highlight w:val="none"/>
        </w:rPr>
      </w:pPr>
      <w:r>
        <w:rPr>
          <w:rFonts w:hint="eastAsia" w:ascii="Times New Roman" w:hAnsi="Times New Roman"/>
          <w:color w:val="000000"/>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13A2994B">
      <w:pPr>
        <w:rPr>
          <w:rFonts w:ascii="Times New Roman" w:hAnsi="Times New Roman"/>
          <w:color w:val="000000"/>
          <w:szCs w:val="24"/>
          <w:highlight w:val="none"/>
        </w:rPr>
      </w:pPr>
      <w:r>
        <w:rPr>
          <w:rFonts w:hint="eastAsia" w:ascii="Times New Roman" w:hAnsi="Times New Roman"/>
          <w:color w:val="000000"/>
          <w:szCs w:val="24"/>
          <w:highlight w:val="none"/>
        </w:rPr>
        <w:t>4）支持集群部署方式，适应本行未来业务发展的需要。应用系统之间逻辑独立、启停服务时系统间不相互影响的部署方案。应用系统应支持双活跨数据中心的部署方案。</w:t>
      </w:r>
    </w:p>
    <w:p w14:paraId="745570F1">
      <w:pPr>
        <w:rPr>
          <w:rFonts w:ascii="Times New Roman" w:hAnsi="Times New Roman"/>
          <w:color w:val="000000"/>
          <w:szCs w:val="24"/>
          <w:highlight w:val="none"/>
        </w:rPr>
      </w:pPr>
      <w:r>
        <w:rPr>
          <w:rFonts w:hint="eastAsia" w:ascii="Times New Roman" w:hAnsi="Times New Roman"/>
          <w:color w:val="000000"/>
          <w:szCs w:val="24"/>
          <w:highlight w:val="none"/>
        </w:rPr>
        <w:t>5）系统支持域名部署。</w:t>
      </w:r>
    </w:p>
    <w:p w14:paraId="065F9122">
      <w:pPr>
        <w:pStyle w:val="4"/>
        <w:rPr>
          <w:rFonts w:ascii="Times New Roman" w:hAnsi="Times New Roman"/>
          <w:color w:val="000000"/>
          <w:szCs w:val="24"/>
          <w:highlight w:val="none"/>
        </w:rPr>
      </w:pPr>
      <w:r>
        <w:rPr>
          <w:rFonts w:ascii="Times New Roman" w:hAnsi="Times New Roman"/>
          <w:color w:val="000000"/>
          <w:szCs w:val="24"/>
          <w:highlight w:val="none"/>
        </w:rPr>
        <w:t xml:space="preserve">2.4 </w:t>
      </w:r>
      <w:r>
        <w:rPr>
          <w:rFonts w:hint="eastAsia" w:ascii="Times New Roman" w:hAnsi="Times New Roman"/>
          <w:color w:val="000000"/>
          <w:szCs w:val="24"/>
          <w:highlight w:val="none"/>
        </w:rPr>
        <w:t>系统性能要求</w:t>
      </w:r>
    </w:p>
    <w:p w14:paraId="00211D20">
      <w:pPr>
        <w:rPr>
          <w:rFonts w:ascii="Times New Roman" w:hAnsi="Times New Roman"/>
          <w:color w:val="000000"/>
          <w:szCs w:val="24"/>
          <w:highlight w:val="none"/>
        </w:rPr>
      </w:pPr>
      <w:r>
        <w:rPr>
          <w:rFonts w:hint="eastAsia" w:ascii="Times New Roman" w:hAnsi="Times New Roman"/>
          <w:color w:val="000000"/>
          <w:szCs w:val="24"/>
          <w:highlight w:val="none"/>
        </w:rPr>
        <w:t>1）应具有高效的运行效率，能通过负载均衡、流量控制、消息缓存等机制，提供大规模、高并发量的交易处理能力，满足登陆、查询、日终批量等性能需求；</w:t>
      </w:r>
    </w:p>
    <w:p w14:paraId="4AF551BA">
      <w:pPr>
        <w:rPr>
          <w:rFonts w:ascii="Times New Roman" w:hAnsi="Times New Roman"/>
          <w:color w:val="000000"/>
          <w:szCs w:val="24"/>
          <w:highlight w:val="none"/>
        </w:rPr>
      </w:pPr>
      <w:r>
        <w:rPr>
          <w:rFonts w:hint="eastAsia" w:ascii="Times New Roman" w:hAnsi="Times New Roman"/>
          <w:color w:val="000000"/>
          <w:szCs w:val="24"/>
          <w:highlight w:val="none"/>
        </w:rPr>
        <w:t>2）系统必须提供平台级的负载均衡和容错能力；</w:t>
      </w:r>
    </w:p>
    <w:p w14:paraId="04C47110">
      <w:pPr>
        <w:rPr>
          <w:rFonts w:ascii="Times New Roman" w:hAnsi="Times New Roman"/>
          <w:color w:val="000000"/>
          <w:szCs w:val="24"/>
          <w:highlight w:val="none"/>
        </w:rPr>
      </w:pPr>
      <w:r>
        <w:rPr>
          <w:rFonts w:hint="eastAsia" w:ascii="Times New Roman" w:hAnsi="Times New Roman"/>
          <w:color w:val="000000"/>
          <w:szCs w:val="24"/>
          <w:highlight w:val="none"/>
        </w:rPr>
        <w:t>3）主机系统能够保持7*24稳定的不间断运行，从系统软硬件平台及网络等方面来保证系统的稳定性；</w:t>
      </w:r>
    </w:p>
    <w:p w14:paraId="09B97BC4">
      <w:pPr>
        <w:rPr>
          <w:rFonts w:ascii="Times New Roman" w:hAnsi="Times New Roman"/>
          <w:color w:val="000000"/>
          <w:szCs w:val="24"/>
          <w:highlight w:val="none"/>
        </w:rPr>
      </w:pPr>
      <w:r>
        <w:rPr>
          <w:rFonts w:hint="eastAsia" w:ascii="Times New Roman" w:hAnsi="Times New Roman"/>
          <w:color w:val="000000"/>
          <w:szCs w:val="24"/>
          <w:highlight w:val="none"/>
        </w:rPr>
        <w:t>4）可用率：系统总体平均可用率在99.99%以上。</w:t>
      </w:r>
    </w:p>
    <w:p w14:paraId="38E6197F">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.5 </w:t>
      </w:r>
      <w:r>
        <w:rPr>
          <w:rFonts w:hint="eastAsia" w:ascii="Times New Roman" w:hAnsi="Times New Roman"/>
          <w:color w:val="000000"/>
          <w:szCs w:val="24"/>
          <w:highlight w:val="none"/>
        </w:rPr>
        <w:t>安全性要求</w:t>
      </w:r>
    </w:p>
    <w:p w14:paraId="57CCCD49">
      <w:pPr>
        <w:rPr>
          <w:rFonts w:ascii="Times New Roman" w:hAnsi="Times New Roman"/>
          <w:color w:val="000000"/>
          <w:szCs w:val="24"/>
          <w:highlight w:val="none"/>
        </w:rPr>
      </w:pPr>
      <w:r>
        <w:rPr>
          <w:rFonts w:hint="eastAsia" w:ascii="Times New Roman" w:hAnsi="Times New Roman"/>
          <w:color w:val="000000"/>
          <w:szCs w:val="24"/>
          <w:highlight w:val="none"/>
        </w:rPr>
        <w:t>为确保信息安全，采取的措施包括但不限于以下：</w:t>
      </w:r>
    </w:p>
    <w:p w14:paraId="2C4CBED4">
      <w:pPr>
        <w:rPr>
          <w:rFonts w:ascii="Times New Roman" w:hAnsi="Times New Roman"/>
          <w:color w:val="000000"/>
          <w:szCs w:val="24"/>
          <w:highlight w:val="none"/>
        </w:rPr>
      </w:pPr>
      <w:r>
        <w:rPr>
          <w:rFonts w:hint="eastAsia" w:ascii="Times New Roman" w:hAnsi="Times New Roman"/>
          <w:color w:val="000000"/>
          <w:szCs w:val="24"/>
          <w:highlight w:val="none"/>
        </w:rPr>
        <w:t>1）平台安全：架构设计符合安全性要求，</w:t>
      </w:r>
      <w:r>
        <w:rPr>
          <w:rFonts w:ascii="Times New Roman" w:hAnsi="Times New Roman"/>
          <w:color w:val="000000"/>
          <w:szCs w:val="24"/>
          <w:highlight w:val="none"/>
        </w:rPr>
        <w:t>系</w:t>
      </w:r>
      <w:r>
        <w:rPr>
          <w:rFonts w:hint="eastAsia" w:ascii="Times New Roman" w:hAnsi="Times New Roman"/>
          <w:color w:val="000000"/>
          <w:szCs w:val="24"/>
          <w:highlight w:val="none"/>
        </w:rPr>
        <w:t>统开发必须满足重庆三峡银行软件研发项目安全需求基线要求，平台软件达到安全设计标准且不低于同业相关系统要求。</w:t>
      </w:r>
    </w:p>
    <w:p w14:paraId="1F869EC4">
      <w:pPr>
        <w:rPr>
          <w:rFonts w:ascii="Times New Roman" w:hAnsi="Times New Roman"/>
          <w:color w:val="000000"/>
          <w:szCs w:val="24"/>
          <w:highlight w:val="none"/>
        </w:rPr>
      </w:pPr>
      <w:r>
        <w:rPr>
          <w:rFonts w:hint="eastAsia" w:ascii="Times New Roman" w:hAnsi="Times New Roman"/>
          <w:color w:val="000000"/>
          <w:szCs w:val="24"/>
          <w:highlight w:val="none"/>
        </w:rPr>
        <w:t>2）数据安全：支持文档安全软件整合技术，从而做到数据传输加密、远程安全访问、数据存储加密，数据部署网络区域应支持入侵检测与防御系统、防火墙的应用。</w:t>
      </w:r>
    </w:p>
    <w:p w14:paraId="7C56D0A1">
      <w:pPr>
        <w:rPr>
          <w:rFonts w:ascii="Times New Roman" w:hAnsi="Times New Roman"/>
          <w:color w:val="000000"/>
          <w:szCs w:val="24"/>
          <w:highlight w:val="none"/>
        </w:rPr>
      </w:pPr>
      <w:r>
        <w:rPr>
          <w:rFonts w:hint="eastAsia" w:ascii="Times New Roman" w:hAnsi="Times New Roman"/>
          <w:color w:val="000000"/>
          <w:szCs w:val="24"/>
          <w:highlight w:val="none"/>
        </w:rPr>
        <w:t>3）容灾备份：支持各种容灾的软硬件设备的使用等。</w:t>
      </w:r>
    </w:p>
    <w:p w14:paraId="57B573B3">
      <w:pPr>
        <w:rPr>
          <w:rFonts w:ascii="Times New Roman" w:hAnsi="Times New Roman"/>
          <w:color w:val="000000"/>
          <w:szCs w:val="24"/>
          <w:highlight w:val="none"/>
        </w:rPr>
      </w:pPr>
      <w:r>
        <w:rPr>
          <w:rFonts w:hint="eastAsia" w:ascii="Times New Roman" w:hAnsi="Times New Roman"/>
          <w:color w:val="000000"/>
          <w:szCs w:val="24"/>
          <w:highlight w:val="none"/>
        </w:rPr>
        <w:t>4）管理安全：提供完善的日志功能，能够记录系统使用人员的关键操作，保证系统应用的安全。</w:t>
      </w:r>
    </w:p>
    <w:p w14:paraId="61071894">
      <w:pPr>
        <w:rPr>
          <w:rFonts w:ascii="Times New Roman" w:hAnsi="Times New Roman"/>
          <w:color w:val="000000"/>
          <w:szCs w:val="24"/>
          <w:highlight w:val="none"/>
        </w:rPr>
      </w:pPr>
      <w:r>
        <w:rPr>
          <w:rFonts w:hint="eastAsia" w:ascii="Times New Roman" w:hAnsi="Times New Roman"/>
          <w:color w:val="000000"/>
          <w:szCs w:val="24"/>
          <w:highlight w:val="none"/>
        </w:rPr>
        <w:t>5）密码策略：初始密码强制更改、启用验证码、密码过期控制、密码错误次数控制、密码强度设置等，不得以明文的方式保存任何相关密码，防止暴力破解和恶意攻击。</w:t>
      </w:r>
    </w:p>
    <w:p w14:paraId="05102B77">
      <w:pPr>
        <w:rPr>
          <w:rFonts w:ascii="Times New Roman" w:hAnsi="Times New Roman"/>
          <w:color w:val="000000"/>
          <w:szCs w:val="24"/>
          <w:highlight w:val="none"/>
        </w:rPr>
      </w:pPr>
      <w:r>
        <w:rPr>
          <w:rFonts w:hint="eastAsia" w:ascii="Times New Roman" w:hAnsi="Times New Roman"/>
          <w:color w:val="000000"/>
          <w:szCs w:val="24"/>
          <w:highlight w:val="none"/>
        </w:rPr>
        <w:t>6）系统严密、灵活的访问安全控制；</w:t>
      </w:r>
    </w:p>
    <w:p w14:paraId="58F18707">
      <w:pPr>
        <w:rPr>
          <w:rFonts w:ascii="Times New Roman" w:hAnsi="Times New Roman"/>
          <w:color w:val="000000"/>
          <w:szCs w:val="24"/>
          <w:highlight w:val="none"/>
        </w:rPr>
      </w:pPr>
      <w:r>
        <w:rPr>
          <w:rFonts w:hint="eastAsia" w:ascii="Times New Roman" w:hAnsi="Times New Roman"/>
          <w:color w:val="000000"/>
          <w:szCs w:val="24"/>
          <w:highlight w:val="none"/>
        </w:rPr>
        <w:t>7）系统有整体的用户/权限管理体系，可统一进行用户/权限的管理，实现到字段级的查询、修改、管理权限控制；</w:t>
      </w:r>
    </w:p>
    <w:p w14:paraId="7496CDF7">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.6 </w:t>
      </w:r>
      <w:r>
        <w:rPr>
          <w:rFonts w:hint="eastAsia" w:ascii="Times New Roman" w:hAnsi="Times New Roman"/>
          <w:color w:val="000000"/>
          <w:szCs w:val="24"/>
          <w:highlight w:val="none"/>
        </w:rPr>
        <w:t>可扩展性需求</w:t>
      </w:r>
    </w:p>
    <w:p w14:paraId="7B739A95">
      <w:pPr>
        <w:rPr>
          <w:rFonts w:ascii="Times New Roman" w:hAnsi="Times New Roman"/>
          <w:color w:val="000000"/>
          <w:szCs w:val="24"/>
          <w:highlight w:val="none"/>
        </w:rPr>
      </w:pPr>
      <w:r>
        <w:rPr>
          <w:rFonts w:hint="eastAsia" w:ascii="Times New Roman" w:hAnsi="Times New Roman"/>
          <w:color w:val="000000"/>
          <w:szCs w:val="24"/>
          <w:highlight w:val="none"/>
        </w:rPr>
        <w:t>1）系统要求支持主流操作系统、数据库和通讯中间件，对软、硬件平台具有良好的可扩展能力，支持跨平台客制化开发。</w:t>
      </w:r>
    </w:p>
    <w:p w14:paraId="0ADD46B0">
      <w:pPr>
        <w:rPr>
          <w:rFonts w:ascii="Times New Roman" w:hAnsi="Times New Roman"/>
          <w:color w:val="000000"/>
          <w:szCs w:val="24"/>
          <w:highlight w:val="none"/>
        </w:rPr>
      </w:pPr>
      <w:r>
        <w:rPr>
          <w:rFonts w:hint="eastAsia" w:ascii="Times New Roman" w:hAnsi="Times New Roman"/>
          <w:color w:val="000000"/>
          <w:szCs w:val="24"/>
          <w:highlight w:val="none"/>
        </w:rPr>
        <w:t>2）支持交易数据导入、模型参数维护、计量、会计核算、报表模块对于新产品的支持，系统容易改进、扩展和升级。</w:t>
      </w:r>
    </w:p>
    <w:p w14:paraId="07D787EB">
      <w:pPr>
        <w:rPr>
          <w:rFonts w:ascii="Times New Roman" w:hAnsi="Times New Roman"/>
          <w:color w:val="000000"/>
          <w:szCs w:val="24"/>
          <w:highlight w:val="none"/>
        </w:rPr>
      </w:pPr>
      <w:r>
        <w:rPr>
          <w:rFonts w:hint="eastAsia" w:ascii="Times New Roman" w:hAnsi="Times New Roman"/>
          <w:color w:val="000000"/>
          <w:szCs w:val="24"/>
          <w:highlight w:val="none"/>
        </w:rPr>
        <w:t>3）提供的平台能够很好的实现业务功能扩展的灵活性，通过后台服务器对业务功能的模块化处理和可配置处理实现对功能的一站式更新，且不影响原有系统的正常运行。</w:t>
      </w:r>
    </w:p>
    <w:p w14:paraId="7360CFB1">
      <w:pPr>
        <w:rPr>
          <w:rFonts w:ascii="Times New Roman" w:hAnsi="Times New Roman"/>
          <w:color w:val="000000"/>
          <w:szCs w:val="24"/>
          <w:highlight w:val="none"/>
        </w:rPr>
      </w:pPr>
      <w:r>
        <w:rPr>
          <w:rFonts w:hint="eastAsia" w:ascii="Times New Roman" w:hAnsi="Times New Roman"/>
          <w:color w:val="000000"/>
          <w:szCs w:val="24"/>
          <w:highlight w:val="none"/>
        </w:rPr>
        <w:t>4）系统的计算能力支持横向扩展；</w:t>
      </w:r>
    </w:p>
    <w:p w14:paraId="265F093B">
      <w:pPr>
        <w:rPr>
          <w:rFonts w:ascii="Times New Roman" w:hAnsi="Times New Roman"/>
          <w:color w:val="000000"/>
          <w:szCs w:val="24"/>
          <w:highlight w:val="none"/>
        </w:rPr>
      </w:pPr>
      <w:r>
        <w:rPr>
          <w:rFonts w:hint="eastAsia" w:ascii="Times New Roman" w:hAnsi="Times New Roman"/>
          <w:color w:val="000000"/>
          <w:szCs w:val="24"/>
          <w:highlight w:val="none"/>
        </w:rPr>
        <w:t>5）对第三方平台提供良好的接口支持和扩展能力。</w:t>
      </w:r>
    </w:p>
    <w:p w14:paraId="123D2479">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.7 </w:t>
      </w:r>
      <w:r>
        <w:rPr>
          <w:rFonts w:hint="eastAsia" w:ascii="Times New Roman" w:hAnsi="Times New Roman"/>
          <w:color w:val="000000"/>
          <w:szCs w:val="24"/>
          <w:highlight w:val="none"/>
        </w:rPr>
        <w:t>二次开发要求</w:t>
      </w:r>
    </w:p>
    <w:p w14:paraId="289E79AE">
      <w:pPr>
        <w:rPr>
          <w:rFonts w:ascii="Times New Roman" w:hAnsi="Times New Roman"/>
          <w:color w:val="000000"/>
          <w:szCs w:val="24"/>
          <w:highlight w:val="none"/>
        </w:rPr>
      </w:pPr>
      <w:r>
        <w:rPr>
          <w:rFonts w:hint="eastAsia" w:ascii="Times New Roman" w:hAnsi="Times New Roman"/>
          <w:color w:val="000000"/>
          <w:szCs w:val="24"/>
          <w:highlight w:val="none"/>
        </w:rPr>
        <w:t>为满足本行业务发展需要，系统应能灵活、方便、快捷地支持个性化需求开发，相关要求包括：</w:t>
      </w:r>
    </w:p>
    <w:p w14:paraId="6B2E24DC">
      <w:pPr>
        <w:rPr>
          <w:rFonts w:ascii="Times New Roman" w:hAnsi="Times New Roman"/>
          <w:color w:val="000000"/>
          <w:szCs w:val="24"/>
          <w:highlight w:val="none"/>
        </w:rPr>
      </w:pPr>
      <w:r>
        <w:rPr>
          <w:rFonts w:hint="eastAsia" w:ascii="Times New Roman" w:hAnsi="Times New Roman"/>
          <w:color w:val="000000"/>
          <w:szCs w:val="24"/>
          <w:highlight w:val="none"/>
        </w:rPr>
        <w:t>1）支持模型参数的个性化调整，从而适应监管要求及行内业务需求的变化；</w:t>
      </w:r>
    </w:p>
    <w:p w14:paraId="524DC1BE">
      <w:pPr>
        <w:rPr>
          <w:rFonts w:ascii="Times New Roman" w:hAnsi="Times New Roman"/>
          <w:color w:val="000000"/>
          <w:szCs w:val="24"/>
          <w:highlight w:val="none"/>
        </w:rPr>
      </w:pPr>
      <w:r>
        <w:rPr>
          <w:rFonts w:hint="eastAsia" w:ascii="Times New Roman" w:hAnsi="Times New Roman"/>
          <w:color w:val="000000"/>
          <w:szCs w:val="24"/>
          <w:highlight w:val="none"/>
        </w:rPr>
        <w:t>2）支持数据采集范围扩展及接口快速开发；</w:t>
      </w:r>
    </w:p>
    <w:p w14:paraId="5694D0EA">
      <w:pPr>
        <w:rPr>
          <w:rFonts w:ascii="Times New Roman" w:hAnsi="Times New Roman"/>
          <w:color w:val="000000"/>
          <w:szCs w:val="24"/>
          <w:highlight w:val="none"/>
        </w:rPr>
      </w:pPr>
      <w:r>
        <w:rPr>
          <w:rFonts w:hint="eastAsia" w:ascii="Times New Roman" w:hAnsi="Times New Roman"/>
          <w:color w:val="000000"/>
          <w:szCs w:val="24"/>
          <w:highlight w:val="none"/>
        </w:rPr>
        <w:t>3）支持较为便捷的全量/增量程序版本抽取和提交；</w:t>
      </w:r>
    </w:p>
    <w:p w14:paraId="7065190E">
      <w:pPr>
        <w:rPr>
          <w:rFonts w:ascii="Times New Roman" w:hAnsi="Times New Roman"/>
          <w:color w:val="000000"/>
          <w:szCs w:val="24"/>
          <w:highlight w:val="none"/>
        </w:rPr>
      </w:pPr>
      <w:r>
        <w:rPr>
          <w:rFonts w:hint="eastAsia" w:ascii="Times New Roman" w:hAnsi="Times New Roman"/>
          <w:color w:val="000000"/>
          <w:szCs w:val="24"/>
          <w:highlight w:val="none"/>
        </w:rPr>
        <w:t>4）支持日常需求改造涉及的其他开发要求。</w:t>
      </w:r>
    </w:p>
    <w:p w14:paraId="0FFE751A">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.8 </w:t>
      </w:r>
      <w:r>
        <w:rPr>
          <w:rFonts w:hint="eastAsia" w:ascii="Times New Roman" w:hAnsi="Times New Roman"/>
          <w:color w:val="000000"/>
          <w:szCs w:val="24"/>
          <w:highlight w:val="none"/>
        </w:rPr>
        <w:t>其它非功能性要求</w:t>
      </w:r>
    </w:p>
    <w:p w14:paraId="55ACB197">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1 运维要求</w:t>
      </w:r>
    </w:p>
    <w:p w14:paraId="371B4509">
      <w:pPr>
        <w:rPr>
          <w:rFonts w:ascii="Times New Roman" w:hAnsi="Times New Roman"/>
          <w:color w:val="000000"/>
          <w:szCs w:val="24"/>
          <w:highlight w:val="none"/>
        </w:rPr>
      </w:pPr>
      <w:r>
        <w:rPr>
          <w:rFonts w:hint="eastAsia" w:ascii="Times New Roman" w:hAnsi="Times New Roman"/>
          <w:color w:val="000000"/>
          <w:szCs w:val="24"/>
          <w:highlight w:val="none"/>
        </w:rPr>
        <w:t>1）提供日常运行监控和完整的系统维护管理的方案：提供日志、实时交易监控等系统问题定位方案；提供日志和历史数据备份、清理机制；</w:t>
      </w:r>
    </w:p>
    <w:p w14:paraId="47717951">
      <w:pPr>
        <w:rPr>
          <w:rFonts w:ascii="Times New Roman" w:hAnsi="Times New Roman"/>
          <w:color w:val="000000"/>
          <w:szCs w:val="24"/>
          <w:highlight w:val="none"/>
        </w:rPr>
      </w:pPr>
      <w:r>
        <w:rPr>
          <w:rFonts w:hint="eastAsia" w:ascii="Times New Roman" w:hAnsi="Times New Roman"/>
          <w:color w:val="000000"/>
          <w:szCs w:val="24"/>
          <w:highlight w:val="none"/>
        </w:rPr>
        <w:t>2） 提供应用系统之间逻辑独立、启停服务时系统间不相互影响的部署方案（十分重要），保障系统的7*24小时运行；</w:t>
      </w:r>
    </w:p>
    <w:p w14:paraId="418B4775">
      <w:pPr>
        <w:rPr>
          <w:rFonts w:ascii="Times New Roman" w:hAnsi="Times New Roman"/>
          <w:color w:val="000000"/>
          <w:szCs w:val="24"/>
          <w:highlight w:val="none"/>
        </w:rPr>
      </w:pPr>
      <w:r>
        <w:rPr>
          <w:rFonts w:hint="eastAsia" w:ascii="Times New Roman" w:hAnsi="Times New Roman"/>
          <w:color w:val="000000"/>
          <w:szCs w:val="24"/>
          <w:highlight w:val="none"/>
        </w:rPr>
        <w:t>3）提供系统资源运行情况实时监控报告；提供系统出现异常预警报告；提供系统运行情况报表等。</w:t>
      </w:r>
    </w:p>
    <w:p w14:paraId="40A7F4FB">
      <w:pPr>
        <w:rPr>
          <w:rFonts w:ascii="Times New Roman" w:hAnsi="Times New Roman"/>
          <w:color w:val="000000"/>
          <w:szCs w:val="24"/>
          <w:highlight w:val="none"/>
        </w:rPr>
      </w:pPr>
      <w:r>
        <w:rPr>
          <w:rFonts w:hint="eastAsia" w:ascii="Times New Roman" w:hAnsi="Times New Roman"/>
          <w:color w:val="000000"/>
          <w:szCs w:val="24"/>
          <w:highlight w:val="none"/>
        </w:rPr>
        <w:t>4）涉及重大生产故障，需15分钟内响应，30分钟内提供临时解决方案并能恢复生产服务，并安排响应的技术专家进行技术支持。</w:t>
      </w:r>
    </w:p>
    <w:p w14:paraId="30649568">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2 日志要求</w:t>
      </w:r>
    </w:p>
    <w:p w14:paraId="38862E6C">
      <w:pPr>
        <w:rPr>
          <w:rFonts w:ascii="Times New Roman" w:hAnsi="Times New Roman"/>
          <w:color w:val="000000"/>
          <w:szCs w:val="24"/>
          <w:highlight w:val="none"/>
        </w:rPr>
      </w:pPr>
      <w:r>
        <w:rPr>
          <w:rFonts w:hint="eastAsia" w:ascii="Times New Roman" w:hAnsi="Times New Roman"/>
          <w:color w:val="000000"/>
          <w:szCs w:val="24"/>
          <w:highlight w:val="none"/>
        </w:rPr>
        <w:t>1）应完整记录所有通讯日志，如果通讯日志为字节码的，不能直接查看的，应提供查看工具。</w:t>
      </w:r>
    </w:p>
    <w:p w14:paraId="56183901">
      <w:pPr>
        <w:rPr>
          <w:rFonts w:ascii="Times New Roman" w:hAnsi="Times New Roman"/>
          <w:color w:val="000000"/>
          <w:szCs w:val="24"/>
          <w:highlight w:val="none"/>
        </w:rPr>
      </w:pPr>
      <w:r>
        <w:rPr>
          <w:rFonts w:hint="eastAsia" w:ascii="Times New Roman" w:hAnsi="Times New Roman"/>
          <w:color w:val="000000"/>
          <w:szCs w:val="24"/>
          <w:highlight w:val="none"/>
        </w:rPr>
        <w:t>2）应完整记录交易日志，方便交易统计分析，不同类型的交易可分不同的交易日志表。</w:t>
      </w:r>
    </w:p>
    <w:p w14:paraId="33C17999">
      <w:pPr>
        <w:rPr>
          <w:rFonts w:ascii="Times New Roman" w:hAnsi="Times New Roman"/>
          <w:color w:val="000000"/>
          <w:szCs w:val="24"/>
          <w:highlight w:val="none"/>
        </w:rPr>
      </w:pPr>
      <w:r>
        <w:rPr>
          <w:rFonts w:hint="eastAsia" w:ascii="Times New Roman" w:hAnsi="Times New Roman"/>
          <w:color w:val="000000"/>
          <w:szCs w:val="24"/>
          <w:highlight w:val="none"/>
        </w:rPr>
        <w:t>3）可在线动态调整日志级别，在生产环境下定位问题时不需要中断服务。</w:t>
      </w:r>
    </w:p>
    <w:p w14:paraId="0C11CC31">
      <w:pPr>
        <w:rPr>
          <w:rFonts w:ascii="Times New Roman" w:hAnsi="Times New Roman"/>
          <w:color w:val="000000"/>
          <w:szCs w:val="24"/>
          <w:highlight w:val="none"/>
        </w:rPr>
      </w:pPr>
      <w:r>
        <w:rPr>
          <w:rFonts w:hint="eastAsia" w:ascii="Times New Roman" w:hAnsi="Times New Roman"/>
          <w:color w:val="000000"/>
          <w:szCs w:val="24"/>
          <w:highlight w:val="none"/>
        </w:rPr>
        <w:t>4）系统相关日志应输出在应用目录之外。</w:t>
      </w:r>
    </w:p>
    <w:p w14:paraId="3B8456EE">
      <w:pPr>
        <w:rPr>
          <w:rFonts w:ascii="Times New Roman" w:hAnsi="Times New Roman"/>
          <w:color w:val="000000"/>
          <w:szCs w:val="24"/>
          <w:highlight w:val="none"/>
        </w:rPr>
      </w:pPr>
      <w:r>
        <w:rPr>
          <w:rFonts w:hint="eastAsia" w:ascii="Times New Roman" w:hAnsi="Times New Roman"/>
          <w:color w:val="000000"/>
          <w:szCs w:val="24"/>
          <w:highlight w:val="none"/>
        </w:rPr>
        <w:t>5）不应在日志中记录客户支付敏感信息；不允许保留非本机构的客户敏感信息。</w:t>
      </w:r>
    </w:p>
    <w:p w14:paraId="3C500BB2">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3 自动监控指标</w:t>
      </w:r>
    </w:p>
    <w:p w14:paraId="094ABA51">
      <w:pPr>
        <w:rPr>
          <w:rFonts w:ascii="Times New Roman" w:hAnsi="Times New Roman"/>
          <w:color w:val="000000"/>
          <w:szCs w:val="24"/>
          <w:highlight w:val="none"/>
        </w:rPr>
      </w:pPr>
      <w:r>
        <w:rPr>
          <w:rFonts w:hint="eastAsia" w:ascii="Times New Roman" w:hAnsi="Times New Roman"/>
          <w:color w:val="000000"/>
          <w:szCs w:val="24"/>
          <w:highlight w:val="none"/>
        </w:rPr>
        <w:t>1）磁盘占用率（关键目录）、CPU使用率、内存占用率等；</w:t>
      </w:r>
    </w:p>
    <w:p w14:paraId="5FD6CA61">
      <w:pPr>
        <w:rPr>
          <w:rFonts w:ascii="Times New Roman" w:hAnsi="Times New Roman"/>
          <w:color w:val="000000"/>
          <w:szCs w:val="24"/>
          <w:highlight w:val="none"/>
        </w:rPr>
      </w:pPr>
      <w:r>
        <w:rPr>
          <w:rFonts w:hint="eastAsia" w:ascii="Times New Roman" w:hAnsi="Times New Roman"/>
          <w:color w:val="000000"/>
          <w:szCs w:val="24"/>
          <w:highlight w:val="none"/>
        </w:rPr>
        <w:t>2）数据库连接池使用情况：总连接数、空闲连接数、使用中连接数；线程池使用情况：总线程、空闲线程、使用中线程；</w:t>
      </w:r>
    </w:p>
    <w:p w14:paraId="07E1EB65">
      <w:pPr>
        <w:rPr>
          <w:rFonts w:ascii="Times New Roman" w:hAnsi="Times New Roman"/>
          <w:color w:val="000000"/>
          <w:szCs w:val="24"/>
          <w:highlight w:val="none"/>
        </w:rPr>
      </w:pPr>
      <w:r>
        <w:rPr>
          <w:rFonts w:hint="eastAsia" w:ascii="Times New Roman" w:hAnsi="Times New Roman"/>
          <w:color w:val="000000"/>
          <w:szCs w:val="24"/>
          <w:highlight w:val="none"/>
        </w:rPr>
        <w:t>3）虚拟机堆内存情况（适用Java）：空闲内存、使用中内存；</w:t>
      </w:r>
    </w:p>
    <w:p w14:paraId="6E7FBBE2">
      <w:pPr>
        <w:rPr>
          <w:rFonts w:ascii="Times New Roman" w:hAnsi="Times New Roman"/>
          <w:color w:val="000000"/>
          <w:szCs w:val="24"/>
          <w:highlight w:val="none"/>
        </w:rPr>
      </w:pPr>
      <w:r>
        <w:rPr>
          <w:rFonts w:hint="eastAsia" w:ascii="Times New Roman" w:hAnsi="Times New Roman"/>
          <w:color w:val="000000"/>
          <w:szCs w:val="24"/>
          <w:highlight w:val="none"/>
        </w:rPr>
        <w:t>4）交易级的错误，应用系统重大错误；</w:t>
      </w:r>
    </w:p>
    <w:p w14:paraId="0FD950AF">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.9 </w:t>
      </w:r>
      <w:r>
        <w:rPr>
          <w:rFonts w:hint="eastAsia" w:ascii="Times New Roman" w:hAnsi="Times New Roman"/>
          <w:color w:val="000000"/>
          <w:szCs w:val="24"/>
          <w:highlight w:val="none"/>
        </w:rPr>
        <w:t>应当遵循的标准和规范</w:t>
      </w:r>
    </w:p>
    <w:p w14:paraId="3F0FFDBF">
      <w:pPr>
        <w:rPr>
          <w:rFonts w:ascii="Times New Roman" w:hAnsi="Times New Roman"/>
          <w:color w:val="000000"/>
          <w:szCs w:val="24"/>
          <w:highlight w:val="none"/>
        </w:rPr>
      </w:pPr>
      <w:r>
        <w:rPr>
          <w:rFonts w:hint="eastAsia" w:ascii="Times New Roman" w:hAnsi="Times New Roman"/>
          <w:color w:val="000000"/>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325AB90B">
      <w:pPr>
        <w:rPr>
          <w:rFonts w:ascii="Times New Roman" w:hAnsi="Times New Roman"/>
          <w:color w:val="000000"/>
          <w:szCs w:val="24"/>
          <w:highlight w:val="none"/>
        </w:rPr>
      </w:pPr>
      <w:r>
        <w:rPr>
          <w:rFonts w:hint="eastAsia" w:ascii="Times New Roman" w:hAnsi="Times New Roman"/>
          <w:color w:val="000000"/>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482BF850">
      <w:pPr>
        <w:rPr>
          <w:rFonts w:ascii="Times New Roman" w:hAnsi="Times New Roman"/>
          <w:color w:val="000000"/>
          <w:szCs w:val="24"/>
          <w:highlight w:val="none"/>
        </w:rPr>
      </w:pPr>
      <w:r>
        <w:rPr>
          <w:rFonts w:hint="eastAsia" w:ascii="Times New Roman" w:hAnsi="Times New Roman"/>
          <w:color w:val="000000"/>
          <w:szCs w:val="24"/>
          <w:highlight w:val="none"/>
        </w:rPr>
        <w:t>业务处理符合国家法律、法规和有关政策规定。数据标准要满足银监会及人民银行相关管理办法及标准化的要求。</w:t>
      </w:r>
    </w:p>
    <w:p w14:paraId="53BE475F">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.10 </w:t>
      </w:r>
      <w:r>
        <w:rPr>
          <w:rFonts w:hint="eastAsia" w:ascii="Times New Roman" w:hAnsi="Times New Roman"/>
          <w:color w:val="000000"/>
          <w:szCs w:val="24"/>
          <w:highlight w:val="none"/>
        </w:rPr>
        <w:t>其他技术要求</w:t>
      </w:r>
    </w:p>
    <w:p w14:paraId="2BD6149B">
      <w:pPr>
        <w:rPr>
          <w:rFonts w:ascii="Times New Roman" w:hAnsi="Times New Roman"/>
          <w:color w:val="000000"/>
          <w:szCs w:val="24"/>
          <w:highlight w:val="none"/>
        </w:rPr>
      </w:pPr>
      <w:r>
        <w:rPr>
          <w:rFonts w:hint="eastAsia" w:ascii="Times New Roman" w:hAnsi="Times New Roman"/>
          <w:color w:val="000000"/>
          <w:szCs w:val="24"/>
          <w:highlight w:val="none"/>
        </w:rPr>
        <w:t>1）支持JDK版本：JDK1.8及以上版本。</w:t>
      </w:r>
    </w:p>
    <w:p w14:paraId="52D3A1D0">
      <w:pPr>
        <w:rPr>
          <w:rFonts w:ascii="Times New Roman" w:hAnsi="Times New Roman"/>
          <w:color w:val="000000"/>
          <w:szCs w:val="24"/>
          <w:highlight w:val="none"/>
        </w:rPr>
      </w:pPr>
      <w:r>
        <w:rPr>
          <w:rFonts w:hint="eastAsia" w:ascii="Times New Roman" w:hAnsi="Times New Roman"/>
          <w:color w:val="000000"/>
          <w:szCs w:val="24"/>
          <w:highlight w:val="none"/>
        </w:rPr>
        <w:t>2）操作系统、数据库和中间件满足以下要求：服务端操作系统支持Linux（RHEL 7.</w:t>
      </w:r>
      <w:r>
        <w:rPr>
          <w:rFonts w:ascii="Times New Roman" w:hAnsi="Times New Roman"/>
          <w:color w:val="000000"/>
          <w:szCs w:val="24"/>
          <w:highlight w:val="none"/>
        </w:rPr>
        <w:t>9</w:t>
      </w:r>
      <w:r>
        <w:rPr>
          <w:rFonts w:hint="eastAsia" w:ascii="Times New Roman" w:hAnsi="Times New Roman"/>
          <w:color w:val="000000"/>
          <w:szCs w:val="24"/>
          <w:highlight w:val="none"/>
        </w:rPr>
        <w:t>），支持Oracle（19C）数据库（支持rac），支持Weblogic（12.2.1.</w:t>
      </w:r>
      <w:r>
        <w:rPr>
          <w:rFonts w:ascii="Times New Roman" w:hAnsi="Times New Roman"/>
          <w:color w:val="000000"/>
          <w:szCs w:val="24"/>
          <w:highlight w:val="none"/>
        </w:rPr>
        <w:t>4</w:t>
      </w:r>
      <w:r>
        <w:rPr>
          <w:rFonts w:hint="eastAsia" w:ascii="Times New Roman" w:hAnsi="Times New Roman"/>
          <w:color w:val="000000"/>
          <w:szCs w:val="24"/>
          <w:highlight w:val="none"/>
        </w:rPr>
        <w:t>及以上）中间件及Tomcat中间件。</w:t>
      </w:r>
    </w:p>
    <w:p w14:paraId="386E96F5">
      <w:pPr>
        <w:rPr>
          <w:rFonts w:ascii="Times New Roman" w:hAnsi="Times New Roman"/>
          <w:color w:val="000000"/>
          <w:szCs w:val="24"/>
          <w:highlight w:val="none"/>
        </w:rPr>
      </w:pPr>
      <w:r>
        <w:rPr>
          <w:rFonts w:hint="eastAsia" w:ascii="Times New Roman" w:hAnsi="Times New Roman"/>
          <w:color w:val="000000"/>
          <w:szCs w:val="24"/>
          <w:highlight w:val="none"/>
        </w:rPr>
        <w:t>3）必须支持Windows全系操作系统，即WinXP/Win7/Win8/Win10，支持谷歌、360、IE6及以上版本浏览器使用。</w:t>
      </w:r>
    </w:p>
    <w:p w14:paraId="79221D4F">
      <w:pPr>
        <w:rPr>
          <w:rFonts w:ascii="Times New Roman" w:hAnsi="Times New Roman"/>
          <w:color w:val="000000"/>
          <w:szCs w:val="24"/>
          <w:highlight w:val="none"/>
        </w:rPr>
      </w:pPr>
      <w:r>
        <w:rPr>
          <w:rFonts w:ascii="Times New Roman" w:hAnsi="Times New Roman"/>
          <w:color w:val="000000"/>
          <w:szCs w:val="24"/>
          <w:highlight w:val="none"/>
        </w:rPr>
        <w:t>4</w:t>
      </w:r>
      <w:r>
        <w:rPr>
          <w:rFonts w:hint="eastAsia" w:ascii="Times New Roman" w:hAnsi="Times New Roman"/>
          <w:color w:val="000000"/>
          <w:szCs w:val="24"/>
          <w:highlight w:val="none"/>
        </w:rPr>
        <w:t>）系统基础架构和底层数据库具备灵活性。</w:t>
      </w:r>
    </w:p>
    <w:p w14:paraId="1B81FD6E">
      <w:pPr>
        <w:rPr>
          <w:rFonts w:ascii="Times New Roman" w:hAnsi="Times New Roman"/>
          <w:color w:val="000000"/>
          <w:szCs w:val="24"/>
          <w:highlight w:val="none"/>
        </w:rPr>
      </w:pPr>
      <w:r>
        <w:rPr>
          <w:rFonts w:ascii="Times New Roman" w:hAnsi="Times New Roman"/>
          <w:color w:val="000000"/>
          <w:szCs w:val="24"/>
          <w:highlight w:val="none"/>
        </w:rPr>
        <w:t>5</w:t>
      </w:r>
      <w:r>
        <w:rPr>
          <w:rFonts w:hint="eastAsia" w:ascii="Times New Roman" w:hAnsi="Times New Roman"/>
          <w:color w:val="000000"/>
          <w:szCs w:val="24"/>
          <w:highlight w:val="none"/>
        </w:rPr>
        <w:t>）系统可集群部署，支持负载均衡，具备横向可扩展性。</w:t>
      </w:r>
    </w:p>
    <w:p w14:paraId="112EA9B9">
      <w:pPr>
        <w:rPr>
          <w:rFonts w:ascii="Times New Roman" w:hAnsi="Times New Roman"/>
          <w:color w:val="000000"/>
          <w:szCs w:val="24"/>
          <w:highlight w:val="none"/>
        </w:rPr>
      </w:pPr>
      <w:r>
        <w:rPr>
          <w:rFonts w:ascii="Times New Roman" w:hAnsi="Times New Roman"/>
          <w:color w:val="000000"/>
          <w:szCs w:val="24"/>
          <w:highlight w:val="none"/>
        </w:rPr>
        <w:t>6</w:t>
      </w:r>
      <w:r>
        <w:rPr>
          <w:rFonts w:hint="eastAsia" w:ascii="Times New Roman" w:hAnsi="Times New Roman"/>
          <w:color w:val="000000"/>
          <w:szCs w:val="24"/>
          <w:highlight w:val="none"/>
        </w:rPr>
        <w:t>）系统处理能力能够满足现有业务数据以及未来三年可能发展的业务数据量。</w:t>
      </w:r>
    </w:p>
    <w:p w14:paraId="3A1C97B8">
      <w:pPr>
        <w:rPr>
          <w:rFonts w:ascii="Times New Roman" w:hAnsi="Times New Roman"/>
          <w:color w:val="000000"/>
          <w:szCs w:val="24"/>
          <w:highlight w:val="none"/>
        </w:rPr>
      </w:pPr>
      <w:r>
        <w:rPr>
          <w:rFonts w:ascii="Times New Roman" w:hAnsi="Times New Roman"/>
          <w:color w:val="000000"/>
          <w:szCs w:val="24"/>
          <w:highlight w:val="none"/>
        </w:rPr>
        <w:t>7</w:t>
      </w:r>
      <w:r>
        <w:rPr>
          <w:rFonts w:hint="eastAsia" w:ascii="Times New Roman" w:hAnsi="Times New Roman"/>
          <w:color w:val="000000"/>
          <w:szCs w:val="24"/>
          <w:highlight w:val="none"/>
        </w:rPr>
        <w:t>）系统开发需要符合我行开发规范和整体框架要求。</w:t>
      </w:r>
    </w:p>
    <w:p w14:paraId="3FBCF62F">
      <w:pPr>
        <w:rPr>
          <w:rFonts w:ascii="Times New Roman" w:hAnsi="Times New Roman"/>
          <w:color w:val="000000"/>
          <w:szCs w:val="24"/>
          <w:highlight w:val="none"/>
        </w:rPr>
      </w:pPr>
      <w:r>
        <w:rPr>
          <w:rFonts w:ascii="Times New Roman" w:hAnsi="Times New Roman"/>
          <w:color w:val="000000"/>
          <w:szCs w:val="24"/>
          <w:highlight w:val="none"/>
        </w:rPr>
        <w:t>8</w:t>
      </w:r>
      <w:r>
        <w:rPr>
          <w:rFonts w:hint="eastAsia" w:ascii="Times New Roman" w:hAnsi="Times New Roman"/>
          <w:color w:val="000000"/>
          <w:szCs w:val="24"/>
          <w:highlight w:val="none"/>
        </w:rPr>
        <w:t>）系统需支持dns方式连接数据库以及应用。</w:t>
      </w:r>
    </w:p>
    <w:p w14:paraId="4E45F23D">
      <w:pPr>
        <w:rPr>
          <w:rFonts w:ascii="Times New Roman" w:hAnsi="Times New Roman"/>
          <w:color w:val="000000"/>
          <w:szCs w:val="24"/>
          <w:highlight w:val="none"/>
        </w:rPr>
      </w:pPr>
      <w:r>
        <w:rPr>
          <w:rFonts w:ascii="Times New Roman" w:hAnsi="Times New Roman"/>
          <w:color w:val="000000"/>
          <w:szCs w:val="24"/>
          <w:highlight w:val="none"/>
        </w:rPr>
        <w:t>9</w:t>
      </w:r>
      <w:r>
        <w:rPr>
          <w:rFonts w:hint="eastAsia" w:ascii="Times New Roman" w:hAnsi="Times New Roman"/>
          <w:color w:val="000000"/>
          <w:szCs w:val="24"/>
          <w:highlight w:val="none"/>
        </w:rPr>
        <w:t>）原则上不对系统许可（license）做限制。</w:t>
      </w:r>
    </w:p>
    <w:p w14:paraId="0452EEA4">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0</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中选人</w:t>
      </w:r>
      <w:r>
        <w:rPr>
          <w:rFonts w:hint="eastAsia" w:ascii="Times New Roman" w:hAnsi="Times New Roman"/>
          <w:color w:val="000000"/>
          <w:szCs w:val="24"/>
          <w:highlight w:val="none"/>
        </w:rPr>
        <w:t>需提供完善的数据备份方案及备份机制。</w:t>
      </w:r>
    </w:p>
    <w:p w14:paraId="7224FE7D">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1</w:t>
      </w:r>
      <w:r>
        <w:rPr>
          <w:rFonts w:hint="eastAsia" w:ascii="Times New Roman" w:hAnsi="Times New Roman"/>
          <w:color w:val="000000"/>
          <w:szCs w:val="24"/>
          <w:highlight w:val="none"/>
        </w:rPr>
        <w:t>）技术RTO（恢复时间目标）：</w:t>
      </w:r>
      <w:r>
        <w:rPr>
          <w:rFonts w:ascii="Times New Roman" w:hAnsi="Times New Roman"/>
          <w:color w:val="000000"/>
          <w:szCs w:val="24"/>
          <w:highlight w:val="none"/>
        </w:rPr>
        <w:t>4</w:t>
      </w:r>
      <w:r>
        <w:rPr>
          <w:rFonts w:hint="eastAsia" w:ascii="Times New Roman" w:hAnsi="Times New Roman"/>
          <w:color w:val="000000"/>
          <w:szCs w:val="24"/>
          <w:highlight w:val="none"/>
        </w:rPr>
        <w:t>小时；技术RPO（恢复时间点目标）：</w:t>
      </w:r>
      <w:r>
        <w:rPr>
          <w:rFonts w:ascii="Times New Roman" w:hAnsi="Times New Roman"/>
          <w:color w:val="000000"/>
          <w:szCs w:val="24"/>
          <w:highlight w:val="none"/>
        </w:rPr>
        <w:t>0.5</w:t>
      </w:r>
      <w:r>
        <w:rPr>
          <w:rFonts w:hint="eastAsia" w:ascii="Times New Roman" w:hAnsi="Times New Roman"/>
          <w:color w:val="000000"/>
          <w:szCs w:val="24"/>
          <w:highlight w:val="none"/>
        </w:rPr>
        <w:t>小时。</w:t>
      </w:r>
    </w:p>
    <w:p w14:paraId="2F13E4AE">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2</w:t>
      </w:r>
      <w:r>
        <w:rPr>
          <w:rFonts w:hint="eastAsia" w:ascii="Times New Roman" w:hAnsi="Times New Roman"/>
          <w:color w:val="000000"/>
          <w:szCs w:val="24"/>
          <w:highlight w:val="none"/>
        </w:rPr>
        <w:t>）需支持IPV6协议。</w:t>
      </w:r>
    </w:p>
    <w:p w14:paraId="27E67153">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3</w:t>
      </w:r>
      <w:r>
        <w:rPr>
          <w:rFonts w:hint="eastAsia" w:ascii="Times New Roman" w:hAnsi="Times New Roman"/>
          <w:color w:val="000000"/>
          <w:szCs w:val="24"/>
          <w:highlight w:val="none"/>
        </w:rPr>
        <w:t>）禁止应用软件部署使用的安装码或授权码与其运行的基础环境（如：硬盘序列号、CPU序列号或网卡序列号等）进行绑定。</w:t>
      </w:r>
    </w:p>
    <w:p w14:paraId="29DA26E5">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4</w:t>
      </w:r>
      <w:r>
        <w:rPr>
          <w:rFonts w:hint="eastAsia" w:ascii="Times New Roman" w:hAnsi="Times New Roman"/>
          <w:color w:val="000000"/>
          <w:szCs w:val="24"/>
          <w:highlight w:val="none"/>
        </w:rPr>
        <w:t>）满足国家保密标准及要求。</w:t>
      </w:r>
    </w:p>
    <w:p w14:paraId="79E93895">
      <w:pPr>
        <w:pStyle w:val="3"/>
        <w:numPr>
          <w:ilvl w:val="0"/>
          <w:numId w:val="2"/>
        </w:numPr>
        <w:rPr>
          <w:rFonts w:ascii="Times New Roman" w:hAnsi="Times New Roman"/>
          <w:highlight w:val="none"/>
        </w:rPr>
      </w:pPr>
      <w:r>
        <w:rPr>
          <w:rFonts w:hint="eastAsia" w:ascii="Times New Roman" w:hAnsi="Times New Roman"/>
          <w:highlight w:val="none"/>
        </w:rPr>
        <w:t>测试要求</w:t>
      </w:r>
    </w:p>
    <w:p w14:paraId="7FE9C9D4">
      <w:pPr>
        <w:spacing w:line="360" w:lineRule="auto"/>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选人应负责系统的单元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测试，提交完整的测试案例及达到准出标准的单元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测试报告。</w:t>
      </w:r>
    </w:p>
    <w:p w14:paraId="381C855F">
      <w:pPr>
        <w:spacing w:line="360" w:lineRule="auto"/>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选人应提供专职的性能测试负责人及性能测试人员进行系统的性能测试，提交满足系统性能指标的性能测试报告。</w:t>
      </w:r>
    </w:p>
    <w:p w14:paraId="6172D5CF">
      <w:pPr>
        <w:spacing w:line="360" w:lineRule="auto"/>
        <w:rPr>
          <w:rFonts w:ascii="Times New Roman" w:hAnsi="Times New Roman"/>
          <w:color w:val="000000"/>
          <w:szCs w:val="24"/>
          <w:highlight w:val="none"/>
        </w:rPr>
      </w:pPr>
      <w:r>
        <w:rPr>
          <w:rFonts w:ascii="Times New Roman" w:hAnsi="Times New Roman"/>
          <w:color w:val="000000"/>
          <w:szCs w:val="24"/>
          <w:highlight w:val="none"/>
        </w:rPr>
        <w:t>3</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选人应指派专职的测试项目经理及项目成员进行系统测试，参照</w:t>
      </w:r>
      <w:r>
        <w:rPr>
          <w:rFonts w:hint="eastAsia" w:ascii="Times New Roman" w:hAnsi="Times New Roman"/>
          <w:color w:val="000000"/>
          <w:szCs w:val="24"/>
          <w:highlight w:val="none"/>
        </w:rPr>
        <w:t>比选人</w:t>
      </w:r>
      <w:r>
        <w:rPr>
          <w:rFonts w:ascii="Times New Roman" w:hAnsi="Times New Roman"/>
          <w:color w:val="000000"/>
          <w:szCs w:val="24"/>
          <w:highlight w:val="none"/>
        </w:rPr>
        <w:t>系统测试准入准出标准。</w:t>
      </w:r>
    </w:p>
    <w:tbl>
      <w:tblPr>
        <w:tblStyle w:val="21"/>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7"/>
        <w:gridCol w:w="6893"/>
      </w:tblGrid>
      <w:tr w14:paraId="5251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7E148E2">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系统测试准入准出标准</w:t>
            </w:r>
          </w:p>
        </w:tc>
      </w:tr>
      <w:tr w14:paraId="09AD8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649E864">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一、系统测试准入标准</w:t>
            </w:r>
          </w:p>
        </w:tc>
      </w:tr>
      <w:tr w14:paraId="1418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FEA3125">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阶段</w:t>
            </w:r>
          </w:p>
        </w:tc>
        <w:tc>
          <w:tcPr>
            <w:tcW w:w="6889" w:type="dxa"/>
            <w:shd w:val="clear" w:color="auto" w:fill="auto"/>
            <w:vAlign w:val="center"/>
          </w:tcPr>
          <w:p w14:paraId="424DEC90">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准入条件</w:t>
            </w:r>
          </w:p>
        </w:tc>
      </w:tr>
      <w:tr w14:paraId="5556B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A85FC2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计划阶段</w:t>
            </w:r>
          </w:p>
        </w:tc>
        <w:tc>
          <w:tcPr>
            <w:tcW w:w="6889" w:type="dxa"/>
            <w:shd w:val="clear" w:color="auto" w:fill="auto"/>
            <w:vAlign w:val="center"/>
          </w:tcPr>
          <w:p w14:paraId="0C4CF39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开发项目在立项之初应提交纸质测试服务申请单给测试负责人</w:t>
            </w:r>
          </w:p>
        </w:tc>
      </w:tr>
      <w:tr w14:paraId="26896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3766F8D">
            <w:pPr>
              <w:rPr>
                <w:highlight w:val="none"/>
              </w:rPr>
            </w:pPr>
          </w:p>
        </w:tc>
        <w:tc>
          <w:tcPr>
            <w:tcW w:w="6889" w:type="dxa"/>
            <w:shd w:val="clear" w:color="auto" w:fill="auto"/>
            <w:vAlign w:val="center"/>
          </w:tcPr>
          <w:p w14:paraId="0795BCF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开发项目整体项目计划必须包含系统测试计划或系统测试计划时间</w:t>
            </w:r>
          </w:p>
        </w:tc>
      </w:tr>
      <w:tr w14:paraId="31D39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72DCF33">
            <w:pPr>
              <w:rPr>
                <w:highlight w:val="none"/>
              </w:rPr>
            </w:pPr>
          </w:p>
        </w:tc>
        <w:tc>
          <w:tcPr>
            <w:tcW w:w="6889" w:type="dxa"/>
            <w:shd w:val="clear" w:color="auto" w:fill="auto"/>
            <w:vAlign w:val="center"/>
          </w:tcPr>
          <w:p w14:paraId="645C92C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测试方要求的需求说明书及相关说明书已经通过评审，并形成终稿；文档包括但不限于：业务需求、需求说明书、系统原型、概要设计（可选）、用户手册（可选）</w:t>
            </w:r>
          </w:p>
        </w:tc>
      </w:tr>
      <w:tr w14:paraId="1BB82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C184A1D">
            <w:pPr>
              <w:rPr>
                <w:highlight w:val="none"/>
              </w:rPr>
            </w:pPr>
          </w:p>
        </w:tc>
        <w:tc>
          <w:tcPr>
            <w:tcW w:w="6889" w:type="dxa"/>
            <w:shd w:val="clear" w:color="auto" w:fill="auto"/>
            <w:vAlign w:val="center"/>
          </w:tcPr>
          <w:p w14:paraId="25455BF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变更影响范围是否提供</w:t>
            </w:r>
          </w:p>
        </w:tc>
      </w:tr>
      <w:tr w14:paraId="5BF2F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73F0D862">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执行阶段</w:t>
            </w:r>
          </w:p>
        </w:tc>
        <w:tc>
          <w:tcPr>
            <w:tcW w:w="6889" w:type="dxa"/>
            <w:shd w:val="clear" w:color="auto" w:fill="auto"/>
            <w:vAlign w:val="center"/>
          </w:tcPr>
          <w:p w14:paraId="53936B3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4E54C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5689AA4C">
            <w:pPr>
              <w:rPr>
                <w:highlight w:val="none"/>
              </w:rPr>
            </w:pPr>
          </w:p>
        </w:tc>
        <w:tc>
          <w:tcPr>
            <w:tcW w:w="6889" w:type="dxa"/>
            <w:shd w:val="clear" w:color="auto" w:fill="auto"/>
            <w:vAlign w:val="center"/>
          </w:tcPr>
          <w:p w14:paraId="3D9006B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系统测试案例准备就绪（案例密度为35条/每功能点）</w:t>
            </w:r>
          </w:p>
        </w:tc>
      </w:tr>
      <w:tr w14:paraId="2454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358B38D9">
            <w:pPr>
              <w:rPr>
                <w:highlight w:val="none"/>
              </w:rPr>
            </w:pPr>
          </w:p>
        </w:tc>
        <w:tc>
          <w:tcPr>
            <w:tcW w:w="6889" w:type="dxa"/>
            <w:shd w:val="clear" w:color="auto" w:fill="auto"/>
            <w:vAlign w:val="center"/>
          </w:tcPr>
          <w:p w14:paraId="5E4ACA5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测试环境准备就绪</w:t>
            </w:r>
          </w:p>
        </w:tc>
      </w:tr>
      <w:tr w14:paraId="0F788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85D2DAA">
            <w:pPr>
              <w:rPr>
                <w:highlight w:val="none"/>
              </w:rPr>
            </w:pPr>
          </w:p>
        </w:tc>
        <w:tc>
          <w:tcPr>
            <w:tcW w:w="6889" w:type="dxa"/>
            <w:shd w:val="clear" w:color="auto" w:fill="auto"/>
            <w:vAlign w:val="center"/>
          </w:tcPr>
          <w:p w14:paraId="4DF0B32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测试版本能够成功部署到测试环境。（如果测试和开发处于同一环境，则在系统测试开始前应该按照开发提交的版本重新部署）</w:t>
            </w:r>
          </w:p>
        </w:tc>
      </w:tr>
      <w:tr w14:paraId="0AE2E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FC8AF11">
            <w:pPr>
              <w:rPr>
                <w:highlight w:val="none"/>
              </w:rPr>
            </w:pPr>
          </w:p>
        </w:tc>
        <w:tc>
          <w:tcPr>
            <w:tcW w:w="6889" w:type="dxa"/>
            <w:shd w:val="clear" w:color="auto" w:fill="auto"/>
            <w:vAlign w:val="center"/>
          </w:tcPr>
          <w:p w14:paraId="7329E4A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冒烟测试达到通过标准（冒烟测试案例通过率大于90%，有效缺陷率不高于10%）</w:t>
            </w:r>
          </w:p>
        </w:tc>
      </w:tr>
      <w:tr w14:paraId="1F353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460CA36">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二、暂停/继续标准：满足下列之一的条件并由项目组审核同意，测试可以暂停</w:t>
            </w:r>
          </w:p>
        </w:tc>
      </w:tr>
      <w:tr w14:paraId="6844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1A796E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1D24469E">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暂停条件</w:t>
            </w:r>
          </w:p>
        </w:tc>
      </w:tr>
      <w:tr w14:paraId="4CFC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32CED89">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337E742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由于程序、环境原因导致测试无法进行</w:t>
            </w:r>
          </w:p>
        </w:tc>
      </w:tr>
      <w:tr w14:paraId="0357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188C4B3">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7481E76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项目暂停，已无测试必要</w:t>
            </w:r>
          </w:p>
        </w:tc>
      </w:tr>
      <w:tr w14:paraId="0152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654D501">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4C03563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测试需求稳定指数小于70%，则暂停测试执行</w:t>
            </w:r>
          </w:p>
        </w:tc>
      </w:tr>
      <w:tr w14:paraId="2852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C2CEEDC">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1EE5DED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每个里程碑节点或执行轮次案例执行通过率低于60%，则暂停测试执行</w:t>
            </w:r>
          </w:p>
        </w:tc>
      </w:tr>
      <w:tr w14:paraId="7BF8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B4AB0CA">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55DBF3A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每个里程碑节点或执行轮次缺陷解决率低于50%，则暂停测试执行</w:t>
            </w:r>
          </w:p>
        </w:tc>
      </w:tr>
      <w:tr w14:paraId="345B5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04FDFA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7</w:t>
            </w:r>
          </w:p>
        </w:tc>
        <w:tc>
          <w:tcPr>
            <w:tcW w:w="6889" w:type="dxa"/>
            <w:shd w:val="clear" w:color="auto" w:fill="auto"/>
            <w:vAlign w:val="center"/>
          </w:tcPr>
          <w:p w14:paraId="218486C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每个里程碑节点或执行轮次缺陷的案例命中率大于25%，则暂停测试执行</w:t>
            </w:r>
          </w:p>
        </w:tc>
      </w:tr>
      <w:tr w14:paraId="5A93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34DAB1B">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8</w:t>
            </w:r>
          </w:p>
        </w:tc>
        <w:tc>
          <w:tcPr>
            <w:tcW w:w="6889" w:type="dxa"/>
            <w:shd w:val="clear" w:color="auto" w:fill="auto"/>
            <w:vAlign w:val="center"/>
          </w:tcPr>
          <w:p w14:paraId="7085312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每个里程碑节点或执行轮次严重以上缺陷占比大于35%，则暂停测试执行</w:t>
            </w:r>
          </w:p>
        </w:tc>
      </w:tr>
      <w:tr w14:paraId="6617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1B6017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9</w:t>
            </w:r>
          </w:p>
        </w:tc>
        <w:tc>
          <w:tcPr>
            <w:tcW w:w="6889" w:type="dxa"/>
            <w:shd w:val="clear" w:color="auto" w:fill="auto"/>
            <w:vAlign w:val="center"/>
          </w:tcPr>
          <w:p w14:paraId="217A507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测试环境、测试数据、测试人员等等测试必备条件不再具备或发生变化导致测试不能进行，则暂停测试执行</w:t>
            </w:r>
          </w:p>
        </w:tc>
      </w:tr>
      <w:tr w14:paraId="56C4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C072641">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10</w:t>
            </w:r>
          </w:p>
        </w:tc>
        <w:tc>
          <w:tcPr>
            <w:tcW w:w="6889" w:type="dxa"/>
            <w:shd w:val="clear" w:color="auto" w:fill="auto"/>
            <w:vAlign w:val="center"/>
          </w:tcPr>
          <w:p w14:paraId="6123BA8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项目组确定的可以暂停的其他条件</w:t>
            </w:r>
          </w:p>
        </w:tc>
      </w:tr>
      <w:tr w14:paraId="0D5E6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7A2FD79">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11</w:t>
            </w:r>
          </w:p>
        </w:tc>
        <w:tc>
          <w:tcPr>
            <w:tcW w:w="6889" w:type="dxa"/>
            <w:shd w:val="clear" w:color="auto" w:fill="auto"/>
            <w:vAlign w:val="center"/>
          </w:tcPr>
          <w:p w14:paraId="4D17446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恢复以上的条件并由项目组审核同意，测试可以继续</w:t>
            </w:r>
          </w:p>
        </w:tc>
      </w:tr>
      <w:tr w14:paraId="73055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00F5618">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三、系统测试准出标准：同时满足以下条件，系统测试完成</w:t>
            </w:r>
          </w:p>
        </w:tc>
      </w:tr>
      <w:tr w14:paraId="782B2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AEEB6E9">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4C072A6B">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准出条件</w:t>
            </w:r>
          </w:p>
        </w:tc>
      </w:tr>
      <w:tr w14:paraId="58CA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58DE9B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53C5562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测试需求覆盖率达到100%，测试案例覆盖度100%</w:t>
            </w:r>
          </w:p>
        </w:tc>
      </w:tr>
      <w:tr w14:paraId="05FC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8F7EC57">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63B4FFA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测试案例执行率达到100%，测试通过率95%</w:t>
            </w:r>
          </w:p>
        </w:tc>
      </w:tr>
      <w:tr w14:paraId="16DF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9F1455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3</w:t>
            </w:r>
          </w:p>
        </w:tc>
        <w:tc>
          <w:tcPr>
            <w:tcW w:w="6889" w:type="dxa"/>
            <w:shd w:val="clear" w:color="auto" w:fill="auto"/>
            <w:vAlign w:val="center"/>
          </w:tcPr>
          <w:p w14:paraId="49A3E6C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缺陷修复率达到95%</w:t>
            </w:r>
          </w:p>
        </w:tc>
      </w:tr>
      <w:tr w14:paraId="0ECC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583383C">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03C7275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致命缺陷、严重缺陷解决率达到100%</w:t>
            </w:r>
          </w:p>
        </w:tc>
      </w:tr>
      <w:tr w14:paraId="4DC76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96" w:type="dxa"/>
            <w:shd w:val="clear" w:color="auto" w:fill="auto"/>
            <w:vAlign w:val="center"/>
          </w:tcPr>
          <w:p w14:paraId="5447B58C">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4FFFB5A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一般缺陷、微小缺陷解决率达到90%以上，建议缺陷解决率达到80%以上，且未解决缺陷得项目组认可</w:t>
            </w:r>
          </w:p>
        </w:tc>
      </w:tr>
      <w:tr w14:paraId="7F2A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9F50282">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70CBF33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提交系统测试报告及通过评审</w:t>
            </w:r>
          </w:p>
        </w:tc>
      </w:tr>
      <w:tr w14:paraId="65BB7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56BBA29">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四、测试指标公式附录</w:t>
            </w:r>
          </w:p>
        </w:tc>
      </w:tr>
      <w:tr w14:paraId="6A9B4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5DD8EBA">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TPI</w:t>
            </w:r>
          </w:p>
        </w:tc>
        <w:tc>
          <w:tcPr>
            <w:tcW w:w="6889" w:type="dxa"/>
            <w:shd w:val="clear" w:color="auto" w:fill="auto"/>
            <w:vAlign w:val="center"/>
          </w:tcPr>
          <w:p w14:paraId="47D690E7">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公式</w:t>
            </w:r>
          </w:p>
        </w:tc>
      </w:tr>
      <w:tr w14:paraId="2B45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22BC11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w:t>
            </w:r>
          </w:p>
        </w:tc>
        <w:tc>
          <w:tcPr>
            <w:tcW w:w="6889" w:type="dxa"/>
            <w:shd w:val="clear" w:color="auto" w:fill="auto"/>
            <w:vAlign w:val="center"/>
          </w:tcPr>
          <w:p w14:paraId="0BBFE2E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测试需求覆盖点/软件需求功能点</w:t>
            </w:r>
          </w:p>
        </w:tc>
      </w:tr>
      <w:tr w14:paraId="50445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D3A542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有效案例总数</w:t>
            </w:r>
          </w:p>
        </w:tc>
        <w:tc>
          <w:tcPr>
            <w:tcW w:w="6889" w:type="dxa"/>
            <w:shd w:val="clear" w:color="auto" w:fill="auto"/>
            <w:vAlign w:val="center"/>
          </w:tcPr>
          <w:p w14:paraId="1E03AF6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案例总数-无效案例总数</w:t>
            </w:r>
          </w:p>
        </w:tc>
      </w:tr>
      <w:tr w14:paraId="545BB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D6F594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w:t>
            </w:r>
          </w:p>
        </w:tc>
        <w:tc>
          <w:tcPr>
            <w:tcW w:w="6889" w:type="dxa"/>
            <w:shd w:val="clear" w:color="auto" w:fill="auto"/>
            <w:vAlign w:val="center"/>
          </w:tcPr>
          <w:p w14:paraId="2A12158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缺陷总数-无效缺陷总数-伪缺陷总数</w:t>
            </w:r>
          </w:p>
        </w:tc>
      </w:tr>
      <w:tr w14:paraId="44E1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05E388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w:t>
            </w:r>
          </w:p>
        </w:tc>
        <w:tc>
          <w:tcPr>
            <w:tcW w:w="6889" w:type="dxa"/>
            <w:shd w:val="clear" w:color="auto" w:fill="auto"/>
            <w:vAlign w:val="center"/>
          </w:tcPr>
          <w:p w14:paraId="0CDAA87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严重及致命缺陷总数-无效的严重及致命缺陷总数</w:t>
            </w:r>
          </w:p>
        </w:tc>
      </w:tr>
      <w:tr w14:paraId="3774B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9AAABE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案例执行率</w:t>
            </w:r>
          </w:p>
        </w:tc>
        <w:tc>
          <w:tcPr>
            <w:tcW w:w="6889" w:type="dxa"/>
            <w:shd w:val="clear" w:color="auto" w:fill="auto"/>
            <w:vAlign w:val="center"/>
          </w:tcPr>
          <w:p w14:paraId="7E7AEFA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每轮执行案例数/每轮计划执行的案例个数</w:t>
            </w:r>
          </w:p>
        </w:tc>
      </w:tr>
      <w:tr w14:paraId="7958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36B2B8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需求稳定指数</w:t>
            </w:r>
          </w:p>
        </w:tc>
        <w:tc>
          <w:tcPr>
            <w:tcW w:w="6889" w:type="dxa"/>
            <w:shd w:val="clear" w:color="auto" w:fill="auto"/>
            <w:vAlign w:val="center"/>
          </w:tcPr>
          <w:p w14:paraId="179BF4E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（测试需求分析中规则数量-业务需求因素引起变更的测试需求规则数-开发因素引起变更的测试需求规则数）/测试需求分析中规则数量</w:t>
            </w:r>
          </w:p>
        </w:tc>
      </w:tr>
      <w:tr w14:paraId="62808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607C2E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案例执行通过率</w:t>
            </w:r>
          </w:p>
        </w:tc>
        <w:tc>
          <w:tcPr>
            <w:tcW w:w="6889" w:type="dxa"/>
            <w:shd w:val="clear" w:color="auto" w:fill="auto"/>
            <w:vAlign w:val="center"/>
          </w:tcPr>
          <w:p w14:paraId="0F140CB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每轮执行通过的案例个数/每轮执行案例数</w:t>
            </w:r>
          </w:p>
        </w:tc>
      </w:tr>
      <w:tr w14:paraId="6AEE7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3F5CCA9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缺陷的案例命中率</w:t>
            </w:r>
          </w:p>
        </w:tc>
        <w:tc>
          <w:tcPr>
            <w:tcW w:w="6889" w:type="dxa"/>
            <w:shd w:val="clear" w:color="auto" w:fill="auto"/>
            <w:vAlign w:val="bottom"/>
          </w:tcPr>
          <w:p w14:paraId="6C8AF31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有效缺陷总数/有效案例总数</w:t>
            </w:r>
          </w:p>
        </w:tc>
      </w:tr>
      <w:tr w14:paraId="08B9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3CAE2D6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严重以上缺陷占比</w:t>
            </w:r>
          </w:p>
        </w:tc>
        <w:tc>
          <w:tcPr>
            <w:tcW w:w="6889" w:type="dxa"/>
            <w:shd w:val="clear" w:color="auto" w:fill="auto"/>
            <w:vAlign w:val="bottom"/>
          </w:tcPr>
          <w:p w14:paraId="6303D5D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严重以上缺陷总数/有效缺陷总数</w:t>
            </w:r>
          </w:p>
        </w:tc>
      </w:tr>
      <w:tr w14:paraId="7FA0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70078DA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缺陷解决率</w:t>
            </w:r>
          </w:p>
        </w:tc>
        <w:tc>
          <w:tcPr>
            <w:tcW w:w="6889" w:type="dxa"/>
            <w:shd w:val="clear" w:color="auto" w:fill="auto"/>
            <w:vAlign w:val="bottom"/>
          </w:tcPr>
          <w:p w14:paraId="5E5FA09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关闭缺陷总数/有效缺陷总数</w:t>
            </w:r>
          </w:p>
        </w:tc>
      </w:tr>
    </w:tbl>
    <w:p w14:paraId="24661D92">
      <w:pPr>
        <w:rPr>
          <w:rFonts w:ascii="Times New Roman" w:hAnsi="Times New Roman"/>
          <w:color w:val="FF0000"/>
          <w:highlight w:val="none"/>
        </w:rPr>
      </w:pPr>
    </w:p>
    <w:p w14:paraId="1B695F94">
      <w:pPr>
        <w:pStyle w:val="3"/>
        <w:numPr>
          <w:ilvl w:val="0"/>
          <w:numId w:val="2"/>
        </w:numPr>
        <w:rPr>
          <w:rFonts w:ascii="Times New Roman" w:hAnsi="Times New Roman"/>
          <w:highlight w:val="none"/>
        </w:rPr>
      </w:pPr>
      <w:r>
        <w:rPr>
          <w:rFonts w:hint="eastAsia" w:ascii="Times New Roman" w:hAnsi="Times New Roman" w:cs="Cambria"/>
          <w:bCs w:val="0"/>
          <w:highlight w:val="none"/>
        </w:rPr>
        <w:t>人员要求</w:t>
      </w:r>
    </w:p>
    <w:p w14:paraId="1CD0E30F">
      <w:pPr>
        <w:snapToGrid w:val="0"/>
        <w:spacing w:line="360" w:lineRule="auto"/>
        <w:rPr>
          <w:rFonts w:ascii="Times New Roman" w:hAnsi="Times New Roman" w:cs="Cambria"/>
          <w:b/>
          <w:color w:val="000000"/>
          <w:szCs w:val="24"/>
          <w:highlight w:val="none"/>
        </w:rPr>
      </w:pPr>
      <w:bookmarkStart w:id="47" w:name="_Toc89675142"/>
      <w:r>
        <w:rPr>
          <w:rFonts w:ascii="Times New Roman" w:hAnsi="Times New Roman"/>
          <w:color w:val="000000"/>
          <w:highlight w:val="none"/>
        </w:rPr>
        <w:t>1</w:t>
      </w:r>
      <w:r>
        <w:rPr>
          <w:rFonts w:hint="eastAsia" w:ascii="Times New Roman" w:hAnsi="Times New Roman"/>
          <w:color w:val="000000"/>
          <w:highlight w:val="none"/>
        </w:rPr>
        <w:t>）</w:t>
      </w:r>
      <w:r>
        <w:rPr>
          <w:rFonts w:ascii="Times New Roman" w:hAnsi="Times New Roman"/>
          <w:color w:val="000000"/>
          <w:highlight w:val="none"/>
        </w:rPr>
        <w:t>参选</w:t>
      </w:r>
      <w:r>
        <w:rPr>
          <w:rFonts w:hint="eastAsia" w:ascii="Times New Roman" w:hAnsi="Times New Roman"/>
          <w:color w:val="000000"/>
          <w:highlight w:val="none"/>
        </w:rPr>
        <w:t>人应承诺未征得我行书面同意的情况下不得更换项目成员。</w:t>
      </w:r>
      <w:bookmarkEnd w:id="47"/>
    </w:p>
    <w:p w14:paraId="32BB991B">
      <w:pPr>
        <w:snapToGrid w:val="0"/>
        <w:spacing w:line="360" w:lineRule="auto"/>
        <w:ind w:firstLine="480"/>
        <w:rPr>
          <w:rFonts w:hint="eastAsia" w:ascii="Times New Roman" w:hAnsi="Times New Roman" w:eastAsia="宋体"/>
          <w:color w:val="auto"/>
          <w:highlight w:val="none"/>
          <w:lang w:eastAsia="zh-CN"/>
        </w:rPr>
      </w:pPr>
      <w:r>
        <w:rPr>
          <w:rFonts w:ascii="Times New Roman" w:hAnsi="Times New Roman"/>
          <w:color w:val="000000"/>
          <w:highlight w:val="none"/>
        </w:rPr>
        <w:t>2</w:t>
      </w:r>
      <w:r>
        <w:rPr>
          <w:rFonts w:hint="eastAsia" w:ascii="Times New Roman" w:hAnsi="Times New Roman"/>
          <w:color w:val="000000"/>
          <w:highlight w:val="none"/>
        </w:rPr>
        <w:t>）</w:t>
      </w:r>
      <w:r>
        <w:rPr>
          <w:rFonts w:hint="eastAsia" w:ascii="Times New Roman" w:hAnsi="Times New Roman"/>
          <w:snapToGrid w:val="0"/>
          <w:color w:val="000000"/>
          <w:kern w:val="0"/>
          <w:szCs w:val="28"/>
          <w:highlight w:val="none"/>
        </w:rPr>
        <w:t>所有成员必须为</w:t>
      </w:r>
      <w:r>
        <w:rPr>
          <w:rFonts w:hint="eastAsia" w:ascii="Times New Roman" w:hAnsi="Times New Roman"/>
          <w:color w:val="000000"/>
          <w:highlight w:val="none"/>
        </w:rPr>
        <w:t>参选人</w:t>
      </w:r>
      <w:r>
        <w:rPr>
          <w:rFonts w:hint="eastAsia" w:ascii="Times New Roman" w:hAnsi="Times New Roman"/>
          <w:snapToGrid w:val="0"/>
          <w:color w:val="000000"/>
          <w:kern w:val="0"/>
          <w:szCs w:val="28"/>
          <w:highlight w:val="none"/>
        </w:rPr>
        <w:t>单位员工，</w:t>
      </w:r>
      <w:r>
        <w:rPr>
          <w:rFonts w:hint="eastAsia" w:ascii="Times New Roman" w:hAnsi="Times New Roman"/>
          <w:b/>
          <w:color w:val="000000"/>
          <w:highlight w:val="none"/>
        </w:rPr>
        <w:t>参选人</w:t>
      </w:r>
      <w:r>
        <w:rPr>
          <w:rFonts w:hint="eastAsia" w:ascii="Times New Roman" w:hAnsi="Times New Roman"/>
          <w:b/>
          <w:snapToGrid w:val="0"/>
          <w:color w:val="000000"/>
          <w:kern w:val="0"/>
          <w:szCs w:val="28"/>
          <w:highlight w:val="none"/>
        </w:rPr>
        <w:t>项目组成员须提供近半年公司为其缴纳社保的证明材料，不得外包其他单位员工。（员工</w:t>
      </w:r>
      <w:r>
        <w:rPr>
          <w:rFonts w:ascii="Times New Roman" w:hAnsi="Times New Roman"/>
          <w:b/>
          <w:snapToGrid w:val="0"/>
          <w:color w:val="000000"/>
          <w:kern w:val="0"/>
          <w:szCs w:val="28"/>
          <w:highlight w:val="none"/>
        </w:rPr>
        <w:t>参保单位为参选人或委托第三方公司代缴，均认定有效；若员工社保委托第三方公司代缴，需提供代缴材料证明</w:t>
      </w:r>
      <w:r>
        <w:rPr>
          <w:rFonts w:hint="eastAsia" w:ascii="Times New Roman" w:hAnsi="Times New Roman"/>
          <w:b/>
          <w:snapToGrid w:val="0"/>
          <w:color w:val="000000"/>
          <w:kern w:val="0"/>
          <w:szCs w:val="28"/>
          <w:highlight w:val="none"/>
        </w:rPr>
        <w:t>与</w:t>
      </w:r>
      <w:r>
        <w:rPr>
          <w:rFonts w:ascii="Times New Roman" w:hAnsi="Times New Roman"/>
          <w:b/>
          <w:snapToGrid w:val="0"/>
          <w:color w:val="000000"/>
          <w:kern w:val="0"/>
          <w:szCs w:val="28"/>
          <w:highlight w:val="none"/>
        </w:rPr>
        <w:t>第三方签订的合同或协议</w:t>
      </w:r>
      <w:r>
        <w:rPr>
          <w:rFonts w:hint="eastAsia" w:ascii="Times New Roman" w:hAnsi="Times New Roman"/>
          <w:b/>
          <w:snapToGrid w:val="0"/>
          <w:color w:val="000000"/>
          <w:kern w:val="0"/>
          <w:szCs w:val="28"/>
          <w:highlight w:val="none"/>
        </w:rPr>
        <w:t>。）</w:t>
      </w:r>
      <w:r>
        <w:rPr>
          <w:rFonts w:hint="eastAsia"/>
          <w:b/>
          <w:snapToGrid w:val="0"/>
          <w:color w:val="auto"/>
          <w:kern w:val="0"/>
          <w:szCs w:val="28"/>
          <w:highlight w:val="none"/>
          <w:lang w:eastAsia="zh-CN"/>
        </w:rPr>
        <w:t>【</w:t>
      </w:r>
      <w:r>
        <w:rPr>
          <w:rFonts w:hint="eastAsia"/>
          <w:b/>
          <w:snapToGrid w:val="0"/>
          <w:color w:val="auto"/>
          <w:kern w:val="0"/>
          <w:szCs w:val="28"/>
          <w:highlight w:val="none"/>
          <w:lang w:val="en-US" w:eastAsia="zh-CN"/>
        </w:rPr>
        <w:t>提供</w:t>
      </w:r>
      <w:r>
        <w:rPr>
          <w:rFonts w:hint="eastAsia" w:ascii="Times New Roman" w:hAnsi="Times New Roman"/>
          <w:b/>
          <w:snapToGrid w:val="0"/>
          <w:color w:val="000000"/>
          <w:kern w:val="0"/>
          <w:szCs w:val="28"/>
          <w:highlight w:val="none"/>
        </w:rPr>
        <w:t>近半年公司为</w:t>
      </w:r>
      <w:r>
        <w:rPr>
          <w:rFonts w:hint="eastAsia" w:ascii="Times New Roman" w:hAnsi="Times New Roman"/>
          <w:b/>
          <w:snapToGrid w:val="0"/>
          <w:color w:val="000000"/>
          <w:kern w:val="0"/>
          <w:szCs w:val="28"/>
          <w:highlight w:val="none"/>
          <w:lang w:val="en-US" w:eastAsia="zh-CN"/>
        </w:rPr>
        <w:t>项目组成员</w:t>
      </w:r>
      <w:r>
        <w:rPr>
          <w:rFonts w:hint="eastAsia" w:ascii="Times New Roman" w:hAnsi="Times New Roman"/>
          <w:b/>
          <w:snapToGrid w:val="0"/>
          <w:color w:val="000000"/>
          <w:kern w:val="0"/>
          <w:szCs w:val="28"/>
          <w:highlight w:val="none"/>
        </w:rPr>
        <w:t>缴纳社保的证明材料</w:t>
      </w:r>
      <w:r>
        <w:rPr>
          <w:rFonts w:hint="eastAsia"/>
          <w:b/>
          <w:snapToGrid w:val="0"/>
          <w:color w:val="auto"/>
          <w:kern w:val="0"/>
          <w:szCs w:val="28"/>
          <w:highlight w:val="none"/>
          <w:lang w:eastAsia="zh-CN"/>
        </w:rPr>
        <w:t>】</w:t>
      </w:r>
    </w:p>
    <w:p w14:paraId="7A55EA39">
      <w:pPr>
        <w:snapToGrid w:val="0"/>
        <w:spacing w:line="360" w:lineRule="auto"/>
        <w:rPr>
          <w:rFonts w:ascii="Times New Roman" w:hAnsi="Times New Roman"/>
          <w:color w:val="000000"/>
          <w:highlight w:val="none"/>
        </w:rPr>
      </w:pP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308B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E507174">
            <w:pPr>
              <w:snapToGrid w:val="0"/>
              <w:spacing w:line="240" w:lineRule="auto"/>
              <w:ind w:firstLine="0" w:firstLineChars="0"/>
              <w:jc w:val="center"/>
              <w:rPr>
                <w:rFonts w:ascii="Times New Roman" w:hAnsi="Times New Roman"/>
                <w:szCs w:val="28"/>
                <w:highlight w:val="none"/>
              </w:rPr>
            </w:pPr>
            <w:r>
              <w:rPr>
                <w:rFonts w:hint="eastAsia" w:ascii="Times New Roman" w:hAnsi="Times New Roman"/>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29494737">
            <w:pPr>
              <w:spacing w:line="240" w:lineRule="auto"/>
              <w:ind w:firstLine="0" w:firstLineChars="0"/>
              <w:rPr>
                <w:rFonts w:ascii="Times New Roman" w:hAnsi="Times New Roman"/>
                <w:highlight w:val="none"/>
              </w:rPr>
            </w:pPr>
            <w:r>
              <w:rPr>
                <w:rFonts w:hint="eastAsia" w:ascii="Times New Roman" w:hAnsi="Times New Roman" w:cs="Cambria"/>
                <w:kern w:val="0"/>
                <w:highlight w:val="none"/>
              </w:rPr>
              <w:t>具有</w:t>
            </w:r>
            <w:r>
              <w:rPr>
                <w:rFonts w:ascii="Times New Roman" w:hAnsi="Times New Roman" w:cs="Cambria"/>
                <w:kern w:val="0"/>
                <w:highlight w:val="none"/>
              </w:rPr>
              <w:t>7</w:t>
            </w:r>
            <w:r>
              <w:rPr>
                <w:rFonts w:hint="eastAsia" w:ascii="Times New Roman" w:hAnsi="Times New Roman" w:cs="Cambria"/>
                <w:kern w:val="0"/>
                <w:highlight w:val="none"/>
              </w:rPr>
              <w:t>年（含）以上长亮核心系统V7/V8版项目管理及开发经验</w:t>
            </w:r>
            <w:r>
              <w:rPr>
                <w:rFonts w:hint="eastAsia" w:ascii="Times New Roman" w:hAnsi="Times New Roman" w:cs="Cambria"/>
                <w:kern w:val="0"/>
                <w:highlight w:val="none"/>
                <w:lang w:val="en-US" w:eastAsia="zh-CN"/>
              </w:rPr>
              <w:t>且</w:t>
            </w:r>
            <w:r>
              <w:rPr>
                <w:rFonts w:hint="eastAsia" w:ascii="Times New Roman" w:hAnsi="Times New Roman" w:cs="Cambria"/>
                <w:kern w:val="0"/>
                <w:highlight w:val="none"/>
              </w:rPr>
              <w:t>至少具有3年(含)以上长亮核心系统V8版项目开发经验，3个及以上长亮核心系统V7/V8版实施经验</w:t>
            </w:r>
            <w:r>
              <w:rPr>
                <w:rFonts w:hint="eastAsia" w:ascii="Times New Roman" w:hAnsi="Times New Roman"/>
                <w:highlight w:val="none"/>
              </w:rPr>
              <w:t>；直接对项目的实施负责，通过对工期、成本、质量的控制（包括总体制定、执行、跟踪、调整相关计划，协调项目可用资源），确保项目按要求完成。</w:t>
            </w:r>
          </w:p>
        </w:tc>
      </w:tr>
      <w:tr w14:paraId="28E7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5E99BE27">
            <w:pPr>
              <w:snapToGrid w:val="0"/>
              <w:spacing w:line="240" w:lineRule="auto"/>
              <w:ind w:firstLine="0" w:firstLineChars="0"/>
              <w:jc w:val="center"/>
              <w:rPr>
                <w:rFonts w:ascii="Times New Roman" w:hAnsi="Times New Roman"/>
                <w:szCs w:val="28"/>
                <w:highlight w:val="none"/>
              </w:rPr>
            </w:pPr>
            <w:r>
              <w:rPr>
                <w:rFonts w:hint="eastAsia" w:ascii="Times New Roman" w:hAnsi="Times New Roman"/>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7777EBB5">
            <w:pPr>
              <w:snapToGrid w:val="0"/>
              <w:spacing w:line="240" w:lineRule="auto"/>
              <w:ind w:firstLine="0" w:firstLineChars="0"/>
              <w:rPr>
                <w:rFonts w:ascii="Times New Roman" w:hAnsi="Times New Roman"/>
                <w:highlight w:val="none"/>
              </w:rPr>
            </w:pPr>
            <w:r>
              <w:rPr>
                <w:rFonts w:hint="eastAsia" w:ascii="Times New Roman" w:hAnsi="Times New Roman"/>
                <w:highlight w:val="none"/>
              </w:rPr>
              <w:t>具有3年（含）以上</w:t>
            </w:r>
            <w:r>
              <w:rPr>
                <w:rFonts w:hint="eastAsia" w:ascii="Times New Roman" w:hAnsi="Times New Roman" w:cs="Cambria"/>
                <w:kern w:val="0"/>
                <w:highlight w:val="none"/>
              </w:rPr>
              <w:t>长亮核心系统V8版</w:t>
            </w:r>
            <w:r>
              <w:rPr>
                <w:rFonts w:hint="eastAsia" w:ascii="Times New Roman" w:hAnsi="Times New Roman"/>
                <w:highlight w:val="none"/>
              </w:rPr>
              <w:t>项目开发经验，并具备银行同类型系统体系化知识。</w:t>
            </w:r>
          </w:p>
        </w:tc>
      </w:tr>
    </w:tbl>
    <w:p w14:paraId="36694636">
      <w:pPr>
        <w:spacing w:line="360" w:lineRule="auto"/>
        <w:rPr>
          <w:rFonts w:ascii="Times New Roman" w:hAnsi="Times New Roman"/>
          <w:snapToGrid w:val="0"/>
          <w:color w:val="000000"/>
          <w:kern w:val="0"/>
          <w:highlight w:val="none"/>
        </w:rPr>
      </w:pPr>
      <w:r>
        <w:rPr>
          <w:rFonts w:ascii="Times New Roman" w:hAnsi="Times New Roman"/>
          <w:color w:val="000000"/>
          <w:highlight w:val="none"/>
        </w:rPr>
        <w:t>3</w:t>
      </w:r>
      <w:r>
        <w:rPr>
          <w:rFonts w:hint="eastAsia" w:ascii="Times New Roman" w:hAnsi="Times New Roman"/>
          <w:color w:val="000000"/>
          <w:highlight w:val="none"/>
        </w:rPr>
        <w:t>）</w:t>
      </w:r>
      <w:r>
        <w:rPr>
          <w:rFonts w:hint="eastAsia" w:ascii="Times New Roman" w:hAnsi="Times New Roman" w:cs="Cambria Math"/>
          <w:b w:val="0"/>
          <w:bCs w:val="0"/>
          <w:snapToGrid/>
          <w:color w:val="auto"/>
          <w:kern w:val="2"/>
          <w:sz w:val="24"/>
          <w:szCs w:val="20"/>
          <w:highlight w:val="none"/>
          <w:lang w:val="en-US" w:eastAsia="zh-CN"/>
        </w:rPr>
        <w:t>参选人项目成员应具</w:t>
      </w:r>
      <w:r>
        <w:rPr>
          <w:rFonts w:hint="eastAsia" w:ascii="Times New Roman" w:hAnsi="Times New Roman" w:cs="Cambria Math"/>
          <w:b w:val="0"/>
          <w:bCs w:val="0"/>
          <w:snapToGrid/>
          <w:color w:val="auto"/>
          <w:kern w:val="2"/>
          <w:sz w:val="24"/>
          <w:szCs w:val="20"/>
          <w:highlight w:val="none"/>
        </w:rPr>
        <w:t>备</w:t>
      </w:r>
      <w:r>
        <w:rPr>
          <w:rFonts w:hint="eastAsia" w:ascii="Times New Roman" w:hAnsi="Times New Roman" w:cs="Cambria Math"/>
          <w:b w:val="0"/>
          <w:bCs w:val="0"/>
          <w:snapToGrid/>
          <w:color w:val="auto"/>
          <w:kern w:val="2"/>
          <w:sz w:val="24"/>
          <w:szCs w:val="20"/>
          <w:highlight w:val="none"/>
          <w:lang w:val="en-US" w:eastAsia="zh-CN"/>
        </w:rPr>
        <w:t>上述</w:t>
      </w:r>
      <w:r>
        <w:rPr>
          <w:rFonts w:hint="eastAsia" w:ascii="Times New Roman" w:hAnsi="Times New Roman" w:cs="Cambria Math"/>
          <w:b w:val="0"/>
          <w:bCs w:val="0"/>
          <w:snapToGrid/>
          <w:color w:val="auto"/>
          <w:kern w:val="2"/>
          <w:sz w:val="24"/>
          <w:szCs w:val="20"/>
          <w:highlight w:val="none"/>
        </w:rPr>
        <w:t>资质</w:t>
      </w:r>
      <w:r>
        <w:rPr>
          <w:rFonts w:hint="eastAsia" w:ascii="Times New Roman" w:hAnsi="Times New Roman" w:cs="Cambria Math"/>
          <w:b w:val="0"/>
          <w:bCs w:val="0"/>
          <w:snapToGrid/>
          <w:color w:val="auto"/>
          <w:kern w:val="2"/>
          <w:sz w:val="24"/>
          <w:szCs w:val="20"/>
          <w:highlight w:val="none"/>
          <w:lang w:eastAsia="zh-CN"/>
        </w:rPr>
        <w:t>，</w:t>
      </w:r>
      <w:r>
        <w:rPr>
          <w:rFonts w:hint="eastAsia" w:ascii="Times New Roman" w:hAnsi="Times New Roman"/>
          <w:snapToGrid w:val="0"/>
          <w:color w:val="000000"/>
          <w:kern w:val="0"/>
          <w:highlight w:val="none"/>
        </w:rPr>
        <w:t>需提供人员简历信息，同时，比选人将对所提供的人员进行审核，达不到我行要求的将要求替换。项目经理及骨干成员须参加比选人组织的面试，面试人员在合同签订时不得进行更换。</w:t>
      </w:r>
    </w:p>
    <w:p w14:paraId="33A75D0A">
      <w:pPr>
        <w:rPr>
          <w:rFonts w:ascii="Times New Roman" w:hAnsi="Times New Roman"/>
          <w:color w:val="000000"/>
          <w:szCs w:val="24"/>
          <w:highlight w:val="none"/>
        </w:rPr>
      </w:pPr>
      <w:r>
        <w:rPr>
          <w:rFonts w:ascii="Times New Roman" w:hAnsi="Times New Roman"/>
          <w:color w:val="000000"/>
          <w:highlight w:val="none"/>
        </w:rPr>
        <w:t>4</w:t>
      </w:r>
      <w:r>
        <w:rPr>
          <w:rFonts w:hint="eastAsia" w:ascii="Times New Roman" w:hAnsi="Times New Roman"/>
          <w:color w:val="000000"/>
          <w:highlight w:val="none"/>
        </w:rPr>
        <w:t>）</w:t>
      </w:r>
      <w:r>
        <w:rPr>
          <w:rFonts w:ascii="Times New Roman" w:hAnsi="Times New Roman"/>
          <w:color w:val="000000"/>
          <w:szCs w:val="24"/>
          <w:highlight w:val="none"/>
        </w:rPr>
        <w:t>项目组成员若有违约违规行为将由参选人承担责任。</w:t>
      </w:r>
    </w:p>
    <w:p w14:paraId="66449057">
      <w:pPr>
        <w:ind w:firstLine="48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hint="eastAsia" w:ascii="Times New Roman" w:hAnsi="Times New Roman"/>
          <w:color w:val="auto"/>
          <w:highlight w:val="none"/>
        </w:rPr>
        <w:t>项目组成员</w:t>
      </w:r>
      <w:r>
        <w:rPr>
          <w:rFonts w:hint="eastAsia" w:ascii="Times New Roman" w:hAnsi="Times New Roman"/>
          <w:color w:val="auto"/>
          <w:highlight w:val="none"/>
          <w:lang w:val="en-US" w:eastAsia="zh-CN"/>
        </w:rPr>
        <w:t>个人</w:t>
      </w:r>
      <w:r>
        <w:rPr>
          <w:rFonts w:hint="eastAsia" w:ascii="Times New Roman" w:hAnsi="Times New Roman"/>
          <w:color w:val="auto"/>
          <w:highlight w:val="none"/>
        </w:rPr>
        <w:t>简历表，相关工作及项目经历需提供相应的证明材料，包括但不限于</w:t>
      </w:r>
      <w:r>
        <w:rPr>
          <w:rFonts w:hint="eastAsia" w:ascii="Times New Roman" w:hAnsi="Times New Roman"/>
          <w:color w:val="auto"/>
          <w:highlight w:val="none"/>
          <w:lang w:val="en-US" w:eastAsia="zh-CN"/>
        </w:rPr>
        <w:t>相关</w:t>
      </w:r>
      <w:r>
        <w:rPr>
          <w:rFonts w:hint="eastAsia" w:ascii="Times New Roman" w:hAnsi="Times New Roman"/>
          <w:color w:val="auto"/>
          <w:highlight w:val="none"/>
        </w:rPr>
        <w:t>合同中项目组成员名单</w:t>
      </w:r>
      <w:r>
        <w:rPr>
          <w:rFonts w:hint="eastAsia" w:ascii="Times New Roman" w:hAnsi="Times New Roman"/>
          <w:color w:val="auto"/>
          <w:highlight w:val="none"/>
          <w:lang w:eastAsia="zh-CN"/>
        </w:rPr>
        <w:t>、</w:t>
      </w:r>
      <w:r>
        <w:rPr>
          <w:rFonts w:hint="eastAsia" w:ascii="Times New Roman" w:hAnsi="Times New Roman"/>
          <w:color w:val="auto"/>
          <w:highlight w:val="none"/>
        </w:rPr>
        <w:t>盖有</w:t>
      </w:r>
      <w:r>
        <w:rPr>
          <w:rFonts w:hint="eastAsia" w:ascii="Times New Roman" w:hAnsi="Times New Roman"/>
          <w:color w:val="auto"/>
          <w:highlight w:val="none"/>
          <w:lang w:val="en-US" w:eastAsia="zh-CN"/>
        </w:rPr>
        <w:t>参选人</w:t>
      </w:r>
      <w:r>
        <w:rPr>
          <w:rFonts w:hint="eastAsia" w:ascii="Times New Roman" w:hAnsi="Times New Roman"/>
          <w:color w:val="auto"/>
          <w:highlight w:val="none"/>
        </w:rPr>
        <w:t>公章的</w:t>
      </w:r>
      <w:r>
        <w:rPr>
          <w:rFonts w:hint="eastAsia" w:ascii="Times New Roman" w:hAnsi="Times New Roman"/>
          <w:color w:val="auto"/>
          <w:highlight w:val="none"/>
          <w:lang w:val="en-US" w:eastAsia="zh-CN"/>
        </w:rPr>
        <w:t>承诺函等</w:t>
      </w:r>
      <w:r>
        <w:rPr>
          <w:rFonts w:hint="eastAsia" w:ascii="Times New Roman" w:hAnsi="Times New Roman"/>
          <w:color w:val="auto"/>
          <w:highlight w:val="none"/>
        </w:rPr>
        <w:t>证明材料</w:t>
      </w:r>
      <w:r>
        <w:rPr>
          <w:rFonts w:hint="eastAsia" w:ascii="Times New Roman" w:hAnsi="Times New Roman"/>
          <w:color w:val="auto"/>
          <w:highlight w:val="none"/>
          <w:lang w:eastAsia="zh-CN"/>
        </w:rPr>
        <w:t>】</w:t>
      </w:r>
    </w:p>
    <w:p w14:paraId="4A779DB7">
      <w:pPr>
        <w:pStyle w:val="3"/>
        <w:numPr>
          <w:ilvl w:val="0"/>
          <w:numId w:val="2"/>
        </w:numPr>
        <w:rPr>
          <w:rFonts w:ascii="Times New Roman" w:hAnsi="Times New Roman"/>
          <w:color w:val="000000"/>
          <w:highlight w:val="none"/>
        </w:rPr>
      </w:pPr>
      <w:bookmarkStart w:id="48" w:name="_Toc89675144"/>
      <w:bookmarkStart w:id="49" w:name="_Toc15059418"/>
      <w:r>
        <w:rPr>
          <w:rFonts w:hint="eastAsia" w:ascii="Times New Roman" w:hAnsi="Times New Roman"/>
          <w:color w:val="000000"/>
          <w:highlight w:val="none"/>
        </w:rPr>
        <w:t>项目实施要求</w:t>
      </w:r>
    </w:p>
    <w:p w14:paraId="03FED2BD">
      <w:pPr>
        <w:rPr>
          <w:rFonts w:ascii="Times New Roman" w:hAnsi="Times New Roman"/>
          <w:color w:val="000000"/>
          <w:highlight w:val="none"/>
        </w:rPr>
      </w:pPr>
      <w:r>
        <w:rPr>
          <w:rFonts w:hint="eastAsia" w:ascii="Times New Roman" w:hAnsi="Times New Roman"/>
          <w:color w:val="000000"/>
          <w:highlight w:val="none"/>
        </w:rPr>
        <w:t>在本项目实施周期内，如遇到原系统功能与需求不符，需要及时调整实施方案，满足比选人的要求，并征得比选人同意方可变更。</w:t>
      </w:r>
    </w:p>
    <w:p w14:paraId="3B9C9098">
      <w:pPr>
        <w:rPr>
          <w:rFonts w:ascii="Times New Roman" w:hAnsi="Times New Roman"/>
          <w:color w:val="000000"/>
          <w:highlight w:val="none"/>
        </w:rPr>
      </w:pP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选人在项目实施过程中，需按照比选人项目管理规范提供相应文档（所有提交文档必须为中文）。</w:t>
      </w:r>
    </w:p>
    <w:p w14:paraId="13E113BE">
      <w:pPr>
        <w:rPr>
          <w:rFonts w:ascii="Times New Roman" w:hAnsi="Times New Roman"/>
          <w:color w:val="000000"/>
          <w:highlight w:val="none"/>
        </w:rPr>
      </w:pPr>
      <w:r>
        <w:rPr>
          <w:rFonts w:hint="eastAsia" w:ascii="Times New Roman" w:hAnsi="Times New Roman"/>
          <w:color w:val="000000"/>
          <w:highlight w:val="none"/>
        </w:rPr>
        <w:t>本项目为现场开发，原则上不允许远程开发模式，除非得到比选人的明确认可和授权。</w:t>
      </w:r>
    </w:p>
    <w:p w14:paraId="65897BE0">
      <w:pPr>
        <w:pStyle w:val="3"/>
        <w:numPr>
          <w:ilvl w:val="0"/>
          <w:numId w:val="2"/>
        </w:numPr>
        <w:rPr>
          <w:rFonts w:ascii="Times New Roman" w:hAnsi="Times New Roman"/>
          <w:color w:val="000000"/>
          <w:highlight w:val="none"/>
        </w:rPr>
      </w:pPr>
      <w:r>
        <w:rPr>
          <w:rFonts w:hint="eastAsia" w:ascii="Times New Roman" w:hAnsi="Times New Roman"/>
          <w:color w:val="000000"/>
          <w:highlight w:val="none"/>
        </w:rPr>
        <w:t>项目源代码要求</w:t>
      </w:r>
    </w:p>
    <w:p w14:paraId="5226E09E">
      <w:pPr>
        <w:rPr>
          <w:rFonts w:ascii="Times New Roman" w:hAnsi="Times New Roman"/>
          <w:color w:val="000000"/>
          <w:highlight w:val="none"/>
        </w:rPr>
      </w:pPr>
      <w:r>
        <w:rPr>
          <w:rFonts w:hint="eastAsia" w:ascii="Times New Roman" w:hAnsi="Times New Roman"/>
          <w:color w:val="000000"/>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w:t>
      </w: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选人应进行无保留的知识转移。客户化源代码的知识产权归比选人单独所有，其余部分</w:t>
      </w:r>
      <w:r>
        <w:rPr>
          <w:rFonts w:ascii="Times New Roman" w:hAnsi="Times New Roman"/>
          <w:color w:val="000000"/>
          <w:highlight w:val="none"/>
        </w:rPr>
        <w:t>归双方共有</w:t>
      </w:r>
      <w:r>
        <w:rPr>
          <w:rFonts w:hint="eastAsia" w:ascii="Times New Roman" w:hAnsi="Times New Roman"/>
          <w:color w:val="000000"/>
          <w:highlight w:val="none"/>
        </w:rPr>
        <w:t>。针对共有部分，比选人拥有在比选人及其分支机构使用及后续开发的权利，</w:t>
      </w: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选人拥有在其公司和其他组织范围内使用的权利，但</w:t>
      </w: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选人使用时不得侵犯比选人利益。</w:t>
      </w:r>
    </w:p>
    <w:p w14:paraId="2D348480">
      <w:pPr>
        <w:pStyle w:val="3"/>
        <w:numPr>
          <w:ilvl w:val="0"/>
          <w:numId w:val="2"/>
        </w:numPr>
        <w:rPr>
          <w:rFonts w:ascii="Times New Roman" w:hAnsi="Times New Roman"/>
          <w:color w:val="000000"/>
          <w:highlight w:val="none"/>
        </w:rPr>
      </w:pPr>
      <w:r>
        <w:rPr>
          <w:rFonts w:hint="eastAsia" w:ascii="Times New Roman" w:hAnsi="Times New Roman"/>
          <w:color w:val="000000"/>
          <w:highlight w:val="none"/>
        </w:rPr>
        <w:t>交付周期、地点</w:t>
      </w:r>
      <w:bookmarkEnd w:id="48"/>
      <w:bookmarkEnd w:id="49"/>
    </w:p>
    <w:p w14:paraId="6FDBA099">
      <w:pPr>
        <w:pStyle w:val="4"/>
        <w:rPr>
          <w:rFonts w:ascii="Times New Roman" w:hAnsi="Times New Roman"/>
          <w:color w:val="000000"/>
          <w:highlight w:val="none"/>
        </w:rPr>
      </w:pPr>
      <w:bookmarkStart w:id="50" w:name="_Toc15059420"/>
      <w:bookmarkStart w:id="51" w:name="_Toc89675146"/>
      <w:bookmarkStart w:id="52" w:name="_Toc387826347"/>
      <w:bookmarkStart w:id="53" w:name="_Toc440628915"/>
      <w:bookmarkStart w:id="54" w:name="_Toc1125"/>
      <w:bookmarkStart w:id="55" w:name="_Toc432254881"/>
      <w:r>
        <w:rPr>
          <w:rFonts w:ascii="Times New Roman" w:hAnsi="Times New Roman"/>
          <w:color w:val="000000"/>
          <w:highlight w:val="none"/>
        </w:rPr>
        <w:t>7</w:t>
      </w:r>
      <w:r>
        <w:rPr>
          <w:rFonts w:hint="eastAsia" w:ascii="Times New Roman" w:hAnsi="Times New Roman"/>
          <w:color w:val="000000"/>
          <w:highlight w:val="none"/>
        </w:rPr>
        <w:t>.1 交付时间</w:t>
      </w:r>
    </w:p>
    <w:p w14:paraId="6FA0776B">
      <w:pPr>
        <w:rPr>
          <w:rFonts w:ascii="Times New Roman" w:hAnsi="Times New Roman"/>
          <w:color w:val="000000"/>
          <w:highlight w:val="none"/>
        </w:rPr>
      </w:pPr>
      <w:r>
        <w:rPr>
          <w:rFonts w:hint="eastAsia" w:ascii="Times New Roman" w:hAnsi="Times New Roman"/>
          <w:color w:val="000000"/>
          <w:highlight w:val="none"/>
        </w:rPr>
        <w:t>以项目合同为准。</w:t>
      </w:r>
    </w:p>
    <w:p w14:paraId="53DE5A2E">
      <w:pPr>
        <w:pStyle w:val="4"/>
        <w:rPr>
          <w:rFonts w:ascii="Times New Roman" w:hAnsi="Times New Roman"/>
          <w:color w:val="000000"/>
          <w:highlight w:val="none"/>
        </w:rPr>
      </w:pPr>
      <w:r>
        <w:rPr>
          <w:rFonts w:ascii="Times New Roman" w:hAnsi="Times New Roman"/>
          <w:color w:val="000000"/>
          <w:highlight w:val="none"/>
        </w:rPr>
        <w:t>7</w:t>
      </w:r>
      <w:r>
        <w:rPr>
          <w:rFonts w:hint="eastAsia" w:ascii="Times New Roman" w:hAnsi="Times New Roman"/>
          <w:color w:val="000000"/>
          <w:highlight w:val="none"/>
        </w:rPr>
        <w:t>.2 实施及交付地点</w:t>
      </w:r>
    </w:p>
    <w:p w14:paraId="1A0B55DC">
      <w:pPr>
        <w:rPr>
          <w:rFonts w:ascii="Times New Roman" w:hAnsi="Times New Roman"/>
          <w:color w:val="000000"/>
          <w:highlight w:val="none"/>
        </w:rPr>
      </w:pPr>
      <w:r>
        <w:rPr>
          <w:rFonts w:hint="eastAsia" w:ascii="Times New Roman" w:hAnsi="Times New Roman"/>
          <w:color w:val="000000"/>
          <w:highlight w:val="none"/>
        </w:rPr>
        <w:t>比选人指定地点。</w:t>
      </w:r>
    </w:p>
    <w:p w14:paraId="5EF4AA9B">
      <w:pPr>
        <w:pStyle w:val="3"/>
        <w:numPr>
          <w:ilvl w:val="0"/>
          <w:numId w:val="2"/>
        </w:numPr>
        <w:rPr>
          <w:rFonts w:ascii="Times New Roman" w:hAnsi="Times New Roman"/>
          <w:color w:val="000000"/>
          <w:highlight w:val="none"/>
        </w:rPr>
      </w:pPr>
      <w:r>
        <w:rPr>
          <w:rFonts w:hint="eastAsia" w:ascii="Times New Roman" w:hAnsi="Times New Roman"/>
          <w:color w:val="000000"/>
          <w:highlight w:val="none"/>
        </w:rPr>
        <w:t>验收测试</w:t>
      </w:r>
    </w:p>
    <w:p w14:paraId="0EE67CF8">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.1 </w:t>
      </w:r>
      <w:r>
        <w:rPr>
          <w:rFonts w:hint="eastAsia" w:ascii="Times New Roman" w:hAnsi="Times New Roman"/>
          <w:color w:val="000000"/>
          <w:szCs w:val="20"/>
          <w:highlight w:val="none"/>
        </w:rPr>
        <w:t>验收测试的范围</w:t>
      </w:r>
    </w:p>
    <w:p w14:paraId="2BBE34A1">
      <w:pPr>
        <w:rPr>
          <w:rFonts w:ascii="Times New Roman" w:hAnsi="Times New Roman"/>
          <w:color w:val="000000"/>
          <w:highlight w:val="none"/>
        </w:rPr>
      </w:pPr>
      <w:r>
        <w:rPr>
          <w:rFonts w:hint="eastAsia" w:ascii="Times New Roman" w:hAnsi="Times New Roman"/>
          <w:color w:val="000000"/>
          <w:highlight w:val="none"/>
        </w:rPr>
        <w:t>验收测试的范围为项目实施完毕,上线前最终确认的所有需求。</w:t>
      </w:r>
    </w:p>
    <w:p w14:paraId="4A67E182">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.2 </w:t>
      </w:r>
      <w:r>
        <w:rPr>
          <w:rFonts w:hint="eastAsia" w:ascii="Times New Roman" w:hAnsi="Times New Roman"/>
          <w:color w:val="000000"/>
          <w:szCs w:val="20"/>
          <w:highlight w:val="none"/>
        </w:rPr>
        <w:t>验收测试的组织</w:t>
      </w:r>
    </w:p>
    <w:p w14:paraId="5E7A126C">
      <w:pPr>
        <w:rPr>
          <w:rFonts w:ascii="Times New Roman" w:hAnsi="Times New Roman"/>
          <w:color w:val="000000"/>
          <w:highlight w:val="none"/>
        </w:rPr>
      </w:pPr>
      <w:r>
        <w:rPr>
          <w:rFonts w:hint="eastAsia" w:ascii="Times New Roman" w:hAnsi="Times New Roman"/>
          <w:color w:val="000000"/>
          <w:highlight w:val="none"/>
        </w:rPr>
        <w:t>1）验收测试小组由比选人、中选人等有关人员组成，负责对项目建设进行验收测试。</w:t>
      </w:r>
    </w:p>
    <w:p w14:paraId="686C2D0E">
      <w:pPr>
        <w:rPr>
          <w:rFonts w:ascii="Times New Roman" w:hAnsi="Times New Roman"/>
          <w:color w:val="000000"/>
          <w:highlight w:val="none"/>
        </w:rPr>
      </w:pPr>
      <w:r>
        <w:rPr>
          <w:rFonts w:hint="eastAsia" w:ascii="Times New Roman" w:hAnsi="Times New Roman"/>
          <w:color w:val="000000"/>
          <w:highlight w:val="none"/>
        </w:rPr>
        <w:t>2）中选人编制测试手册，经验收小组确认后，由验收小组负责验收测试。</w:t>
      </w:r>
    </w:p>
    <w:p w14:paraId="4C3C94AF">
      <w:pPr>
        <w:rPr>
          <w:rFonts w:ascii="Times New Roman" w:hAnsi="Times New Roman"/>
          <w:color w:val="000000"/>
          <w:highlight w:val="none"/>
        </w:rPr>
      </w:pPr>
      <w:r>
        <w:rPr>
          <w:rFonts w:hint="eastAsia" w:ascii="Times New Roman" w:hAnsi="Times New Roman"/>
          <w:color w:val="000000"/>
          <w:highlight w:val="none"/>
        </w:rPr>
        <w:t>3）在验收测试过程中，出现严重缺陷或质量问题时，验收小组可以决定暂停所有测试，直至缺陷和问题得到纠正。</w:t>
      </w:r>
    </w:p>
    <w:p w14:paraId="1D0231E8">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.3 </w:t>
      </w:r>
      <w:r>
        <w:rPr>
          <w:rFonts w:hint="eastAsia" w:ascii="Times New Roman" w:hAnsi="Times New Roman"/>
          <w:color w:val="000000"/>
          <w:szCs w:val="20"/>
          <w:highlight w:val="none"/>
        </w:rPr>
        <w:t>验收测试的程序</w:t>
      </w:r>
    </w:p>
    <w:p w14:paraId="1909EFAB">
      <w:pPr>
        <w:rPr>
          <w:rFonts w:ascii="Times New Roman" w:hAnsi="Times New Roman"/>
          <w:color w:val="000000"/>
          <w:highlight w:val="none"/>
        </w:rPr>
      </w:pPr>
      <w:r>
        <w:rPr>
          <w:rFonts w:hint="eastAsia" w:ascii="Times New Roman" w:hAnsi="Times New Roman"/>
          <w:color w:val="000000"/>
          <w:highlight w:val="none"/>
        </w:rPr>
        <w:t>1）对各功能模块进行测试；</w:t>
      </w:r>
    </w:p>
    <w:p w14:paraId="0E3BBD77">
      <w:pPr>
        <w:rPr>
          <w:rFonts w:ascii="Times New Roman" w:hAnsi="Times New Roman"/>
          <w:color w:val="000000"/>
          <w:highlight w:val="none"/>
        </w:rPr>
      </w:pPr>
      <w:r>
        <w:rPr>
          <w:rFonts w:hint="eastAsia" w:ascii="Times New Roman" w:hAnsi="Times New Roman"/>
          <w:color w:val="000000"/>
          <w:highlight w:val="none"/>
        </w:rPr>
        <w:t>2）在各功能模块测试合格的前提下，对系统进行全面初验；</w:t>
      </w:r>
    </w:p>
    <w:p w14:paraId="1A6E0B45">
      <w:pPr>
        <w:rPr>
          <w:rFonts w:ascii="Times New Roman" w:hAnsi="Times New Roman"/>
          <w:color w:val="000000"/>
          <w:highlight w:val="none"/>
        </w:rPr>
      </w:pPr>
      <w:r>
        <w:rPr>
          <w:rFonts w:hint="eastAsia" w:ascii="Times New Roman" w:hAnsi="Times New Roman"/>
          <w:color w:val="000000"/>
          <w:highlight w:val="none"/>
        </w:rPr>
        <w:t>3）系统验收测试合格后，进入试运行阶段；</w:t>
      </w:r>
    </w:p>
    <w:p w14:paraId="30B00C34">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）系统在全行上线运行三个月后，进行验收。</w:t>
      </w:r>
    </w:p>
    <w:p w14:paraId="6A0662D7">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.4 </w:t>
      </w:r>
      <w:r>
        <w:rPr>
          <w:rFonts w:hint="eastAsia" w:ascii="Times New Roman" w:hAnsi="Times New Roman"/>
          <w:color w:val="000000"/>
          <w:szCs w:val="20"/>
          <w:highlight w:val="none"/>
        </w:rPr>
        <w:t>验收测试的评定</w:t>
      </w:r>
    </w:p>
    <w:p w14:paraId="3402DA4A">
      <w:pPr>
        <w:rPr>
          <w:rFonts w:ascii="Times New Roman" w:hAnsi="Times New Roman"/>
          <w:color w:val="000000"/>
          <w:highlight w:val="none"/>
        </w:rPr>
      </w:pPr>
      <w:r>
        <w:rPr>
          <w:rFonts w:hint="eastAsia" w:ascii="Times New Roman" w:hAnsi="Times New Roman"/>
          <w:color w:val="000000"/>
          <w:highlight w:val="none"/>
        </w:rPr>
        <w:t>测试结果按下列级别评定，并经验收小组签字认可：</w:t>
      </w:r>
    </w:p>
    <w:p w14:paraId="3EB15FB0">
      <w:pPr>
        <w:rPr>
          <w:rFonts w:ascii="Times New Roman" w:hAnsi="Times New Roman"/>
          <w:color w:val="000000"/>
          <w:highlight w:val="none"/>
        </w:rPr>
      </w:pPr>
      <w:r>
        <w:rPr>
          <w:rFonts w:hint="eastAsia" w:ascii="Times New Roman" w:hAnsi="Times New Roman"/>
          <w:color w:val="000000"/>
          <w:highlight w:val="none"/>
        </w:rPr>
        <w:t>•优良：功能和质量达到预期目的。</w:t>
      </w:r>
    </w:p>
    <w:p w14:paraId="514EE773">
      <w:pPr>
        <w:rPr>
          <w:rFonts w:ascii="Times New Roman" w:hAnsi="Times New Roman"/>
          <w:color w:val="000000"/>
          <w:highlight w:val="none"/>
        </w:rPr>
      </w:pPr>
      <w:r>
        <w:rPr>
          <w:rFonts w:hint="eastAsia" w:ascii="Times New Roman" w:hAnsi="Times New Roman"/>
          <w:color w:val="000000"/>
          <w:highlight w:val="none"/>
        </w:rPr>
        <w:t>•合格：部分功能和质量不能满足比选人的要求，但中选人（集成商）采取了改正措施，使测试结果达到预期目的。</w:t>
      </w:r>
    </w:p>
    <w:p w14:paraId="3E2D15DD">
      <w:pPr>
        <w:rPr>
          <w:rFonts w:ascii="Times New Roman" w:hAnsi="Times New Roman"/>
          <w:color w:val="000000"/>
          <w:highlight w:val="none"/>
        </w:rPr>
      </w:pPr>
      <w:r>
        <w:rPr>
          <w:rFonts w:hint="eastAsia" w:ascii="Times New Roman" w:hAnsi="Times New Roman"/>
          <w:color w:val="000000"/>
          <w:highlight w:val="none"/>
        </w:rPr>
        <w:t>•不合格：功能和质量不能满足比选人的要求。</w:t>
      </w:r>
    </w:p>
    <w:p w14:paraId="79F7EC03">
      <w:pPr>
        <w:pStyle w:val="3"/>
        <w:numPr>
          <w:ilvl w:val="0"/>
          <w:numId w:val="2"/>
        </w:numPr>
        <w:rPr>
          <w:color w:val="000000"/>
          <w:kern w:val="0"/>
          <w:highlight w:val="none"/>
        </w:rPr>
      </w:pPr>
      <w:r>
        <w:rPr>
          <w:rFonts w:hint="eastAsia"/>
          <w:color w:val="000000"/>
          <w:kern w:val="0"/>
          <w:highlight w:val="none"/>
        </w:rPr>
        <w:t>售后服务和支持</w:t>
      </w:r>
    </w:p>
    <w:p w14:paraId="3D675687">
      <w:pPr>
        <w:rPr>
          <w:rFonts w:ascii="Times New Roman" w:hAnsi="Times New Roman"/>
          <w:color w:val="000000"/>
          <w:highlight w:val="none"/>
        </w:rPr>
      </w:pPr>
      <w:r>
        <w:rPr>
          <w:rFonts w:hint="eastAsia" w:ascii="Times New Roman" w:hAnsi="Times New Roman"/>
          <w:color w:val="000000"/>
          <w:highlight w:val="none"/>
        </w:rPr>
        <w:t>服务和支持的范围：</w:t>
      </w:r>
    </w:p>
    <w:p w14:paraId="236AC407">
      <w:pPr>
        <w:rPr>
          <w:rFonts w:ascii="Times New Roman" w:hAnsi="Times New Roman"/>
          <w:color w:val="000000"/>
          <w:highlight w:val="none"/>
        </w:rPr>
      </w:pPr>
      <w:r>
        <w:rPr>
          <w:rFonts w:hint="eastAsia" w:ascii="Times New Roman" w:hAnsi="Times New Roman"/>
          <w:color w:val="000000"/>
          <w:highlight w:val="none"/>
        </w:rPr>
        <w:t>•系统的安装、部署和调试；</w:t>
      </w:r>
    </w:p>
    <w:p w14:paraId="4CED8C2E">
      <w:pPr>
        <w:rPr>
          <w:rFonts w:ascii="Times New Roman" w:hAnsi="Times New Roman"/>
          <w:color w:val="000000"/>
          <w:highlight w:val="none"/>
        </w:rPr>
      </w:pPr>
      <w:r>
        <w:rPr>
          <w:rFonts w:hint="eastAsia" w:ascii="Times New Roman" w:hAnsi="Times New Roman"/>
          <w:color w:val="000000"/>
          <w:highlight w:val="none"/>
        </w:rPr>
        <w:t>•项目的验收测试；</w:t>
      </w:r>
    </w:p>
    <w:p w14:paraId="547E8370">
      <w:pPr>
        <w:rPr>
          <w:rFonts w:ascii="Times New Roman" w:hAnsi="Times New Roman"/>
          <w:color w:val="000000"/>
          <w:highlight w:val="none"/>
        </w:rPr>
      </w:pPr>
      <w:r>
        <w:rPr>
          <w:rFonts w:hint="eastAsia" w:ascii="Times New Roman" w:hAnsi="Times New Roman"/>
          <w:color w:val="000000"/>
          <w:highlight w:val="none"/>
        </w:rPr>
        <w:t>•项目的数据转换、数据迁移、模拟运行和试运行；</w:t>
      </w:r>
    </w:p>
    <w:p w14:paraId="371A7E61">
      <w:pPr>
        <w:rPr>
          <w:rFonts w:ascii="Times New Roman" w:hAnsi="Times New Roman"/>
          <w:color w:val="000000"/>
          <w:highlight w:val="none"/>
        </w:rPr>
      </w:pPr>
      <w:r>
        <w:rPr>
          <w:rFonts w:hint="eastAsia" w:ascii="Times New Roman" w:hAnsi="Times New Roman"/>
          <w:color w:val="000000"/>
          <w:highlight w:val="none"/>
        </w:rPr>
        <w:t>•与系统运行有关的技术问题（含操作系统、数据库、应用系统的整体性能调优等）</w:t>
      </w:r>
    </w:p>
    <w:p w14:paraId="2F543D31">
      <w:pPr>
        <w:rPr>
          <w:rFonts w:ascii="Times New Roman" w:hAnsi="Times New Roman"/>
          <w:color w:val="000000"/>
          <w:highlight w:val="none"/>
        </w:rPr>
      </w:pPr>
      <w:r>
        <w:rPr>
          <w:rFonts w:hint="eastAsia" w:ascii="Times New Roman" w:hAnsi="Times New Roman"/>
          <w:color w:val="000000"/>
          <w:highlight w:val="none"/>
        </w:rPr>
        <w:t>•项目上线后两年内，针对本项目的完善性需求以及监管提出的安全性需求，中选人需免费进行开发。</w:t>
      </w:r>
    </w:p>
    <w:p w14:paraId="6D9E936B">
      <w:pPr>
        <w:rPr>
          <w:rFonts w:ascii="Times New Roman" w:hAnsi="Times New Roman"/>
          <w:color w:val="000000"/>
          <w:highlight w:val="none"/>
        </w:rPr>
      </w:pPr>
      <w:r>
        <w:rPr>
          <w:rFonts w:hint="eastAsia" w:ascii="Times New Roman" w:hAnsi="Times New Roman"/>
          <w:color w:val="000000"/>
          <w:highlight w:val="none"/>
        </w:rPr>
        <w:t>•相关技术及业务培训（其中在项目实施前必须组织技术人员进行平台二次开发培训，并提供平台的所有技术文档等）</w:t>
      </w:r>
    </w:p>
    <w:p w14:paraId="24DE5FEE">
      <w:pPr>
        <w:rPr>
          <w:rFonts w:ascii="Times New Roman" w:hAnsi="Times New Roman"/>
          <w:color w:val="000000"/>
          <w:highlight w:val="none"/>
        </w:rPr>
      </w:pPr>
      <w:r>
        <w:rPr>
          <w:rFonts w:hint="eastAsia" w:ascii="Times New Roman" w:hAnsi="Times New Roman"/>
          <w:color w:val="000000"/>
          <w:highlight w:val="none"/>
        </w:rPr>
        <w:t>•</w:t>
      </w:r>
      <w:bookmarkStart w:id="56" w:name="_Hlk22733819"/>
      <w:r>
        <w:rPr>
          <w:rFonts w:hint="eastAsia" w:ascii="Times New Roman" w:hAnsi="Times New Roman"/>
          <w:color w:val="000000"/>
          <w:highlight w:val="none"/>
        </w:rPr>
        <w:t>维保期</w:t>
      </w:r>
      <w:bookmarkEnd w:id="56"/>
      <w:r>
        <w:rPr>
          <w:rFonts w:hint="eastAsia" w:ascii="Times New Roman" w:hAnsi="Times New Roman"/>
          <w:color w:val="000000"/>
          <w:highlight w:val="none"/>
        </w:rPr>
        <w:t>以年度计算，</w:t>
      </w:r>
      <w:r>
        <w:rPr>
          <w:rFonts w:ascii="Times New Roman" w:hAnsi="Times New Roman"/>
          <w:color w:val="000000"/>
          <w:highlight w:val="none"/>
        </w:rPr>
        <w:t>应至少提供1</w:t>
      </w:r>
      <w:r>
        <w:rPr>
          <w:rFonts w:hint="eastAsia" w:ascii="Times New Roman" w:hAnsi="Times New Roman"/>
          <w:color w:val="000000"/>
          <w:highlight w:val="none"/>
        </w:rPr>
        <w:t>年</w:t>
      </w:r>
      <w:r>
        <w:rPr>
          <w:rFonts w:hint="eastAsia" w:ascii="Times New Roman" w:hAnsi="Times New Roman"/>
          <w:color w:val="000000"/>
          <w:highlight w:val="none"/>
          <w:lang w:val="en-US" w:eastAsia="zh-CN"/>
        </w:rPr>
        <w:t>免费</w:t>
      </w:r>
      <w:r>
        <w:rPr>
          <w:rFonts w:ascii="Times New Roman" w:hAnsi="Times New Roman"/>
          <w:color w:val="000000"/>
          <w:highlight w:val="none"/>
        </w:rPr>
        <w:t>维保</w:t>
      </w:r>
      <w:r>
        <w:rPr>
          <w:rFonts w:hint="eastAsia" w:ascii="Times New Roman" w:hAnsi="Times New Roman"/>
          <w:color w:val="000000"/>
          <w:highlight w:val="none"/>
        </w:rPr>
        <w:t>，</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维保期起始日为验收后次日，</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维保期结束日需延期至到期当年的6月30日或12月31日中较近日期（即</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维保延期最长不超过半年）。</w:t>
      </w:r>
    </w:p>
    <w:p w14:paraId="6AAD14E5">
      <w:pPr>
        <w:rPr>
          <w:rFonts w:ascii="Times New Roman" w:hAnsi="Times New Roman"/>
          <w:color w:val="000000"/>
          <w:highlight w:val="none"/>
        </w:rPr>
      </w:pPr>
      <w:r>
        <w:rPr>
          <w:rFonts w:hint="eastAsia" w:ascii="Times New Roman" w:hAnsi="Times New Roman"/>
          <w:color w:val="000000"/>
          <w:highlight w:val="none"/>
        </w:rPr>
        <w:t>•参选人在参选文件中详细说明在系统</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维保期的具体服务内容，系统</w:t>
      </w:r>
      <w:r>
        <w:rPr>
          <w:rFonts w:hint="eastAsia" w:ascii="Times New Roman" w:hAnsi="Times New Roman"/>
          <w:color w:val="000000"/>
          <w:highlight w:val="none"/>
          <w:lang w:val="en-US" w:eastAsia="zh-CN"/>
        </w:rPr>
        <w:t>免费</w:t>
      </w:r>
      <w:r>
        <w:rPr>
          <w:rFonts w:hint="eastAsia" w:ascii="Times New Roman" w:hAnsi="Times New Roman"/>
          <w:color w:val="000000"/>
          <w:highlight w:val="none"/>
        </w:rPr>
        <w:t>维保期过后有偿维保的内容、价格及收取方式，若按开发量评估收取，应说明每人/月价格；</w:t>
      </w:r>
    </w:p>
    <w:p w14:paraId="563E259B">
      <w:pPr>
        <w:rPr>
          <w:rFonts w:hint="eastAsia" w:ascii="Times New Roman" w:hAnsi="Times New Roman"/>
          <w:color w:val="000000"/>
          <w:highlight w:val="none"/>
        </w:rPr>
      </w:pPr>
      <w:r>
        <w:rPr>
          <w:rFonts w:hint="eastAsia" w:ascii="Times New Roman" w:hAnsi="Times New Roman"/>
          <w:color w:val="000000"/>
          <w:highlight w:val="none"/>
        </w:rPr>
        <w:t>参选人在参选文件中需对以上相关内容中进行阐述并作出相应承诺。</w:t>
      </w:r>
    </w:p>
    <w:p w14:paraId="743B2A25">
      <w:pPr>
        <w:rPr>
          <w:rFonts w:hint="eastAsia" w:ascii="Times New Roman" w:hAnsi="Times New Roman" w:eastAsia="宋体"/>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提供售后服务方案</w:t>
      </w:r>
      <w:r>
        <w:rPr>
          <w:rFonts w:hint="eastAsia" w:ascii="Times New Roman" w:hAnsi="Times New Roman"/>
          <w:color w:val="000000"/>
          <w:highlight w:val="none"/>
          <w:lang w:eastAsia="zh-CN"/>
        </w:rPr>
        <w:t>】</w:t>
      </w:r>
    </w:p>
    <w:p w14:paraId="051F3B0B">
      <w:pPr>
        <w:pStyle w:val="3"/>
        <w:numPr>
          <w:ilvl w:val="0"/>
          <w:numId w:val="2"/>
        </w:numPr>
        <w:rPr>
          <w:rFonts w:ascii="Times New Roman" w:hAnsi="Times New Roman"/>
          <w:color w:val="000000"/>
          <w:highlight w:val="none"/>
        </w:rPr>
      </w:pPr>
      <w:r>
        <w:rPr>
          <w:rFonts w:hint="eastAsia"/>
          <w:color w:val="000000"/>
          <w:kern w:val="0"/>
          <w:highlight w:val="none"/>
        </w:rPr>
        <w:t>系统维保费用</w:t>
      </w:r>
    </w:p>
    <w:p w14:paraId="27CE17A0">
      <w:pPr>
        <w:spacing w:line="360" w:lineRule="auto"/>
        <w:ind w:firstLine="480" w:firstLineChars="200"/>
        <w:rPr>
          <w:rFonts w:hint="eastAsia" w:ascii="Times New Roman" w:hAnsi="Times New Roman"/>
          <w:highlight w:val="none"/>
        </w:rPr>
      </w:pPr>
      <w:r>
        <w:rPr>
          <w:rFonts w:hint="eastAsia" w:ascii="Times New Roman" w:hAnsi="Times New Roman"/>
          <w:highlight w:val="none"/>
          <w:lang w:val="en-US" w:eastAsia="zh-CN"/>
        </w:rPr>
        <w:t>免费</w:t>
      </w:r>
      <w:r>
        <w:rPr>
          <w:rFonts w:hint="eastAsia" w:ascii="Times New Roman" w:hAnsi="Times New Roman"/>
          <w:highlight w:val="none"/>
        </w:rPr>
        <w:t>维护期满后，用如下方式收取维保费用：</w:t>
      </w:r>
    </w:p>
    <w:p w14:paraId="139C08A0">
      <w:pPr>
        <w:spacing w:line="360" w:lineRule="auto"/>
        <w:ind w:firstLine="480" w:firstLineChars="200"/>
        <w:rPr>
          <w:rFonts w:hint="eastAsia" w:ascii="Times New Roman" w:hAnsi="Times New Roman"/>
          <w:highlight w:val="none"/>
        </w:rPr>
      </w:pPr>
      <w:r>
        <w:rPr>
          <w:rFonts w:hint="eastAsia" w:ascii="Times New Roman" w:hAnsi="Times New Roman"/>
          <w:highlight w:val="none"/>
        </w:rPr>
        <w:t>10.1甲方针对本产品每年购买的人力外包及项目外包等总体费用低于200万（含200万），付费维护期的每年维保价格为20万元，且每年系统升级改造工作量在2个人月内不收费。</w:t>
      </w:r>
    </w:p>
    <w:p w14:paraId="78EE0DA1">
      <w:pPr>
        <w:spacing w:line="360" w:lineRule="auto"/>
        <w:ind w:firstLine="480" w:firstLineChars="200"/>
        <w:rPr>
          <w:rFonts w:hint="eastAsia" w:ascii="Times New Roman" w:hAnsi="Times New Roman"/>
          <w:highlight w:val="none"/>
        </w:rPr>
      </w:pPr>
      <w:r>
        <w:rPr>
          <w:rFonts w:hint="eastAsia" w:ascii="Times New Roman" w:hAnsi="Times New Roman"/>
          <w:highlight w:val="none"/>
        </w:rPr>
        <w:t>10.2甲方针对本产品每年购买的人力外包及项目外包等总体费用超过200万（不含200万），由乙方免费提供维保服务，且每年系统升级改造工作量在2个人月内不收费。</w:t>
      </w:r>
    </w:p>
    <w:p w14:paraId="6B45CA83">
      <w:pPr>
        <w:rPr>
          <w:rFonts w:ascii="Times New Roman" w:hAnsi="Times New Roman"/>
          <w:color w:val="000000"/>
          <w:highlight w:val="none"/>
        </w:rPr>
      </w:pPr>
      <w:r>
        <w:rPr>
          <w:rFonts w:hint="eastAsia" w:ascii="Times New Roman" w:hAnsi="Times New Roman"/>
          <w:highlight w:val="none"/>
        </w:rPr>
        <w:t>改造类项目维护费用以系统首期建设合同约定为准，不得叠加收取</w:t>
      </w:r>
      <w:r>
        <w:rPr>
          <w:rFonts w:hint="eastAsia" w:ascii="Times New Roman" w:hAnsi="Times New Roman"/>
          <w:color w:val="000000"/>
          <w:highlight w:val="none"/>
        </w:rPr>
        <w:t>。</w:t>
      </w:r>
    </w:p>
    <w:p w14:paraId="1EA72EBE">
      <w:pPr>
        <w:pStyle w:val="3"/>
        <w:numPr>
          <w:ilvl w:val="0"/>
          <w:numId w:val="2"/>
        </w:numPr>
        <w:rPr>
          <w:rFonts w:ascii="Times New Roman" w:hAnsi="Times New Roman"/>
          <w:color w:val="000000"/>
          <w:highlight w:val="none"/>
        </w:rPr>
      </w:pPr>
      <w:r>
        <w:rPr>
          <w:rFonts w:hint="eastAsia" w:ascii="Times New Roman" w:hAnsi="Times New Roman"/>
          <w:color w:val="000000"/>
          <w:highlight w:val="none"/>
        </w:rPr>
        <w:t>文档和培训</w:t>
      </w:r>
    </w:p>
    <w:p w14:paraId="41D3EC1E">
      <w:pPr>
        <w:pStyle w:val="4"/>
        <w:rPr>
          <w:rFonts w:ascii="Times New Roman" w:hAnsi="Times New Roman"/>
          <w:color w:val="000000"/>
          <w:szCs w:val="20"/>
          <w:highlight w:val="none"/>
        </w:rPr>
      </w:pPr>
      <w:r>
        <w:rPr>
          <w:rFonts w:hint="eastAsia" w:ascii="Times New Roman" w:hAnsi="Times New Roman"/>
          <w:color w:val="000000"/>
          <w:highlight w:val="none"/>
        </w:rPr>
        <w:t>1</w:t>
      </w:r>
      <w:r>
        <w:rPr>
          <w:rFonts w:ascii="Times New Roman" w:hAnsi="Times New Roman"/>
          <w:color w:val="000000"/>
          <w:highlight w:val="none"/>
        </w:rPr>
        <w:t xml:space="preserve">1.1 </w:t>
      </w:r>
      <w:r>
        <w:rPr>
          <w:rFonts w:hint="eastAsia" w:ascii="Times New Roman" w:hAnsi="Times New Roman"/>
          <w:color w:val="000000"/>
          <w:szCs w:val="20"/>
          <w:highlight w:val="none"/>
        </w:rPr>
        <w:t>文档</w:t>
      </w:r>
    </w:p>
    <w:p w14:paraId="1DFC34DC">
      <w:pPr>
        <w:rPr>
          <w:rFonts w:ascii="Times New Roman" w:hAnsi="Times New Roman"/>
          <w:color w:val="000000"/>
          <w:highlight w:val="none"/>
        </w:rPr>
      </w:pPr>
      <w:r>
        <w:rPr>
          <w:rFonts w:hint="eastAsia" w:ascii="Times New Roman" w:hAnsi="Times New Roman"/>
          <w:color w:val="000000"/>
          <w:highlight w:val="none"/>
        </w:rPr>
        <w:t>1）文档范围</w:t>
      </w:r>
    </w:p>
    <w:p w14:paraId="0C092F22">
      <w:pPr>
        <w:rPr>
          <w:rFonts w:ascii="Times New Roman" w:hAnsi="Times New Roman"/>
          <w:color w:val="000000"/>
          <w:highlight w:val="none"/>
        </w:rPr>
      </w:pPr>
      <w:r>
        <w:rPr>
          <w:rFonts w:hint="eastAsia" w:ascii="Times New Roman" w:hAnsi="Times New Roman"/>
          <w:color w:val="000000"/>
          <w:highlight w:val="none"/>
        </w:rPr>
        <w:t>包括中选人收集整理的系统建设中所形成的全部文字记载、录音和照片等，项目验收后由中选人向比选人提供。</w:t>
      </w:r>
    </w:p>
    <w:p w14:paraId="603BA8C6">
      <w:pPr>
        <w:rPr>
          <w:rFonts w:ascii="Times New Roman" w:hAnsi="Times New Roman"/>
          <w:color w:val="000000"/>
          <w:highlight w:val="none"/>
        </w:rPr>
      </w:pPr>
      <w:r>
        <w:rPr>
          <w:rFonts w:hint="eastAsia" w:ascii="Times New Roman" w:hAnsi="Times New Roman"/>
          <w:color w:val="000000"/>
          <w:highlight w:val="none"/>
        </w:rPr>
        <w:t>2）文档内容</w:t>
      </w:r>
    </w:p>
    <w:p w14:paraId="1D426851">
      <w:pPr>
        <w:rPr>
          <w:rFonts w:ascii="Times New Roman" w:hAnsi="Times New Roman"/>
          <w:color w:val="000000"/>
          <w:highlight w:val="none"/>
        </w:rPr>
      </w:pPr>
      <w:r>
        <w:rPr>
          <w:rFonts w:hint="eastAsia" w:ascii="Times New Roman" w:hAnsi="Times New Roman"/>
          <w:color w:val="000000"/>
          <w:highlight w:val="none"/>
        </w:rPr>
        <w:t>参选文件；系统总体规划书；系统需求说明书；系统详细设计说明书；系统源码；系统数据库设计说明书；系统使用和操作说明书；系统（含子系统）测试案例、验收方案；系统（含子系统）测试、验收报告；系统运行质量评估报告等。</w:t>
      </w:r>
    </w:p>
    <w:p w14:paraId="02A518B1">
      <w:pPr>
        <w:rPr>
          <w:rFonts w:ascii="Times New Roman" w:hAnsi="Times New Roman"/>
          <w:color w:val="000000"/>
          <w:highlight w:val="none"/>
        </w:rPr>
      </w:pPr>
      <w:r>
        <w:rPr>
          <w:rFonts w:hint="eastAsia" w:ascii="Times New Roman" w:hAnsi="Times New Roman"/>
          <w:color w:val="000000"/>
          <w:highlight w:val="none"/>
        </w:rPr>
        <w:t xml:space="preserve">3）要求 </w:t>
      </w:r>
    </w:p>
    <w:p w14:paraId="6D7F8043">
      <w:pPr>
        <w:rPr>
          <w:rFonts w:ascii="Times New Roman" w:hAnsi="Times New Roman"/>
          <w:color w:val="000000"/>
          <w:highlight w:val="none"/>
        </w:rPr>
      </w:pP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选人提供的文档要保持完整性和准确性。所有文档都采用简体中文（第三方产品出厂文件除外）。</w:t>
      </w:r>
    </w:p>
    <w:p w14:paraId="5E49B754">
      <w:pPr>
        <w:pStyle w:val="4"/>
        <w:rPr>
          <w:rFonts w:ascii="Times New Roman" w:hAnsi="Times New Roman"/>
          <w:color w:val="000000"/>
          <w:szCs w:val="20"/>
          <w:highlight w:val="none"/>
        </w:rPr>
      </w:pPr>
      <w:r>
        <w:rPr>
          <w:rFonts w:hint="eastAsia" w:ascii="Times New Roman" w:hAnsi="Times New Roman"/>
          <w:color w:val="000000"/>
          <w:szCs w:val="20"/>
          <w:highlight w:val="none"/>
        </w:rPr>
        <w:t>1</w:t>
      </w:r>
      <w:r>
        <w:rPr>
          <w:rFonts w:ascii="Times New Roman" w:hAnsi="Times New Roman"/>
          <w:color w:val="000000"/>
          <w:szCs w:val="20"/>
          <w:highlight w:val="none"/>
        </w:rPr>
        <w:t xml:space="preserve">1.2 </w:t>
      </w:r>
      <w:r>
        <w:rPr>
          <w:rFonts w:hint="eastAsia" w:ascii="Times New Roman" w:hAnsi="Times New Roman"/>
          <w:color w:val="000000"/>
          <w:szCs w:val="20"/>
          <w:highlight w:val="none"/>
        </w:rPr>
        <w:t>培训</w:t>
      </w:r>
    </w:p>
    <w:p w14:paraId="1AE70386">
      <w:pPr>
        <w:rPr>
          <w:rFonts w:ascii="Times New Roman" w:hAnsi="Times New Roman"/>
          <w:color w:val="000000"/>
          <w:highlight w:val="none"/>
        </w:rPr>
      </w:pPr>
      <w:r>
        <w:rPr>
          <w:rFonts w:hint="eastAsia" w:ascii="Times New Roman" w:hAnsi="Times New Roman"/>
          <w:color w:val="000000"/>
          <w:highlight w:val="none"/>
        </w:rPr>
        <w:t>1）培训人员</w:t>
      </w:r>
    </w:p>
    <w:p w14:paraId="27FE1EAC">
      <w:pPr>
        <w:rPr>
          <w:rFonts w:ascii="Times New Roman" w:hAnsi="Times New Roman"/>
          <w:color w:val="000000"/>
          <w:highlight w:val="none"/>
        </w:rPr>
      </w:pPr>
      <w:r>
        <w:rPr>
          <w:rFonts w:hint="eastAsia" w:ascii="Times New Roman" w:hAnsi="Times New Roman"/>
          <w:color w:val="000000"/>
          <w:highlight w:val="none"/>
        </w:rPr>
        <w:t>中选人应对下列人员进行相应的技术培训：</w:t>
      </w:r>
    </w:p>
    <w:p w14:paraId="7AC1FE72">
      <w:pPr>
        <w:rPr>
          <w:rFonts w:ascii="Times New Roman" w:hAnsi="Times New Roman"/>
          <w:color w:val="000000"/>
          <w:highlight w:val="none"/>
        </w:rPr>
      </w:pPr>
      <w:r>
        <w:rPr>
          <w:rFonts w:hint="eastAsia" w:ascii="Times New Roman" w:hAnsi="Times New Roman"/>
          <w:color w:val="000000"/>
          <w:highlight w:val="none"/>
        </w:rPr>
        <w:t>包括但不限于涉及本项目的相关开发人员、运维人员以及业务人员等。</w:t>
      </w:r>
    </w:p>
    <w:p w14:paraId="70B12C9D">
      <w:pPr>
        <w:rPr>
          <w:rFonts w:ascii="Times New Roman" w:hAnsi="Times New Roman"/>
          <w:color w:val="000000"/>
          <w:highlight w:val="none"/>
        </w:rPr>
      </w:pPr>
      <w:r>
        <w:rPr>
          <w:rFonts w:hint="eastAsia" w:ascii="Times New Roman" w:hAnsi="Times New Roman"/>
          <w:color w:val="000000"/>
          <w:highlight w:val="none"/>
        </w:rPr>
        <w:t>2）要求</w:t>
      </w:r>
    </w:p>
    <w:p w14:paraId="44AFDB67">
      <w:pPr>
        <w:rPr>
          <w:rFonts w:ascii="Times New Roman" w:hAnsi="Times New Roman"/>
          <w:color w:val="000000"/>
          <w:highlight w:val="none"/>
        </w:rPr>
      </w:pPr>
      <w:r>
        <w:rPr>
          <w:rFonts w:hint="eastAsia" w:ascii="Times New Roman" w:hAnsi="Times New Roman"/>
          <w:color w:val="000000"/>
          <w:highlight w:val="none"/>
        </w:rPr>
        <w:t>对所有的培训，</w:t>
      </w: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选人除提供完备的书面教材外，还应提交培训方案和计划。</w:t>
      </w:r>
    </w:p>
    <w:p w14:paraId="0AC5BC88">
      <w:pPr>
        <w:rPr>
          <w:rFonts w:ascii="宋体" w:cs="宋体"/>
          <w:snapToGrid w:val="0"/>
          <w:color w:val="000000"/>
          <w:kern w:val="0"/>
          <w:szCs w:val="24"/>
          <w:highlight w:val="none"/>
        </w:rPr>
      </w:pPr>
      <w:r>
        <w:rPr>
          <w:rFonts w:hint="eastAsia" w:ascii="Times New Roman" w:hAnsi="Times New Roman"/>
          <w:color w:val="000000"/>
          <w:highlight w:val="none"/>
        </w:rPr>
        <w:t>比选人要求所有的培训在比选人指定地点进行。</w:t>
      </w:r>
    </w:p>
    <w:p w14:paraId="17EE6BE1">
      <w:pPr>
        <w:pStyle w:val="3"/>
        <w:numPr>
          <w:ilvl w:val="0"/>
          <w:numId w:val="2"/>
        </w:numPr>
        <w:rPr>
          <w:rFonts w:ascii="Times New Roman" w:hAnsi="Times New Roman"/>
          <w:highlight w:val="none"/>
        </w:rPr>
      </w:pPr>
      <w:r>
        <w:rPr>
          <w:rFonts w:hint="eastAsia" w:ascii="Times New Roman" w:hAnsi="Times New Roman"/>
          <w:highlight w:val="none"/>
        </w:rPr>
        <w:t>服务连续性预案</w:t>
      </w:r>
    </w:p>
    <w:p w14:paraId="0CDE7F5A">
      <w:pPr>
        <w:rPr>
          <w:rFonts w:hint="eastAsia" w:ascii="Times New Roman" w:hAnsi="Times New Roman"/>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在本次比选中，参选人应在参选文件中提供服务连续性预案供比选人查看，服务连续性预案应考虑供应链风险产生的影响。【提供服务连续性预案】</w:t>
      </w:r>
    </w:p>
    <w:p w14:paraId="75E631FC">
      <w:pPr>
        <w:pStyle w:val="3"/>
        <w:numPr>
          <w:ilvl w:val="0"/>
          <w:numId w:val="2"/>
        </w:numPr>
        <w:rPr>
          <w:rFonts w:ascii="Times New Roman" w:hAnsi="Times New Roman"/>
          <w:highlight w:val="none"/>
        </w:rPr>
      </w:pPr>
      <w:r>
        <w:rPr>
          <w:rFonts w:hint="eastAsia" w:ascii="Times New Roman" w:hAnsi="Times New Roman"/>
          <w:highlight w:val="none"/>
        </w:rPr>
        <w:t>项目实施方案</w:t>
      </w:r>
    </w:p>
    <w:p w14:paraId="75A671E9">
      <w:pPr>
        <w:rPr>
          <w:rFonts w:hint="eastAsia" w:ascii="Times New Roman" w:hAnsi="Times New Roman"/>
          <w:highlight w:val="none"/>
        </w:rPr>
      </w:pPr>
      <w:r>
        <w:rPr>
          <w:rFonts w:hint="eastAsia" w:ascii="Times New Roman" w:hAnsi="Times New Roman"/>
          <w:highlight w:val="none"/>
        </w:rPr>
        <w:t>在本次比选中，参选人应在参选文件中提供项目实施方案供比选人查看，方案应包括包括履行合同的时间计划、提交资料、人员安排等内容。【提供项目实施方案】</w:t>
      </w:r>
    </w:p>
    <w:bookmarkEnd w:id="50"/>
    <w:bookmarkEnd w:id="51"/>
    <w:p w14:paraId="1925CF80">
      <w:pPr>
        <w:pStyle w:val="3"/>
        <w:numPr>
          <w:ilvl w:val="0"/>
          <w:numId w:val="2"/>
        </w:numPr>
        <w:rPr>
          <w:rFonts w:ascii="Times New Roman" w:hAnsi="Times New Roman"/>
          <w:highlight w:val="none"/>
        </w:rPr>
      </w:pPr>
      <w:bookmarkStart w:id="57" w:name="_Toc15059422"/>
      <w:bookmarkStart w:id="58" w:name="_Toc89675148"/>
      <w:r>
        <w:rPr>
          <w:rFonts w:hint="eastAsia" w:ascii="Times New Roman" w:hAnsi="Times New Roman"/>
          <w:highlight w:val="none"/>
        </w:rPr>
        <w:t>付款方式</w:t>
      </w:r>
      <w:bookmarkEnd w:id="57"/>
      <w:bookmarkEnd w:id="58"/>
    </w:p>
    <w:p w14:paraId="2FB41DA1">
      <w:pPr>
        <w:rPr>
          <w:rFonts w:hint="eastAsia" w:ascii="Times New Roman" w:hAnsi="Times New Roman"/>
          <w:highlight w:val="none"/>
        </w:rPr>
      </w:pPr>
      <w:r>
        <w:rPr>
          <w:rFonts w:hint="eastAsia" w:ascii="Times New Roman" w:hAnsi="Times New Roman"/>
          <w:highlight w:val="none"/>
        </w:rPr>
        <w:t>原则上不预付款项。具体付款方式可参考合同模板。</w:t>
      </w:r>
    </w:p>
    <w:p w14:paraId="14FD1D9D">
      <w:pPr>
        <w:pStyle w:val="3"/>
        <w:numPr>
          <w:ilvl w:val="0"/>
          <w:numId w:val="2"/>
        </w:numPr>
        <w:rPr>
          <w:rFonts w:ascii="Times New Roman" w:hAnsi="Times New Roman"/>
          <w:highlight w:val="none"/>
        </w:rPr>
      </w:pPr>
      <w:bookmarkStart w:id="59" w:name="_Toc89675150"/>
      <w:bookmarkStart w:id="60" w:name="_Toc15059424"/>
      <w:r>
        <w:rPr>
          <w:rFonts w:hint="eastAsia" w:ascii="Times New Roman" w:hAnsi="Times New Roman"/>
          <w:highlight w:val="none"/>
        </w:rPr>
        <w:t>保密条款</w:t>
      </w:r>
      <w:bookmarkEnd w:id="52"/>
      <w:bookmarkEnd w:id="53"/>
      <w:bookmarkEnd w:id="54"/>
      <w:bookmarkEnd w:id="55"/>
      <w:bookmarkEnd w:id="59"/>
      <w:bookmarkEnd w:id="60"/>
    </w:p>
    <w:p w14:paraId="0C2CE1F4">
      <w:pPr>
        <w:pStyle w:val="4"/>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5</w:t>
      </w:r>
      <w:r>
        <w:rPr>
          <w:rFonts w:hint="eastAsia" w:ascii="Times New Roman" w:hAnsi="Times New Roman"/>
          <w:highlight w:val="none"/>
        </w:rPr>
        <w:t>.1 保密范围</w:t>
      </w:r>
    </w:p>
    <w:p w14:paraId="4009E91C">
      <w:pPr>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23612E06">
      <w:pPr>
        <w:pStyle w:val="4"/>
        <w:rPr>
          <w:rFonts w:ascii="Times New Roman" w:hAnsi="Times New Roman"/>
          <w:highlight w:val="none"/>
        </w:rPr>
      </w:pPr>
      <w:r>
        <w:rPr>
          <w:rFonts w:ascii="Times New Roman" w:hAnsi="Times New Roman"/>
          <w:highlight w:val="none"/>
        </w:rPr>
        <w:t>15</w:t>
      </w:r>
      <w:r>
        <w:rPr>
          <w:rFonts w:hint="eastAsia" w:ascii="Times New Roman" w:hAnsi="Times New Roman"/>
          <w:highlight w:val="none"/>
        </w:rPr>
        <w:t>.2 保密责任</w:t>
      </w:r>
    </w:p>
    <w:p w14:paraId="26C91D9A">
      <w:pPr>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4665323E">
      <w:pPr>
        <w:pStyle w:val="3"/>
        <w:numPr>
          <w:ilvl w:val="0"/>
          <w:numId w:val="2"/>
        </w:numPr>
        <w:rPr>
          <w:rFonts w:ascii="Times New Roman" w:hAnsi="Times New Roman"/>
          <w:highlight w:val="none"/>
        </w:rPr>
      </w:pPr>
      <w:r>
        <w:rPr>
          <w:rFonts w:hint="eastAsia" w:ascii="Times New Roman" w:hAnsi="Times New Roman"/>
          <w:highlight w:val="none"/>
        </w:rPr>
        <w:t>报价要求</w:t>
      </w:r>
    </w:p>
    <w:p w14:paraId="17A2D2CD">
      <w:pPr>
        <w:rPr>
          <w:rFonts w:ascii="Times New Roman" w:hAnsi="Times New Roman"/>
          <w:highlight w:val="none"/>
        </w:rPr>
      </w:pPr>
      <w:r>
        <w:rPr>
          <w:rFonts w:hint="eastAsia" w:ascii="Times New Roman" w:hAnsi="Times New Roman"/>
          <w:highlight w:val="none"/>
        </w:rPr>
        <w:t>参选人应严格按照《参选文件格式》的“</w:t>
      </w:r>
      <w:r>
        <w:rPr>
          <w:rFonts w:hint="eastAsia" w:ascii="Times New Roman" w:hAnsi="Times New Roman"/>
          <w:highlight w:val="none"/>
          <w:lang w:val="en-US" w:eastAsia="zh-CN"/>
        </w:rPr>
        <w:t>报价一览表</w:t>
      </w:r>
      <w:r>
        <w:rPr>
          <w:rFonts w:hint="eastAsia" w:ascii="Times New Roman" w:hAnsi="Times New Roman"/>
          <w:highlight w:val="none"/>
        </w:rPr>
        <w:t>”的格式认真填写。</w:t>
      </w:r>
    </w:p>
    <w:p w14:paraId="503BABFB">
      <w:pPr>
        <w:pStyle w:val="3"/>
        <w:numPr>
          <w:ilvl w:val="0"/>
          <w:numId w:val="2"/>
        </w:numPr>
        <w:rPr>
          <w:rFonts w:ascii="Times New Roman" w:hAnsi="Times New Roman"/>
          <w:highlight w:val="none"/>
        </w:rPr>
      </w:pPr>
      <w:bookmarkStart w:id="61" w:name="_Toc15059426"/>
      <w:bookmarkStart w:id="62" w:name="_Toc89675152"/>
      <w:r>
        <w:rPr>
          <w:rFonts w:hint="eastAsia" w:ascii="Times New Roman" w:hAnsi="Times New Roman"/>
          <w:highlight w:val="none"/>
        </w:rPr>
        <w:t>知识产权</w:t>
      </w:r>
      <w:bookmarkEnd w:id="61"/>
      <w:bookmarkEnd w:id="62"/>
    </w:p>
    <w:p w14:paraId="1B1F97F0">
      <w:pPr>
        <w:rPr>
          <w:rFonts w:ascii="Times New Roman" w:hAnsi="Times New Roman"/>
          <w:highlight w:val="none"/>
        </w:rPr>
      </w:pPr>
      <w:r>
        <w:rPr>
          <w:rFonts w:hint="eastAsia" w:ascii="Times New Roman" w:hAnsi="Times New Roman"/>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40286E35">
      <w:pPr>
        <w:rPr>
          <w:rFonts w:ascii="Times New Roman" w:hAnsi="Times New Roman"/>
          <w:highlight w:val="none"/>
        </w:rPr>
      </w:pPr>
      <w:r>
        <w:rPr>
          <w:rFonts w:hint="eastAsia" w:ascii="Times New Roman" w:hAnsi="Times New Roman"/>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36A853F2">
      <w:pPr>
        <w:pStyle w:val="3"/>
        <w:numPr>
          <w:ilvl w:val="0"/>
          <w:numId w:val="2"/>
        </w:numPr>
        <w:rPr>
          <w:rFonts w:ascii="Times New Roman" w:hAnsi="Times New Roman"/>
          <w:highlight w:val="none"/>
        </w:rPr>
      </w:pPr>
      <w:bookmarkStart w:id="63" w:name="_Toc89675153"/>
      <w:bookmarkStart w:id="64" w:name="_Toc15059427"/>
      <w:r>
        <w:rPr>
          <w:rFonts w:hint="eastAsia" w:ascii="Times New Roman" w:hAnsi="Times New Roman"/>
          <w:highlight w:val="none"/>
        </w:rPr>
        <w:t>其他</w:t>
      </w:r>
      <w:bookmarkEnd w:id="63"/>
      <w:bookmarkEnd w:id="64"/>
    </w:p>
    <w:p w14:paraId="5B2535A4">
      <w:pPr>
        <w:ind w:firstLine="480"/>
        <w:rPr>
          <w:rFonts w:hint="eastAsia"/>
          <w:color w:val="auto"/>
          <w:highlight w:val="none"/>
        </w:rPr>
      </w:pPr>
      <w:r>
        <w:rPr>
          <w:rFonts w:hint="eastAsia" w:ascii="Times New Roman" w:hAnsi="Times New Roman"/>
          <w:color w:val="auto"/>
          <w:highlight w:val="none"/>
          <w:lang w:val="en-US" w:eastAsia="zh-CN"/>
        </w:rPr>
        <w:t>18.1</w:t>
      </w:r>
      <w:r>
        <w:rPr>
          <w:rFonts w:hint="eastAsia"/>
          <w:color w:val="auto"/>
          <w:highlight w:val="none"/>
        </w:rPr>
        <w:t>参选人必须在响应承诺函中对本章内容做出整体性响应和承诺，承诺内容必须达到本章及比选文件其他条款的要求。</w:t>
      </w:r>
    </w:p>
    <w:p w14:paraId="2B7717C4">
      <w:pPr>
        <w:rPr>
          <w:rFonts w:ascii="Times New Roman" w:hAnsi="Times New Roman" w:cs="Times New Roman"/>
          <w:color w:val="auto"/>
          <w:highlight w:val="none"/>
        </w:rPr>
      </w:pPr>
      <w:r>
        <w:rPr>
          <w:rFonts w:hint="eastAsia" w:ascii="Times New Roman" w:hAnsi="Times New Roman"/>
          <w:color w:val="auto"/>
          <w:highlight w:val="none"/>
          <w:lang w:val="en-US" w:eastAsia="zh-CN"/>
        </w:rPr>
        <w:t>18.2</w:t>
      </w:r>
      <w:r>
        <w:rPr>
          <w:rFonts w:ascii="Times New Roman" w:hAnsi="Times New Roman" w:cs="Times New Roman"/>
          <w:color w:val="auto"/>
          <w:highlight w:val="none"/>
        </w:rPr>
        <w:t>参选人应根据本章内容和要求，提供对应材料</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无遗漏。</w:t>
      </w:r>
    </w:p>
    <w:p w14:paraId="3A29140B">
      <w:pPr>
        <w:rPr>
          <w:rFonts w:ascii="Times New Roman" w:hAnsi="Times New Roman"/>
          <w:color w:val="auto"/>
          <w:highlight w:val="none"/>
        </w:rPr>
      </w:pPr>
      <w:r>
        <w:rPr>
          <w:rFonts w:hint="eastAsia" w:ascii="Times New Roman" w:hAnsi="Times New Roman"/>
          <w:color w:val="auto"/>
          <w:highlight w:val="none"/>
          <w:lang w:val="en-US" w:eastAsia="zh-CN"/>
        </w:rPr>
        <w:t>18.3</w:t>
      </w:r>
      <w:r>
        <w:rPr>
          <w:rFonts w:hint="eastAsia" w:ascii="Times New Roman" w:hAnsi="Times New Roman"/>
          <w:color w:val="auto"/>
          <w:highlight w:val="none"/>
        </w:rPr>
        <w:t>其他未尽事宜由供需双方在合同中详细约定。</w:t>
      </w:r>
    </w:p>
    <w:p w14:paraId="7BFB9E75">
      <w:pPr>
        <w:snapToGrid w:val="0"/>
        <w:spacing w:line="360" w:lineRule="auto"/>
        <w:ind w:firstLine="480"/>
        <w:rPr>
          <w:rFonts w:ascii="Times New Roman" w:hAnsi="Times New Roman" w:cs="宋体"/>
          <w:snapToGrid w:val="0"/>
          <w:color w:val="FF0000"/>
          <w:kern w:val="0"/>
          <w:szCs w:val="24"/>
          <w:highlight w:val="none"/>
        </w:rPr>
      </w:pPr>
    </w:p>
    <w:p w14:paraId="030ABE81">
      <w:pPr>
        <w:ind w:left="0" w:firstLine="0" w:firstLineChars="0"/>
        <w:rPr>
          <w:rFonts w:ascii="Times New Roman" w:hAnsi="Times New Roman"/>
          <w:highlight w:val="none"/>
        </w:rPr>
      </w:pPr>
    </w:p>
    <w:p w14:paraId="275C2C48">
      <w:pPr>
        <w:ind w:left="0" w:firstLine="0" w:firstLineChars="0"/>
        <w:rPr>
          <w:rFonts w:ascii="Times New Roman" w:hAnsi="Times New Roman"/>
          <w:highlight w:val="none"/>
        </w:rPr>
      </w:pPr>
    </w:p>
    <w:p w14:paraId="7746C0D8">
      <w:pPr>
        <w:ind w:left="0" w:firstLine="0" w:firstLineChars="0"/>
        <w:rPr>
          <w:rFonts w:ascii="Times New Roman" w:hAnsi="Times New Roman"/>
          <w:highlight w:val="none"/>
        </w:rPr>
      </w:pPr>
    </w:p>
    <w:p w14:paraId="542BB535">
      <w:pPr>
        <w:ind w:left="0" w:firstLine="0" w:firstLineChars="0"/>
        <w:rPr>
          <w:rFonts w:ascii="Times New Roman" w:hAnsi="Times New Roman"/>
          <w:highlight w:val="none"/>
        </w:rPr>
      </w:pPr>
    </w:p>
    <w:p w14:paraId="03674CBD">
      <w:pPr>
        <w:pStyle w:val="2"/>
        <w:rPr>
          <w:rFonts w:ascii="Times New Roman" w:hAnsi="Times New Roman"/>
          <w:highlight w:val="none"/>
        </w:rPr>
      </w:pPr>
      <w:bookmarkStart w:id="65" w:name="_Toc24542"/>
      <w:r>
        <w:rPr>
          <w:rFonts w:hint="eastAsia" w:ascii="Times New Roman" w:hAnsi="Times New Roman"/>
          <w:highlight w:val="none"/>
        </w:rPr>
        <w:t>第四章 评审办法（经评审的最低价法）</w:t>
      </w:r>
      <w:bookmarkEnd w:id="65"/>
    </w:p>
    <w:p w14:paraId="7406E525">
      <w:pPr>
        <w:rPr>
          <w:rFonts w:ascii="Times New Roman" w:hAnsi="Times New Roman"/>
          <w:b/>
          <w:bCs/>
          <w:highlight w:val="none"/>
        </w:rPr>
      </w:pPr>
      <w:bookmarkStart w:id="66" w:name="_Toc27076"/>
      <w:bookmarkStart w:id="67" w:name="_Toc2028"/>
      <w:bookmarkStart w:id="68" w:name="_Toc11471"/>
      <w:bookmarkStart w:id="69" w:name="_Toc14810"/>
      <w:r>
        <w:rPr>
          <w:rFonts w:hint="eastAsia" w:ascii="Times New Roman" w:hAnsi="Times New Roman"/>
          <w:b/>
          <w:bCs/>
          <w:highlight w:val="none"/>
        </w:rPr>
        <w:t>评审办法前附表</w:t>
      </w:r>
      <w:bookmarkEnd w:id="66"/>
      <w:bookmarkEnd w:id="67"/>
      <w:bookmarkEnd w:id="68"/>
      <w:bookmarkEnd w:id="69"/>
    </w:p>
    <w:p w14:paraId="6A5D9116">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bookmarkStart w:id="70" w:name="_Toc636"/>
      <w:bookmarkStart w:id="71" w:name="_Toc21111"/>
    </w:p>
    <w:p w14:paraId="6A4FB70A">
      <w:pPr>
        <w:rPr>
          <w:rFonts w:ascii="Times New Roman" w:hAnsi="Times New Roman" w:cs="宋体"/>
          <w:snapToGrid w:val="0"/>
          <w:sz w:val="21"/>
          <w:szCs w:val="21"/>
          <w:highlight w:val="none"/>
        </w:rPr>
      </w:pP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252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39F2F2B">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条款号</w:t>
            </w:r>
          </w:p>
        </w:tc>
        <w:tc>
          <w:tcPr>
            <w:tcW w:w="1253" w:type="dxa"/>
            <w:vAlign w:val="center"/>
          </w:tcPr>
          <w:p w14:paraId="201C4ED0">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229" w:type="dxa"/>
            <w:gridSpan w:val="2"/>
            <w:vAlign w:val="center"/>
          </w:tcPr>
          <w:p w14:paraId="39639D46">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18D8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8D0B017">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253" w:type="dxa"/>
            <w:tcBorders>
              <w:top w:val="single" w:color="auto" w:sz="4" w:space="0"/>
              <w:left w:val="single" w:color="auto" w:sz="4" w:space="0"/>
              <w:right w:val="single" w:color="auto" w:sz="4" w:space="0"/>
            </w:tcBorders>
            <w:vAlign w:val="center"/>
          </w:tcPr>
          <w:p w14:paraId="3AB827FF">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sz w:val="21"/>
                <w:szCs w:val="21"/>
                <w:highlight w:val="none"/>
              </w:rPr>
              <w:t>评审方法</w:t>
            </w:r>
          </w:p>
        </w:tc>
        <w:tc>
          <w:tcPr>
            <w:tcW w:w="7229" w:type="dxa"/>
            <w:gridSpan w:val="2"/>
            <w:vAlign w:val="center"/>
          </w:tcPr>
          <w:p w14:paraId="0BBC65D0">
            <w:pPr>
              <w:spacing w:line="360" w:lineRule="auto"/>
              <w:ind w:firstLine="0" w:firstLineChars="0"/>
              <w:rPr>
                <w:rFonts w:ascii="Times New Roman" w:hAnsi="Times New Roman" w:cs="宋体"/>
                <w:b/>
                <w:kern w:val="0"/>
                <w:sz w:val="21"/>
                <w:szCs w:val="21"/>
                <w:highlight w:val="none"/>
              </w:rPr>
            </w:pPr>
            <w:r>
              <w:rPr>
                <w:rFonts w:hint="eastAsia" w:ascii="宋体" w:hAnsi="宋体" w:eastAsia="宋体" w:cs="宋体"/>
                <w:color w:val="000000" w:themeColor="text1"/>
                <w:spacing w:val="4"/>
                <w:kern w:val="0"/>
                <w:sz w:val="21"/>
                <w:szCs w:val="21"/>
                <w:highlight w:val="none"/>
                <w14:textFill>
                  <w14:solidFill>
                    <w14:schemeClr w14:val="tx1"/>
                  </w14:solidFill>
                </w14:textFill>
              </w:rPr>
              <w:t>本次评审采用经评审的最低价法，评审委员会按照评审办法前附表第2.1 条进行符合性审查，再按照评审办法前附表第2.2 条进行报价排序，符合性审查合格的参选人中按报价由低到高推荐1-3名中选候选人。若出现</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参选人参选</w:t>
            </w:r>
            <w:r>
              <w:rPr>
                <w:rFonts w:hint="eastAsia" w:ascii="宋体" w:hAnsi="宋体" w:eastAsia="宋体" w:cs="宋体"/>
                <w:color w:val="000000" w:themeColor="text1"/>
                <w:spacing w:val="4"/>
                <w:kern w:val="0"/>
                <w:sz w:val="21"/>
                <w:szCs w:val="21"/>
                <w:highlight w:val="none"/>
                <w14:textFill>
                  <w14:solidFill>
                    <w14:schemeClr w14:val="tx1"/>
                  </w14:solidFill>
                </w14:textFill>
              </w:rPr>
              <w:t>报价相同的，</w:t>
            </w:r>
            <w:r>
              <w:rPr>
                <w:rFonts w:hint="eastAsia" w:ascii="Times New Roman" w:hAnsi="Times New Roman" w:cs="Times New Roman"/>
                <w:kern w:val="0"/>
                <w:sz w:val="21"/>
                <w:szCs w:val="24"/>
                <w:highlight w:val="none"/>
              </w:rPr>
              <w:t>由评审委员会按照投入项目组人员多少排序原则排序。</w:t>
            </w:r>
          </w:p>
        </w:tc>
      </w:tr>
      <w:tr w14:paraId="2C79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E32A5E9">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2.1</w:t>
            </w:r>
          </w:p>
        </w:tc>
        <w:tc>
          <w:tcPr>
            <w:tcW w:w="1253" w:type="dxa"/>
            <w:tcBorders>
              <w:top w:val="single" w:color="auto" w:sz="4" w:space="0"/>
              <w:left w:val="single" w:color="auto" w:sz="4" w:space="0"/>
              <w:right w:val="single" w:color="auto" w:sz="4" w:space="0"/>
            </w:tcBorders>
            <w:vAlign w:val="center"/>
          </w:tcPr>
          <w:p w14:paraId="3A18E186">
            <w:pPr>
              <w:spacing w:line="360" w:lineRule="auto"/>
              <w:ind w:firstLine="0" w:firstLineChars="0"/>
              <w:jc w:val="center"/>
              <w:rPr>
                <w:rFonts w:ascii="Times New Roman" w:hAnsi="Times New Roman" w:cs="宋体"/>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符合性审查</w:t>
            </w:r>
            <w:r>
              <w:rPr>
                <w:rFonts w:hint="eastAsia" w:ascii="宋体" w:hAnsi="宋体" w:cs="宋体"/>
                <w:color w:val="000000" w:themeColor="text1"/>
                <w:kern w:val="0"/>
                <w:sz w:val="21"/>
                <w:szCs w:val="21"/>
                <w:highlight w:val="none"/>
                <w:lang w:val="en-US" w:eastAsia="zh-CN"/>
                <w14:textFill>
                  <w14:solidFill>
                    <w14:schemeClr w14:val="tx1"/>
                  </w14:solidFill>
                </w14:textFill>
              </w:rPr>
              <w:t>标准</w:t>
            </w:r>
          </w:p>
        </w:tc>
        <w:tc>
          <w:tcPr>
            <w:tcW w:w="7229" w:type="dxa"/>
            <w:gridSpan w:val="2"/>
            <w:vAlign w:val="center"/>
          </w:tcPr>
          <w:p w14:paraId="7DD87C5E">
            <w:pPr>
              <w:spacing w:line="360" w:lineRule="auto"/>
              <w:ind w:firstLine="0" w:firstLineChars="0"/>
              <w:rPr>
                <w:rFonts w:ascii="Times New Roman" w:hAnsi="Times New Roman" w:cs="宋体"/>
                <w:spacing w:val="4"/>
                <w:kern w:val="0"/>
                <w:sz w:val="21"/>
                <w:szCs w:val="21"/>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所有参选单位</w:t>
            </w:r>
            <w:r>
              <w:rPr>
                <w:rFonts w:hint="eastAsia" w:ascii="宋体" w:hAnsi="宋体" w:eastAsia="宋体" w:cs="宋体"/>
                <w:color w:val="000000" w:themeColor="text1"/>
                <w:spacing w:val="4"/>
                <w:kern w:val="0"/>
                <w:sz w:val="21"/>
                <w:szCs w:val="21"/>
                <w:highlight w:val="none"/>
                <w14:textFill>
                  <w14:solidFill>
                    <w14:schemeClr w14:val="tx1"/>
                  </w14:solidFill>
                </w14:textFill>
              </w:rPr>
              <w:t>进行符合性审查。符合性审查内容：资格评审、形式评审、响应性评审</w:t>
            </w:r>
            <w:r>
              <w:rPr>
                <w:rFonts w:hint="eastAsia" w:ascii="宋体" w:hAnsi="宋体" w:cs="宋体"/>
                <w:color w:val="000000" w:themeColor="text1"/>
                <w:spacing w:val="4"/>
                <w:kern w:val="0"/>
                <w:sz w:val="21"/>
                <w:szCs w:val="21"/>
                <w:highlight w:val="none"/>
                <w:lang w:eastAsia="zh-CN"/>
                <w14:textFill>
                  <w14:solidFill>
                    <w14:schemeClr w14:val="tx1"/>
                  </w14:solidFill>
                </w14:textFill>
              </w:rPr>
              <w:t>。</w:t>
            </w:r>
          </w:p>
        </w:tc>
      </w:tr>
      <w:tr w14:paraId="355A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632CA89">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w:t>
            </w:r>
          </w:p>
        </w:tc>
        <w:tc>
          <w:tcPr>
            <w:tcW w:w="1253" w:type="dxa"/>
            <w:tcBorders>
              <w:top w:val="single" w:color="auto" w:sz="4" w:space="0"/>
              <w:left w:val="single" w:color="auto" w:sz="4" w:space="0"/>
              <w:right w:val="single" w:color="auto" w:sz="4" w:space="0"/>
            </w:tcBorders>
            <w:vAlign w:val="center"/>
          </w:tcPr>
          <w:p w14:paraId="48BA0DC2">
            <w:pPr>
              <w:spacing w:line="360" w:lineRule="auto"/>
              <w:ind w:firstLine="0" w:firstLineChars="0"/>
              <w:jc w:val="center"/>
              <w:rPr>
                <w:rFonts w:hint="default" w:ascii="Times New Roman" w:hAnsi="Times New Roman" w:eastAsia="宋体"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报价排序</w:t>
            </w:r>
          </w:p>
        </w:tc>
        <w:tc>
          <w:tcPr>
            <w:tcW w:w="7229" w:type="dxa"/>
            <w:gridSpan w:val="2"/>
            <w:vAlign w:val="center"/>
          </w:tcPr>
          <w:p w14:paraId="059161BE">
            <w:pPr>
              <w:spacing w:line="360" w:lineRule="auto"/>
              <w:ind w:firstLine="0" w:firstLineChars="0"/>
              <w:rPr>
                <w:rFonts w:ascii="Times New Roman" w:hAnsi="Times New Roman" w:cs="宋体"/>
                <w:kern w:val="0"/>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对报价不高于最高限价的所有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参选人</w:t>
            </w:r>
            <w:r>
              <w:rPr>
                <w:rFonts w:hint="eastAsia" w:ascii="宋体" w:hAnsi="宋体" w:eastAsia="宋体" w:cs="宋体"/>
                <w:color w:val="000000" w:themeColor="text1"/>
                <w:kern w:val="0"/>
                <w:sz w:val="21"/>
                <w:szCs w:val="21"/>
                <w:highlight w:val="none"/>
                <w14:textFill>
                  <w14:solidFill>
                    <w14:schemeClr w14:val="tx1"/>
                  </w14:solidFill>
                </w14:textFill>
              </w:rPr>
              <w:t>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pacing w:val="4"/>
                <w:kern w:val="0"/>
                <w:sz w:val="21"/>
                <w:szCs w:val="21"/>
                <w:highlight w:val="none"/>
                <w14:textFill>
                  <w14:solidFill>
                    <w14:schemeClr w14:val="tx1"/>
                  </w14:solidFill>
                </w14:textFill>
              </w:rPr>
              <w:t>符合性审查合格的</w:t>
            </w:r>
            <w:r>
              <w:rPr>
                <w:rFonts w:hint="eastAsia" w:ascii="宋体" w:hAnsi="宋体" w:eastAsia="宋体" w:cs="宋体"/>
                <w:color w:val="000000" w:themeColor="text1"/>
                <w:kern w:val="0"/>
                <w:sz w:val="21"/>
                <w:szCs w:val="21"/>
                <w:highlight w:val="none"/>
                <w14:textFill>
                  <w14:solidFill>
                    <w14:schemeClr w14:val="tx1"/>
                  </w14:solidFill>
                </w14:textFill>
              </w:rPr>
              <w:t>按照报价由低到高的顺序排序。</w:t>
            </w:r>
          </w:p>
        </w:tc>
      </w:tr>
      <w:tr w14:paraId="595B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CF9C042">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2.2.1</w:t>
            </w:r>
          </w:p>
        </w:tc>
        <w:tc>
          <w:tcPr>
            <w:tcW w:w="1253" w:type="dxa"/>
            <w:tcBorders>
              <w:top w:val="single" w:color="auto" w:sz="4" w:space="0"/>
              <w:left w:val="single" w:color="auto" w:sz="4" w:space="0"/>
              <w:right w:val="single" w:color="auto" w:sz="4" w:space="0"/>
            </w:tcBorders>
            <w:vAlign w:val="center"/>
          </w:tcPr>
          <w:p w14:paraId="15B867F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资格评审标准</w:t>
            </w:r>
          </w:p>
        </w:tc>
        <w:tc>
          <w:tcPr>
            <w:tcW w:w="1753" w:type="dxa"/>
            <w:tcBorders>
              <w:top w:val="single" w:color="auto" w:sz="4" w:space="0"/>
              <w:left w:val="single" w:color="auto" w:sz="4" w:space="0"/>
              <w:right w:val="single" w:color="auto" w:sz="4" w:space="0"/>
            </w:tcBorders>
            <w:vAlign w:val="center"/>
          </w:tcPr>
          <w:p w14:paraId="5CAA553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资格条件要求</w:t>
            </w:r>
          </w:p>
        </w:tc>
        <w:tc>
          <w:tcPr>
            <w:tcW w:w="5476" w:type="dxa"/>
            <w:vAlign w:val="center"/>
          </w:tcPr>
          <w:p w14:paraId="6B736BBB">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参选人资格要求”规定</w:t>
            </w:r>
          </w:p>
        </w:tc>
      </w:tr>
      <w:tr w14:paraId="385B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3F398D6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2.2.2</w:t>
            </w:r>
          </w:p>
        </w:tc>
        <w:tc>
          <w:tcPr>
            <w:tcW w:w="1253" w:type="dxa"/>
            <w:vMerge w:val="restart"/>
            <w:tcBorders>
              <w:top w:val="single" w:color="auto" w:sz="4" w:space="0"/>
              <w:left w:val="single" w:color="auto" w:sz="4" w:space="0"/>
              <w:right w:val="single" w:color="auto" w:sz="4" w:space="0"/>
            </w:tcBorders>
            <w:vAlign w:val="center"/>
          </w:tcPr>
          <w:p w14:paraId="71CA2ED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形式评审标准</w:t>
            </w:r>
          </w:p>
        </w:tc>
        <w:tc>
          <w:tcPr>
            <w:tcW w:w="1753" w:type="dxa"/>
            <w:tcBorders>
              <w:top w:val="single" w:color="auto" w:sz="4" w:space="0"/>
              <w:left w:val="single" w:color="auto" w:sz="4" w:space="0"/>
              <w:right w:val="single" w:color="auto" w:sz="4" w:space="0"/>
            </w:tcBorders>
            <w:vAlign w:val="center"/>
          </w:tcPr>
          <w:p w14:paraId="410C1E04">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16D67A3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3235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16411B86">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7EC1B709">
            <w:pPr>
              <w:rPr>
                <w:highlight w:val="none"/>
              </w:rPr>
            </w:pPr>
          </w:p>
        </w:tc>
        <w:tc>
          <w:tcPr>
            <w:tcW w:w="1753" w:type="dxa"/>
            <w:tcBorders>
              <w:top w:val="single" w:color="auto" w:sz="4" w:space="0"/>
              <w:left w:val="single" w:color="auto" w:sz="4" w:space="0"/>
              <w:right w:val="single" w:color="auto" w:sz="4" w:space="0"/>
            </w:tcBorders>
            <w:vAlign w:val="center"/>
          </w:tcPr>
          <w:p w14:paraId="17645C3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62883B16">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629E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3FAC53B">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692FDE52">
            <w:pPr>
              <w:rPr>
                <w:highlight w:val="none"/>
              </w:rPr>
            </w:pPr>
          </w:p>
        </w:tc>
        <w:tc>
          <w:tcPr>
            <w:tcW w:w="1753" w:type="dxa"/>
            <w:tcBorders>
              <w:top w:val="single" w:color="auto" w:sz="4" w:space="0"/>
              <w:left w:val="single" w:color="auto" w:sz="4" w:space="0"/>
              <w:right w:val="single" w:color="auto" w:sz="4" w:space="0"/>
            </w:tcBorders>
            <w:vAlign w:val="center"/>
          </w:tcPr>
          <w:p w14:paraId="006D867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05C2C434">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5D3A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0E098A8">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0ECC714B">
            <w:pPr>
              <w:rPr>
                <w:highlight w:val="none"/>
              </w:rPr>
            </w:pPr>
          </w:p>
        </w:tc>
        <w:tc>
          <w:tcPr>
            <w:tcW w:w="1753" w:type="dxa"/>
            <w:tcBorders>
              <w:top w:val="single" w:color="auto" w:sz="4" w:space="0"/>
              <w:left w:val="single" w:color="auto" w:sz="4" w:space="0"/>
              <w:right w:val="single" w:color="auto" w:sz="4" w:space="0"/>
            </w:tcBorders>
            <w:vAlign w:val="center"/>
          </w:tcPr>
          <w:p w14:paraId="10455CA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1BF4E3D4">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2840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5BF0B24">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6EA9A4F0">
            <w:pPr>
              <w:rPr>
                <w:highlight w:val="none"/>
              </w:rPr>
            </w:pPr>
          </w:p>
        </w:tc>
        <w:tc>
          <w:tcPr>
            <w:tcW w:w="1753" w:type="dxa"/>
            <w:tcBorders>
              <w:top w:val="single" w:color="auto" w:sz="4" w:space="0"/>
              <w:left w:val="single" w:color="auto" w:sz="4" w:space="0"/>
              <w:right w:val="single" w:color="auto" w:sz="4" w:space="0"/>
            </w:tcBorders>
            <w:vAlign w:val="center"/>
          </w:tcPr>
          <w:p w14:paraId="56EFCF6F">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63A955BF">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2980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CB1F197">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5D022CDF">
            <w:pPr>
              <w:rPr>
                <w:highlight w:val="none"/>
              </w:rPr>
            </w:pPr>
          </w:p>
        </w:tc>
        <w:tc>
          <w:tcPr>
            <w:tcW w:w="1753" w:type="dxa"/>
            <w:tcBorders>
              <w:top w:val="single" w:color="auto" w:sz="4" w:space="0"/>
              <w:left w:val="single" w:color="auto" w:sz="4" w:space="0"/>
              <w:right w:val="single" w:color="auto" w:sz="4" w:space="0"/>
            </w:tcBorders>
            <w:vAlign w:val="center"/>
          </w:tcPr>
          <w:p w14:paraId="2FFAB5A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4373A3B7">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1D8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0375FD03">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2.2.3</w:t>
            </w:r>
          </w:p>
        </w:tc>
        <w:tc>
          <w:tcPr>
            <w:tcW w:w="1253" w:type="dxa"/>
            <w:vMerge w:val="restart"/>
            <w:tcBorders>
              <w:top w:val="single" w:color="auto" w:sz="4" w:space="0"/>
              <w:left w:val="single" w:color="auto" w:sz="4" w:space="0"/>
              <w:right w:val="single" w:color="auto" w:sz="4" w:space="0"/>
            </w:tcBorders>
            <w:vAlign w:val="center"/>
          </w:tcPr>
          <w:p w14:paraId="586B6786">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753" w:type="dxa"/>
            <w:tcBorders>
              <w:top w:val="single" w:color="auto" w:sz="4" w:space="0"/>
              <w:left w:val="single" w:color="auto" w:sz="4" w:space="0"/>
              <w:right w:val="single" w:color="auto" w:sz="4" w:space="0"/>
            </w:tcBorders>
            <w:vAlign w:val="center"/>
          </w:tcPr>
          <w:p w14:paraId="5AB8C50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参选内容</w:t>
            </w:r>
          </w:p>
        </w:tc>
        <w:tc>
          <w:tcPr>
            <w:tcW w:w="5476" w:type="dxa"/>
            <w:vAlign w:val="center"/>
          </w:tcPr>
          <w:p w14:paraId="4849D702">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在响应承诺函中对第三章“项目要求”内容做出整体承诺；</w:t>
            </w:r>
          </w:p>
          <w:p w14:paraId="11281B45">
            <w:pPr>
              <w:spacing w:line="360" w:lineRule="auto"/>
              <w:ind w:firstLine="0" w:firstLineChars="0"/>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 xml:space="preserve">2. 根据第一章“2. </w:t>
            </w:r>
            <w:r>
              <w:rPr>
                <w:rFonts w:ascii="Times New Roman" w:hAnsi="Times New Roman" w:cs="宋体"/>
                <w:kern w:val="0"/>
                <w:sz w:val="21"/>
                <w:szCs w:val="21"/>
                <w:highlight w:val="none"/>
              </w:rPr>
              <w:t>参选人资格要求”和第三章“项目要求”的要求规定，提供对应</w:t>
            </w:r>
            <w:r>
              <w:rPr>
                <w:rFonts w:hint="eastAsia" w:ascii="Times New Roman" w:hAnsi="Times New Roman" w:cs="宋体"/>
                <w:kern w:val="0"/>
                <w:sz w:val="21"/>
                <w:szCs w:val="21"/>
                <w:highlight w:val="none"/>
                <w:lang w:val="en-US" w:eastAsia="zh-CN"/>
              </w:rPr>
              <w:t>材料</w:t>
            </w:r>
            <w:r>
              <w:rPr>
                <w:rFonts w:ascii="Times New Roman" w:hAnsi="Times New Roman" w:cs="宋体"/>
                <w:kern w:val="0"/>
                <w:sz w:val="21"/>
                <w:szCs w:val="21"/>
                <w:highlight w:val="none"/>
              </w:rPr>
              <w:t>，内容齐全、无遗漏。</w:t>
            </w:r>
          </w:p>
        </w:tc>
      </w:tr>
      <w:tr w14:paraId="2B25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28403CD">
            <w:pPr>
              <w:rPr>
                <w:highlight w:val="none"/>
              </w:rPr>
            </w:pPr>
          </w:p>
        </w:tc>
        <w:tc>
          <w:tcPr>
            <w:tcW w:w="1253" w:type="dxa"/>
            <w:vMerge w:val="continue"/>
            <w:tcBorders>
              <w:top w:val="single" w:color="auto" w:sz="4" w:space="0"/>
              <w:left w:val="single" w:color="auto" w:sz="4" w:space="0"/>
              <w:right w:val="single" w:color="auto" w:sz="4" w:space="0"/>
            </w:tcBorders>
          </w:tcPr>
          <w:p w14:paraId="3E35CCCC">
            <w:pPr>
              <w:rPr>
                <w:highlight w:val="none"/>
              </w:rPr>
            </w:pPr>
          </w:p>
        </w:tc>
        <w:tc>
          <w:tcPr>
            <w:tcW w:w="1753" w:type="dxa"/>
            <w:tcBorders>
              <w:top w:val="single" w:color="auto" w:sz="4" w:space="0"/>
              <w:left w:val="single" w:color="auto" w:sz="4" w:space="0"/>
              <w:right w:val="single" w:color="auto" w:sz="4" w:space="0"/>
            </w:tcBorders>
            <w:vAlign w:val="center"/>
          </w:tcPr>
          <w:p w14:paraId="6268B12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3AE01D71">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0D06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F220DB4">
            <w:pPr>
              <w:rPr>
                <w:highlight w:val="none"/>
              </w:rPr>
            </w:pPr>
          </w:p>
        </w:tc>
        <w:tc>
          <w:tcPr>
            <w:tcW w:w="1253" w:type="dxa"/>
            <w:vMerge w:val="continue"/>
            <w:tcBorders>
              <w:top w:val="single" w:color="auto" w:sz="4" w:space="0"/>
              <w:left w:val="single" w:color="auto" w:sz="4" w:space="0"/>
              <w:right w:val="single" w:color="auto" w:sz="4" w:space="0"/>
            </w:tcBorders>
          </w:tcPr>
          <w:p w14:paraId="3242F06C">
            <w:pPr>
              <w:rPr>
                <w:highlight w:val="none"/>
              </w:rPr>
            </w:pPr>
          </w:p>
        </w:tc>
        <w:tc>
          <w:tcPr>
            <w:tcW w:w="1753" w:type="dxa"/>
            <w:tcBorders>
              <w:top w:val="single" w:color="auto" w:sz="4" w:space="0"/>
              <w:left w:val="single" w:color="auto" w:sz="4" w:space="0"/>
              <w:right w:val="single" w:color="auto" w:sz="4" w:space="0"/>
            </w:tcBorders>
            <w:vAlign w:val="center"/>
          </w:tcPr>
          <w:p w14:paraId="18F18E1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7076E5B2">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03D9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FAA1EA7">
            <w:pPr>
              <w:rPr>
                <w:highlight w:val="none"/>
              </w:rPr>
            </w:pPr>
          </w:p>
        </w:tc>
        <w:tc>
          <w:tcPr>
            <w:tcW w:w="1253" w:type="dxa"/>
            <w:vMerge w:val="continue"/>
            <w:tcBorders>
              <w:top w:val="single" w:color="auto" w:sz="4" w:space="0"/>
              <w:left w:val="single" w:color="auto" w:sz="4" w:space="0"/>
              <w:right w:val="single" w:color="auto" w:sz="4" w:space="0"/>
            </w:tcBorders>
          </w:tcPr>
          <w:p w14:paraId="5C4D3DE6">
            <w:pPr>
              <w:rPr>
                <w:highlight w:val="none"/>
              </w:rPr>
            </w:pPr>
          </w:p>
        </w:tc>
        <w:tc>
          <w:tcPr>
            <w:tcW w:w="1753" w:type="dxa"/>
            <w:tcBorders>
              <w:top w:val="single" w:color="auto" w:sz="4" w:space="0"/>
              <w:left w:val="single" w:color="auto" w:sz="4" w:space="0"/>
              <w:right w:val="single" w:color="auto" w:sz="4" w:space="0"/>
            </w:tcBorders>
            <w:vAlign w:val="center"/>
          </w:tcPr>
          <w:p w14:paraId="2EE33D1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271E986D">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5771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7D66EAD">
            <w:pPr>
              <w:rPr>
                <w:highlight w:val="none"/>
              </w:rPr>
            </w:pPr>
          </w:p>
        </w:tc>
        <w:tc>
          <w:tcPr>
            <w:tcW w:w="1253" w:type="dxa"/>
            <w:vMerge w:val="continue"/>
            <w:tcBorders>
              <w:top w:val="single" w:color="auto" w:sz="4" w:space="0"/>
              <w:left w:val="single" w:color="auto" w:sz="4" w:space="0"/>
              <w:right w:val="single" w:color="auto" w:sz="4" w:space="0"/>
            </w:tcBorders>
          </w:tcPr>
          <w:p w14:paraId="4D4B1876">
            <w:pPr>
              <w:rPr>
                <w:highlight w:val="none"/>
              </w:rPr>
            </w:pPr>
          </w:p>
        </w:tc>
        <w:tc>
          <w:tcPr>
            <w:tcW w:w="1753" w:type="dxa"/>
            <w:tcBorders>
              <w:top w:val="single" w:color="auto" w:sz="4" w:space="0"/>
              <w:left w:val="single" w:color="auto" w:sz="4" w:space="0"/>
              <w:right w:val="single" w:color="auto" w:sz="4" w:space="0"/>
            </w:tcBorders>
            <w:vAlign w:val="center"/>
          </w:tcPr>
          <w:p w14:paraId="35BE465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5F92A622">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75E6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92C5342">
            <w:pPr>
              <w:rPr>
                <w:highlight w:val="none"/>
              </w:rPr>
            </w:pPr>
          </w:p>
        </w:tc>
        <w:tc>
          <w:tcPr>
            <w:tcW w:w="1253" w:type="dxa"/>
            <w:vMerge w:val="continue"/>
            <w:tcBorders>
              <w:top w:val="single" w:color="auto" w:sz="4" w:space="0"/>
              <w:left w:val="single" w:color="auto" w:sz="4" w:space="0"/>
              <w:right w:val="single" w:color="auto" w:sz="4" w:space="0"/>
            </w:tcBorders>
          </w:tcPr>
          <w:p w14:paraId="410A04E3">
            <w:pPr>
              <w:rPr>
                <w:highlight w:val="none"/>
              </w:rPr>
            </w:pPr>
          </w:p>
        </w:tc>
        <w:tc>
          <w:tcPr>
            <w:tcW w:w="1753" w:type="dxa"/>
            <w:tcBorders>
              <w:top w:val="single" w:color="auto" w:sz="4" w:space="0"/>
              <w:left w:val="single" w:color="auto" w:sz="4" w:space="0"/>
              <w:right w:val="single" w:color="auto" w:sz="4" w:space="0"/>
            </w:tcBorders>
            <w:vAlign w:val="center"/>
          </w:tcPr>
          <w:p w14:paraId="36BF782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0809627A">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1BC5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65EF499E">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253" w:type="dxa"/>
            <w:tcBorders>
              <w:top w:val="single" w:color="auto" w:sz="4" w:space="0"/>
              <w:left w:val="single" w:color="auto" w:sz="4" w:space="0"/>
              <w:right w:val="single" w:color="auto" w:sz="4" w:space="0"/>
            </w:tcBorders>
            <w:vAlign w:val="center"/>
          </w:tcPr>
          <w:p w14:paraId="2284F1C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229" w:type="dxa"/>
            <w:gridSpan w:val="2"/>
          </w:tcPr>
          <w:p w14:paraId="105934DC">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1.评审委员会所有参选文件进行符合性审查</w:t>
            </w:r>
          </w:p>
          <w:p w14:paraId="4367F1BD">
            <w:pPr>
              <w:spacing w:line="360" w:lineRule="auto"/>
              <w:ind w:firstLine="0" w:firstLineChars="0"/>
              <w:rPr>
                <w:rFonts w:ascii="Times New Roman" w:hAnsi="Times New Roman"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2.评审委员会对通过符合性审查的参选文件进行报价排序，按报价由低到高推荐1-3名中选候选人。报价最低的成为第一中选候选人，报价次低的成为第二中选候选人，依次类推，共推荐1-3名中选候选人。</w:t>
            </w:r>
          </w:p>
        </w:tc>
      </w:tr>
      <w:tr w14:paraId="28AC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6C3FD72E">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3.4</w:t>
            </w:r>
          </w:p>
        </w:tc>
        <w:tc>
          <w:tcPr>
            <w:tcW w:w="1253" w:type="dxa"/>
            <w:tcBorders>
              <w:top w:val="single" w:color="auto" w:sz="4" w:space="0"/>
              <w:left w:val="single" w:color="auto" w:sz="4" w:space="0"/>
              <w:right w:val="single" w:color="auto" w:sz="4" w:space="0"/>
            </w:tcBorders>
            <w:vAlign w:val="center"/>
          </w:tcPr>
          <w:p w14:paraId="5118C0C7">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评审结果</w:t>
            </w:r>
          </w:p>
        </w:tc>
        <w:tc>
          <w:tcPr>
            <w:tcW w:w="7229" w:type="dxa"/>
            <w:gridSpan w:val="2"/>
            <w:vAlign w:val="center"/>
          </w:tcPr>
          <w:p w14:paraId="09DFDABE">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r>
              <w:rPr>
                <w:rFonts w:hint="eastAsia" w:ascii="Times New Roman" w:hAnsi="Times New Roman" w:cs="宋体"/>
                <w:spacing w:val="-1"/>
                <w:kern w:val="0"/>
                <w:sz w:val="21"/>
                <w:szCs w:val="21"/>
                <w:highlight w:val="none"/>
              </w:rPr>
              <w:t>4</w:t>
            </w:r>
            <w:r>
              <w:rPr>
                <w:rFonts w:hint="eastAsia" w:ascii="Times New Roman" w:hAnsi="Times New Roman" w:cs="宋体"/>
                <w:kern w:val="0"/>
                <w:sz w:val="21"/>
                <w:szCs w:val="21"/>
                <w:highlight w:val="none"/>
              </w:rPr>
              <w:t>.1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员会按经评审的最低价法推荐中选候选人。</w:t>
            </w:r>
          </w:p>
          <w:p w14:paraId="3B8C6564">
            <w:pPr>
              <w:spacing w:line="360" w:lineRule="auto"/>
              <w:ind w:firstLine="0" w:firstLineChars="0"/>
              <w:rPr>
                <w:rFonts w:ascii="Times New Roman" w:hAnsi="Times New Roman" w:cs="宋体"/>
                <w:sz w:val="21"/>
                <w:szCs w:val="21"/>
                <w:highlight w:val="none"/>
              </w:rPr>
            </w:pPr>
            <w:r>
              <w:rPr>
                <w:rFonts w:hint="eastAsia" w:ascii="Times New Roman" w:hAnsi="Times New Roman" w:cs="宋体"/>
                <w:spacing w:val="1"/>
                <w:kern w:val="0"/>
                <w:sz w:val="21"/>
                <w:szCs w:val="21"/>
                <w:highlight w:val="none"/>
              </w:rPr>
              <w:t>3</w:t>
            </w:r>
            <w:r>
              <w:rPr>
                <w:rFonts w:hint="eastAsia" w:ascii="Times New Roman" w:hAnsi="Times New Roman" w:cs="宋体"/>
                <w:kern w:val="0"/>
                <w:sz w:val="21"/>
                <w:szCs w:val="21"/>
                <w:highlight w:val="none"/>
              </w:rPr>
              <w:t>.4.2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员会完成评审后，应当向比选人提交书面评审报告。</w:t>
            </w:r>
          </w:p>
        </w:tc>
      </w:tr>
    </w:tbl>
    <w:p w14:paraId="39D65BFB">
      <w:pPr>
        <w:rPr>
          <w:rFonts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p>
    <w:p w14:paraId="7884ACB9">
      <w:pPr>
        <w:pStyle w:val="3"/>
        <w:jc w:val="both"/>
        <w:rPr>
          <w:rFonts w:ascii="Times New Roman" w:hAnsi="Times New Roman" w:cs="Arial"/>
          <w:highlight w:val="none"/>
        </w:rPr>
      </w:pPr>
      <w:bookmarkStart w:id="72" w:name="_Toc18283"/>
      <w:bookmarkStart w:id="73" w:name="_Toc27234"/>
      <w:bookmarkStart w:id="74" w:name="_Toc28684"/>
      <w:r>
        <w:rPr>
          <w:rFonts w:hint="eastAsia" w:ascii="Times New Roman" w:hAnsi="Times New Roman" w:cs="Arial"/>
          <w:highlight w:val="none"/>
        </w:rPr>
        <w:t>1. 评审方法</w:t>
      </w:r>
      <w:bookmarkEnd w:id="70"/>
      <w:bookmarkEnd w:id="71"/>
      <w:bookmarkEnd w:id="72"/>
      <w:bookmarkEnd w:id="73"/>
      <w:bookmarkEnd w:id="74"/>
    </w:p>
    <w:p w14:paraId="063C9C72">
      <w:pPr>
        <w:bidi w:val="0"/>
        <w:rPr>
          <w:color w:val="auto"/>
          <w:highlight w:val="none"/>
        </w:rPr>
      </w:pPr>
      <w:bookmarkStart w:id="75" w:name="_Toc407195379"/>
      <w:bookmarkStart w:id="76" w:name="_Toc330569206"/>
      <w:bookmarkStart w:id="77" w:name="_Toc224103385"/>
      <w:bookmarkStart w:id="78" w:name="_Toc377067339"/>
      <w:bookmarkStart w:id="79" w:name="_Toc200513199"/>
      <w:bookmarkStart w:id="80" w:name="_Toc376114120"/>
      <w:bookmarkStart w:id="81" w:name="_Toc440022827"/>
      <w:bookmarkStart w:id="82" w:name="_Toc287620752"/>
      <w:bookmarkStart w:id="83" w:name="_Toc377115419"/>
      <w:bookmarkStart w:id="84" w:name="_Toc277082619"/>
      <w:bookmarkStart w:id="85" w:name="_Toc287607813"/>
      <w:r>
        <w:rPr>
          <w:rFonts w:hint="eastAsia"/>
          <w:color w:val="auto"/>
          <w:highlight w:val="none"/>
        </w:rPr>
        <w:t>本次</w:t>
      </w:r>
      <w:r>
        <w:rPr>
          <w:rFonts w:hint="eastAsia"/>
          <w:color w:val="auto"/>
          <w:highlight w:val="none"/>
          <w:lang w:eastAsia="zh-CN"/>
        </w:rPr>
        <w:t>评审</w:t>
      </w:r>
      <w:r>
        <w:rPr>
          <w:rFonts w:hint="eastAsia"/>
          <w:color w:val="auto"/>
          <w:highlight w:val="none"/>
        </w:rPr>
        <w:t>采用</w:t>
      </w:r>
      <w:r>
        <w:rPr>
          <w:rFonts w:hint="eastAsia"/>
          <w:color w:val="auto"/>
          <w:highlight w:val="none"/>
          <w:lang w:eastAsia="zh-CN"/>
        </w:rPr>
        <w:t>经评审的最低价法</w:t>
      </w:r>
      <w:r>
        <w:rPr>
          <w:rFonts w:hint="eastAsia"/>
          <w:color w:val="auto"/>
          <w:highlight w:val="none"/>
        </w:rPr>
        <w:t>，评审委员会按照评审办法前附表第2.1 条进行符合性审查，再按照评审办法前附表第2.2 条进行报价排序，符合性审查合格的</w:t>
      </w:r>
      <w:r>
        <w:rPr>
          <w:rFonts w:hint="eastAsia"/>
          <w:color w:val="auto"/>
          <w:highlight w:val="none"/>
          <w:lang w:eastAsia="zh-CN"/>
        </w:rPr>
        <w:t>参选人</w:t>
      </w:r>
      <w:r>
        <w:rPr>
          <w:rFonts w:hint="eastAsia"/>
          <w:color w:val="auto"/>
          <w:highlight w:val="none"/>
        </w:rPr>
        <w:t>中按报价由低到高推荐</w:t>
      </w:r>
      <w:r>
        <w:rPr>
          <w:rFonts w:hint="eastAsia"/>
          <w:color w:val="auto"/>
          <w:highlight w:val="none"/>
          <w:lang w:eastAsia="zh-CN"/>
        </w:rPr>
        <w:t>中选候选人</w:t>
      </w:r>
      <w:r>
        <w:rPr>
          <w:rFonts w:hint="eastAsia"/>
          <w:color w:val="auto"/>
          <w:highlight w:val="none"/>
        </w:rPr>
        <w:t>。若出现</w:t>
      </w:r>
      <w:r>
        <w:rPr>
          <w:rFonts w:hint="eastAsia"/>
          <w:color w:val="auto"/>
          <w:highlight w:val="none"/>
          <w:lang w:eastAsia="zh-CN"/>
        </w:rPr>
        <w:t>参选人参选</w:t>
      </w:r>
      <w:r>
        <w:rPr>
          <w:rFonts w:hint="eastAsia"/>
          <w:color w:val="auto"/>
          <w:highlight w:val="none"/>
        </w:rPr>
        <w:t>报价相同的，以</w:t>
      </w:r>
      <w:r>
        <w:rPr>
          <w:rFonts w:hint="eastAsia"/>
          <w:color w:val="auto"/>
          <w:highlight w:val="none"/>
          <w:lang w:eastAsia="zh-CN"/>
        </w:rPr>
        <w:t>评审</w:t>
      </w:r>
      <w:r>
        <w:rPr>
          <w:rFonts w:hint="eastAsia"/>
          <w:color w:val="auto"/>
          <w:highlight w:val="none"/>
        </w:rPr>
        <w:t>办法前附表约定的原则确定排序。</w:t>
      </w:r>
    </w:p>
    <w:bookmarkEnd w:id="75"/>
    <w:bookmarkEnd w:id="76"/>
    <w:bookmarkEnd w:id="77"/>
    <w:bookmarkEnd w:id="78"/>
    <w:bookmarkEnd w:id="79"/>
    <w:bookmarkEnd w:id="80"/>
    <w:bookmarkEnd w:id="81"/>
    <w:bookmarkEnd w:id="82"/>
    <w:bookmarkEnd w:id="83"/>
    <w:bookmarkEnd w:id="84"/>
    <w:bookmarkEnd w:id="85"/>
    <w:p w14:paraId="376CE581">
      <w:pPr>
        <w:pStyle w:val="3"/>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w:t>
      </w:r>
      <w:r>
        <w:rPr>
          <w:rFonts w:hint="eastAsia" w:ascii="Times New Roman" w:hAnsi="Times New Roman"/>
          <w:highlight w:val="none"/>
        </w:rPr>
        <w:t xml:space="preserve"> </w:t>
      </w:r>
      <w:r>
        <w:rPr>
          <w:rFonts w:ascii="Times New Roman" w:hAnsi="Times New Roman"/>
          <w:highlight w:val="none"/>
        </w:rPr>
        <w:t>评审标准</w:t>
      </w:r>
    </w:p>
    <w:p w14:paraId="3A2E805D">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1 符合性审查标准</w:t>
      </w:r>
    </w:p>
    <w:p w14:paraId="4007C3FE">
      <w:pPr>
        <w:bidi w:val="0"/>
        <w:rPr>
          <w:color w:val="auto"/>
          <w:highlight w:val="none"/>
        </w:rPr>
      </w:pPr>
      <w:r>
        <w:rPr>
          <w:rFonts w:hint="eastAsia"/>
          <w:color w:val="auto"/>
          <w:highlight w:val="none"/>
        </w:rPr>
        <w:t>按</w:t>
      </w:r>
      <w:r>
        <w:rPr>
          <w:rFonts w:hint="eastAsia"/>
          <w:color w:val="auto"/>
          <w:highlight w:val="none"/>
          <w:lang w:eastAsia="zh-CN"/>
        </w:rPr>
        <w:t>评审</w:t>
      </w:r>
      <w:r>
        <w:rPr>
          <w:rFonts w:hint="eastAsia"/>
          <w:color w:val="auto"/>
          <w:highlight w:val="none"/>
        </w:rPr>
        <w:t>办法前附表约定的</w:t>
      </w:r>
      <w:r>
        <w:rPr>
          <w:rFonts w:hint="eastAsia"/>
          <w:color w:val="auto"/>
          <w:highlight w:val="none"/>
          <w:lang w:val="en-US" w:eastAsia="zh-CN"/>
        </w:rPr>
        <w:t>审查标准</w:t>
      </w:r>
      <w:r>
        <w:rPr>
          <w:rFonts w:hint="eastAsia"/>
          <w:color w:val="auto"/>
          <w:highlight w:val="none"/>
        </w:rPr>
        <w:t>进行符合性审查。符合性审查内容：资格评审、形式评审、响应性评审。</w:t>
      </w:r>
    </w:p>
    <w:p w14:paraId="4745C2D4">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1</w:t>
      </w:r>
      <w:r>
        <w:rPr>
          <w:rFonts w:hint="eastAsia"/>
          <w:color w:val="auto"/>
          <w:highlight w:val="none"/>
        </w:rPr>
        <w:t xml:space="preserve"> 资格评审标准：见</w:t>
      </w:r>
      <w:r>
        <w:rPr>
          <w:rFonts w:hint="eastAsia"/>
          <w:color w:val="auto"/>
          <w:highlight w:val="none"/>
          <w:lang w:eastAsia="zh-CN"/>
        </w:rPr>
        <w:t>评审</w:t>
      </w:r>
      <w:r>
        <w:rPr>
          <w:rFonts w:hint="eastAsia"/>
          <w:color w:val="auto"/>
          <w:highlight w:val="none"/>
        </w:rPr>
        <w:t>办法前附表。</w:t>
      </w:r>
    </w:p>
    <w:p w14:paraId="44371C97">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2</w:t>
      </w:r>
      <w:r>
        <w:rPr>
          <w:rFonts w:hint="eastAsia"/>
          <w:color w:val="auto"/>
          <w:highlight w:val="none"/>
        </w:rPr>
        <w:t xml:space="preserve"> 形式评审标准：见</w:t>
      </w:r>
      <w:r>
        <w:rPr>
          <w:rFonts w:hint="eastAsia"/>
          <w:color w:val="auto"/>
          <w:highlight w:val="none"/>
          <w:lang w:eastAsia="zh-CN"/>
        </w:rPr>
        <w:t>评审</w:t>
      </w:r>
      <w:r>
        <w:rPr>
          <w:rFonts w:hint="eastAsia"/>
          <w:color w:val="auto"/>
          <w:highlight w:val="none"/>
        </w:rPr>
        <w:t>办法前附表。</w:t>
      </w:r>
    </w:p>
    <w:p w14:paraId="5E7CB0CC">
      <w:pPr>
        <w:bidi w:val="0"/>
        <w:rPr>
          <w:rFonts w:hint="eastAsia"/>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rFonts w:hint="eastAsia"/>
          <w:color w:val="auto"/>
          <w:highlight w:val="none"/>
        </w:rPr>
        <w:t xml:space="preserve"> 响应性评审标准：见</w:t>
      </w:r>
      <w:r>
        <w:rPr>
          <w:rFonts w:hint="eastAsia"/>
          <w:color w:val="auto"/>
          <w:highlight w:val="none"/>
          <w:lang w:eastAsia="zh-CN"/>
        </w:rPr>
        <w:t>评审</w:t>
      </w:r>
      <w:r>
        <w:rPr>
          <w:rFonts w:hint="eastAsia"/>
          <w:color w:val="auto"/>
          <w:highlight w:val="none"/>
        </w:rPr>
        <w:t>办法前附表。</w:t>
      </w:r>
    </w:p>
    <w:p w14:paraId="10354422">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2 报价</w:t>
      </w:r>
      <w:r>
        <w:rPr>
          <w:color w:val="auto"/>
          <w:highlight w:val="none"/>
          <w:lang w:val="en-US" w:eastAsia="zh-CN"/>
        </w:rPr>
        <w:t>排序</w:t>
      </w:r>
      <w:r>
        <w:rPr>
          <w:rFonts w:hint="eastAsia"/>
          <w:color w:val="auto"/>
          <w:highlight w:val="none"/>
          <w:lang w:val="en-US" w:eastAsia="zh-CN"/>
        </w:rPr>
        <w:t>标准</w:t>
      </w:r>
    </w:p>
    <w:p w14:paraId="43DD4E02">
      <w:pPr>
        <w:bidi w:val="0"/>
        <w:rPr>
          <w:color w:val="auto"/>
          <w:highlight w:val="none"/>
        </w:rPr>
      </w:pPr>
      <w:r>
        <w:rPr>
          <w:rFonts w:hint="eastAsia"/>
          <w:color w:val="auto"/>
          <w:highlight w:val="none"/>
        </w:rPr>
        <w:t>见</w:t>
      </w:r>
      <w:r>
        <w:rPr>
          <w:rFonts w:hint="eastAsia"/>
          <w:color w:val="auto"/>
          <w:highlight w:val="none"/>
          <w:lang w:eastAsia="zh-CN"/>
        </w:rPr>
        <w:t>评审</w:t>
      </w:r>
      <w:r>
        <w:rPr>
          <w:rFonts w:hint="eastAsia"/>
          <w:color w:val="auto"/>
          <w:highlight w:val="none"/>
        </w:rPr>
        <w:t>办法前附表。</w:t>
      </w:r>
    </w:p>
    <w:p w14:paraId="40F3DE9D">
      <w:pPr>
        <w:pStyle w:val="3"/>
        <w:rPr>
          <w:rFonts w:ascii="Times New Roman" w:hAnsi="Times New Roman"/>
          <w:highlight w:val="none"/>
        </w:rPr>
      </w:pPr>
      <w:bookmarkStart w:id="86" w:name="_Toc26015"/>
      <w:bookmarkStart w:id="87" w:name="_Toc7105"/>
      <w:bookmarkStart w:id="88" w:name="_Toc26445"/>
      <w:r>
        <w:rPr>
          <w:rFonts w:ascii="Times New Roman" w:hAnsi="Times New Roman"/>
          <w:highlight w:val="none"/>
        </w:rPr>
        <w:t>3.</w:t>
      </w:r>
      <w:r>
        <w:rPr>
          <w:rFonts w:hint="eastAsia" w:ascii="Times New Roman" w:hAnsi="Times New Roman"/>
          <w:highlight w:val="none"/>
        </w:rPr>
        <w:t xml:space="preserve"> 评审</w:t>
      </w:r>
      <w:r>
        <w:rPr>
          <w:rFonts w:ascii="Times New Roman" w:hAnsi="Times New Roman"/>
          <w:highlight w:val="none"/>
        </w:rPr>
        <w:t>程序</w:t>
      </w:r>
      <w:bookmarkEnd w:id="86"/>
      <w:bookmarkEnd w:id="87"/>
      <w:bookmarkEnd w:id="88"/>
    </w:p>
    <w:p w14:paraId="067AED99">
      <w:pPr>
        <w:pStyle w:val="4"/>
        <w:bidi w:val="0"/>
        <w:rPr>
          <w:color w:val="auto"/>
          <w:highlight w:val="none"/>
          <w:lang w:val="en-US" w:eastAsia="zh-CN"/>
        </w:rPr>
      </w:pPr>
      <w:bookmarkStart w:id="89" w:name="_Toc28367"/>
      <w:r>
        <w:rPr>
          <w:color w:val="auto"/>
          <w:highlight w:val="none"/>
          <w:lang w:val="en-US" w:eastAsia="zh-CN"/>
        </w:rPr>
        <w:t>3.</w:t>
      </w:r>
      <w:r>
        <w:rPr>
          <w:rFonts w:hint="eastAsia"/>
          <w:color w:val="auto"/>
          <w:highlight w:val="none"/>
          <w:lang w:val="en-US" w:eastAsia="zh-CN"/>
        </w:rPr>
        <w:t>1 符合性审查</w:t>
      </w:r>
    </w:p>
    <w:p w14:paraId="4138DF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color w:val="auto"/>
          <w:highlight w:val="none"/>
        </w:rPr>
        <w:t>委员会依据本章第2.</w:t>
      </w: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进行符合性审查。符合性审查顺序：资格评审、形式评审、响应性评审。</w:t>
      </w:r>
    </w:p>
    <w:p w14:paraId="03EA4323">
      <w:pPr>
        <w:bidi w:val="0"/>
        <w:rPr>
          <w:color w:val="auto"/>
          <w:highlight w:val="none"/>
        </w:rPr>
      </w:pPr>
      <w:r>
        <w:rPr>
          <w:rFonts w:hint="eastAsia"/>
          <w:color w:val="auto"/>
          <w:highlight w:val="none"/>
        </w:rPr>
        <w:t>有一项不符合评审标准的，作否决</w:t>
      </w:r>
      <w:r>
        <w:rPr>
          <w:rFonts w:hint="eastAsia"/>
          <w:color w:val="auto"/>
          <w:highlight w:val="none"/>
          <w:lang w:eastAsia="zh-CN"/>
        </w:rPr>
        <w:t>参选</w:t>
      </w:r>
      <w:r>
        <w:rPr>
          <w:rFonts w:hint="eastAsia"/>
          <w:color w:val="auto"/>
          <w:highlight w:val="none"/>
        </w:rPr>
        <w:t>处理。</w:t>
      </w:r>
    </w:p>
    <w:p w14:paraId="07C648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 xml:space="preserve">.2 </w:t>
      </w:r>
      <w:r>
        <w:rPr>
          <w:rFonts w:hint="eastAsia"/>
          <w:color w:val="auto"/>
          <w:highlight w:val="none"/>
          <w:lang w:eastAsia="zh-CN"/>
        </w:rPr>
        <w:t>参选人</w:t>
      </w:r>
      <w:r>
        <w:rPr>
          <w:color w:val="auto"/>
          <w:highlight w:val="none"/>
        </w:rPr>
        <w:t>有以下情形之一的，</w:t>
      </w:r>
      <w:r>
        <w:rPr>
          <w:rFonts w:hint="eastAsia"/>
          <w:color w:val="auto"/>
          <w:highlight w:val="none"/>
        </w:rPr>
        <w:t>其</w:t>
      </w:r>
      <w:r>
        <w:rPr>
          <w:rFonts w:hint="eastAsia"/>
          <w:color w:val="auto"/>
          <w:highlight w:val="none"/>
          <w:lang w:eastAsia="zh-CN"/>
        </w:rPr>
        <w:t>参选文件</w:t>
      </w:r>
      <w:r>
        <w:rPr>
          <w:rFonts w:hint="eastAsia"/>
          <w:color w:val="auto"/>
          <w:highlight w:val="none"/>
        </w:rPr>
        <w:t>将被否决：</w:t>
      </w:r>
    </w:p>
    <w:p w14:paraId="6B1CC02A">
      <w:pPr>
        <w:bidi w:val="0"/>
        <w:rPr>
          <w:color w:val="auto"/>
          <w:highlight w:val="none"/>
        </w:rPr>
      </w:pPr>
      <w:r>
        <w:rPr>
          <w:rFonts w:hint="eastAsia"/>
          <w:color w:val="auto"/>
          <w:highlight w:val="none"/>
          <w:lang w:val="en-US" w:eastAsia="zh-CN"/>
        </w:rPr>
        <w:t>3.1.2.1 有</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9 条以及第11 条</w:t>
      </w:r>
      <w:r>
        <w:rPr>
          <w:color w:val="auto"/>
          <w:highlight w:val="none"/>
        </w:rPr>
        <w:t>规定的任何一种情形的；</w:t>
      </w:r>
    </w:p>
    <w:p w14:paraId="71A0B48A">
      <w:pPr>
        <w:bidi w:val="0"/>
        <w:rPr>
          <w:color w:val="auto"/>
          <w:highlight w:val="none"/>
        </w:rPr>
      </w:pPr>
      <w:r>
        <w:rPr>
          <w:rFonts w:hint="eastAsia"/>
          <w:color w:val="auto"/>
          <w:highlight w:val="none"/>
          <w:lang w:val="en-US" w:eastAsia="zh-CN"/>
        </w:rPr>
        <w:t xml:space="preserve">3.1.2.2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77E7D18F">
      <w:pPr>
        <w:bidi w:val="0"/>
        <w:rPr>
          <w:color w:val="auto"/>
          <w:highlight w:val="none"/>
        </w:rPr>
      </w:pPr>
      <w:r>
        <w:rPr>
          <w:rFonts w:hint="eastAsia"/>
          <w:color w:val="auto"/>
          <w:highlight w:val="none"/>
          <w:lang w:val="en-US" w:eastAsia="zh-CN"/>
        </w:rPr>
        <w:t xml:space="preserve">3.1.2.3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571B71D5">
      <w:pPr>
        <w:bidi w:val="0"/>
        <w:rPr>
          <w:rFonts w:hint="default" w:eastAsia="宋体"/>
          <w:color w:val="auto"/>
          <w:highlight w:val="none"/>
          <w:lang w:val="en-US" w:eastAsia="zh-CN"/>
        </w:rPr>
      </w:pPr>
      <w:r>
        <w:rPr>
          <w:rFonts w:hint="eastAsia"/>
          <w:color w:val="auto"/>
          <w:highlight w:val="none"/>
        </w:rPr>
        <w:t>3.</w:t>
      </w:r>
      <w:r>
        <w:rPr>
          <w:rFonts w:hint="eastAsia"/>
          <w:color w:val="auto"/>
          <w:highlight w:val="none"/>
          <w:lang w:val="en-US" w:eastAsia="zh-CN"/>
        </w:rPr>
        <w:t>1</w:t>
      </w:r>
      <w:r>
        <w:rPr>
          <w:rFonts w:hint="eastAsia"/>
          <w:color w:val="auto"/>
          <w:highlight w:val="none"/>
        </w:rPr>
        <w:t xml:space="preserve">.3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w:t>
      </w:r>
      <w:r>
        <w:rPr>
          <w:rFonts w:hint="eastAsia"/>
          <w:color w:val="auto"/>
          <w:highlight w:val="none"/>
        </w:rPr>
        <w:t>委员会按以下原则对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10F9AB42">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2 报价排序</w:t>
      </w:r>
    </w:p>
    <w:p w14:paraId="325AD57C">
      <w:pPr>
        <w:bidi w:val="0"/>
        <w:rPr>
          <w:color w:val="auto"/>
          <w:highlight w:val="none"/>
        </w:rPr>
      </w:pPr>
      <w:r>
        <w:rPr>
          <w:rFonts w:hint="eastAsia"/>
          <w:color w:val="auto"/>
          <w:highlight w:val="none"/>
        </w:rPr>
        <w:t>对报价不高于最高限价的所有</w:t>
      </w:r>
      <w:r>
        <w:rPr>
          <w:rFonts w:hint="eastAsia"/>
          <w:color w:val="auto"/>
          <w:highlight w:val="none"/>
          <w:lang w:eastAsia="zh-CN"/>
        </w:rPr>
        <w:t>参选人</w:t>
      </w:r>
      <w:r>
        <w:rPr>
          <w:rFonts w:hint="eastAsia"/>
          <w:color w:val="auto"/>
          <w:highlight w:val="none"/>
        </w:rPr>
        <w:t>的</w:t>
      </w:r>
      <w:r>
        <w:rPr>
          <w:rFonts w:hint="eastAsia"/>
          <w:color w:val="auto"/>
          <w:highlight w:val="none"/>
          <w:lang w:eastAsia="zh-CN"/>
        </w:rPr>
        <w:t>参选文件</w:t>
      </w:r>
      <w:r>
        <w:rPr>
          <w:rFonts w:hint="eastAsia"/>
          <w:color w:val="auto"/>
          <w:highlight w:val="none"/>
        </w:rPr>
        <w:t>，按照报价由低到高的顺序排序。</w:t>
      </w:r>
    </w:p>
    <w:bookmarkEnd w:id="89"/>
    <w:p w14:paraId="535AD6F3">
      <w:pPr>
        <w:pStyle w:val="4"/>
        <w:rPr>
          <w:rFonts w:ascii="Times New Roman" w:hAnsi="Times New Roman"/>
          <w:highlight w:val="none"/>
        </w:rPr>
      </w:pPr>
      <w:bookmarkStart w:id="90" w:name="_Toc14647"/>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 </w:t>
      </w:r>
      <w:r>
        <w:rPr>
          <w:rFonts w:hint="eastAsia" w:ascii="Times New Roman" w:hAnsi="Times New Roman"/>
          <w:highlight w:val="none"/>
        </w:rPr>
        <w:t>参选文件的澄清和补正</w:t>
      </w:r>
      <w:bookmarkEnd w:id="90"/>
    </w:p>
    <w:p w14:paraId="0A89781F">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.1 </w:t>
      </w:r>
      <w:r>
        <w:rPr>
          <w:rFonts w:hint="eastAsia" w:ascii="Times New Roman" w:hAnsi="Times New Roman"/>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659DEF23">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.2 </w:t>
      </w:r>
      <w:r>
        <w:rPr>
          <w:rFonts w:hint="eastAsia" w:ascii="Times New Roman" w:hAnsi="Times New Roman"/>
          <w:highlight w:val="none"/>
        </w:rPr>
        <w:t>澄清、说明和补正不得改变参选文件的实质性内容（算术性错误修正的除外）。参选人的书面澄清、说明和补正属于参选文件的组成部分。</w:t>
      </w:r>
    </w:p>
    <w:p w14:paraId="1C6D17DA">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.3 </w:t>
      </w:r>
      <w:r>
        <w:rPr>
          <w:rFonts w:hint="eastAsia" w:ascii="Times New Roman" w:hAnsi="Times New Roman"/>
          <w:highlight w:val="none"/>
        </w:rPr>
        <w:t>评审委员会对参选人提交的澄清、说明或补正有疑问的，可以要求参选人进一步澄清、说明或补正，直至满足评审委员会的要求。</w:t>
      </w:r>
    </w:p>
    <w:p w14:paraId="256E92A9">
      <w:pPr>
        <w:pStyle w:val="4"/>
        <w:rPr>
          <w:rFonts w:ascii="Times New Roman" w:hAnsi="Times New Roman"/>
          <w:highlight w:val="none"/>
        </w:rPr>
      </w:pPr>
      <w:bookmarkStart w:id="91" w:name="_Toc479262406"/>
      <w:bookmarkStart w:id="92" w:name="_Toc484465184"/>
      <w:bookmarkStart w:id="93" w:name="_Toc25249"/>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 xml:space="preserve"> </w:t>
      </w:r>
      <w:r>
        <w:rPr>
          <w:rFonts w:hint="eastAsia" w:ascii="Times New Roman" w:hAnsi="Times New Roman"/>
          <w:highlight w:val="none"/>
        </w:rPr>
        <w:t>评审结果</w:t>
      </w:r>
      <w:bookmarkEnd w:id="91"/>
      <w:bookmarkEnd w:id="92"/>
      <w:bookmarkEnd w:id="93"/>
    </w:p>
    <w:p w14:paraId="06A82D6B">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.1</w:t>
      </w:r>
      <w:r>
        <w:rPr>
          <w:rFonts w:hint="eastAsia" w:ascii="Times New Roman" w:hAnsi="Times New Roman"/>
          <w:highlight w:val="none"/>
        </w:rPr>
        <w:t xml:space="preserve"> 评审委员会按经评审的最低价法推荐中选候选人。</w:t>
      </w:r>
    </w:p>
    <w:p w14:paraId="7B659A6C">
      <w:pPr>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.2</w:t>
      </w:r>
      <w:r>
        <w:rPr>
          <w:rFonts w:hint="eastAsia" w:ascii="Times New Roman" w:hAnsi="Times New Roman"/>
          <w:highlight w:val="none"/>
        </w:rPr>
        <w:t xml:space="preserve"> 评审委员会完成评审后，应当向比选人提交书面评审报告和中选候选人名单。</w:t>
      </w:r>
    </w:p>
    <w:p w14:paraId="39A5E1BE">
      <w:pPr>
        <w:rPr>
          <w:rFonts w:ascii="Times New Roman" w:hAnsi="Times New Roman"/>
          <w:highlight w:val="none"/>
        </w:rPr>
      </w:pPr>
      <w:r>
        <w:rPr>
          <w:rFonts w:hint="eastAsia" w:ascii="Times New Roman" w:hAnsi="Times New Roman"/>
          <w:highlight w:val="none"/>
        </w:rPr>
        <w:t>3.4.3 有效参选不足两个的，经评审委员会判定，参选人具有相对行业竞争力的，可继续进行评审。</w:t>
      </w:r>
    </w:p>
    <w:p w14:paraId="34F1B299">
      <w:pPr>
        <w:pStyle w:val="4"/>
        <w:rPr>
          <w:rFonts w:ascii="Times New Roman" w:hAnsi="Times New Roman"/>
          <w:highlight w:val="none"/>
        </w:rPr>
      </w:pPr>
      <w:r>
        <w:rPr>
          <w:rFonts w:hint="eastAsia" w:ascii="Times New Roman" w:hAnsi="Times New Roman"/>
          <w:highlight w:val="none"/>
        </w:rPr>
        <w:t>3.5 对评审委员会成员的纪律要求</w:t>
      </w:r>
    </w:p>
    <w:p w14:paraId="505A8006">
      <w:pPr>
        <w:rPr>
          <w:rFonts w:ascii="Times New Roman" w:hAnsi="Times New Roman"/>
          <w:highlight w:val="none"/>
        </w:rPr>
      </w:pPr>
      <w:r>
        <w:rPr>
          <w:rFonts w:hint="eastAsia" w:ascii="Times New Roman" w:hAnsi="Times New Roman"/>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18ED02A">
      <w:pPr>
        <w:pStyle w:val="4"/>
        <w:rPr>
          <w:rFonts w:ascii="Times New Roman" w:hAnsi="Times New Roman"/>
          <w:highlight w:val="none"/>
        </w:rPr>
      </w:pPr>
      <w:r>
        <w:rPr>
          <w:rFonts w:hint="eastAsia" w:ascii="Times New Roman" w:hAnsi="Times New Roman"/>
          <w:highlight w:val="none"/>
        </w:rPr>
        <w:t>3.6 对与评审活动有关的工作人员的纪律要求</w:t>
      </w:r>
    </w:p>
    <w:p w14:paraId="5715C41C">
      <w:pPr>
        <w:rPr>
          <w:rFonts w:ascii="Times New Roman" w:hAnsi="Times New Roman"/>
          <w:highlight w:val="none"/>
        </w:rPr>
      </w:pPr>
      <w:r>
        <w:rPr>
          <w:rFonts w:hint="eastAsia" w:ascii="Times New Roman" w:hAnsi="Times New Roman"/>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C741ECA">
      <w:pPr>
        <w:ind w:left="0" w:firstLine="0" w:firstLineChars="0"/>
        <w:rPr>
          <w:rFonts w:ascii="Times New Roman" w:hAnsi="Times New Roman"/>
          <w:highlight w:val="none"/>
        </w:rPr>
      </w:pPr>
    </w:p>
    <w:p w14:paraId="4CE255D4">
      <w:pPr>
        <w:ind w:left="0" w:firstLine="0" w:firstLineChars="0"/>
        <w:rPr>
          <w:rFonts w:ascii="Times New Roman" w:hAnsi="Times New Roman"/>
          <w:highlight w:val="none"/>
        </w:rPr>
      </w:pPr>
    </w:p>
    <w:p w14:paraId="7C02B6A1">
      <w:pPr>
        <w:ind w:left="0" w:firstLine="0" w:firstLineChars="0"/>
        <w:rPr>
          <w:rFonts w:ascii="Times New Roman" w:hAnsi="Times New Roman"/>
          <w:highlight w:val="none"/>
        </w:rPr>
      </w:pPr>
    </w:p>
    <w:p w14:paraId="22B375AE">
      <w:pPr>
        <w:ind w:left="0" w:firstLine="0" w:firstLineChars="0"/>
        <w:rPr>
          <w:rFonts w:ascii="Times New Roman" w:hAnsi="Times New Roman"/>
          <w:highlight w:val="none"/>
        </w:rPr>
      </w:pPr>
    </w:p>
    <w:p w14:paraId="49492B80">
      <w:pPr>
        <w:ind w:left="0" w:firstLine="0" w:firstLineChars="0"/>
        <w:rPr>
          <w:rFonts w:ascii="Times New Roman" w:hAnsi="Times New Roman"/>
          <w:highlight w:val="none"/>
        </w:rPr>
      </w:pPr>
    </w:p>
    <w:p w14:paraId="17785158">
      <w:pPr>
        <w:ind w:left="0" w:firstLine="0" w:firstLineChars="0"/>
        <w:rPr>
          <w:rFonts w:ascii="Times New Roman" w:hAnsi="Times New Roman"/>
          <w:highlight w:val="none"/>
        </w:rPr>
      </w:pPr>
    </w:p>
    <w:p w14:paraId="6E949F16">
      <w:pPr>
        <w:ind w:left="0" w:firstLine="0" w:firstLineChars="0"/>
        <w:rPr>
          <w:rFonts w:ascii="Times New Roman" w:hAnsi="Times New Roman"/>
          <w:highlight w:val="none"/>
        </w:rPr>
      </w:pPr>
    </w:p>
    <w:p w14:paraId="4ECA7BEF">
      <w:pPr>
        <w:ind w:left="0" w:firstLine="0" w:firstLineChars="0"/>
        <w:rPr>
          <w:rFonts w:ascii="Times New Roman" w:hAnsi="Times New Roman"/>
          <w:highlight w:val="none"/>
        </w:rPr>
      </w:pPr>
    </w:p>
    <w:p w14:paraId="77063E87">
      <w:pPr>
        <w:ind w:left="0" w:firstLine="0" w:firstLineChars="0"/>
        <w:rPr>
          <w:rFonts w:ascii="Times New Roman" w:hAnsi="Times New Roman"/>
          <w:highlight w:val="none"/>
        </w:rPr>
      </w:pPr>
    </w:p>
    <w:p w14:paraId="4AD08BBF">
      <w:pPr>
        <w:ind w:left="0" w:firstLine="0" w:firstLineChars="0"/>
        <w:rPr>
          <w:rFonts w:ascii="Times New Roman" w:hAnsi="Times New Roman"/>
          <w:highlight w:val="none"/>
        </w:rPr>
      </w:pPr>
    </w:p>
    <w:p w14:paraId="26A08CF4">
      <w:pPr>
        <w:ind w:left="0" w:firstLine="0" w:firstLineChars="0"/>
        <w:rPr>
          <w:rFonts w:ascii="Times New Roman" w:hAnsi="Times New Roman"/>
          <w:highlight w:val="none"/>
        </w:rPr>
      </w:pPr>
    </w:p>
    <w:p w14:paraId="28178A5B">
      <w:pPr>
        <w:ind w:left="0" w:firstLine="0" w:firstLineChars="0"/>
        <w:rPr>
          <w:rFonts w:ascii="Times New Roman" w:hAnsi="Times New Roman"/>
          <w:highlight w:val="none"/>
        </w:rPr>
      </w:pPr>
    </w:p>
    <w:p w14:paraId="295E68EF">
      <w:pPr>
        <w:ind w:left="0" w:firstLine="0" w:firstLineChars="0"/>
        <w:rPr>
          <w:rFonts w:ascii="Times New Roman" w:hAnsi="Times New Roman"/>
          <w:highlight w:val="none"/>
        </w:rPr>
      </w:pPr>
    </w:p>
    <w:p w14:paraId="46FA1166">
      <w:pPr>
        <w:ind w:left="0" w:firstLine="0" w:firstLineChars="0"/>
        <w:rPr>
          <w:rFonts w:ascii="Times New Roman" w:hAnsi="Times New Roman"/>
          <w:highlight w:val="none"/>
        </w:rPr>
      </w:pPr>
    </w:p>
    <w:p w14:paraId="7E92596A">
      <w:pPr>
        <w:ind w:left="0" w:firstLine="0" w:firstLineChars="0"/>
        <w:rPr>
          <w:rFonts w:ascii="Times New Roman" w:hAnsi="Times New Roman"/>
          <w:highlight w:val="none"/>
        </w:rPr>
      </w:pPr>
    </w:p>
    <w:p w14:paraId="1367E6B7">
      <w:pPr>
        <w:ind w:left="0" w:firstLine="0" w:firstLineChars="0"/>
        <w:rPr>
          <w:rFonts w:ascii="Times New Roman" w:hAnsi="Times New Roman"/>
          <w:highlight w:val="none"/>
        </w:rPr>
      </w:pPr>
    </w:p>
    <w:p w14:paraId="4657C426">
      <w:pPr>
        <w:pStyle w:val="2"/>
        <w:rPr>
          <w:rFonts w:hint="eastAsia" w:ascii="Times New Roman" w:hAnsi="Times New Roman"/>
          <w:color w:val="auto"/>
          <w:highlight w:val="none"/>
          <w:shd w:val="clear" w:color="auto" w:fill="auto"/>
        </w:rPr>
      </w:pPr>
      <w:bookmarkStart w:id="94" w:name="_Toc150953074"/>
      <w:bookmarkStart w:id="95" w:name="_Toc6341"/>
      <w:bookmarkStart w:id="96" w:name="_Toc303066034"/>
      <w:bookmarkStart w:id="97" w:name="_Toc89675170"/>
      <w:r>
        <w:rPr>
          <w:rFonts w:hint="eastAsia" w:ascii="Times New Roman" w:hAnsi="Times New Roman"/>
          <w:color w:val="auto"/>
          <w:highlight w:val="none"/>
          <w:shd w:val="clear" w:color="auto" w:fill="auto"/>
        </w:rPr>
        <w:t>第五章 合同模板</w:t>
      </w:r>
      <w:bookmarkEnd w:id="94"/>
      <w:bookmarkEnd w:id="95"/>
    </w:p>
    <w:p w14:paraId="7A48DF4F">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553858E8">
      <w:pPr>
        <w:ind w:firstLine="0" w:firstLineChars="0"/>
        <w:jc w:val="center"/>
        <w:rPr>
          <w:rFonts w:ascii="Times New Roman" w:hAnsi="Times New Roman"/>
          <w:highlight w:val="none"/>
        </w:rPr>
      </w:pPr>
    </w:p>
    <w:p w14:paraId="2858BEF9">
      <w:pPr>
        <w:ind w:firstLine="0" w:firstLineChars="0"/>
        <w:jc w:val="center"/>
        <w:rPr>
          <w:rFonts w:ascii="Times New Roman" w:hAnsi="Times New Roman"/>
          <w:highlight w:val="none"/>
        </w:rPr>
      </w:pPr>
    </w:p>
    <w:p w14:paraId="2CDB428A">
      <w:pPr>
        <w:ind w:firstLine="0" w:firstLineChars="0"/>
        <w:jc w:val="center"/>
        <w:rPr>
          <w:rFonts w:ascii="Times New Roman" w:hAnsi="Times New Roman"/>
          <w:highlight w:val="none"/>
        </w:rPr>
      </w:pPr>
    </w:p>
    <w:p w14:paraId="61BC9D5E">
      <w:pPr>
        <w:ind w:firstLine="0" w:firstLineChars="0"/>
        <w:jc w:val="center"/>
        <w:rPr>
          <w:rFonts w:ascii="Times New Roman" w:hAnsi="Times New Roman"/>
          <w:highlight w:val="none"/>
        </w:rPr>
      </w:pPr>
    </w:p>
    <w:p w14:paraId="3174C45E">
      <w:pPr>
        <w:ind w:firstLine="0" w:firstLineChars="0"/>
        <w:jc w:val="center"/>
        <w:rPr>
          <w:rFonts w:ascii="Times New Roman" w:hAnsi="Times New Roman"/>
          <w:highlight w:val="none"/>
        </w:rPr>
      </w:pPr>
    </w:p>
    <w:p w14:paraId="1A755511">
      <w:pPr>
        <w:ind w:firstLine="0" w:firstLineChars="0"/>
        <w:jc w:val="center"/>
        <w:rPr>
          <w:rFonts w:ascii="Times New Roman" w:hAnsi="Times New Roman"/>
          <w:highlight w:val="none"/>
        </w:rPr>
      </w:pPr>
    </w:p>
    <w:p w14:paraId="651846FB">
      <w:pPr>
        <w:ind w:firstLine="0" w:firstLineChars="0"/>
        <w:jc w:val="center"/>
        <w:rPr>
          <w:rFonts w:ascii="Times New Roman" w:hAnsi="Times New Roman"/>
          <w:highlight w:val="none"/>
        </w:rPr>
      </w:pPr>
    </w:p>
    <w:p w14:paraId="463386ED">
      <w:pPr>
        <w:ind w:firstLine="0" w:firstLineChars="0"/>
        <w:jc w:val="center"/>
        <w:rPr>
          <w:rFonts w:ascii="Times New Roman" w:hAnsi="Times New Roman"/>
          <w:highlight w:val="none"/>
        </w:rPr>
      </w:pPr>
    </w:p>
    <w:p w14:paraId="4B6FE21D">
      <w:pPr>
        <w:ind w:firstLine="0" w:firstLineChars="0"/>
        <w:jc w:val="center"/>
        <w:rPr>
          <w:rFonts w:ascii="Times New Roman" w:hAnsi="Times New Roman"/>
          <w:highlight w:val="none"/>
        </w:rPr>
      </w:pPr>
    </w:p>
    <w:p w14:paraId="653C854C">
      <w:pPr>
        <w:ind w:firstLine="0" w:firstLineChars="0"/>
        <w:jc w:val="center"/>
        <w:rPr>
          <w:rFonts w:ascii="Times New Roman" w:hAnsi="Times New Roman"/>
          <w:highlight w:val="none"/>
        </w:rPr>
      </w:pPr>
    </w:p>
    <w:p w14:paraId="054D1E2D">
      <w:pPr>
        <w:ind w:firstLine="0" w:firstLineChars="0"/>
        <w:jc w:val="center"/>
        <w:rPr>
          <w:rFonts w:ascii="Times New Roman" w:hAnsi="Times New Roman"/>
          <w:highlight w:val="none"/>
        </w:rPr>
      </w:pPr>
    </w:p>
    <w:p w14:paraId="65A0E23C">
      <w:pPr>
        <w:ind w:firstLine="0" w:firstLineChars="0"/>
        <w:jc w:val="center"/>
        <w:rPr>
          <w:rFonts w:ascii="Times New Roman" w:hAnsi="Times New Roman"/>
          <w:highlight w:val="none"/>
        </w:rPr>
      </w:pPr>
    </w:p>
    <w:p w14:paraId="2A7CDECD">
      <w:pPr>
        <w:ind w:firstLine="0" w:firstLineChars="0"/>
        <w:jc w:val="center"/>
        <w:rPr>
          <w:rFonts w:ascii="Times New Roman" w:hAnsi="Times New Roman"/>
          <w:highlight w:val="none"/>
        </w:rPr>
      </w:pPr>
    </w:p>
    <w:p w14:paraId="527F43C4">
      <w:pPr>
        <w:ind w:firstLine="0" w:firstLineChars="0"/>
        <w:jc w:val="center"/>
        <w:rPr>
          <w:rFonts w:ascii="Times New Roman" w:hAnsi="Times New Roman"/>
          <w:highlight w:val="none"/>
        </w:rPr>
      </w:pPr>
    </w:p>
    <w:p w14:paraId="101381DE">
      <w:pPr>
        <w:ind w:firstLine="0" w:firstLineChars="0"/>
        <w:jc w:val="center"/>
        <w:rPr>
          <w:rFonts w:ascii="Times New Roman" w:hAnsi="Times New Roman"/>
          <w:highlight w:val="none"/>
        </w:rPr>
      </w:pPr>
    </w:p>
    <w:p w14:paraId="7F31CAC8">
      <w:pPr>
        <w:ind w:firstLine="0" w:firstLineChars="0"/>
        <w:jc w:val="center"/>
        <w:rPr>
          <w:rFonts w:ascii="Times New Roman" w:hAnsi="Times New Roman"/>
          <w:highlight w:val="none"/>
        </w:rPr>
      </w:pPr>
    </w:p>
    <w:p w14:paraId="02E7F4CF">
      <w:pPr>
        <w:ind w:firstLine="0" w:firstLineChars="0"/>
        <w:jc w:val="center"/>
        <w:rPr>
          <w:rFonts w:ascii="Times New Roman" w:hAnsi="Times New Roman"/>
          <w:highlight w:val="none"/>
        </w:rPr>
      </w:pPr>
    </w:p>
    <w:p w14:paraId="470D3FC6">
      <w:pPr>
        <w:ind w:firstLine="0" w:firstLineChars="0"/>
        <w:jc w:val="center"/>
        <w:rPr>
          <w:rFonts w:ascii="Times New Roman" w:hAnsi="Times New Roman"/>
          <w:highlight w:val="none"/>
        </w:rPr>
      </w:pPr>
    </w:p>
    <w:p w14:paraId="724C4727">
      <w:pPr>
        <w:ind w:firstLine="0" w:firstLineChars="0"/>
        <w:jc w:val="center"/>
        <w:rPr>
          <w:rFonts w:ascii="Times New Roman" w:hAnsi="Times New Roman"/>
          <w:highlight w:val="none"/>
        </w:rPr>
      </w:pPr>
    </w:p>
    <w:p w14:paraId="2CF52A6A">
      <w:pPr>
        <w:ind w:firstLine="0" w:firstLineChars="0"/>
        <w:jc w:val="center"/>
        <w:rPr>
          <w:rFonts w:ascii="Times New Roman" w:hAnsi="Times New Roman"/>
          <w:highlight w:val="none"/>
        </w:rPr>
      </w:pPr>
    </w:p>
    <w:p w14:paraId="766BE245">
      <w:pPr>
        <w:ind w:firstLine="0" w:firstLineChars="0"/>
        <w:jc w:val="center"/>
        <w:rPr>
          <w:rFonts w:ascii="Times New Roman" w:hAnsi="Times New Roman"/>
          <w:highlight w:val="none"/>
        </w:rPr>
      </w:pPr>
    </w:p>
    <w:p w14:paraId="02294D3E">
      <w:pPr>
        <w:spacing w:line="360" w:lineRule="auto"/>
        <w:jc w:val="right"/>
        <w:rPr>
          <w:rStyle w:val="23"/>
          <w:rFonts w:ascii="宋体"/>
          <w:b w:val="0"/>
          <w:sz w:val="28"/>
          <w:szCs w:val="28"/>
          <w:highlight w:val="none"/>
        </w:rPr>
      </w:pPr>
      <w:r>
        <w:rPr>
          <w:rStyle w:val="23"/>
          <w:rFonts w:hint="eastAsia" w:ascii="宋体"/>
          <w:b w:val="0"/>
          <w:sz w:val="28"/>
          <w:szCs w:val="28"/>
          <w:highlight w:val="none"/>
        </w:rPr>
        <w:t>编号：SXYH</w:t>
      </w:r>
      <w:r>
        <w:rPr>
          <w:rStyle w:val="23"/>
          <w:rFonts w:hint="eastAsia" w:ascii="宋体"/>
          <w:b w:val="0"/>
          <w:color w:val="FF0000"/>
          <w:sz w:val="28"/>
          <w:szCs w:val="28"/>
          <w:highlight w:val="none"/>
        </w:rPr>
        <w:t>202</w:t>
      </w:r>
    </w:p>
    <w:p w14:paraId="6B7C4222">
      <w:pPr>
        <w:spacing w:line="360" w:lineRule="auto"/>
        <w:jc w:val="center"/>
        <w:rPr>
          <w:rStyle w:val="23"/>
          <w:szCs w:val="21"/>
          <w:highlight w:val="none"/>
        </w:rPr>
      </w:pPr>
    </w:p>
    <w:p w14:paraId="573E9873">
      <w:pPr>
        <w:spacing w:line="360" w:lineRule="auto"/>
        <w:jc w:val="center"/>
        <w:rPr>
          <w:rStyle w:val="23"/>
          <w:szCs w:val="21"/>
          <w:highlight w:val="none"/>
        </w:rPr>
      </w:pPr>
    </w:p>
    <w:p w14:paraId="39804B89">
      <w:pPr>
        <w:spacing w:line="360" w:lineRule="auto"/>
        <w:jc w:val="center"/>
        <w:rPr>
          <w:rStyle w:val="23"/>
          <w:szCs w:val="21"/>
          <w:highlight w:val="none"/>
        </w:rPr>
      </w:pPr>
    </w:p>
    <w:p w14:paraId="2C8EB425">
      <w:pPr>
        <w:spacing w:line="360" w:lineRule="auto"/>
        <w:jc w:val="center"/>
        <w:rPr>
          <w:rStyle w:val="23"/>
          <w:szCs w:val="21"/>
          <w:highlight w:val="none"/>
        </w:rPr>
      </w:pPr>
    </w:p>
    <w:p w14:paraId="29104795">
      <w:pPr>
        <w:spacing w:line="360" w:lineRule="auto"/>
        <w:jc w:val="center"/>
        <w:rPr>
          <w:rStyle w:val="23"/>
          <w:rFonts w:ascii="宋体"/>
          <w:sz w:val="52"/>
          <w:szCs w:val="52"/>
          <w:highlight w:val="none"/>
        </w:rPr>
      </w:pPr>
      <w:r>
        <w:rPr>
          <w:rStyle w:val="23"/>
          <w:rFonts w:hint="eastAsia" w:ascii="宋体"/>
          <w:sz w:val="52"/>
          <w:szCs w:val="52"/>
          <w:highlight w:val="none"/>
        </w:rPr>
        <w:t>重庆三峡银行</w:t>
      </w:r>
    </w:p>
    <w:p w14:paraId="3D4E30C9">
      <w:pPr>
        <w:spacing w:line="360" w:lineRule="auto"/>
        <w:jc w:val="center"/>
        <w:rPr>
          <w:rStyle w:val="23"/>
          <w:sz w:val="36"/>
          <w:szCs w:val="21"/>
          <w:highlight w:val="none"/>
        </w:rPr>
      </w:pPr>
      <w:r>
        <w:rPr>
          <w:rStyle w:val="23"/>
          <w:rFonts w:ascii="宋体"/>
          <w:sz w:val="52"/>
          <w:szCs w:val="52"/>
          <w:highlight w:val="none"/>
        </w:rPr>
        <w:t>2024年度新一代核心系统持续优化项目</w:t>
      </w:r>
      <w:r>
        <w:rPr>
          <w:rStyle w:val="23"/>
          <w:rFonts w:hint="eastAsia" w:ascii="宋体"/>
          <w:sz w:val="52"/>
          <w:szCs w:val="52"/>
          <w:highlight w:val="none"/>
        </w:rPr>
        <w:t>合同</w:t>
      </w:r>
    </w:p>
    <w:p w14:paraId="4C4637AF">
      <w:pPr>
        <w:spacing w:line="360" w:lineRule="auto"/>
        <w:jc w:val="center"/>
        <w:rPr>
          <w:rStyle w:val="23"/>
          <w:szCs w:val="21"/>
          <w:highlight w:val="none"/>
        </w:rPr>
      </w:pPr>
    </w:p>
    <w:p w14:paraId="089281CF">
      <w:pPr>
        <w:spacing w:line="360" w:lineRule="auto"/>
        <w:jc w:val="center"/>
        <w:rPr>
          <w:rStyle w:val="23"/>
          <w:szCs w:val="21"/>
          <w:highlight w:val="none"/>
        </w:rPr>
      </w:pPr>
    </w:p>
    <w:p w14:paraId="1F3DF273">
      <w:pPr>
        <w:spacing w:line="360" w:lineRule="auto"/>
        <w:jc w:val="center"/>
        <w:rPr>
          <w:b/>
          <w:bCs/>
          <w:highlight w:val="none"/>
        </w:rPr>
      </w:pPr>
    </w:p>
    <w:p w14:paraId="430B49E9">
      <w:pPr>
        <w:spacing w:line="360" w:lineRule="auto"/>
        <w:jc w:val="center"/>
        <w:rPr>
          <w:b/>
          <w:bCs/>
          <w:highlight w:val="none"/>
        </w:rPr>
      </w:pPr>
    </w:p>
    <w:p w14:paraId="529A8DC5">
      <w:pPr>
        <w:spacing w:line="360" w:lineRule="auto"/>
        <w:jc w:val="center"/>
        <w:rPr>
          <w:b/>
          <w:bCs/>
          <w:highlight w:val="none"/>
        </w:rPr>
      </w:pPr>
    </w:p>
    <w:p w14:paraId="2DD5FB42">
      <w:pPr>
        <w:spacing w:line="360" w:lineRule="auto"/>
        <w:rPr>
          <w:b/>
          <w:bCs/>
          <w:highlight w:val="none"/>
        </w:rPr>
      </w:pPr>
    </w:p>
    <w:p w14:paraId="0B19B7AE">
      <w:pPr>
        <w:spacing w:line="360" w:lineRule="auto"/>
        <w:jc w:val="center"/>
        <w:rPr>
          <w:b/>
          <w:bCs/>
          <w:highlight w:val="none"/>
        </w:rPr>
      </w:pPr>
    </w:p>
    <w:p w14:paraId="5C4B0585">
      <w:pPr>
        <w:spacing w:line="360" w:lineRule="auto"/>
        <w:jc w:val="center"/>
        <w:rPr>
          <w:b/>
          <w:bCs/>
          <w:highlight w:val="none"/>
        </w:rPr>
      </w:pPr>
    </w:p>
    <w:p w14:paraId="73C15ADF">
      <w:pPr>
        <w:spacing w:line="360" w:lineRule="auto"/>
        <w:jc w:val="center"/>
        <w:rPr>
          <w:b/>
          <w:bCs/>
          <w:highlight w:val="none"/>
        </w:rPr>
      </w:pPr>
    </w:p>
    <w:p w14:paraId="48510F97">
      <w:pPr>
        <w:spacing w:line="360" w:lineRule="auto"/>
        <w:ind w:left="840" w:firstLine="420" w:firstLineChars="0"/>
        <w:rPr>
          <w:rFonts w:ascii="宋体"/>
          <w:b/>
          <w:bCs/>
          <w:sz w:val="28"/>
          <w:highlight w:val="none"/>
        </w:rPr>
      </w:pPr>
      <w:r>
        <w:rPr>
          <w:rFonts w:hint="eastAsia" w:ascii="宋体"/>
          <w:b/>
          <w:bCs/>
          <w:sz w:val="28"/>
          <w:highlight w:val="none"/>
        </w:rPr>
        <w:t>委托方（甲方）：重庆三峡银行股份有限公司</w:t>
      </w:r>
    </w:p>
    <w:p w14:paraId="7C4AD515">
      <w:pPr>
        <w:spacing w:line="360" w:lineRule="auto"/>
        <w:ind w:left="840" w:firstLine="420" w:firstLineChars="0"/>
        <w:rPr>
          <w:rFonts w:ascii="宋体"/>
          <w:b/>
          <w:bCs/>
          <w:sz w:val="28"/>
          <w:highlight w:val="none"/>
        </w:rPr>
      </w:pPr>
      <w:r>
        <w:rPr>
          <w:rFonts w:hint="eastAsia" w:ascii="宋体"/>
          <w:b/>
          <w:bCs/>
          <w:sz w:val="28"/>
          <w:highlight w:val="none"/>
        </w:rPr>
        <w:t>受托方（乙方）：XXXXXXXXXXX</w:t>
      </w:r>
    </w:p>
    <w:p w14:paraId="2CDB0A2B">
      <w:pPr>
        <w:spacing w:line="360" w:lineRule="auto"/>
        <w:ind w:left="840" w:firstLine="420" w:firstLineChars="0"/>
        <w:rPr>
          <w:rFonts w:ascii="宋体"/>
          <w:b/>
          <w:highlight w:val="none"/>
        </w:rPr>
      </w:pPr>
      <w:r>
        <w:rPr>
          <w:rFonts w:hint="eastAsia" w:ascii="宋体"/>
          <w:b/>
          <w:bCs/>
          <w:sz w:val="28"/>
          <w:highlight w:val="none"/>
        </w:rPr>
        <w:t>签订地点</w:t>
      </w:r>
      <w:r>
        <w:rPr>
          <w:rFonts w:hint="eastAsia" w:ascii="宋体"/>
          <w:b/>
          <w:sz w:val="28"/>
          <w:highlight w:val="none"/>
        </w:rPr>
        <w:t>：</w:t>
      </w:r>
    </w:p>
    <w:p w14:paraId="2418F27F">
      <w:pPr>
        <w:spacing w:line="360" w:lineRule="auto"/>
        <w:rPr>
          <w:b/>
          <w:sz w:val="32"/>
          <w:highlight w:val="none"/>
        </w:rPr>
      </w:pPr>
    </w:p>
    <w:p w14:paraId="1FF4667D">
      <w:pPr>
        <w:spacing w:line="360" w:lineRule="auto"/>
        <w:jc w:val="center"/>
        <w:rPr>
          <w:rFonts w:ascii="宋体"/>
          <w:b/>
          <w:sz w:val="32"/>
          <w:szCs w:val="32"/>
          <w:highlight w:val="none"/>
        </w:rPr>
      </w:pPr>
      <w:r>
        <w:rPr>
          <w:highlight w:val="none"/>
        </w:rPr>
        <w:br w:type="page"/>
      </w:r>
      <w:r>
        <w:rPr>
          <w:rFonts w:hint="eastAsia" w:ascii="宋体"/>
          <w:b/>
          <w:sz w:val="32"/>
          <w:szCs w:val="32"/>
          <w:highlight w:val="none"/>
        </w:rPr>
        <w:t>目    录</w:t>
      </w:r>
    </w:p>
    <w:p w14:paraId="741CD78E">
      <w:pPr>
        <w:pStyle w:val="18"/>
        <w:tabs>
          <w:tab w:val="right" w:leader="dot" w:pos="8302"/>
        </w:tabs>
        <w:rPr>
          <w:rFonts w:ascii="等线" w:eastAsia="等线"/>
          <w:sz w:val="21"/>
          <w:szCs w:val="22"/>
          <w:highlight w:val="none"/>
        </w:rPr>
      </w:pPr>
      <w:r>
        <w:rPr>
          <w:rFonts w:hint="eastAsia" w:ascii="宋体"/>
          <w:highlight w:val="none"/>
        </w:rPr>
        <w:fldChar w:fldCharType="begin"/>
      </w:r>
      <w:r>
        <w:rPr>
          <w:rFonts w:hint="eastAsia" w:ascii="宋体"/>
          <w:highlight w:val="none"/>
        </w:rPr>
        <w:instrText xml:space="preserve"> TOC \o "1-3" \n \h \z \u </w:instrText>
      </w:r>
      <w:r>
        <w:rPr>
          <w:rFonts w:hint="eastAsia" w:ascii="宋体"/>
          <w:highlight w:val="none"/>
        </w:rPr>
        <w:fldChar w:fldCharType="separate"/>
      </w:r>
      <w:r>
        <w:rPr>
          <w:highlight w:val="none"/>
        </w:rPr>
        <w:fldChar w:fldCharType="begin"/>
      </w:r>
      <w:r>
        <w:rPr>
          <w:highlight w:val="none"/>
        </w:rPr>
        <w:instrText xml:space="preserve">Hyperlink \l "_Toc63757457"</w:instrText>
      </w:r>
      <w:r>
        <w:rPr>
          <w:highlight w:val="none"/>
        </w:rPr>
        <w:fldChar w:fldCharType="separate"/>
      </w:r>
      <w:r>
        <w:rPr>
          <w:rFonts w:hint="eastAsia" w:ascii="宋体"/>
          <w:b/>
          <w:highlight w:val="none"/>
        </w:rPr>
        <w:t>第一条  定义</w:t>
      </w:r>
      <w:r>
        <w:rPr>
          <w:highlight w:val="none"/>
        </w:rPr>
        <w:fldChar w:fldCharType="end"/>
      </w:r>
    </w:p>
    <w:p w14:paraId="40B82577">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"_Toc63757458"</w:instrText>
      </w:r>
      <w:r>
        <w:rPr>
          <w:highlight w:val="none"/>
        </w:rPr>
        <w:fldChar w:fldCharType="separate"/>
      </w:r>
      <w:r>
        <w:rPr>
          <w:rFonts w:hint="eastAsia" w:ascii="宋体"/>
          <w:b/>
          <w:highlight w:val="none"/>
        </w:rPr>
        <w:t>第二条  外包开发内容</w:t>
      </w:r>
      <w:r>
        <w:rPr>
          <w:highlight w:val="none"/>
        </w:rPr>
        <w:fldChar w:fldCharType="end"/>
      </w:r>
    </w:p>
    <w:p w14:paraId="70385BCE">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"_Toc63757459"</w:instrText>
      </w:r>
      <w:r>
        <w:rPr>
          <w:highlight w:val="none"/>
        </w:rPr>
        <w:fldChar w:fldCharType="separate"/>
      </w:r>
      <w:r>
        <w:rPr>
          <w:rFonts w:hint="eastAsia" w:ascii="宋体"/>
          <w:b/>
          <w:highlight w:val="none"/>
        </w:rPr>
        <w:t>第三条  项目履行的进度、期限、地点、地域、方式</w:t>
      </w:r>
      <w:r>
        <w:rPr>
          <w:highlight w:val="none"/>
        </w:rPr>
        <w:fldChar w:fldCharType="end"/>
      </w:r>
    </w:p>
    <w:p w14:paraId="6A3032CB">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"_Toc63757460"</w:instrText>
      </w:r>
      <w:r>
        <w:rPr>
          <w:highlight w:val="none"/>
        </w:rPr>
        <w:fldChar w:fldCharType="separate"/>
      </w:r>
      <w:r>
        <w:rPr>
          <w:rFonts w:hint="eastAsia" w:ascii="宋体"/>
          <w:b/>
          <w:highlight w:val="none"/>
        </w:rPr>
        <w:t>第四条  方案调整</w:t>
      </w:r>
      <w:r>
        <w:rPr>
          <w:highlight w:val="none"/>
        </w:rPr>
        <w:fldChar w:fldCharType="end"/>
      </w:r>
    </w:p>
    <w:p w14:paraId="64699FD4">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"_Toc63757461"</w:instrText>
      </w:r>
      <w:r>
        <w:rPr>
          <w:highlight w:val="none"/>
        </w:rPr>
        <w:fldChar w:fldCharType="separate"/>
      </w:r>
      <w:r>
        <w:rPr>
          <w:rFonts w:hint="eastAsia" w:ascii="宋体"/>
          <w:b/>
          <w:highlight w:val="none"/>
        </w:rPr>
        <w:t>第五条  项目验收</w:t>
      </w:r>
      <w:r>
        <w:rPr>
          <w:highlight w:val="none"/>
        </w:rPr>
        <w:fldChar w:fldCharType="end"/>
      </w:r>
    </w:p>
    <w:p w14:paraId="1BA16662">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"_Toc63757462"</w:instrText>
      </w:r>
      <w:r>
        <w:rPr>
          <w:highlight w:val="none"/>
        </w:rPr>
        <w:fldChar w:fldCharType="separate"/>
      </w:r>
      <w:r>
        <w:rPr>
          <w:rFonts w:hint="eastAsia" w:ascii="宋体"/>
          <w:b/>
          <w:highlight w:val="none"/>
        </w:rPr>
        <w:t>第六条  交付使用后维护期、系统完善和保修维护服务</w:t>
      </w:r>
      <w:r>
        <w:rPr>
          <w:highlight w:val="none"/>
        </w:rPr>
        <w:fldChar w:fldCharType="end"/>
      </w:r>
    </w:p>
    <w:p w14:paraId="7BE287D8">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"_Toc63757463"</w:instrText>
      </w:r>
      <w:r>
        <w:rPr>
          <w:highlight w:val="none"/>
        </w:rPr>
        <w:fldChar w:fldCharType="separate"/>
      </w:r>
      <w:r>
        <w:rPr>
          <w:rFonts w:hint="eastAsia" w:ascii="宋体"/>
          <w:b/>
          <w:highlight w:val="none"/>
        </w:rPr>
        <w:t>第七条  技术辅导与培训</w:t>
      </w:r>
      <w:r>
        <w:rPr>
          <w:highlight w:val="none"/>
        </w:rPr>
        <w:fldChar w:fldCharType="end"/>
      </w:r>
    </w:p>
    <w:p w14:paraId="3632E669">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"_Toc63757464"</w:instrText>
      </w:r>
      <w:r>
        <w:rPr>
          <w:highlight w:val="none"/>
        </w:rPr>
        <w:fldChar w:fldCharType="separate"/>
      </w:r>
      <w:r>
        <w:rPr>
          <w:rFonts w:hint="eastAsia" w:ascii="宋体"/>
          <w:b/>
          <w:highlight w:val="none"/>
        </w:rPr>
        <w:t>第八条  双方的权利、义务</w:t>
      </w:r>
      <w:r>
        <w:rPr>
          <w:highlight w:val="none"/>
        </w:rPr>
        <w:fldChar w:fldCharType="end"/>
      </w:r>
    </w:p>
    <w:p w14:paraId="12119693">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"_Toc63757465"</w:instrText>
      </w:r>
      <w:r>
        <w:rPr>
          <w:highlight w:val="none"/>
        </w:rPr>
        <w:fldChar w:fldCharType="separate"/>
      </w:r>
      <w:r>
        <w:rPr>
          <w:rFonts w:hint="eastAsia" w:ascii="宋体"/>
          <w:b/>
          <w:highlight w:val="none"/>
        </w:rPr>
        <w:t>第九条  乙方的声明与保证</w:t>
      </w:r>
      <w:r>
        <w:rPr>
          <w:highlight w:val="none"/>
        </w:rPr>
        <w:fldChar w:fldCharType="end"/>
      </w:r>
    </w:p>
    <w:p w14:paraId="7BB8C91C">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"_Toc63757466"</w:instrText>
      </w:r>
      <w:r>
        <w:rPr>
          <w:highlight w:val="none"/>
        </w:rPr>
        <w:fldChar w:fldCharType="separate"/>
      </w:r>
      <w:r>
        <w:rPr>
          <w:rFonts w:hint="eastAsia" w:ascii="宋体"/>
          <w:b/>
          <w:highlight w:val="none"/>
        </w:rPr>
        <w:t>第十条  知识产权</w:t>
      </w:r>
      <w:r>
        <w:rPr>
          <w:highlight w:val="none"/>
        </w:rPr>
        <w:fldChar w:fldCharType="end"/>
      </w:r>
    </w:p>
    <w:p w14:paraId="47DE146C">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"_Toc63757467"</w:instrText>
      </w:r>
      <w:r>
        <w:rPr>
          <w:highlight w:val="none"/>
        </w:rPr>
        <w:fldChar w:fldCharType="separate"/>
      </w:r>
      <w:r>
        <w:rPr>
          <w:rFonts w:hint="eastAsia" w:ascii="宋体"/>
          <w:b/>
          <w:highlight w:val="none"/>
        </w:rPr>
        <w:t>第十一条  第三方索赔</w:t>
      </w:r>
      <w:r>
        <w:rPr>
          <w:highlight w:val="none"/>
        </w:rPr>
        <w:fldChar w:fldCharType="end"/>
      </w:r>
    </w:p>
    <w:p w14:paraId="78AA4C58">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"_Toc63757468"</w:instrText>
      </w:r>
      <w:r>
        <w:rPr>
          <w:highlight w:val="none"/>
        </w:rPr>
        <w:fldChar w:fldCharType="separate"/>
      </w:r>
      <w:r>
        <w:rPr>
          <w:rFonts w:hint="eastAsia" w:ascii="宋体"/>
          <w:b/>
          <w:highlight w:val="none"/>
        </w:rPr>
        <w:t>第十二条  保密</w:t>
      </w:r>
      <w:r>
        <w:rPr>
          <w:highlight w:val="none"/>
        </w:rPr>
        <w:fldChar w:fldCharType="end"/>
      </w:r>
    </w:p>
    <w:p w14:paraId="59FE7A4F">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"_Toc63757469"</w:instrText>
      </w:r>
      <w:r>
        <w:rPr>
          <w:highlight w:val="none"/>
        </w:rPr>
        <w:fldChar w:fldCharType="separate"/>
      </w:r>
      <w:r>
        <w:rPr>
          <w:rFonts w:hint="eastAsia" w:ascii="宋体"/>
          <w:b/>
          <w:highlight w:val="none"/>
        </w:rPr>
        <w:t>第十三条  价</w:t>
      </w:r>
      <w:bookmarkStart w:id="98" w:name="_Hlt107490703"/>
      <w:r>
        <w:rPr>
          <w:rFonts w:hint="eastAsia" w:ascii="宋体"/>
          <w:b/>
          <w:highlight w:val="none"/>
        </w:rPr>
        <w:t>格</w:t>
      </w:r>
      <w:bookmarkEnd w:id="98"/>
      <w:r>
        <w:rPr>
          <w:rFonts w:hint="eastAsia" w:ascii="宋体"/>
          <w:b/>
          <w:highlight w:val="none"/>
        </w:rPr>
        <w:t>与支付</w:t>
      </w:r>
      <w:r>
        <w:rPr>
          <w:highlight w:val="none"/>
        </w:rPr>
        <w:fldChar w:fldCharType="end"/>
      </w:r>
    </w:p>
    <w:p w14:paraId="337C1316">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"_Toc63757470"</w:instrText>
      </w:r>
      <w:r>
        <w:rPr>
          <w:highlight w:val="none"/>
        </w:rPr>
        <w:fldChar w:fldCharType="separate"/>
      </w:r>
      <w:r>
        <w:rPr>
          <w:rFonts w:hint="eastAsia" w:ascii="宋体"/>
          <w:b/>
          <w:highlight w:val="none"/>
        </w:rPr>
        <w:t>第十四条  风险责任的承担</w:t>
      </w:r>
      <w:r>
        <w:rPr>
          <w:highlight w:val="none"/>
        </w:rPr>
        <w:fldChar w:fldCharType="end"/>
      </w:r>
    </w:p>
    <w:p w14:paraId="12FE2BEB">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"_Toc63757471"</w:instrText>
      </w:r>
      <w:r>
        <w:rPr>
          <w:highlight w:val="none"/>
        </w:rPr>
        <w:fldChar w:fldCharType="separate"/>
      </w:r>
      <w:r>
        <w:rPr>
          <w:rFonts w:hint="eastAsia" w:ascii="宋体"/>
          <w:b/>
          <w:highlight w:val="none"/>
        </w:rPr>
        <w:t>第十五条  违约与赔偿</w:t>
      </w:r>
      <w:r>
        <w:rPr>
          <w:highlight w:val="none"/>
        </w:rPr>
        <w:fldChar w:fldCharType="end"/>
      </w:r>
    </w:p>
    <w:p w14:paraId="19C8B77F">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"_Toc63757472"</w:instrText>
      </w:r>
      <w:r>
        <w:rPr>
          <w:highlight w:val="none"/>
        </w:rPr>
        <w:fldChar w:fldCharType="separate"/>
      </w:r>
      <w:r>
        <w:rPr>
          <w:rFonts w:hint="eastAsia" w:ascii="宋体"/>
          <w:b/>
          <w:highlight w:val="none"/>
        </w:rPr>
        <w:t>第十六条  合同的解除</w:t>
      </w:r>
      <w:r>
        <w:rPr>
          <w:highlight w:val="none"/>
        </w:rPr>
        <w:fldChar w:fldCharType="end"/>
      </w:r>
    </w:p>
    <w:p w14:paraId="0DE2EA94">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"_Toc63757473"</w:instrText>
      </w:r>
      <w:r>
        <w:rPr>
          <w:highlight w:val="none"/>
        </w:rPr>
        <w:fldChar w:fldCharType="separate"/>
      </w:r>
      <w:r>
        <w:rPr>
          <w:rFonts w:hint="eastAsia" w:ascii="宋体"/>
          <w:b/>
          <w:highlight w:val="none"/>
        </w:rPr>
        <w:t>第十七条  合同变更及转让</w:t>
      </w:r>
      <w:r>
        <w:rPr>
          <w:highlight w:val="none"/>
        </w:rPr>
        <w:fldChar w:fldCharType="end"/>
      </w:r>
    </w:p>
    <w:p w14:paraId="1FB7400D">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"_Toc63757474"</w:instrText>
      </w:r>
      <w:r>
        <w:rPr>
          <w:highlight w:val="none"/>
        </w:rPr>
        <w:fldChar w:fldCharType="separate"/>
      </w:r>
      <w:r>
        <w:rPr>
          <w:rFonts w:hint="eastAsia" w:ascii="宋体"/>
          <w:b/>
          <w:highlight w:val="none"/>
        </w:rPr>
        <w:t>第十八条  争议解决</w:t>
      </w:r>
      <w:r>
        <w:rPr>
          <w:highlight w:val="none"/>
        </w:rPr>
        <w:fldChar w:fldCharType="end"/>
      </w:r>
    </w:p>
    <w:p w14:paraId="359DFC1F">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"_Toc63757475"</w:instrText>
      </w:r>
      <w:r>
        <w:rPr>
          <w:highlight w:val="none"/>
        </w:rPr>
        <w:fldChar w:fldCharType="separate"/>
      </w:r>
      <w:r>
        <w:rPr>
          <w:rFonts w:hint="eastAsia" w:ascii="宋体"/>
          <w:b/>
          <w:highlight w:val="none"/>
        </w:rPr>
        <w:t>第十九条 通知与送达</w:t>
      </w:r>
      <w:r>
        <w:rPr>
          <w:highlight w:val="none"/>
        </w:rPr>
        <w:fldChar w:fldCharType="end"/>
      </w:r>
    </w:p>
    <w:p w14:paraId="3629C3E9">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"_Toc63757476"</w:instrText>
      </w:r>
      <w:r>
        <w:rPr>
          <w:highlight w:val="none"/>
        </w:rPr>
        <w:fldChar w:fldCharType="separate"/>
      </w:r>
      <w:r>
        <w:rPr>
          <w:rFonts w:hint="eastAsia" w:ascii="宋体"/>
          <w:b/>
          <w:highlight w:val="none"/>
        </w:rPr>
        <w:t>第二十条  合同生效</w:t>
      </w:r>
      <w:r>
        <w:rPr>
          <w:highlight w:val="none"/>
        </w:rPr>
        <w:fldChar w:fldCharType="end"/>
      </w:r>
    </w:p>
    <w:p w14:paraId="51821516">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"_Toc63757477"</w:instrText>
      </w:r>
      <w:r>
        <w:rPr>
          <w:highlight w:val="none"/>
        </w:rPr>
        <w:fldChar w:fldCharType="separate"/>
      </w:r>
      <w:r>
        <w:rPr>
          <w:rFonts w:hint="eastAsia" w:ascii="宋体"/>
          <w:b/>
          <w:highlight w:val="none"/>
        </w:rPr>
        <w:t>第二十一条  不可抗力</w:t>
      </w:r>
      <w:r>
        <w:rPr>
          <w:highlight w:val="none"/>
        </w:rPr>
        <w:fldChar w:fldCharType="end"/>
      </w:r>
    </w:p>
    <w:p w14:paraId="43B9EC56">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"_Toc63757478"</w:instrText>
      </w:r>
      <w:r>
        <w:rPr>
          <w:highlight w:val="none"/>
        </w:rPr>
        <w:fldChar w:fldCharType="separate"/>
      </w:r>
      <w:r>
        <w:rPr>
          <w:rFonts w:hint="eastAsia" w:ascii="宋体"/>
          <w:b/>
          <w:highlight w:val="none"/>
        </w:rPr>
        <w:t>第二十二条  反商业贿赂</w:t>
      </w:r>
      <w:r>
        <w:rPr>
          <w:highlight w:val="none"/>
        </w:rPr>
        <w:fldChar w:fldCharType="end"/>
      </w:r>
    </w:p>
    <w:p w14:paraId="31DF57B0">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"_Toc63757479"</w:instrText>
      </w:r>
      <w:r>
        <w:rPr>
          <w:highlight w:val="none"/>
        </w:rPr>
        <w:fldChar w:fldCharType="separate"/>
      </w:r>
      <w:r>
        <w:rPr>
          <w:rFonts w:hint="eastAsia" w:ascii="宋体"/>
          <w:b/>
          <w:highlight w:val="none"/>
        </w:rPr>
        <w:t>第二十三条  附件</w:t>
      </w:r>
      <w:r>
        <w:rPr>
          <w:highlight w:val="none"/>
        </w:rPr>
        <w:fldChar w:fldCharType="end"/>
      </w:r>
    </w:p>
    <w:p w14:paraId="05044C93">
      <w:pPr>
        <w:pStyle w:val="18"/>
        <w:tabs>
          <w:tab w:val="right" w:leader="dot" w:pos="8302"/>
        </w:tabs>
        <w:rPr>
          <w:rFonts w:ascii="等线" w:eastAsia="等线"/>
          <w:sz w:val="21"/>
          <w:szCs w:val="22"/>
          <w:highlight w:val="none"/>
        </w:rPr>
      </w:pPr>
      <w:r>
        <w:rPr>
          <w:highlight w:val="none"/>
        </w:rPr>
        <w:fldChar w:fldCharType="begin"/>
      </w:r>
      <w:r>
        <w:rPr>
          <w:highlight w:val="none"/>
        </w:rPr>
        <w:instrText xml:space="preserve">Hyperlink \l "_Toc63757480"</w:instrText>
      </w:r>
      <w:r>
        <w:rPr>
          <w:highlight w:val="none"/>
        </w:rPr>
        <w:fldChar w:fldCharType="separate"/>
      </w:r>
      <w:r>
        <w:rPr>
          <w:rFonts w:hint="eastAsia" w:ascii="宋体"/>
          <w:b/>
          <w:highlight w:val="none"/>
        </w:rPr>
        <w:t>第二十四条  其他</w:t>
      </w:r>
      <w:r>
        <w:rPr>
          <w:highlight w:val="none"/>
        </w:rPr>
        <w:fldChar w:fldCharType="end"/>
      </w:r>
    </w:p>
    <w:p w14:paraId="09F26A90">
      <w:pPr>
        <w:pStyle w:val="18"/>
        <w:tabs>
          <w:tab w:val="right" w:leader="dot" w:pos="8302"/>
        </w:tabs>
        <w:spacing w:line="350" w:lineRule="auto"/>
        <w:rPr>
          <w:rFonts w:ascii="宋体"/>
          <w:highlight w:val="none"/>
        </w:rPr>
      </w:pPr>
      <w:r>
        <w:rPr>
          <w:rFonts w:hint="eastAsia" w:ascii="宋体"/>
          <w:highlight w:val="none"/>
        </w:rPr>
        <w:fldChar w:fldCharType="end"/>
      </w:r>
    </w:p>
    <w:p w14:paraId="56066801">
      <w:pPr>
        <w:spacing w:line="360" w:lineRule="auto"/>
        <w:rPr>
          <w:rFonts w:ascii="宋体"/>
          <w:highlight w:val="none"/>
        </w:rPr>
      </w:pPr>
    </w:p>
    <w:p w14:paraId="31A0D1A5">
      <w:pPr>
        <w:spacing w:line="360" w:lineRule="auto"/>
        <w:rPr>
          <w:rFonts w:ascii="宋体"/>
          <w:b/>
          <w:highlight w:val="none"/>
          <w:u w:val="single"/>
        </w:rPr>
      </w:pPr>
      <w:r>
        <w:rPr>
          <w:rFonts w:hint="eastAsia" w:ascii="宋体"/>
          <w:highlight w:val="none"/>
        </w:rPr>
        <w:br w:type="page"/>
      </w:r>
      <w:r>
        <w:rPr>
          <w:rFonts w:hint="eastAsia" w:ascii="宋体"/>
          <w:b/>
          <w:highlight w:val="none"/>
        </w:rPr>
        <w:t>委托方: 重庆三峡银行股份有限公司（以下简称“甲方”）</w:t>
      </w:r>
    </w:p>
    <w:p w14:paraId="2CE07CC7">
      <w:pPr>
        <w:spacing w:line="360" w:lineRule="auto"/>
        <w:rPr>
          <w:rFonts w:ascii="宋体"/>
          <w:highlight w:val="none"/>
        </w:rPr>
      </w:pPr>
      <w:r>
        <w:rPr>
          <w:rFonts w:hint="eastAsia" w:ascii="宋体"/>
          <w:highlight w:val="none"/>
        </w:rPr>
        <w:t>法定代表人：刘江桥</w:t>
      </w:r>
    </w:p>
    <w:p w14:paraId="7BE9C87D">
      <w:pPr>
        <w:spacing w:line="360" w:lineRule="auto"/>
        <w:rPr>
          <w:rFonts w:ascii="宋体"/>
          <w:highlight w:val="none"/>
        </w:rPr>
      </w:pPr>
      <w:r>
        <w:rPr>
          <w:rFonts w:hint="eastAsia" w:ascii="宋体"/>
          <w:highlight w:val="none"/>
        </w:rPr>
        <w:t>地址：</w:t>
      </w:r>
      <w:r>
        <w:rPr>
          <w:rFonts w:ascii="宋体"/>
          <w:highlight w:val="none"/>
        </w:rPr>
        <w:t>重庆市渝北区嘉州路88号中渝国际都会4号写字楼</w:t>
      </w:r>
    </w:p>
    <w:p w14:paraId="021E211D">
      <w:pPr>
        <w:spacing w:line="360" w:lineRule="auto"/>
        <w:rPr>
          <w:rFonts w:ascii="宋体"/>
          <w:highlight w:val="none"/>
        </w:rPr>
      </w:pPr>
      <w:r>
        <w:rPr>
          <w:rFonts w:hint="eastAsia" w:ascii="宋体"/>
          <w:highlight w:val="none"/>
        </w:rPr>
        <w:t>邮政编码：</w:t>
      </w:r>
    </w:p>
    <w:p w14:paraId="04EB1CEC">
      <w:pPr>
        <w:spacing w:line="360" w:lineRule="auto"/>
        <w:rPr>
          <w:rFonts w:ascii="宋体"/>
          <w:highlight w:val="none"/>
        </w:rPr>
      </w:pPr>
      <w:r>
        <w:rPr>
          <w:rFonts w:hint="eastAsia" w:ascii="宋体"/>
          <w:highlight w:val="none"/>
        </w:rPr>
        <w:t xml:space="preserve">联系人： </w:t>
      </w:r>
    </w:p>
    <w:p w14:paraId="261293AB">
      <w:pPr>
        <w:spacing w:line="360" w:lineRule="auto"/>
        <w:rPr>
          <w:rFonts w:ascii="宋体"/>
          <w:highlight w:val="none"/>
        </w:rPr>
      </w:pPr>
      <w:r>
        <w:rPr>
          <w:rFonts w:hint="eastAsia" w:ascii="宋体"/>
          <w:highlight w:val="none"/>
        </w:rPr>
        <w:t>电话：</w:t>
      </w:r>
    </w:p>
    <w:p w14:paraId="2CB91B00">
      <w:pPr>
        <w:spacing w:line="360" w:lineRule="auto"/>
        <w:rPr>
          <w:rFonts w:ascii="宋体"/>
          <w:highlight w:val="none"/>
        </w:rPr>
      </w:pPr>
      <w:r>
        <w:rPr>
          <w:rFonts w:hint="eastAsia" w:ascii="宋体"/>
          <w:highlight w:val="none"/>
        </w:rPr>
        <w:t>传真：</w:t>
      </w:r>
    </w:p>
    <w:p w14:paraId="30257839">
      <w:pPr>
        <w:spacing w:line="360" w:lineRule="auto"/>
        <w:rPr>
          <w:rFonts w:ascii="宋体"/>
          <w:highlight w:val="none"/>
        </w:rPr>
      </w:pPr>
      <w:r>
        <w:rPr>
          <w:rFonts w:hint="eastAsia" w:ascii="宋体"/>
          <w:highlight w:val="none"/>
        </w:rPr>
        <w:t>电子邮箱：</w:t>
      </w:r>
    </w:p>
    <w:p w14:paraId="4391F7A7">
      <w:pPr>
        <w:spacing w:line="360" w:lineRule="auto"/>
        <w:rPr>
          <w:rFonts w:ascii="宋体"/>
          <w:highlight w:val="none"/>
        </w:rPr>
      </w:pPr>
    </w:p>
    <w:p w14:paraId="5ED945DA">
      <w:pPr>
        <w:spacing w:line="360" w:lineRule="auto"/>
        <w:rPr>
          <w:rFonts w:ascii="宋体"/>
          <w:b/>
          <w:highlight w:val="none"/>
        </w:rPr>
      </w:pPr>
      <w:r>
        <w:rPr>
          <w:rFonts w:hint="eastAsia" w:ascii="宋体"/>
          <w:b/>
          <w:highlight w:val="none"/>
        </w:rPr>
        <w:t>受托方：XXXXXXXXXXXXX（以下简称“乙方”）</w:t>
      </w:r>
    </w:p>
    <w:p w14:paraId="5A94E6BD">
      <w:pPr>
        <w:spacing w:line="360" w:lineRule="auto"/>
        <w:rPr>
          <w:rFonts w:ascii="宋体"/>
          <w:highlight w:val="none"/>
        </w:rPr>
      </w:pPr>
      <w:r>
        <w:rPr>
          <w:rFonts w:hint="eastAsia" w:ascii="宋体"/>
          <w:highlight w:val="none"/>
        </w:rPr>
        <w:t xml:space="preserve">法定代表人： </w:t>
      </w:r>
    </w:p>
    <w:p w14:paraId="3EE97972">
      <w:pPr>
        <w:spacing w:line="360" w:lineRule="auto"/>
        <w:rPr>
          <w:rFonts w:ascii="宋体"/>
          <w:highlight w:val="none"/>
        </w:rPr>
      </w:pPr>
      <w:r>
        <w:rPr>
          <w:rFonts w:hint="eastAsia" w:ascii="宋体"/>
          <w:highlight w:val="none"/>
        </w:rPr>
        <w:t>地址：</w:t>
      </w:r>
    </w:p>
    <w:p w14:paraId="7F704571">
      <w:pPr>
        <w:spacing w:line="360" w:lineRule="auto"/>
        <w:rPr>
          <w:rFonts w:ascii="宋体"/>
          <w:highlight w:val="none"/>
        </w:rPr>
      </w:pPr>
      <w:r>
        <w:rPr>
          <w:rFonts w:hint="eastAsia" w:ascii="宋体"/>
          <w:highlight w:val="none"/>
        </w:rPr>
        <w:t>邮政编码：</w:t>
      </w:r>
    </w:p>
    <w:p w14:paraId="37134C77">
      <w:pPr>
        <w:spacing w:line="360" w:lineRule="auto"/>
        <w:rPr>
          <w:rFonts w:ascii="宋体"/>
          <w:highlight w:val="none"/>
        </w:rPr>
      </w:pPr>
      <w:r>
        <w:rPr>
          <w:rFonts w:hint="eastAsia" w:ascii="宋体"/>
          <w:highlight w:val="none"/>
        </w:rPr>
        <w:t xml:space="preserve">开户银行： </w:t>
      </w:r>
    </w:p>
    <w:p w14:paraId="4D57C8FE">
      <w:pPr>
        <w:spacing w:line="360" w:lineRule="auto"/>
        <w:rPr>
          <w:rFonts w:ascii="宋体"/>
          <w:highlight w:val="none"/>
        </w:rPr>
      </w:pPr>
      <w:r>
        <w:rPr>
          <w:rFonts w:hint="eastAsia" w:ascii="宋体"/>
          <w:highlight w:val="none"/>
        </w:rPr>
        <w:t xml:space="preserve">账号：  </w:t>
      </w:r>
    </w:p>
    <w:p w14:paraId="3DDA3056">
      <w:pPr>
        <w:spacing w:line="360" w:lineRule="auto"/>
        <w:rPr>
          <w:rFonts w:ascii="宋体"/>
          <w:highlight w:val="none"/>
        </w:rPr>
      </w:pPr>
      <w:r>
        <w:rPr>
          <w:rFonts w:hint="eastAsia" w:ascii="宋体"/>
          <w:highlight w:val="none"/>
        </w:rPr>
        <w:t>税号：</w:t>
      </w:r>
    </w:p>
    <w:p w14:paraId="548C6455">
      <w:pPr>
        <w:spacing w:line="360" w:lineRule="auto"/>
        <w:rPr>
          <w:rFonts w:ascii="宋体"/>
          <w:highlight w:val="none"/>
        </w:rPr>
      </w:pPr>
      <w:r>
        <w:rPr>
          <w:rFonts w:hint="eastAsia" w:ascii="宋体"/>
          <w:highlight w:val="none"/>
        </w:rPr>
        <w:t xml:space="preserve">联系人： </w:t>
      </w:r>
    </w:p>
    <w:p w14:paraId="4863A69F">
      <w:pPr>
        <w:spacing w:line="360" w:lineRule="auto"/>
        <w:rPr>
          <w:rFonts w:ascii="宋体"/>
          <w:highlight w:val="none"/>
        </w:rPr>
      </w:pPr>
      <w:r>
        <w:rPr>
          <w:rFonts w:hint="eastAsia" w:ascii="宋体"/>
          <w:highlight w:val="none"/>
        </w:rPr>
        <w:t>电话：</w:t>
      </w:r>
    </w:p>
    <w:p w14:paraId="7F36A48F">
      <w:pPr>
        <w:spacing w:line="360" w:lineRule="auto"/>
        <w:rPr>
          <w:rFonts w:ascii="宋体"/>
          <w:highlight w:val="none"/>
        </w:rPr>
      </w:pPr>
      <w:r>
        <w:rPr>
          <w:rFonts w:hint="eastAsia" w:ascii="宋体"/>
          <w:highlight w:val="none"/>
        </w:rPr>
        <w:t>手机：</w:t>
      </w:r>
    </w:p>
    <w:p w14:paraId="4E1DA2B9">
      <w:pPr>
        <w:spacing w:line="360" w:lineRule="auto"/>
        <w:rPr>
          <w:rFonts w:ascii="宋体"/>
          <w:highlight w:val="none"/>
        </w:rPr>
      </w:pPr>
      <w:r>
        <w:rPr>
          <w:rFonts w:hint="eastAsia" w:ascii="宋体"/>
          <w:highlight w:val="none"/>
        </w:rPr>
        <w:t>传真：</w:t>
      </w:r>
    </w:p>
    <w:p w14:paraId="696F6F67">
      <w:pPr>
        <w:spacing w:line="360" w:lineRule="auto"/>
        <w:rPr>
          <w:rFonts w:ascii="宋体"/>
          <w:highlight w:val="none"/>
          <w:lang w:val="en-GB"/>
        </w:rPr>
      </w:pPr>
      <w:r>
        <w:rPr>
          <w:rFonts w:hint="eastAsia" w:ascii="宋体"/>
          <w:highlight w:val="none"/>
        </w:rPr>
        <w:t>电子邮箱：</w:t>
      </w:r>
    </w:p>
    <w:p w14:paraId="6AF275FC">
      <w:pPr>
        <w:spacing w:line="360" w:lineRule="auto"/>
        <w:rPr>
          <w:rFonts w:ascii="宋体"/>
          <w:b/>
          <w:highlight w:val="none"/>
        </w:rPr>
      </w:pPr>
      <w:r>
        <w:rPr>
          <w:rFonts w:hint="eastAsia" w:ascii="宋体"/>
          <w:highlight w:val="none"/>
        </w:rPr>
        <w:br w:type="page"/>
      </w:r>
      <w:r>
        <w:rPr>
          <w:rFonts w:hint="eastAsia" w:ascii="宋体"/>
          <w:b/>
          <w:highlight w:val="none"/>
        </w:rPr>
        <w:t>鉴于：</w:t>
      </w:r>
    </w:p>
    <w:p w14:paraId="33ACBE17">
      <w:pPr>
        <w:spacing w:line="360" w:lineRule="auto"/>
        <w:rPr>
          <w:rFonts w:ascii="宋体"/>
          <w:highlight w:val="none"/>
        </w:rPr>
      </w:pPr>
      <w:r>
        <w:rPr>
          <w:rStyle w:val="37"/>
          <w:rFonts w:hint="eastAsia" w:ascii="宋体"/>
          <w:kern w:val="0"/>
          <w:highlight w:val="none"/>
        </w:rPr>
        <w:t>乙方具有良好的开发实施能力，甲乙双方经友好协商并达成一致，依据相关法律、法规的规定，就甲方委托乙方进行项目实施与技术支持相关事宜订立本合同，</w:t>
      </w:r>
      <w:r>
        <w:rPr>
          <w:rFonts w:hint="eastAsia" w:ascii="宋体"/>
          <w:highlight w:val="none"/>
        </w:rPr>
        <w:t>以资信守：</w:t>
      </w:r>
    </w:p>
    <w:p w14:paraId="2050AC20">
      <w:pPr>
        <w:spacing w:line="360" w:lineRule="auto"/>
        <w:ind w:firstLine="428" w:firstLineChars="0"/>
        <w:rPr>
          <w:rFonts w:ascii="宋体"/>
          <w:highlight w:val="none"/>
        </w:rPr>
      </w:pPr>
    </w:p>
    <w:p w14:paraId="5A8F35BB">
      <w:pPr>
        <w:spacing w:line="360" w:lineRule="auto"/>
        <w:ind w:firstLine="472" w:firstLineChars="196"/>
        <w:outlineLvl w:val="0"/>
        <w:rPr>
          <w:rFonts w:ascii="宋体"/>
          <w:b/>
          <w:highlight w:val="none"/>
        </w:rPr>
      </w:pPr>
      <w:bookmarkStart w:id="99" w:name="_Toc63757457"/>
      <w:r>
        <w:rPr>
          <w:rFonts w:hint="eastAsia" w:ascii="宋体"/>
          <w:b/>
          <w:highlight w:val="none"/>
        </w:rPr>
        <w:t>第一条  定义</w:t>
      </w:r>
      <w:bookmarkEnd w:id="99"/>
    </w:p>
    <w:p w14:paraId="19F54BEC">
      <w:pPr>
        <w:spacing w:line="360" w:lineRule="auto"/>
        <w:rPr>
          <w:rFonts w:ascii="宋体"/>
          <w:highlight w:val="none"/>
        </w:rPr>
      </w:pPr>
      <w:r>
        <w:rPr>
          <w:rFonts w:hint="eastAsia" w:ascii="宋体"/>
          <w:highlight w:val="none"/>
        </w:rPr>
        <w:t>在本合同中，除非有相反的表述，下列术语具有如下含义：</w:t>
      </w:r>
    </w:p>
    <w:p w14:paraId="4CF1EE21">
      <w:pPr>
        <w:spacing w:line="360" w:lineRule="auto"/>
        <w:rPr>
          <w:rFonts w:ascii="宋体"/>
          <w:highlight w:val="none"/>
        </w:rPr>
      </w:pPr>
      <w:r>
        <w:rPr>
          <w:rFonts w:hint="eastAsia" w:ascii="宋体"/>
          <w:highlight w:val="none"/>
        </w:rPr>
        <w:t>1.1“项目”系指乙方受甲方委托，单独为本合同目的依据合同附件一《工作（需求）说明书》的产品实施与数据迁移服务。</w:t>
      </w:r>
    </w:p>
    <w:p w14:paraId="283CA310">
      <w:pPr>
        <w:spacing w:line="360" w:lineRule="auto"/>
        <w:rPr>
          <w:rFonts w:ascii="宋体"/>
          <w:highlight w:val="none"/>
        </w:rPr>
      </w:pPr>
      <w:r>
        <w:rPr>
          <w:rFonts w:hint="eastAsia" w:ascii="宋体"/>
          <w:highlight w:val="none"/>
        </w:rPr>
        <w:t>1.2“客户化工作”指项目交付乙方后乙方对甲方的需求进行开发实施。</w:t>
      </w:r>
    </w:p>
    <w:p w14:paraId="391711F9">
      <w:pPr>
        <w:spacing w:line="360" w:lineRule="auto"/>
        <w:rPr>
          <w:rFonts w:ascii="宋体"/>
          <w:highlight w:val="none"/>
        </w:rPr>
      </w:pPr>
      <w:r>
        <w:rPr>
          <w:rFonts w:hint="eastAsia" w:ascii="宋体"/>
          <w:highlight w:val="none"/>
        </w:rPr>
        <w:t>1.3“产品实施数据迁移”指乙方产品的安装配置和业务数据迁移服务。</w:t>
      </w:r>
    </w:p>
    <w:p w14:paraId="12ADD447">
      <w:pPr>
        <w:spacing w:line="360" w:lineRule="auto"/>
        <w:rPr>
          <w:rFonts w:ascii="宋体"/>
          <w:highlight w:val="none"/>
        </w:rPr>
      </w:pPr>
      <w:r>
        <w:rPr>
          <w:rFonts w:hint="eastAsia" w:ascii="宋体"/>
          <w:highlight w:val="none"/>
        </w:rPr>
        <w:t>1.4“</w:t>
      </w:r>
      <w:r>
        <w:rPr>
          <w:rFonts w:hint="eastAsia" w:ascii="宋体"/>
          <w:highlight w:val="none"/>
          <w:lang w:val="en-GB"/>
        </w:rPr>
        <w:t>XXXXX系统</w:t>
      </w:r>
      <w:r>
        <w:rPr>
          <w:rFonts w:hint="eastAsia" w:ascii="宋体"/>
          <w:highlight w:val="none"/>
        </w:rPr>
        <w:t>业务”指乙方提供给甲方的附件一中所涵盖的业务功能。</w:t>
      </w:r>
    </w:p>
    <w:p w14:paraId="0DC1DBFB">
      <w:pPr>
        <w:spacing w:line="360" w:lineRule="auto"/>
        <w:ind w:left="-2" w:leftChars="-1"/>
        <w:rPr>
          <w:rFonts w:ascii="宋体" w:cs="宋体"/>
          <w:szCs w:val="24"/>
          <w:highlight w:val="none"/>
        </w:rPr>
      </w:pPr>
      <w:r>
        <w:rPr>
          <w:rFonts w:hint="eastAsia" w:ascii="宋体" w:cs="宋体"/>
          <w:szCs w:val="24"/>
          <w:highlight w:val="none"/>
        </w:rPr>
        <w:t>1.5“缺陷逃逸率”：后一测试阶段测试期间发现的缺陷个数/（当前测试期间所发现的缺陷个数+后一测试期间发现的缺陷个数）。</w:t>
      </w:r>
    </w:p>
    <w:p w14:paraId="4F5977F1">
      <w:pPr>
        <w:spacing w:line="360" w:lineRule="auto"/>
        <w:ind w:left="-2" w:leftChars="-1"/>
        <w:rPr>
          <w:rFonts w:ascii="宋体" w:cs="宋体"/>
          <w:szCs w:val="24"/>
          <w:highlight w:val="none"/>
        </w:rPr>
      </w:pPr>
      <w:r>
        <w:rPr>
          <w:rFonts w:hint="eastAsia" w:ascii="宋体" w:cs="宋体"/>
          <w:szCs w:val="24"/>
          <w:highlight w:val="none"/>
        </w:rPr>
        <w:t>1.6“试运行”：项目上线后进入试运行阶段，项目试运行至少3个月。在试运行期间，甲方随时将发现的逃逸的缺陷通知乙方，乙方在最快的时间内予以响应。</w:t>
      </w:r>
    </w:p>
    <w:p w14:paraId="2127D970">
      <w:pPr>
        <w:spacing w:line="360" w:lineRule="auto"/>
        <w:ind w:left="-2" w:leftChars="-1"/>
        <w:rPr>
          <w:rFonts w:ascii="宋体" w:cs="宋体"/>
          <w:szCs w:val="24"/>
          <w:highlight w:val="none"/>
        </w:rPr>
      </w:pPr>
      <w:r>
        <w:rPr>
          <w:rFonts w:hint="eastAsia" w:ascii="宋体" w:cs="宋体"/>
          <w:szCs w:val="24"/>
          <w:highlight w:val="none"/>
        </w:rPr>
        <w:t>1.7“响应时间”：指乙方就甲方提出的问题予以答复的时间。</w:t>
      </w:r>
    </w:p>
    <w:p w14:paraId="0255D42A">
      <w:pPr>
        <w:spacing w:line="360" w:lineRule="auto"/>
        <w:ind w:left="-2" w:leftChars="-1"/>
        <w:rPr>
          <w:rFonts w:ascii="宋体" w:cs="宋体"/>
          <w:szCs w:val="24"/>
          <w:highlight w:val="none"/>
        </w:rPr>
      </w:pPr>
      <w:r>
        <w:rPr>
          <w:rFonts w:hint="eastAsia" w:ascii="宋体" w:cs="宋体"/>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367F5185">
      <w:pPr>
        <w:spacing w:line="360" w:lineRule="auto"/>
        <w:ind w:left="-2" w:leftChars="-1"/>
        <w:rPr>
          <w:rFonts w:ascii="宋体" w:cs="宋体"/>
          <w:szCs w:val="24"/>
          <w:highlight w:val="none"/>
        </w:rPr>
      </w:pPr>
      <w:r>
        <w:rPr>
          <w:rFonts w:hint="eastAsia" w:ascii="宋体" w:cs="宋体"/>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569B1319">
      <w:pPr>
        <w:spacing w:line="360" w:lineRule="auto"/>
        <w:ind w:left="-2" w:leftChars="-1"/>
        <w:rPr>
          <w:rFonts w:ascii="宋体" w:cs="宋体"/>
          <w:szCs w:val="24"/>
          <w:highlight w:val="none"/>
        </w:rPr>
      </w:pPr>
      <w:r>
        <w:rPr>
          <w:rFonts w:hint="eastAsia" w:ascii="宋体" w:cs="宋体"/>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740B0E60">
      <w:pPr>
        <w:spacing w:line="360" w:lineRule="auto"/>
        <w:ind w:left="-2" w:leftChars="-1"/>
        <w:rPr>
          <w:rFonts w:ascii="宋体" w:cs="宋体"/>
          <w:szCs w:val="24"/>
          <w:highlight w:val="none"/>
        </w:rPr>
      </w:pPr>
      <w:r>
        <w:rPr>
          <w:rFonts w:hint="eastAsia" w:ascii="宋体" w:cs="宋体"/>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3596193">
      <w:pPr>
        <w:spacing w:line="360" w:lineRule="auto"/>
        <w:ind w:left="-2" w:leftChars="-1"/>
        <w:rPr>
          <w:rFonts w:ascii="宋体" w:cs="宋体"/>
          <w:szCs w:val="24"/>
          <w:highlight w:val="none"/>
        </w:rPr>
      </w:pPr>
      <w:r>
        <w:rPr>
          <w:rFonts w:hint="eastAsia" w:ascii="宋体" w:cs="宋体"/>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750176E2">
      <w:pPr>
        <w:spacing w:line="360" w:lineRule="auto"/>
        <w:ind w:left="-2" w:leftChars="-1"/>
        <w:rPr>
          <w:rFonts w:ascii="宋体" w:cs="宋体"/>
          <w:szCs w:val="24"/>
          <w:highlight w:val="none"/>
        </w:rPr>
      </w:pPr>
      <w:r>
        <w:rPr>
          <w:rFonts w:hint="eastAsia" w:ascii="宋体" w:cs="宋体"/>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07D73E59">
      <w:pPr>
        <w:spacing w:line="360" w:lineRule="auto"/>
        <w:ind w:left="-2" w:leftChars="-1"/>
        <w:rPr>
          <w:rFonts w:ascii="宋体" w:cs="宋体"/>
          <w:szCs w:val="24"/>
          <w:highlight w:val="none"/>
        </w:rPr>
      </w:pPr>
      <w:r>
        <w:rPr>
          <w:rFonts w:hint="eastAsia" w:ascii="宋体" w:cs="宋体"/>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708A17CF">
      <w:pPr>
        <w:spacing w:line="360" w:lineRule="auto"/>
        <w:ind w:left="-2" w:leftChars="-1"/>
        <w:rPr>
          <w:rFonts w:ascii="宋体"/>
          <w:szCs w:val="24"/>
          <w:highlight w:val="none"/>
        </w:rPr>
      </w:pPr>
      <w:r>
        <w:rPr>
          <w:rFonts w:hint="eastAsia" w:ascii="宋体"/>
          <w:szCs w:val="24"/>
          <w:highlight w:val="none"/>
        </w:rPr>
        <w:t>1.15“重大缺陷”：指严重缺陷和致命缺陷。</w:t>
      </w:r>
    </w:p>
    <w:p w14:paraId="5C3311B2">
      <w:pPr>
        <w:spacing w:line="360" w:lineRule="auto"/>
        <w:ind w:left="560" w:hanging="560" w:firstLineChars="0"/>
        <w:rPr>
          <w:rFonts w:ascii="宋体"/>
          <w:highlight w:val="none"/>
        </w:rPr>
      </w:pPr>
    </w:p>
    <w:p w14:paraId="141ED1E5">
      <w:pPr>
        <w:spacing w:line="360" w:lineRule="auto"/>
        <w:ind w:firstLine="472" w:firstLineChars="196"/>
        <w:outlineLvl w:val="0"/>
        <w:rPr>
          <w:rFonts w:ascii="宋体"/>
          <w:b/>
          <w:highlight w:val="none"/>
        </w:rPr>
      </w:pPr>
      <w:bookmarkStart w:id="100" w:name="_Toc63757458"/>
      <w:r>
        <w:rPr>
          <w:rFonts w:hint="eastAsia" w:ascii="宋体"/>
          <w:b/>
          <w:highlight w:val="none"/>
        </w:rPr>
        <w:t xml:space="preserve">第二条  </w:t>
      </w:r>
      <w:bookmarkStart w:id="101" w:name="_Toc58337493"/>
      <w:r>
        <w:rPr>
          <w:rFonts w:hint="eastAsia" w:ascii="宋体"/>
          <w:b/>
          <w:highlight w:val="none"/>
        </w:rPr>
        <w:t>外包开发内容</w:t>
      </w:r>
      <w:bookmarkEnd w:id="100"/>
      <w:bookmarkEnd w:id="101"/>
    </w:p>
    <w:p w14:paraId="099FA57B">
      <w:pPr>
        <w:spacing w:line="360" w:lineRule="auto"/>
        <w:rPr>
          <w:rFonts w:ascii="宋体"/>
          <w:highlight w:val="none"/>
        </w:rPr>
      </w:pPr>
      <w:r>
        <w:rPr>
          <w:rFonts w:hint="eastAsia" w:ascii="宋体"/>
          <w:highlight w:val="none"/>
        </w:rPr>
        <w:t>2.1本项目系由甲方委托乙方负责实施。</w:t>
      </w:r>
    </w:p>
    <w:p w14:paraId="5B85AEEB">
      <w:pPr>
        <w:spacing w:line="360" w:lineRule="auto"/>
        <w:rPr>
          <w:rFonts w:ascii="宋体"/>
          <w:highlight w:val="none"/>
        </w:rPr>
      </w:pPr>
      <w:bookmarkStart w:id="102" w:name="_Toc58337494"/>
      <w:r>
        <w:rPr>
          <w:rFonts w:hint="eastAsia" w:ascii="宋体"/>
          <w:highlight w:val="none"/>
        </w:rPr>
        <w:t>2.2开发内容</w:t>
      </w:r>
      <w:bookmarkEnd w:id="102"/>
    </w:p>
    <w:p w14:paraId="01A55D69">
      <w:pPr>
        <w:spacing w:line="360" w:lineRule="auto"/>
        <w:rPr>
          <w:rFonts w:ascii="宋体"/>
          <w:highlight w:val="none"/>
        </w:rPr>
      </w:pPr>
      <w:r>
        <w:rPr>
          <w:rFonts w:hint="eastAsia" w:ascii="宋体"/>
          <w:highlight w:val="none"/>
        </w:rPr>
        <w:t>此处扼要地阐述外包开发内容，详细内容见附件一。如果已经存在独立的外包说明书，请指明出处。</w:t>
      </w:r>
    </w:p>
    <w:p w14:paraId="4D2F1AF2">
      <w:pPr>
        <w:spacing w:line="360" w:lineRule="auto"/>
        <w:rPr>
          <w:rFonts w:ascii="宋体"/>
          <w:highlight w:val="none"/>
        </w:rPr>
      </w:pPr>
      <w:bookmarkStart w:id="103" w:name="_Toc58337495"/>
      <w:r>
        <w:rPr>
          <w:rFonts w:hint="eastAsia" w:ascii="宋体"/>
          <w:highlight w:val="none"/>
        </w:rPr>
        <w:t>2.3技术指标和质量要求</w:t>
      </w:r>
      <w:bookmarkEnd w:id="103"/>
      <w:r>
        <w:rPr>
          <w:rFonts w:hint="eastAsia" w:ascii="宋体"/>
          <w:highlight w:val="none"/>
        </w:rPr>
        <w:t>。</w:t>
      </w:r>
    </w:p>
    <w:p w14:paraId="32C29FC1">
      <w:pPr>
        <w:spacing w:line="360" w:lineRule="auto"/>
        <w:rPr>
          <w:rFonts w:ascii="宋体"/>
          <w:highlight w:val="none"/>
        </w:rPr>
      </w:pPr>
      <w:r>
        <w:rPr>
          <w:rFonts w:hint="eastAsia" w:ascii="宋体"/>
          <w:highlight w:val="none"/>
        </w:rPr>
        <w:t>请描述。</w:t>
      </w:r>
    </w:p>
    <w:p w14:paraId="1B344AE4">
      <w:pPr>
        <w:snapToGrid w:val="0"/>
        <w:rPr>
          <w:rFonts w:ascii="宋体"/>
          <w:highlight w:val="none"/>
        </w:rPr>
      </w:pPr>
      <w:r>
        <w:rPr>
          <w:rFonts w:hint="eastAsia" w:ascii="宋体"/>
          <w:highlight w:val="none"/>
        </w:rPr>
        <w:t>见附件一、附件四。</w:t>
      </w:r>
    </w:p>
    <w:p w14:paraId="3E75110C">
      <w:pPr>
        <w:spacing w:line="360" w:lineRule="auto"/>
        <w:rPr>
          <w:rFonts w:ascii="宋体"/>
          <w:highlight w:val="none"/>
        </w:rPr>
      </w:pPr>
      <w:bookmarkStart w:id="104" w:name="_Toc58337496"/>
      <w:r>
        <w:rPr>
          <w:rFonts w:hint="eastAsia" w:ascii="宋体"/>
          <w:highlight w:val="none"/>
        </w:rPr>
        <w:t>2.4应当遵循的标准和规范</w:t>
      </w:r>
      <w:bookmarkEnd w:id="104"/>
      <w:r>
        <w:rPr>
          <w:rFonts w:hint="eastAsia" w:ascii="宋体"/>
          <w:highlight w:val="none"/>
        </w:rPr>
        <w:t>。</w:t>
      </w:r>
    </w:p>
    <w:p w14:paraId="128F1862">
      <w:pPr>
        <w:spacing w:line="360" w:lineRule="auto"/>
        <w:ind w:firstLine="420" w:firstLineChars="0"/>
        <w:rPr>
          <w:rFonts w:ascii="宋体"/>
          <w:highlight w:val="none"/>
        </w:rPr>
      </w:pPr>
      <w:r>
        <w:rPr>
          <w:rFonts w:hint="eastAsia" w:ascii="宋体"/>
          <w:highlight w:val="none"/>
          <w:lang w:val="zh-CN" w:eastAsia="zh-CN"/>
        </w:rPr>
        <w:t>乙方交付的XXXXX系统应当满足国家相关法律法规、监管政策和行业标准，需满足甲方各类内部管理要求，包括信息安全管理相关要求、客户信息保护相关要求、数据标准相关要求，涉及银联卡支付的需满足</w:t>
      </w:r>
      <w:r>
        <w:rPr>
          <w:rFonts w:hint="eastAsia" w:ascii="宋体"/>
          <w:highlight w:val="none"/>
        </w:rPr>
        <w:t>《银联卡支付信息安全管理标准》。（有国家标准、具体技术标准的可列明标准名称）</w:t>
      </w:r>
    </w:p>
    <w:p w14:paraId="65DE9180">
      <w:pPr>
        <w:spacing w:line="360" w:lineRule="auto"/>
        <w:ind w:firstLine="472" w:firstLineChars="196"/>
        <w:outlineLvl w:val="0"/>
        <w:rPr>
          <w:rFonts w:ascii="宋体"/>
          <w:b/>
          <w:highlight w:val="none"/>
        </w:rPr>
      </w:pPr>
      <w:bookmarkStart w:id="105" w:name="_Toc63757459"/>
      <w:r>
        <w:rPr>
          <w:rFonts w:hint="eastAsia" w:ascii="宋体"/>
          <w:b/>
          <w:highlight w:val="none"/>
        </w:rPr>
        <w:t>第三条  项目履行的进度、期限、地点、地域、方式</w:t>
      </w:r>
      <w:bookmarkEnd w:id="105"/>
    </w:p>
    <w:p w14:paraId="41B8C713">
      <w:pPr>
        <w:spacing w:line="360" w:lineRule="auto"/>
        <w:rPr>
          <w:rFonts w:ascii="宋体"/>
          <w:highlight w:val="none"/>
        </w:rPr>
      </w:pPr>
      <w:r>
        <w:rPr>
          <w:rFonts w:hint="eastAsia" w:ascii="宋体"/>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highlight w:val="none"/>
        </w:rPr>
        <w:t>替换人员技术水平或级别需不低于</w:t>
      </w:r>
      <w:r>
        <w:rPr>
          <w:rFonts w:hint="eastAsia" w:ascii="宋体"/>
          <w:highlight w:val="none"/>
        </w:rPr>
        <w:t>被替换的人员</w:t>
      </w:r>
      <w:r>
        <w:rPr>
          <w:rFonts w:hint="eastAsia" w:ascii="宋体"/>
          <w:kern w:val="0"/>
          <w:highlight w:val="none"/>
        </w:rPr>
        <w:t>水平或级别</w:t>
      </w:r>
      <w:r>
        <w:rPr>
          <w:rFonts w:hint="eastAsia" w:ascii="宋体"/>
          <w:highlight w:val="none"/>
        </w:rPr>
        <w:t>，并需通过甲方考察并取得甲方同意，否则甲方有权要求更换。</w:t>
      </w:r>
    </w:p>
    <w:p w14:paraId="48F12704">
      <w:pPr>
        <w:spacing w:line="360" w:lineRule="auto"/>
        <w:rPr>
          <w:rFonts w:ascii="宋体"/>
          <w:highlight w:val="none"/>
        </w:rPr>
      </w:pPr>
      <w:r>
        <w:rPr>
          <w:rFonts w:hint="eastAsia" w:ascii="宋体"/>
          <w:highlight w:val="none"/>
        </w:rPr>
        <w:t>3.2进度：乙方应严格按照3.3所列示的期限完成项目实施任务。</w:t>
      </w:r>
    </w:p>
    <w:p w14:paraId="36BD6A78">
      <w:pPr>
        <w:spacing w:line="360" w:lineRule="auto"/>
        <w:rPr>
          <w:rFonts w:ascii="宋体"/>
          <w:highlight w:val="none"/>
        </w:rPr>
      </w:pPr>
      <w:r>
        <w:rPr>
          <w:rFonts w:hint="eastAsia" w:ascii="宋体"/>
          <w:highlight w:val="none"/>
        </w:rPr>
        <w:t>3.3期限：上线时间为    年    月     日前</w:t>
      </w:r>
    </w:p>
    <w:p w14:paraId="428C78E6">
      <w:pPr>
        <w:spacing w:line="360" w:lineRule="auto"/>
        <w:rPr>
          <w:rFonts w:ascii="宋体"/>
          <w:highlight w:val="none"/>
        </w:rPr>
      </w:pPr>
      <w:r>
        <w:rPr>
          <w:rFonts w:hint="eastAsia" w:ascii="宋体"/>
          <w:highlight w:val="none"/>
        </w:rPr>
        <w:t>3.4地点：乙方完成项目实施工作的地点为：</w:t>
      </w:r>
      <w:r>
        <w:rPr>
          <w:rFonts w:hint="eastAsia" w:ascii="宋体"/>
          <w:highlight w:val="none"/>
          <w:u w:val="single"/>
        </w:rPr>
        <w:t>重庆</w:t>
      </w:r>
      <w:r>
        <w:rPr>
          <w:rFonts w:hint="eastAsia" w:ascii="宋体"/>
          <w:highlight w:val="none"/>
        </w:rPr>
        <w:t>；【驻场/远程】实施。</w:t>
      </w:r>
    </w:p>
    <w:p w14:paraId="45EAA45C">
      <w:pPr>
        <w:spacing w:line="360" w:lineRule="auto"/>
        <w:rPr>
          <w:rFonts w:ascii="宋体"/>
          <w:highlight w:val="none"/>
        </w:rPr>
      </w:pPr>
      <w:r>
        <w:rPr>
          <w:rFonts w:hint="eastAsia" w:ascii="宋体"/>
          <w:highlight w:val="none"/>
        </w:rPr>
        <w:t xml:space="preserve">3.5地域：本项目适用机构所在地域包括： </w:t>
      </w:r>
      <w:r>
        <w:rPr>
          <w:rFonts w:hint="eastAsia" w:ascii="宋体"/>
          <w:highlight w:val="none"/>
          <w:u w:val="single"/>
        </w:rPr>
        <w:t xml:space="preserve">重庆三峡银行总行各部门及辖内各经营机构 </w:t>
      </w:r>
      <w:r>
        <w:rPr>
          <w:rFonts w:hint="eastAsia" w:ascii="宋体"/>
          <w:highlight w:val="none"/>
        </w:rPr>
        <w:t>。</w:t>
      </w:r>
    </w:p>
    <w:p w14:paraId="6A59D5BC">
      <w:pPr>
        <w:spacing w:line="360" w:lineRule="auto"/>
        <w:rPr>
          <w:rFonts w:ascii="宋体"/>
          <w:highlight w:val="none"/>
        </w:rPr>
      </w:pPr>
      <w:r>
        <w:rPr>
          <w:rFonts w:hint="eastAsia" w:ascii="宋体"/>
          <w:highlight w:val="none"/>
        </w:rPr>
        <w:t>3.6方式：</w:t>
      </w:r>
    </w:p>
    <w:p w14:paraId="1973C695">
      <w:pPr>
        <w:spacing w:line="360" w:lineRule="auto"/>
        <w:rPr>
          <w:rFonts w:ascii="宋体"/>
          <w:highlight w:val="none"/>
        </w:rPr>
      </w:pPr>
      <w:r>
        <w:rPr>
          <w:rFonts w:hint="eastAsia" w:ascii="宋体"/>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2DCF6C5D">
      <w:pPr>
        <w:spacing w:line="360" w:lineRule="auto"/>
        <w:rPr>
          <w:rFonts w:ascii="宋体"/>
          <w:highlight w:val="none"/>
        </w:rPr>
      </w:pPr>
      <w:r>
        <w:rPr>
          <w:rFonts w:hint="eastAsia" w:ascii="宋体"/>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0AE62053">
      <w:pPr>
        <w:spacing w:line="360" w:lineRule="auto"/>
        <w:ind w:left="1080" w:leftChars="200" w:hanging="600" w:hangingChars="250"/>
        <w:rPr>
          <w:rFonts w:ascii="宋体"/>
          <w:highlight w:val="none"/>
        </w:rPr>
      </w:pPr>
    </w:p>
    <w:p w14:paraId="3A8F6F4B">
      <w:pPr>
        <w:spacing w:line="360" w:lineRule="auto"/>
        <w:ind w:firstLine="472" w:firstLineChars="196"/>
        <w:outlineLvl w:val="0"/>
        <w:rPr>
          <w:highlight w:val="none"/>
        </w:rPr>
      </w:pPr>
      <w:bookmarkStart w:id="106" w:name="_Toc63757460"/>
      <w:r>
        <w:rPr>
          <w:rFonts w:hint="eastAsia" w:ascii="宋体"/>
          <w:b/>
          <w:highlight w:val="none"/>
        </w:rPr>
        <w:t>第四条  方案调整</w:t>
      </w:r>
      <w:bookmarkEnd w:id="106"/>
      <w:r>
        <w:rPr>
          <w:rFonts w:hint="eastAsia"/>
          <w:highlight w:val="none"/>
        </w:rPr>
        <w:t xml:space="preserve"> </w:t>
      </w:r>
    </w:p>
    <w:p w14:paraId="556C7B0C">
      <w:pPr>
        <w:spacing w:line="360" w:lineRule="auto"/>
        <w:rPr>
          <w:rFonts w:ascii="宋体"/>
          <w:highlight w:val="none"/>
        </w:rPr>
      </w:pPr>
      <w:r>
        <w:rPr>
          <w:rStyle w:val="37"/>
          <w:rFonts w:hint="eastAsia" w:ascii="宋体"/>
          <w:kern w:val="0"/>
          <w:highlight w:val="none"/>
        </w:rPr>
        <w:t>4.1因甲方原因提出导致增加【 】∕人∕月以上工作量的需求变更，</w:t>
      </w:r>
      <w:r>
        <w:rPr>
          <w:rFonts w:hint="eastAsia" w:ascii="宋体"/>
          <w:highlight w:val="none"/>
        </w:rPr>
        <w:t>须通知乙方并由乙方确认</w:t>
      </w:r>
      <w:r>
        <w:rPr>
          <w:rStyle w:val="37"/>
          <w:rFonts w:hint="eastAsia" w:ascii="宋体"/>
          <w:kern w:val="0"/>
          <w:highlight w:val="none"/>
        </w:rPr>
        <w:t>，对此</w:t>
      </w:r>
      <w:r>
        <w:rPr>
          <w:rFonts w:hint="eastAsia" w:ascii="宋体"/>
          <w:highlight w:val="none"/>
        </w:rPr>
        <w:t>变更给乙方带来的额外劳动部分甲乙双方协商解决，由此变更导致项目进度延期不构成违约。但4.2款确认的，由乙方原因引起的工作量，甲方无需承担任何费用。</w:t>
      </w:r>
    </w:p>
    <w:p w14:paraId="69F2F55D">
      <w:pPr>
        <w:spacing w:line="360" w:lineRule="auto"/>
        <w:rPr>
          <w:rFonts w:ascii="宋体"/>
          <w:highlight w:val="none"/>
        </w:rPr>
      </w:pPr>
      <w:r>
        <w:rPr>
          <w:rFonts w:hint="eastAsia" w:ascii="宋体"/>
          <w:highlight w:val="none"/>
        </w:rPr>
        <w:t>4.2 方案一经双方确认，任何一方有方案调整意见，均需与对方签字确认。</w:t>
      </w:r>
    </w:p>
    <w:p w14:paraId="52BDAF65">
      <w:pPr>
        <w:spacing w:line="360" w:lineRule="auto"/>
        <w:ind w:left="420"/>
        <w:rPr>
          <w:rFonts w:ascii="宋体"/>
          <w:highlight w:val="none"/>
        </w:rPr>
      </w:pPr>
    </w:p>
    <w:p w14:paraId="5A722B6A">
      <w:pPr>
        <w:spacing w:line="360" w:lineRule="auto"/>
        <w:ind w:firstLine="472" w:firstLineChars="196"/>
        <w:outlineLvl w:val="0"/>
        <w:rPr>
          <w:rFonts w:ascii="宋体"/>
          <w:b/>
          <w:highlight w:val="none"/>
        </w:rPr>
      </w:pPr>
      <w:bookmarkStart w:id="107" w:name="_Toc63757461"/>
      <w:r>
        <w:rPr>
          <w:rFonts w:hint="eastAsia" w:ascii="宋体"/>
          <w:b/>
          <w:highlight w:val="none"/>
        </w:rPr>
        <w:t>第五条  项目验收</w:t>
      </w:r>
      <w:bookmarkEnd w:id="107"/>
    </w:p>
    <w:p w14:paraId="177953BB">
      <w:pPr>
        <w:pStyle w:val="10"/>
        <w:spacing w:before="0" w:beforeLines="0" w:line="360" w:lineRule="auto"/>
        <w:ind w:left="0" w:leftChars="0"/>
        <w:rPr>
          <w:rFonts w:ascii="宋体" w:eastAsia="宋体"/>
          <w:spacing w:val="0"/>
          <w:kern w:val="0"/>
          <w:highlight w:val="none"/>
        </w:rPr>
      </w:pPr>
      <w:r>
        <w:rPr>
          <w:rFonts w:hint="eastAsia" w:ascii="宋体" w:eastAsia="宋体"/>
          <w:spacing w:val="0"/>
          <w:kern w:val="0"/>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eastAsia="宋体"/>
          <w:bCs/>
          <w:spacing w:val="0"/>
          <w:kern w:val="0"/>
          <w:highlight w:val="none"/>
        </w:rPr>
        <w:t>本合同中的产品出现的任何问题，乙方应及时解决，保证试运行期间的稳定运行，试运行期间若出现</w:t>
      </w:r>
      <w:r>
        <w:rPr>
          <w:rFonts w:hint="eastAsia" w:ascii="宋体" w:eastAsia="宋体" w:cs="宋体"/>
          <w:bCs/>
          <w:spacing w:val="0"/>
          <w:kern w:val="0"/>
          <w:highlight w:val="none"/>
        </w:rPr>
        <w:t>较大运营中断事件（III级）及以上，乙方应予以立即解决，从出现中断事件至排除故障或解决问题期间的时间不计入试运行期，系统验收时间向后顺延。</w:t>
      </w:r>
      <w:r>
        <w:rPr>
          <w:rFonts w:hint="eastAsia" w:ascii="宋体" w:eastAsia="宋体"/>
          <w:spacing w:val="0"/>
          <w:kern w:val="0"/>
          <w:highlight w:val="none"/>
        </w:rPr>
        <w:t>在符合甲方项目预期目标且试运行满</w:t>
      </w:r>
      <w:r>
        <w:rPr>
          <w:rFonts w:hint="eastAsia" w:ascii="宋体" w:eastAsia="宋体"/>
          <w:spacing w:val="0"/>
          <w:kern w:val="0"/>
          <w:highlight w:val="none"/>
          <w:u w:val="single"/>
        </w:rPr>
        <w:t>三个月</w:t>
      </w:r>
      <w:r>
        <w:rPr>
          <w:rFonts w:hint="eastAsia" w:ascii="宋体" w:eastAsia="宋体"/>
          <w:spacing w:val="0"/>
          <w:kern w:val="0"/>
          <w:highlight w:val="none"/>
        </w:rPr>
        <w:t>后，由甲方按照合同约定进行正式验收，验收通过后签署验收表或验收报告。</w:t>
      </w:r>
    </w:p>
    <w:p w14:paraId="571E3EE2">
      <w:pPr>
        <w:pStyle w:val="10"/>
        <w:spacing w:before="0" w:beforeLines="0" w:line="360" w:lineRule="auto"/>
        <w:ind w:left="0" w:leftChars="0"/>
        <w:rPr>
          <w:rFonts w:ascii="宋体" w:eastAsia="宋体"/>
          <w:spacing w:val="0"/>
          <w:kern w:val="0"/>
          <w:highlight w:val="none"/>
        </w:rPr>
      </w:pPr>
      <w:r>
        <w:rPr>
          <w:rFonts w:hint="eastAsia" w:ascii="宋体" w:eastAsia="宋体"/>
          <w:spacing w:val="0"/>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32BDDA62">
      <w:pPr>
        <w:pStyle w:val="10"/>
        <w:spacing w:before="0" w:beforeLines="0" w:line="360" w:lineRule="auto"/>
        <w:ind w:left="0" w:leftChars="0"/>
        <w:rPr>
          <w:rStyle w:val="37"/>
          <w:rFonts w:ascii="宋体" w:eastAsia="宋体"/>
          <w:spacing w:val="0"/>
          <w:kern w:val="0"/>
          <w:highlight w:val="none"/>
        </w:rPr>
      </w:pPr>
    </w:p>
    <w:p w14:paraId="74D4B94A">
      <w:pPr>
        <w:spacing w:line="360" w:lineRule="auto"/>
        <w:ind w:firstLine="472" w:firstLineChars="196"/>
        <w:outlineLvl w:val="0"/>
        <w:rPr>
          <w:rFonts w:ascii="宋体"/>
          <w:b/>
          <w:highlight w:val="none"/>
        </w:rPr>
      </w:pPr>
      <w:bookmarkStart w:id="108" w:name="_Toc63757462"/>
      <w:r>
        <w:rPr>
          <w:rFonts w:hint="eastAsia" w:ascii="宋体"/>
          <w:b/>
          <w:highlight w:val="none"/>
        </w:rPr>
        <w:t>第六条  交付使用后维护期、系统完善和保修维护服务</w:t>
      </w:r>
      <w:bookmarkEnd w:id="108"/>
    </w:p>
    <w:p w14:paraId="06F65CA7">
      <w:pPr>
        <w:tabs>
          <w:tab w:val="left" w:pos="851"/>
        </w:tabs>
        <w:spacing w:line="360" w:lineRule="auto"/>
        <w:rPr>
          <w:rFonts w:ascii="宋体"/>
          <w:highlight w:val="none"/>
        </w:rPr>
      </w:pPr>
      <w:r>
        <w:rPr>
          <w:rFonts w:hint="eastAsia" w:ascii="宋体"/>
          <w:highlight w:val="none"/>
        </w:rPr>
        <w:t>6.1本合同金额包含【】年维护，维护期为自本产品</w:t>
      </w:r>
      <w:r>
        <w:rPr>
          <w:rFonts w:hint="eastAsia" w:ascii="宋体"/>
          <w:kern w:val="0"/>
          <w:highlight w:val="none"/>
        </w:rPr>
        <w:t>正式</w:t>
      </w:r>
      <w:r>
        <w:rPr>
          <w:rFonts w:hint="eastAsia" w:ascii="宋体"/>
          <w:highlight w:val="none"/>
        </w:rPr>
        <w:t>验收合格后次日至次年并延期至6月30日或12月31日中较近日期（即维保延期最长不超过半年）。</w:t>
      </w:r>
    </w:p>
    <w:p w14:paraId="498D3AD4">
      <w:pPr>
        <w:tabs>
          <w:tab w:val="left" w:pos="851"/>
        </w:tabs>
        <w:spacing w:line="360" w:lineRule="auto"/>
        <w:rPr>
          <w:rFonts w:ascii="宋体"/>
          <w:highlight w:val="none"/>
        </w:rPr>
      </w:pPr>
      <w:r>
        <w:rPr>
          <w:rFonts w:hint="eastAsia" w:ascii="宋体"/>
          <w:highlight w:val="none"/>
        </w:rPr>
        <w:t>6.2本合同产品的有偿技术服务期为本合同第6.1条约定的维护期到期之日起</w:t>
      </w:r>
      <w:r>
        <w:rPr>
          <w:rFonts w:hint="eastAsia" w:ascii="宋体"/>
          <w:highlight w:val="none"/>
          <w:u w:val="single"/>
        </w:rPr>
        <w:t>10</w:t>
      </w:r>
      <w:r>
        <w:rPr>
          <w:rFonts w:hint="eastAsia" w:ascii="宋体"/>
          <w:highlight w:val="none"/>
        </w:rPr>
        <w:t>年。本项目产品服务期内（包括本合同第6.1条约定的维护期与有偿技术服务期）如甲方对照附件一发现项目存在技术缺陷和隐蔽瑕疵，乙方应负责予以解决并应承担相应法律责任。</w:t>
      </w:r>
    </w:p>
    <w:p w14:paraId="46A16C88">
      <w:pPr>
        <w:spacing w:line="360" w:lineRule="auto"/>
        <w:rPr>
          <w:rFonts w:ascii="宋体"/>
          <w:highlight w:val="none"/>
        </w:rPr>
      </w:pPr>
      <w:r>
        <w:rPr>
          <w:rFonts w:hint="eastAsia" w:ascii="宋体"/>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747FB13">
      <w:pPr>
        <w:spacing w:line="360" w:lineRule="auto"/>
        <w:rPr>
          <w:rFonts w:ascii="宋体"/>
          <w:highlight w:val="none"/>
        </w:rPr>
      </w:pPr>
      <w:r>
        <w:rPr>
          <w:rFonts w:hint="eastAsia" w:ascii="宋体"/>
          <w:highlight w:val="none"/>
        </w:rPr>
        <w:t>6.4本合同第6.1条约定的维护期与有偿技术服务期内，服务内容和服务方式详见附件四《维护服务条款》。</w:t>
      </w:r>
    </w:p>
    <w:p w14:paraId="621E2C95">
      <w:pPr>
        <w:spacing w:line="360" w:lineRule="auto"/>
        <w:rPr>
          <w:rFonts w:ascii="宋体"/>
          <w:highlight w:val="none"/>
        </w:rPr>
      </w:pPr>
      <w:r>
        <w:rPr>
          <w:rFonts w:hint="eastAsia" w:ascii="宋体"/>
          <w:highlight w:val="none"/>
        </w:rPr>
        <w:t>6.5上述服务，不包括由下列事件引起的故障：</w:t>
      </w:r>
    </w:p>
    <w:p w14:paraId="1CC9864B">
      <w:pPr>
        <w:spacing w:line="360" w:lineRule="auto"/>
        <w:rPr>
          <w:rFonts w:ascii="宋体"/>
          <w:highlight w:val="none"/>
        </w:rPr>
      </w:pPr>
      <w:r>
        <w:rPr>
          <w:rFonts w:hint="eastAsia" w:ascii="宋体"/>
          <w:highlight w:val="none"/>
        </w:rPr>
        <w:t>6.5.1 未能为系统提供适当的外部环境-如必要的系统环境、必要的管理体系、未能按照乙方要求配备资源等。</w:t>
      </w:r>
    </w:p>
    <w:p w14:paraId="51C71285">
      <w:pPr>
        <w:spacing w:line="360" w:lineRule="auto"/>
        <w:rPr>
          <w:rFonts w:ascii="宋体"/>
          <w:highlight w:val="none"/>
        </w:rPr>
      </w:pPr>
      <w:r>
        <w:rPr>
          <w:rFonts w:hint="eastAsia" w:ascii="宋体"/>
          <w:highlight w:val="none"/>
        </w:rPr>
        <w:t>6.5.2 使用并非由乙方提供的产品或服务。</w:t>
      </w:r>
    </w:p>
    <w:p w14:paraId="092856C4">
      <w:pPr>
        <w:spacing w:line="360" w:lineRule="auto"/>
        <w:rPr>
          <w:rFonts w:ascii="宋体"/>
          <w:highlight w:val="none"/>
        </w:rPr>
      </w:pPr>
      <w:r>
        <w:rPr>
          <w:rFonts w:hint="eastAsia" w:ascii="宋体"/>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highlight w:val="none"/>
          <w:u w:val="single"/>
        </w:rPr>
        <w:t xml:space="preserve"> 3 </w:t>
      </w:r>
      <w:r>
        <w:rPr>
          <w:rFonts w:hint="eastAsia" w:ascii="宋体"/>
          <w:highlight w:val="none"/>
        </w:rPr>
        <w:t>日内不到甲方现场进行检修，或在收到甲方通知后</w:t>
      </w:r>
      <w:r>
        <w:rPr>
          <w:rFonts w:hint="eastAsia" w:ascii="宋体"/>
          <w:highlight w:val="none"/>
          <w:u w:val="single"/>
        </w:rPr>
        <w:t xml:space="preserve"> 10 </w:t>
      </w:r>
      <w:r>
        <w:rPr>
          <w:rFonts w:hint="eastAsia" w:ascii="宋体"/>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C065343">
      <w:pPr>
        <w:spacing w:line="360" w:lineRule="auto"/>
        <w:rPr>
          <w:rFonts w:ascii="宋体"/>
          <w:highlight w:val="none"/>
        </w:rPr>
      </w:pPr>
      <w:r>
        <w:rPr>
          <w:rFonts w:hint="eastAsia" w:ascii="宋体"/>
          <w:highlight w:val="none"/>
        </w:rPr>
        <w:t>6</w:t>
      </w:r>
      <w:r>
        <w:rPr>
          <w:rStyle w:val="37"/>
          <w:rFonts w:hint="eastAsia" w:ascii="宋体"/>
          <w:kern w:val="0"/>
          <w:highlight w:val="none"/>
        </w:rPr>
        <w:t>.7</w:t>
      </w:r>
      <w:r>
        <w:rPr>
          <w:rFonts w:hint="eastAsia" w:ascii="宋体"/>
          <w:highlight w:val="none"/>
        </w:rPr>
        <w:t>维护期结束后的</w:t>
      </w:r>
      <w:r>
        <w:rPr>
          <w:rFonts w:hint="eastAsia" w:ascii="宋体"/>
          <w:highlight w:val="none"/>
          <w:u w:val="single"/>
        </w:rPr>
        <w:t>10年</w:t>
      </w:r>
      <w:r>
        <w:rPr>
          <w:rFonts w:hint="eastAsia" w:ascii="宋体"/>
          <w:highlight w:val="none"/>
        </w:rPr>
        <w:t>有偿技术服务期内，</w:t>
      </w:r>
      <w:r>
        <w:rPr>
          <w:rStyle w:val="37"/>
          <w:rFonts w:hint="eastAsia" w:ascii="宋体"/>
          <w:kern w:val="0"/>
          <w:highlight w:val="none"/>
        </w:rPr>
        <w:t>如</w:t>
      </w:r>
      <w:r>
        <w:rPr>
          <w:rFonts w:hint="eastAsia" w:ascii="宋体"/>
          <w:highlight w:val="none"/>
        </w:rPr>
        <w:t>甲方需要乙方提供维护服务,乙方应予提供。双方确认，甲方有权选择是否购买维护服务，乙方无权要求甲方对未使用维护服务的期间支付费用。</w:t>
      </w:r>
    </w:p>
    <w:p w14:paraId="1488D4FB">
      <w:pPr>
        <w:spacing w:line="360" w:lineRule="auto"/>
        <w:rPr>
          <w:rFonts w:ascii="宋体"/>
          <w:highlight w:val="none"/>
        </w:rPr>
      </w:pPr>
      <w:r>
        <w:rPr>
          <w:rFonts w:hint="eastAsia" w:ascii="宋体"/>
          <w:highlight w:val="none"/>
        </w:rPr>
        <w:t>6.8 本合同并非维护期结束后的维护服务合同，有偿技术服务的合同由双方另行签订。</w:t>
      </w:r>
    </w:p>
    <w:p w14:paraId="54AC1692">
      <w:pPr>
        <w:spacing w:line="360" w:lineRule="auto"/>
        <w:ind w:left="560" w:hanging="560" w:firstLineChars="0"/>
        <w:rPr>
          <w:rFonts w:ascii="宋体"/>
          <w:highlight w:val="none"/>
        </w:rPr>
      </w:pPr>
    </w:p>
    <w:p w14:paraId="4A9C6232">
      <w:pPr>
        <w:spacing w:line="360" w:lineRule="auto"/>
        <w:ind w:firstLine="472" w:firstLineChars="196"/>
        <w:outlineLvl w:val="0"/>
        <w:rPr>
          <w:rFonts w:ascii="宋体"/>
          <w:b/>
          <w:highlight w:val="none"/>
        </w:rPr>
      </w:pPr>
      <w:bookmarkStart w:id="109" w:name="_Toc63757463"/>
      <w:r>
        <w:rPr>
          <w:rFonts w:hint="eastAsia" w:ascii="宋体"/>
          <w:b/>
          <w:highlight w:val="none"/>
        </w:rPr>
        <w:t>第七条  技术辅导与培训</w:t>
      </w:r>
      <w:bookmarkEnd w:id="109"/>
    </w:p>
    <w:p w14:paraId="395BAA8D">
      <w:pPr>
        <w:pStyle w:val="13"/>
        <w:spacing w:before="0" w:beforeLines="0" w:line="360" w:lineRule="auto"/>
        <w:ind w:firstLine="560" w:firstLineChars="0"/>
        <w:rPr>
          <w:rFonts w:ascii="宋体" w:eastAsia="宋体"/>
          <w:spacing w:val="0"/>
          <w:highlight w:val="none"/>
        </w:rPr>
      </w:pPr>
      <w:r>
        <w:rPr>
          <w:rFonts w:hint="eastAsia" w:ascii="宋体" w:eastAsia="宋体"/>
          <w:spacing w:val="0"/>
          <w:highlight w:val="none"/>
        </w:rPr>
        <w:t>乙方应负责向甲方提供技术辅导与培训，以使甲方人员熟练掌握该项目产品的应用和日常维护。培训内容包括：XXXXXXX</w:t>
      </w:r>
    </w:p>
    <w:p w14:paraId="442E2FBC">
      <w:pPr>
        <w:pStyle w:val="13"/>
        <w:spacing w:before="0" w:beforeLines="0" w:line="360" w:lineRule="auto"/>
        <w:rPr>
          <w:rFonts w:ascii="宋体" w:eastAsia="宋体"/>
          <w:spacing w:val="0"/>
          <w:highlight w:val="none"/>
        </w:rPr>
      </w:pPr>
      <w:r>
        <w:rPr>
          <w:rFonts w:hint="eastAsia" w:ascii="宋体" w:eastAsia="宋体"/>
          <w:spacing w:val="0"/>
          <w:highlight w:val="none"/>
        </w:rPr>
        <w:t>具体培训内容由双方共同商定，并由甲方项目经理签字确认。</w:t>
      </w:r>
    </w:p>
    <w:p w14:paraId="27CC3F47">
      <w:pPr>
        <w:pStyle w:val="13"/>
        <w:spacing w:before="0" w:beforeLines="0" w:line="360" w:lineRule="auto"/>
        <w:rPr>
          <w:rFonts w:ascii="宋体" w:eastAsia="宋体"/>
          <w:spacing w:val="0"/>
          <w:highlight w:val="none"/>
        </w:rPr>
      </w:pPr>
    </w:p>
    <w:p w14:paraId="76B72683">
      <w:pPr>
        <w:spacing w:line="360" w:lineRule="auto"/>
        <w:ind w:firstLine="472" w:firstLineChars="196"/>
        <w:outlineLvl w:val="0"/>
        <w:rPr>
          <w:rFonts w:ascii="宋体"/>
          <w:b/>
          <w:highlight w:val="none"/>
        </w:rPr>
      </w:pPr>
      <w:bookmarkStart w:id="110" w:name="_Toc63757464"/>
      <w:r>
        <w:rPr>
          <w:rFonts w:hint="eastAsia" w:ascii="宋体"/>
          <w:b/>
          <w:highlight w:val="none"/>
        </w:rPr>
        <w:t>第八条  双方的权利、义务</w:t>
      </w:r>
      <w:bookmarkEnd w:id="110"/>
    </w:p>
    <w:p w14:paraId="01C62FE4">
      <w:pPr>
        <w:spacing w:line="360" w:lineRule="auto"/>
        <w:rPr>
          <w:rFonts w:ascii="宋体"/>
          <w:highlight w:val="none"/>
        </w:rPr>
      </w:pPr>
      <w:r>
        <w:rPr>
          <w:rFonts w:hint="eastAsia" w:ascii="宋体"/>
          <w:highlight w:val="none"/>
        </w:rPr>
        <w:t>8.1除本合同其他条款外，甲方应承担如下义务：</w:t>
      </w:r>
    </w:p>
    <w:p w14:paraId="52BD9EBC">
      <w:pPr>
        <w:spacing w:line="360" w:lineRule="auto"/>
        <w:rPr>
          <w:rFonts w:ascii="宋体"/>
          <w:highlight w:val="none"/>
        </w:rPr>
      </w:pPr>
      <w:r>
        <w:rPr>
          <w:rFonts w:hint="eastAsia" w:ascii="宋体"/>
          <w:highlight w:val="none"/>
        </w:rPr>
        <w:t>8.1.1 按照本合同第十三条的规定向乙方支付报酬。</w:t>
      </w:r>
    </w:p>
    <w:p w14:paraId="50D27A06">
      <w:pPr>
        <w:spacing w:line="360" w:lineRule="auto"/>
        <w:rPr>
          <w:rFonts w:ascii="宋体"/>
          <w:highlight w:val="none"/>
        </w:rPr>
      </w:pPr>
      <w:r>
        <w:rPr>
          <w:rFonts w:hint="eastAsia" w:ascii="宋体"/>
          <w:highlight w:val="none"/>
        </w:rPr>
        <w:t>8.1.2 向乙方提供本合同约定的业务协作：如参与各方的资源协调与进度管理、商务保障、项目环境保障等，确保参与各方按期、按质协同工作。</w:t>
      </w:r>
    </w:p>
    <w:p w14:paraId="294470E1">
      <w:pPr>
        <w:spacing w:line="360" w:lineRule="auto"/>
        <w:rPr>
          <w:rFonts w:ascii="宋体"/>
          <w:highlight w:val="none"/>
        </w:rPr>
      </w:pPr>
      <w:r>
        <w:rPr>
          <w:rFonts w:hint="eastAsia" w:ascii="宋体"/>
          <w:highlight w:val="none"/>
        </w:rPr>
        <w:t>8.1.3 指派一名项目主要负责人参加甲、乙双方为本项目召开的会议并协调相关工作和签署有关文件。</w:t>
      </w:r>
    </w:p>
    <w:p w14:paraId="11866F87">
      <w:pPr>
        <w:spacing w:line="360" w:lineRule="auto"/>
        <w:rPr>
          <w:rFonts w:ascii="宋体"/>
          <w:highlight w:val="none"/>
        </w:rPr>
      </w:pPr>
      <w:r>
        <w:rPr>
          <w:rFonts w:hint="eastAsia" w:ascii="宋体"/>
          <w:highlight w:val="none"/>
        </w:rPr>
        <w:t>8.1.4 甲方为乙方解决现场人员正常开展工作的开发测试系统环境和场地。</w:t>
      </w:r>
    </w:p>
    <w:p w14:paraId="035BF987">
      <w:pPr>
        <w:spacing w:line="360" w:lineRule="auto"/>
        <w:rPr>
          <w:rFonts w:ascii="宋体"/>
          <w:highlight w:val="none"/>
        </w:rPr>
      </w:pPr>
      <w:r>
        <w:rPr>
          <w:rFonts w:hint="eastAsia" w:ascii="宋体"/>
          <w:highlight w:val="none"/>
        </w:rPr>
        <w:t>8.2除本合同其他条款外，乙方应承担如下义务：</w:t>
      </w:r>
    </w:p>
    <w:p w14:paraId="117E4432">
      <w:pPr>
        <w:pStyle w:val="11"/>
        <w:tabs>
          <w:tab w:val="left" w:pos="0"/>
        </w:tabs>
        <w:spacing w:line="360" w:lineRule="auto"/>
        <w:ind w:left="-2" w:leftChars="-1"/>
        <w:jc w:val="left"/>
        <w:rPr>
          <w:sz w:val="24"/>
          <w:szCs w:val="20"/>
          <w:highlight w:val="none"/>
        </w:rPr>
      </w:pPr>
      <w:r>
        <w:rPr>
          <w:sz w:val="24"/>
          <w:szCs w:val="20"/>
          <w:highlight w:val="none"/>
        </w:rPr>
        <w:t>8.2.1 遵守法律法规及银行业金融机构内部管理制度</w:t>
      </w:r>
      <w:r>
        <w:rPr>
          <w:rFonts w:hint="eastAsia"/>
          <w:sz w:val="24"/>
          <w:szCs w:val="20"/>
          <w:highlight w:val="none"/>
          <w:lang w:eastAsia="zh-CN"/>
        </w:rPr>
        <w:t>及规定</w:t>
      </w:r>
      <w:r>
        <w:rPr>
          <w:sz w:val="24"/>
          <w:szCs w:val="20"/>
          <w:highlight w:val="none"/>
        </w:rPr>
        <w:t>，贯彻执行相关监管政策。</w:t>
      </w:r>
    </w:p>
    <w:p w14:paraId="261CC3E4">
      <w:pPr>
        <w:spacing w:line="360" w:lineRule="auto"/>
        <w:rPr>
          <w:rFonts w:ascii="宋体"/>
          <w:highlight w:val="none"/>
        </w:rPr>
      </w:pPr>
      <w:r>
        <w:rPr>
          <w:rFonts w:hint="eastAsia" w:ascii="宋体"/>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38752082">
      <w:pPr>
        <w:spacing w:line="360" w:lineRule="auto"/>
        <w:rPr>
          <w:rFonts w:ascii="宋体"/>
          <w:highlight w:val="none"/>
        </w:rPr>
      </w:pPr>
      <w:r>
        <w:rPr>
          <w:rFonts w:hint="eastAsia" w:ascii="宋体"/>
          <w:highlight w:val="none"/>
        </w:rPr>
        <w:t>8.2.3 负责在甲方的环境内安装并调试实施项目。</w:t>
      </w:r>
    </w:p>
    <w:p w14:paraId="49C4CA92">
      <w:pPr>
        <w:spacing w:line="360" w:lineRule="auto"/>
        <w:rPr>
          <w:rFonts w:ascii="宋体"/>
          <w:highlight w:val="none"/>
        </w:rPr>
      </w:pPr>
      <w:r>
        <w:rPr>
          <w:rFonts w:hint="eastAsia" w:ascii="宋体"/>
          <w:highlight w:val="none"/>
        </w:rPr>
        <w:t>8.2.4 指派一名项目主要负责人参加甲、乙双方为本项目召开的会议并协调相关工作和签署有关文件。</w:t>
      </w:r>
    </w:p>
    <w:p w14:paraId="311EE683">
      <w:pPr>
        <w:spacing w:line="360" w:lineRule="auto"/>
        <w:rPr>
          <w:rFonts w:ascii="宋体"/>
          <w:highlight w:val="none"/>
        </w:rPr>
      </w:pPr>
      <w:r>
        <w:rPr>
          <w:rFonts w:hint="eastAsia" w:ascii="宋体"/>
          <w:highlight w:val="none"/>
        </w:rPr>
        <w:t>8.2.5 指派独立于开发团队的测试人员负责项目系统测试，并承诺按照甲方质量管理要求完成项目系统测试、性能测试、安全测试等。</w:t>
      </w:r>
    </w:p>
    <w:p w14:paraId="4E4BE27F">
      <w:pPr>
        <w:spacing w:line="360" w:lineRule="auto"/>
        <w:rPr>
          <w:rFonts w:ascii="宋体"/>
          <w:highlight w:val="none"/>
        </w:rPr>
      </w:pPr>
      <w:r>
        <w:rPr>
          <w:rFonts w:hint="eastAsia" w:ascii="宋体"/>
          <w:highlight w:val="none"/>
        </w:rPr>
        <w:t>8.2.6 按照本合同的约定向甲方提供相关技术资料并提供技术指导。</w:t>
      </w:r>
    </w:p>
    <w:p w14:paraId="69F87859">
      <w:pPr>
        <w:spacing w:line="360" w:lineRule="auto"/>
        <w:rPr>
          <w:rFonts w:ascii="宋体"/>
          <w:highlight w:val="none"/>
        </w:rPr>
      </w:pPr>
      <w:r>
        <w:rPr>
          <w:rFonts w:hint="eastAsia" w:ascii="宋体"/>
          <w:highlight w:val="none"/>
        </w:rPr>
        <w:t>8.2.7乙方需为甲方提供持续的项目风险识别和控制措施，并按甲方要求提供公司财务分析报告、项目进度报告以及重大事项报告等。</w:t>
      </w:r>
    </w:p>
    <w:p w14:paraId="514033DE">
      <w:pPr>
        <w:spacing w:line="360" w:lineRule="auto"/>
        <w:rPr>
          <w:rFonts w:ascii="宋体"/>
          <w:highlight w:val="none"/>
          <w:lang w:val="zh-CN" w:eastAsia="zh-CN"/>
        </w:rPr>
      </w:pPr>
      <w:r>
        <w:rPr>
          <w:rFonts w:hint="eastAsia" w:ascii="宋体"/>
          <w:highlight w:val="none"/>
          <w:lang w:val="zh-CN" w:eastAsia="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28E337BE">
      <w:pPr>
        <w:spacing w:line="360" w:lineRule="auto"/>
        <w:rPr>
          <w:rFonts w:ascii="宋体"/>
          <w:highlight w:val="none"/>
          <w:lang w:val="zh-CN" w:eastAsia="zh-CN"/>
        </w:rPr>
      </w:pPr>
      <w:r>
        <w:rPr>
          <w:rFonts w:hint="eastAsia" w:ascii="宋体"/>
          <w:highlight w:val="none"/>
          <w:lang w:val="zh-CN" w:eastAsia="zh-CN"/>
        </w:rPr>
        <w:t>8.2.9 乙方应针对服务内容为甲方制定业务连续性计划和应急计划并维护好相关资源，在服务质量不能满足合同要求时，甲方具有优先获取服务资源的权利。</w:t>
      </w:r>
    </w:p>
    <w:p w14:paraId="7D8B8B20">
      <w:pPr>
        <w:spacing w:line="360" w:lineRule="auto"/>
        <w:rPr>
          <w:rFonts w:ascii="宋体"/>
          <w:highlight w:val="none"/>
          <w:lang w:val="zh-CN" w:eastAsia="zh-CN"/>
        </w:rPr>
      </w:pPr>
      <w:r>
        <w:rPr>
          <w:rFonts w:hint="eastAsia" w:ascii="宋体"/>
          <w:highlight w:val="none"/>
          <w:lang w:val="zh-CN" w:eastAsia="zh-CN"/>
        </w:rPr>
        <w:t>8.2.10 乙方应当自己完成本合同项下的</w:t>
      </w:r>
      <w:r>
        <w:rPr>
          <w:rFonts w:hint="eastAsia" w:ascii="宋体"/>
          <w:highlight w:val="none"/>
        </w:rPr>
        <w:t>开发、测试或维护</w:t>
      </w:r>
      <w:r>
        <w:rPr>
          <w:rFonts w:hint="eastAsia" w:ascii="宋体"/>
          <w:highlight w:val="none"/>
          <w:lang w:val="zh-CN" w:eastAsia="zh-CN"/>
        </w:rPr>
        <w:t>等工作，而不得分包给任何第三方，也不得进行转包或变相转包。</w:t>
      </w:r>
    </w:p>
    <w:p w14:paraId="05434426">
      <w:pPr>
        <w:spacing w:line="360" w:lineRule="auto"/>
        <w:rPr>
          <w:rFonts w:ascii="宋体"/>
          <w:highlight w:val="none"/>
        </w:rPr>
      </w:pPr>
      <w:r>
        <w:rPr>
          <w:rFonts w:hint="eastAsia" w:ascii="宋体"/>
          <w:highlight w:val="none"/>
        </w:rPr>
        <w:t xml:space="preserve">8.2.11 </w:t>
      </w:r>
      <w:r>
        <w:rPr>
          <w:rFonts w:hint="eastAsia" w:ascii="宋体"/>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5C4B319D">
      <w:pPr>
        <w:spacing w:line="360" w:lineRule="auto"/>
        <w:rPr>
          <w:rFonts w:ascii="宋体"/>
          <w:highlight w:val="none"/>
          <w:lang w:eastAsia="zh-CN"/>
        </w:rPr>
      </w:pPr>
    </w:p>
    <w:p w14:paraId="00D47196">
      <w:pPr>
        <w:spacing w:line="360" w:lineRule="auto"/>
        <w:ind w:firstLine="472" w:firstLineChars="196"/>
        <w:outlineLvl w:val="0"/>
        <w:rPr>
          <w:rFonts w:ascii="宋体"/>
          <w:b/>
          <w:highlight w:val="none"/>
        </w:rPr>
      </w:pPr>
      <w:bookmarkStart w:id="111" w:name="_Toc63757465"/>
      <w:r>
        <w:rPr>
          <w:rFonts w:hint="eastAsia" w:ascii="宋体"/>
          <w:b/>
          <w:highlight w:val="none"/>
        </w:rPr>
        <w:t>第九条  乙方的声明与保证</w:t>
      </w:r>
      <w:bookmarkEnd w:id="111"/>
    </w:p>
    <w:p w14:paraId="2EE2AB11">
      <w:pPr>
        <w:spacing w:line="360" w:lineRule="auto"/>
        <w:rPr>
          <w:rFonts w:ascii="宋体"/>
          <w:highlight w:val="none"/>
        </w:rPr>
      </w:pPr>
      <w:r>
        <w:rPr>
          <w:rFonts w:hint="eastAsia" w:ascii="宋体"/>
          <w:highlight w:val="none"/>
        </w:rPr>
        <w:t>乙方向甲方做出如下声明与保证：</w:t>
      </w:r>
    </w:p>
    <w:p w14:paraId="57B2901A">
      <w:pPr>
        <w:spacing w:line="360" w:lineRule="auto"/>
        <w:rPr>
          <w:rFonts w:ascii="宋体"/>
          <w:highlight w:val="none"/>
        </w:rPr>
      </w:pPr>
      <w:r>
        <w:rPr>
          <w:rFonts w:hint="eastAsia" w:ascii="宋体"/>
          <w:highlight w:val="none"/>
        </w:rPr>
        <w:t>9.1乙方完全具有本合同项下项目实施的技术资质与实力，包括开发技术人员、硬件设施等。</w:t>
      </w:r>
    </w:p>
    <w:p w14:paraId="0F0B5ADC">
      <w:pPr>
        <w:spacing w:line="360" w:lineRule="auto"/>
        <w:rPr>
          <w:rFonts w:ascii="宋体"/>
          <w:highlight w:val="none"/>
        </w:rPr>
      </w:pPr>
      <w:r>
        <w:rPr>
          <w:rFonts w:hint="eastAsia" w:ascii="宋体"/>
          <w:highlight w:val="none"/>
        </w:rPr>
        <w:t>9.2乙方已对照本合同附件一中甲方确认的需求，确认乙方的设计方案已经涵盖了设计需求的各方面，并且乙方实施的产品是先进的、适用的、兼容的，能够满足甲方核心业务扩展的需求。</w:t>
      </w:r>
    </w:p>
    <w:p w14:paraId="4A9A2116">
      <w:pPr>
        <w:spacing w:line="360" w:lineRule="auto"/>
        <w:rPr>
          <w:rFonts w:ascii="宋体"/>
          <w:highlight w:val="none"/>
        </w:rPr>
      </w:pPr>
      <w:r>
        <w:rPr>
          <w:rStyle w:val="37"/>
          <w:rFonts w:hint="eastAsia" w:ascii="宋体"/>
          <w:kern w:val="0"/>
          <w:highlight w:val="none"/>
        </w:rPr>
        <w:t>9.3乙方在本项目中【使用/未使用】第三方</w:t>
      </w:r>
      <w:r>
        <w:rPr>
          <w:rStyle w:val="37"/>
          <w:rFonts w:ascii="宋体"/>
          <w:kern w:val="0"/>
          <w:highlight w:val="none"/>
        </w:rPr>
        <w:t>产品</w:t>
      </w:r>
      <w:r>
        <w:rPr>
          <w:rStyle w:val="37"/>
          <w:rFonts w:hint="eastAsia" w:ascii="宋体"/>
          <w:kern w:val="0"/>
          <w:highlight w:val="none"/>
        </w:rPr>
        <w:t>，</w:t>
      </w:r>
      <w:r>
        <w:rPr>
          <w:rStyle w:val="37"/>
          <w:rFonts w:ascii="宋体"/>
          <w:kern w:val="0"/>
          <w:highlight w:val="none"/>
        </w:rPr>
        <w:t>包括第三方</w:t>
      </w:r>
      <w:r>
        <w:rPr>
          <w:rStyle w:val="37"/>
          <w:rFonts w:hint="eastAsia" w:ascii="宋体"/>
          <w:kern w:val="0"/>
          <w:highlight w:val="none"/>
        </w:rPr>
        <w:t>SDK、小程序、软件、开源组件等，（若选择【使用】请列举）例：第三方SDK：XXXX、XXX；第三方小程序：XXX等。</w:t>
      </w:r>
      <w:r>
        <w:rPr>
          <w:rFonts w:hint="eastAsia" w:ascii="宋体"/>
          <w:highlight w:val="none"/>
        </w:rPr>
        <w:t>若乙方在项目中使用了第三方产品，乙方须按如下要求执行：</w:t>
      </w:r>
    </w:p>
    <w:p w14:paraId="64885FAD">
      <w:pPr>
        <w:spacing w:line="360" w:lineRule="auto"/>
        <w:rPr>
          <w:rFonts w:ascii="宋体"/>
          <w:highlight w:val="none"/>
        </w:rPr>
      </w:pPr>
      <w:r>
        <w:rPr>
          <w:rFonts w:hint="eastAsia" w:ascii="宋体"/>
          <w:highlight w:val="none"/>
        </w:rPr>
        <w:t>（1）针对第三方SDK：乙方应开展安全评估和个人信息保护评估，并提供无中高风险的评估报告；</w:t>
      </w:r>
    </w:p>
    <w:p w14:paraId="16AF8E5C">
      <w:pPr>
        <w:spacing w:line="360" w:lineRule="auto"/>
        <w:rPr>
          <w:rFonts w:ascii="宋体"/>
          <w:highlight w:val="none"/>
        </w:rPr>
      </w:pPr>
      <w:r>
        <w:rPr>
          <w:rFonts w:hint="eastAsia" w:ascii="宋体"/>
          <w:highlight w:val="none"/>
        </w:rPr>
        <w:t>（2）针对第三方小程序：乙方应开展安全评估，并提供无中高风险漏洞的安全评估报告。</w:t>
      </w:r>
    </w:p>
    <w:p w14:paraId="125BA7B5">
      <w:pPr>
        <w:spacing w:line="360" w:lineRule="auto"/>
        <w:rPr>
          <w:rStyle w:val="37"/>
          <w:rFonts w:ascii="宋体"/>
          <w:kern w:val="0"/>
          <w:highlight w:val="none"/>
        </w:rPr>
      </w:pPr>
      <w:r>
        <w:rPr>
          <w:rFonts w:hint="eastAsia" w:ascii="宋体"/>
          <w:highlight w:val="none"/>
        </w:rPr>
        <w:t>（</w:t>
      </w:r>
      <w:r>
        <w:rPr>
          <w:rFonts w:ascii="宋体"/>
          <w:highlight w:val="none"/>
        </w:rPr>
        <w:t>3</w:t>
      </w:r>
      <w:r>
        <w:rPr>
          <w:rFonts w:hint="eastAsia" w:ascii="宋体"/>
          <w:highlight w:val="none"/>
        </w:rPr>
        <w:t>）若</w:t>
      </w:r>
      <w:r>
        <w:rPr>
          <w:rStyle w:val="37"/>
          <w:rFonts w:hint="eastAsia" w:ascii="宋体"/>
          <w:kern w:val="0"/>
          <w:highlight w:val="none"/>
        </w:rPr>
        <w:t>第三方产品出现安全漏洞</w:t>
      </w:r>
      <w:r>
        <w:rPr>
          <w:rFonts w:hint="eastAsia" w:ascii="宋体"/>
          <w:highlight w:val="none"/>
        </w:rPr>
        <w:t>或违反个人信息保护相关法规，</w:t>
      </w:r>
      <w:r>
        <w:rPr>
          <w:rStyle w:val="37"/>
          <w:rFonts w:hint="eastAsia" w:ascii="宋体"/>
          <w:kern w:val="0"/>
          <w:highlight w:val="none"/>
        </w:rPr>
        <w:t>甲方有权要求乙方进行修复，若因此给甲方造成损失的，甲方有权随时向乙方追偿。</w:t>
      </w:r>
    </w:p>
    <w:p w14:paraId="606E483C">
      <w:pPr>
        <w:spacing w:line="360" w:lineRule="auto"/>
        <w:rPr>
          <w:rStyle w:val="37"/>
          <w:rFonts w:ascii="宋体"/>
          <w:kern w:val="0"/>
          <w:highlight w:val="none"/>
        </w:rPr>
      </w:pPr>
      <w:r>
        <w:rPr>
          <w:rStyle w:val="37"/>
          <w:rFonts w:hint="eastAsia" w:ascii="宋体"/>
          <w:kern w:val="0"/>
          <w:highlight w:val="none"/>
        </w:rPr>
        <w:t>9</w:t>
      </w:r>
      <w:r>
        <w:rPr>
          <w:rStyle w:val="37"/>
          <w:rFonts w:ascii="宋体"/>
          <w:kern w:val="0"/>
          <w:highlight w:val="none"/>
        </w:rPr>
        <w:t>.4</w:t>
      </w:r>
      <w:r>
        <w:rPr>
          <w:rStyle w:val="37"/>
          <w:rFonts w:hint="eastAsia" w:ascii="宋体"/>
          <w:kern w:val="0"/>
          <w:highlight w:val="none"/>
        </w:rPr>
        <w:t>乙方保证向甲方提供的项目产品（含第三方产品）的安全性、合规性，保证无恶意脚本、后门及恶意漏洞，不携带任何病毒，不越权收集、处理客户信息。</w:t>
      </w:r>
    </w:p>
    <w:p w14:paraId="64FE585B">
      <w:pPr>
        <w:spacing w:line="360" w:lineRule="auto"/>
        <w:rPr>
          <w:rFonts w:ascii="宋体"/>
          <w:highlight w:val="none"/>
        </w:rPr>
      </w:pPr>
      <w:r>
        <w:rPr>
          <w:rFonts w:hint="eastAsia" w:ascii="宋体"/>
          <w:highlight w:val="none"/>
        </w:rPr>
        <w:t>9.5乙方向甲方提供的产品和服务不会有任何第三方主张权利，也不会侵害任何第三方的合法权益，包括知识产权。</w:t>
      </w:r>
    </w:p>
    <w:p w14:paraId="3D8B9539">
      <w:pPr>
        <w:spacing w:line="360" w:lineRule="auto"/>
        <w:rPr>
          <w:rFonts w:ascii="宋体"/>
          <w:highlight w:val="none"/>
        </w:rPr>
      </w:pPr>
      <w:r>
        <w:rPr>
          <w:rFonts w:hint="eastAsia" w:ascii="宋体"/>
          <w:highlight w:val="none"/>
        </w:rPr>
        <w:t>9.</w:t>
      </w:r>
      <w:r>
        <w:rPr>
          <w:rFonts w:ascii="宋体"/>
          <w:highlight w:val="none"/>
        </w:rPr>
        <w:t>6</w:t>
      </w:r>
      <w:r>
        <w:rPr>
          <w:rFonts w:hint="eastAsia" w:ascii="宋体"/>
          <w:highlight w:val="none"/>
        </w:rPr>
        <w:t>乙方保证遵守甲方《重庆三峡银行员工回避管理办法》中招录回避、任职回避、公务回避的相关要求。若发现乙方人员与甲方内部人员存在亲属关系，乙方应主动报告，并采取相应回避措施。</w:t>
      </w:r>
    </w:p>
    <w:p w14:paraId="6076A541">
      <w:pPr>
        <w:spacing w:line="360" w:lineRule="auto"/>
        <w:rPr>
          <w:rFonts w:ascii="宋体"/>
          <w:highlight w:val="none"/>
        </w:rPr>
      </w:pPr>
      <w:r>
        <w:rPr>
          <w:rFonts w:hint="eastAsia" w:ascii="宋体"/>
          <w:highlight w:val="none"/>
        </w:rPr>
        <w:t>9.</w:t>
      </w:r>
      <w:r>
        <w:rPr>
          <w:rFonts w:ascii="宋体"/>
          <w:highlight w:val="none"/>
        </w:rPr>
        <w:t>7</w:t>
      </w:r>
      <w:r>
        <w:rPr>
          <w:rFonts w:hint="eastAsia" w:ascii="宋体"/>
          <w:highlight w:val="none"/>
        </w:rPr>
        <w:t xml:space="preserve"> 乙方保证其人员无不良记录，服务商与其建立合法的雇佣关系，依法履行用工管理职责。</w:t>
      </w:r>
    </w:p>
    <w:p w14:paraId="3456F6C4">
      <w:pPr>
        <w:spacing w:line="360" w:lineRule="auto"/>
        <w:rPr>
          <w:rFonts w:ascii="宋体"/>
          <w:highlight w:val="none"/>
        </w:rPr>
      </w:pPr>
      <w:r>
        <w:rPr>
          <w:rFonts w:hint="eastAsia" w:ascii="宋体"/>
          <w:highlight w:val="none"/>
        </w:rPr>
        <w:t>9.</w:t>
      </w:r>
      <w:r>
        <w:rPr>
          <w:rFonts w:ascii="宋体"/>
          <w:highlight w:val="none"/>
        </w:rPr>
        <w:t>8</w:t>
      </w:r>
      <w:r>
        <w:rPr>
          <w:rFonts w:hint="eastAsia" w:ascii="宋体"/>
          <w:highlight w:val="none"/>
        </w:rPr>
        <w:t xml:space="preserve"> 乙方定期通报外包事项，及时通报外包突发性事件及解决情况。</w:t>
      </w:r>
    </w:p>
    <w:p w14:paraId="31FA8034">
      <w:pPr>
        <w:spacing w:line="360" w:lineRule="auto"/>
        <w:ind w:left="560" w:hanging="560" w:firstLineChars="0"/>
        <w:rPr>
          <w:rFonts w:ascii="宋体"/>
          <w:highlight w:val="none"/>
        </w:rPr>
      </w:pPr>
    </w:p>
    <w:p w14:paraId="0CC279F0">
      <w:pPr>
        <w:spacing w:line="360" w:lineRule="auto"/>
        <w:ind w:firstLine="472" w:firstLineChars="196"/>
        <w:outlineLvl w:val="0"/>
        <w:rPr>
          <w:rFonts w:ascii="宋体"/>
          <w:b/>
          <w:highlight w:val="none"/>
        </w:rPr>
      </w:pPr>
      <w:bookmarkStart w:id="112" w:name="_Toc63757466"/>
      <w:r>
        <w:rPr>
          <w:rFonts w:hint="eastAsia" w:ascii="宋体"/>
          <w:b/>
          <w:highlight w:val="none"/>
        </w:rPr>
        <w:t>第十条  知识产权</w:t>
      </w:r>
      <w:bookmarkEnd w:id="112"/>
    </w:p>
    <w:p w14:paraId="7EFF89D8">
      <w:pPr>
        <w:spacing w:line="360" w:lineRule="auto"/>
        <w:rPr>
          <w:rStyle w:val="37"/>
          <w:rFonts w:ascii="宋体"/>
          <w:kern w:val="0"/>
          <w:highlight w:val="none"/>
        </w:rPr>
      </w:pPr>
      <w:r>
        <w:rPr>
          <w:rStyle w:val="37"/>
          <w:rFonts w:hint="eastAsia" w:ascii="宋体"/>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726F2A0A">
      <w:pPr>
        <w:spacing w:line="360" w:lineRule="auto"/>
        <w:rPr>
          <w:rStyle w:val="37"/>
          <w:rFonts w:ascii="宋体"/>
          <w:highlight w:val="none"/>
        </w:rPr>
      </w:pPr>
      <w:r>
        <w:rPr>
          <w:rFonts w:ascii="宋体"/>
          <w:highlight w:val="none"/>
        </w:rPr>
        <w:t>10</w:t>
      </w:r>
      <w:r>
        <w:rPr>
          <w:rFonts w:hint="eastAsia" w:ascii="宋体"/>
          <w:highlight w:val="none"/>
        </w:rPr>
        <w:t>.</w:t>
      </w:r>
      <w:r>
        <w:rPr>
          <w:rFonts w:ascii="宋体"/>
          <w:highlight w:val="none"/>
        </w:rPr>
        <w:t xml:space="preserve">2 </w:t>
      </w:r>
      <w:r>
        <w:rPr>
          <w:rFonts w:hint="eastAsia" w:ascii="宋体"/>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6A6CE1B2">
      <w:pPr>
        <w:spacing w:line="360" w:lineRule="auto"/>
        <w:rPr>
          <w:rStyle w:val="37"/>
          <w:rFonts w:ascii="宋体"/>
          <w:highlight w:val="none"/>
        </w:rPr>
      </w:pPr>
      <w:r>
        <w:rPr>
          <w:rFonts w:hint="eastAsia" w:ascii="宋体"/>
          <w:highlight w:val="none"/>
        </w:rPr>
        <w:t>10.</w:t>
      </w:r>
      <w:r>
        <w:rPr>
          <w:rFonts w:ascii="宋体"/>
          <w:highlight w:val="none"/>
        </w:rPr>
        <w:t>3</w:t>
      </w:r>
      <w:r>
        <w:rPr>
          <w:rFonts w:hint="eastAsia" w:ascii="宋体"/>
          <w:highlight w:val="none"/>
        </w:rPr>
        <w:t>乙方应将有关资料（数据库设计文件、技术文件和用户手册等全部资料）在甲方要求期限内，按国家有关项目开发标准以文字等载体的形式交给甲方，甲方拥有永久的使用权。</w:t>
      </w:r>
      <w:r>
        <w:rPr>
          <w:rStyle w:val="37"/>
          <w:rFonts w:hint="eastAsia" w:ascii="宋体"/>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5CFBD4BD">
      <w:pPr>
        <w:spacing w:line="360" w:lineRule="auto"/>
        <w:rPr>
          <w:rStyle w:val="37"/>
          <w:rFonts w:ascii="宋体"/>
          <w:highlight w:val="none"/>
        </w:rPr>
      </w:pPr>
      <w:r>
        <w:rPr>
          <w:rStyle w:val="37"/>
          <w:rFonts w:hint="eastAsia" w:ascii="宋体"/>
          <w:highlight w:val="none"/>
        </w:rPr>
        <w:t>1</w:t>
      </w:r>
      <w:r>
        <w:rPr>
          <w:rStyle w:val="37"/>
          <w:rFonts w:ascii="宋体"/>
          <w:highlight w:val="none"/>
        </w:rPr>
        <w:t>0.4本项目</w:t>
      </w:r>
      <w:r>
        <w:rPr>
          <w:rStyle w:val="37"/>
          <w:rFonts w:hint="eastAsia" w:ascii="宋体"/>
          <w:highlight w:val="none"/>
        </w:rPr>
        <w:t>客户化源代码的知识产权归甲方单独所有，其余部分归双方共有。</w:t>
      </w:r>
    </w:p>
    <w:p w14:paraId="73825D09">
      <w:pPr>
        <w:spacing w:line="360" w:lineRule="auto"/>
        <w:rPr>
          <w:rStyle w:val="37"/>
          <w:rFonts w:ascii="宋体"/>
          <w:kern w:val="0"/>
          <w:highlight w:val="none"/>
        </w:rPr>
      </w:pPr>
      <w:r>
        <w:rPr>
          <w:rStyle w:val="37"/>
          <w:rFonts w:hint="eastAsia" w:ascii="宋体"/>
          <w:highlight w:val="none"/>
        </w:rPr>
        <w:t>1</w:t>
      </w:r>
      <w:r>
        <w:rPr>
          <w:rStyle w:val="37"/>
          <w:rFonts w:ascii="宋体"/>
          <w:highlight w:val="none"/>
        </w:rPr>
        <w:t>0.4.1</w:t>
      </w:r>
      <w:r>
        <w:rPr>
          <w:rStyle w:val="37"/>
          <w:rFonts w:hint="eastAsia" w:ascii="宋体"/>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FADE812">
      <w:pPr>
        <w:spacing w:line="360" w:lineRule="auto"/>
        <w:rPr>
          <w:rStyle w:val="37"/>
          <w:rFonts w:ascii="宋体"/>
          <w:highlight w:val="none"/>
        </w:rPr>
      </w:pPr>
      <w:r>
        <w:rPr>
          <w:rStyle w:val="37"/>
          <w:rFonts w:ascii="宋体"/>
          <w:highlight w:val="none"/>
        </w:rPr>
        <w:t>10.4.2</w:t>
      </w:r>
      <w:r>
        <w:rPr>
          <w:rStyle w:val="37"/>
          <w:rFonts w:hint="eastAsia" w:ascii="宋体"/>
          <w:highlight w:val="none"/>
        </w:rPr>
        <w:t>针对共有部分，甲方拥有在甲方及其分支机构使用及后续开发的权利，</w:t>
      </w:r>
      <w:r>
        <w:rPr>
          <w:rFonts w:hint="eastAsia" w:ascii="宋体"/>
          <w:highlight w:val="none"/>
        </w:rPr>
        <w:t>甲方在乙方交付的系统版本上进行自主开发或交由第三方公司开发，开发成果的知识产权归甲方所有。</w:t>
      </w:r>
      <w:r>
        <w:rPr>
          <w:rStyle w:val="37"/>
          <w:rFonts w:hint="eastAsia" w:ascii="宋体"/>
          <w:highlight w:val="none"/>
        </w:rPr>
        <w:t>乙方拥有在其公司和其他组织范围内使用的权利，但乙方使用时不得侵犯甲方利益。</w:t>
      </w:r>
    </w:p>
    <w:p w14:paraId="16252776">
      <w:pPr>
        <w:spacing w:line="360" w:lineRule="auto"/>
        <w:rPr>
          <w:rStyle w:val="37"/>
          <w:rFonts w:ascii="宋体"/>
          <w:highlight w:val="none"/>
        </w:rPr>
      </w:pPr>
      <w:r>
        <w:rPr>
          <w:rStyle w:val="37"/>
          <w:rFonts w:ascii="宋体"/>
          <w:highlight w:val="none"/>
        </w:rPr>
        <w:t>10.4.</w:t>
      </w:r>
      <w:r>
        <w:rPr>
          <w:rStyle w:val="37"/>
          <w:rFonts w:hint="eastAsia" w:ascii="宋体"/>
          <w:highlight w:val="none"/>
        </w:rPr>
        <w:t>3</w:t>
      </w:r>
      <w:r>
        <w:rPr>
          <w:rStyle w:val="37"/>
          <w:rFonts w:hint="eastAsia"/>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2DFEF7A9">
      <w:pPr>
        <w:spacing w:line="360" w:lineRule="auto"/>
        <w:rPr>
          <w:rFonts w:ascii="宋体"/>
          <w:b/>
          <w:highlight w:val="none"/>
        </w:rPr>
      </w:pPr>
    </w:p>
    <w:p w14:paraId="7140AC91">
      <w:pPr>
        <w:spacing w:line="360" w:lineRule="auto"/>
        <w:ind w:firstLine="472" w:firstLineChars="196"/>
        <w:outlineLvl w:val="0"/>
        <w:rPr>
          <w:rFonts w:ascii="宋体"/>
          <w:b/>
          <w:highlight w:val="none"/>
        </w:rPr>
      </w:pPr>
      <w:bookmarkStart w:id="113" w:name="_Toc63757467"/>
      <w:r>
        <w:rPr>
          <w:rFonts w:hint="eastAsia" w:ascii="宋体"/>
          <w:b/>
          <w:highlight w:val="none"/>
        </w:rPr>
        <w:t>第十一条  第三方索赔</w:t>
      </w:r>
      <w:bookmarkEnd w:id="113"/>
    </w:p>
    <w:p w14:paraId="1B5F4A13">
      <w:pPr>
        <w:spacing w:line="360" w:lineRule="auto"/>
        <w:rPr>
          <w:rFonts w:ascii="宋体"/>
          <w:highlight w:val="none"/>
        </w:rPr>
      </w:pPr>
      <w:r>
        <w:rPr>
          <w:rFonts w:hint="eastAsia" w:ascii="宋体"/>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3689600">
      <w:pPr>
        <w:spacing w:line="360" w:lineRule="auto"/>
        <w:rPr>
          <w:rFonts w:ascii="宋体"/>
          <w:highlight w:val="none"/>
        </w:rPr>
      </w:pPr>
      <w:r>
        <w:rPr>
          <w:rFonts w:hint="eastAsia" w:ascii="宋体"/>
          <w:highlight w:val="none"/>
        </w:rPr>
        <w:t>11.2对于第11.1条涉及的侵权索赔，乙方将承担全部费用，包括</w:t>
      </w:r>
      <w:r>
        <w:rPr>
          <w:rStyle w:val="37"/>
          <w:rFonts w:hint="eastAsia" w:ascii="宋体"/>
          <w:kern w:val="0"/>
          <w:highlight w:val="none"/>
        </w:rPr>
        <w:t>诉讼费、仲裁费、甲方支付的律师费、差旅住宿费、公证费、鉴定费、调解费及仲裁裁决、法院判决或调解协议中由甲方承担的赔偿金。</w:t>
      </w:r>
    </w:p>
    <w:p w14:paraId="0DE964B3">
      <w:pPr>
        <w:spacing w:line="360" w:lineRule="auto"/>
        <w:rPr>
          <w:rFonts w:ascii="宋体"/>
          <w:highlight w:val="none"/>
        </w:rPr>
      </w:pPr>
      <w:r>
        <w:rPr>
          <w:rFonts w:hint="eastAsia" w:ascii="宋体"/>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37"/>
          <w:rFonts w:hint="eastAsia" w:ascii="宋体"/>
          <w:kern w:val="0"/>
          <w:highlight w:val="none"/>
        </w:rPr>
        <w:t>部损失</w:t>
      </w:r>
      <w:r>
        <w:rPr>
          <w:rFonts w:hint="eastAsia" w:ascii="宋体"/>
          <w:highlight w:val="none"/>
        </w:rPr>
        <w:t>。</w:t>
      </w:r>
    </w:p>
    <w:p w14:paraId="79A658C7">
      <w:pPr>
        <w:spacing w:line="360" w:lineRule="auto"/>
        <w:rPr>
          <w:rFonts w:ascii="宋体"/>
          <w:highlight w:val="none"/>
        </w:rPr>
      </w:pPr>
      <w:r>
        <w:rPr>
          <w:rFonts w:hint="eastAsia" w:ascii="宋体"/>
          <w:highlight w:val="none"/>
        </w:rPr>
        <w:t>11.4乙方对由以下非乙方的过错引起的侵权索赔不承担责任：</w:t>
      </w:r>
    </w:p>
    <w:p w14:paraId="4484EAF9">
      <w:pPr>
        <w:spacing w:line="360" w:lineRule="auto"/>
        <w:rPr>
          <w:rFonts w:ascii="宋体"/>
          <w:highlight w:val="none"/>
        </w:rPr>
      </w:pPr>
      <w:r>
        <w:rPr>
          <w:rStyle w:val="37"/>
          <w:rFonts w:hint="eastAsia" w:ascii="宋体"/>
          <w:kern w:val="0"/>
          <w:highlight w:val="none"/>
        </w:rPr>
        <w:t>11.4.1 甲方使用不当所造成的侵权。</w:t>
      </w:r>
    </w:p>
    <w:p w14:paraId="06B49719">
      <w:pPr>
        <w:spacing w:line="360" w:lineRule="auto"/>
        <w:rPr>
          <w:rFonts w:ascii="宋体"/>
          <w:highlight w:val="none"/>
        </w:rPr>
      </w:pPr>
      <w:r>
        <w:rPr>
          <w:rFonts w:hint="eastAsia" w:ascii="宋体"/>
          <w:highlight w:val="none"/>
        </w:rPr>
        <w:t>11.4.2 因甲方或第三方对开发软件或资料进行修改所直接造成的侵权。</w:t>
      </w:r>
    </w:p>
    <w:p w14:paraId="1B2AE0D9">
      <w:pPr>
        <w:spacing w:line="360" w:lineRule="auto"/>
        <w:ind w:left="840" w:hanging="840" w:firstLineChars="0"/>
        <w:rPr>
          <w:rFonts w:ascii="宋体"/>
          <w:highlight w:val="none"/>
        </w:rPr>
      </w:pPr>
    </w:p>
    <w:p w14:paraId="5C98E7E6">
      <w:pPr>
        <w:spacing w:line="360" w:lineRule="auto"/>
        <w:ind w:firstLine="472" w:firstLineChars="196"/>
        <w:outlineLvl w:val="0"/>
        <w:rPr>
          <w:rFonts w:ascii="宋体"/>
          <w:b/>
          <w:highlight w:val="none"/>
        </w:rPr>
      </w:pPr>
      <w:bookmarkStart w:id="114" w:name="_Toc63757468"/>
      <w:r>
        <w:rPr>
          <w:rFonts w:hint="eastAsia" w:ascii="宋体"/>
          <w:b/>
          <w:highlight w:val="none"/>
        </w:rPr>
        <w:t>第十二条  保密</w:t>
      </w:r>
      <w:bookmarkEnd w:id="114"/>
    </w:p>
    <w:p w14:paraId="51D492B2">
      <w:pPr>
        <w:spacing w:line="360" w:lineRule="auto"/>
        <w:rPr>
          <w:rFonts w:ascii="宋体"/>
          <w:bCs/>
          <w:kern w:val="0"/>
          <w:highlight w:val="none"/>
        </w:rPr>
      </w:pPr>
      <w:r>
        <w:rPr>
          <w:rFonts w:hint="eastAsia" w:ascii="宋体"/>
          <w:bCs/>
          <w:kern w:val="0"/>
          <w:highlight w:val="none"/>
        </w:rPr>
        <w:t>12.1乙方须对本合同项下的所有条款保密。乙方人员入场前须与甲方签订相应诚信安全承诺书。</w:t>
      </w:r>
    </w:p>
    <w:p w14:paraId="26CFA910">
      <w:pPr>
        <w:tabs>
          <w:tab w:val="left" w:pos="1134"/>
        </w:tabs>
        <w:spacing w:line="360" w:lineRule="auto"/>
        <w:rPr>
          <w:rFonts w:ascii="宋体"/>
          <w:kern w:val="0"/>
          <w:highlight w:val="none"/>
        </w:rPr>
      </w:pPr>
      <w:r>
        <w:rPr>
          <w:rFonts w:hint="eastAsia" w:ascii="宋体"/>
          <w:kern w:val="0"/>
          <w:highlight w:val="none"/>
        </w:rPr>
        <w:t>12.</w:t>
      </w:r>
      <w:r>
        <w:rPr>
          <w:rFonts w:ascii="宋体"/>
          <w:kern w:val="0"/>
          <w:highlight w:val="none"/>
        </w:rPr>
        <w:t>2</w:t>
      </w:r>
      <w:r>
        <w:rPr>
          <w:rFonts w:hint="eastAsia" w:ascii="宋体"/>
          <w:kern w:val="0"/>
          <w:highlight w:val="none"/>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1A5E0A84">
      <w:pPr>
        <w:spacing w:line="360" w:lineRule="auto"/>
        <w:rPr>
          <w:rFonts w:ascii="宋体"/>
          <w:bCs/>
          <w:kern w:val="0"/>
          <w:highlight w:val="none"/>
        </w:rPr>
      </w:pPr>
      <w:r>
        <w:rPr>
          <w:rFonts w:hint="eastAsia" w:ascii="宋体"/>
          <w:bCs/>
          <w:kern w:val="0"/>
          <w:highlight w:val="none"/>
        </w:rPr>
        <w:t>12.</w:t>
      </w:r>
      <w:r>
        <w:rPr>
          <w:rFonts w:ascii="宋体"/>
          <w:bCs/>
          <w:kern w:val="0"/>
          <w:highlight w:val="none"/>
        </w:rPr>
        <w:t>3</w:t>
      </w:r>
      <w:r>
        <w:rPr>
          <w:rFonts w:hint="eastAsia" w:ascii="宋体"/>
          <w:bCs/>
          <w:kern w:val="0"/>
          <w:highlight w:val="none"/>
        </w:rPr>
        <w:t xml:space="preserve"> 乙方不得以甲方名义开展活动，不得将甲方数据、信息以任何形式转移、挪用或谋取合同约定以外的利益。</w:t>
      </w:r>
    </w:p>
    <w:p w14:paraId="6BB0432A">
      <w:pPr>
        <w:spacing w:line="360" w:lineRule="auto"/>
        <w:rPr>
          <w:rFonts w:ascii="宋体"/>
          <w:kern w:val="0"/>
          <w:highlight w:val="none"/>
        </w:rPr>
      </w:pPr>
      <w:r>
        <w:rPr>
          <w:rFonts w:hint="eastAsia" w:ascii="宋体"/>
          <w:kern w:val="0"/>
          <w:highlight w:val="none"/>
        </w:rPr>
        <w:t>12.4乙方知道违反本条规定将给甲方客户权利以及甲方造成难以弥补的损失，为此同意承担由此产生的经济上和法律上的责任和损失。</w:t>
      </w:r>
    </w:p>
    <w:p w14:paraId="66CA5940">
      <w:pPr>
        <w:spacing w:line="360" w:lineRule="auto"/>
        <w:rPr>
          <w:rFonts w:ascii="宋体"/>
          <w:kern w:val="0"/>
          <w:highlight w:val="none"/>
        </w:rPr>
      </w:pPr>
      <w:r>
        <w:rPr>
          <w:rFonts w:hint="eastAsia" w:ascii="宋体"/>
          <w:kern w:val="0"/>
          <w:highlight w:val="none"/>
        </w:rPr>
        <w:t>12.5乙方承认本合同中的技术资料和技术秘密为甲方所专有，将其对乙方进行披露并不意味着任何所有权、专利权的转让。</w:t>
      </w:r>
    </w:p>
    <w:p w14:paraId="42C2B2BE">
      <w:pPr>
        <w:spacing w:line="360" w:lineRule="auto"/>
        <w:rPr>
          <w:rFonts w:ascii="宋体"/>
          <w:kern w:val="0"/>
          <w:highlight w:val="none"/>
        </w:rPr>
      </w:pPr>
      <w:r>
        <w:rPr>
          <w:rFonts w:hint="eastAsia" w:ascii="宋体"/>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0690C8A0">
      <w:pPr>
        <w:spacing w:line="360" w:lineRule="auto"/>
        <w:rPr>
          <w:rFonts w:ascii="宋体"/>
          <w:kern w:val="0"/>
          <w:highlight w:val="none"/>
        </w:rPr>
      </w:pPr>
      <w:r>
        <w:rPr>
          <w:rFonts w:hint="eastAsia" w:ascii="宋体"/>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49AE6DE">
      <w:pPr>
        <w:spacing w:line="360" w:lineRule="auto"/>
        <w:rPr>
          <w:rFonts w:ascii="宋体"/>
          <w:kern w:val="0"/>
          <w:highlight w:val="none"/>
        </w:rPr>
      </w:pPr>
      <w:r>
        <w:rPr>
          <w:rFonts w:hint="eastAsia" w:ascii="宋体"/>
          <w:kern w:val="0"/>
          <w:highlight w:val="none"/>
        </w:rPr>
        <w:t>12.8除非甲方特别声明，乙方对于保密信息的保密义务为无限期保密，直至甲方宣布解密或者保密信息实际上已经公开。</w:t>
      </w:r>
    </w:p>
    <w:p w14:paraId="550C68AA">
      <w:pPr>
        <w:spacing w:line="360" w:lineRule="auto"/>
        <w:rPr>
          <w:rFonts w:ascii="宋体"/>
          <w:kern w:val="0"/>
          <w:highlight w:val="none"/>
        </w:rPr>
      </w:pPr>
      <w:r>
        <w:rPr>
          <w:rFonts w:hint="eastAsia" w:ascii="宋体"/>
          <w:kern w:val="0"/>
          <w:highlight w:val="none"/>
        </w:rPr>
        <w:t>12.9 本合同项下乙方人员行为视为乙方行为，乙方应承担全部责任及损失。当客户信息不安全或客户权利受到重大不利影响时，甲方有权随时终止合同。</w:t>
      </w:r>
    </w:p>
    <w:p w14:paraId="04E87487">
      <w:pPr>
        <w:spacing w:line="360" w:lineRule="auto"/>
        <w:ind w:left="1440" w:leftChars="200" w:hanging="960" w:hangingChars="400"/>
        <w:rPr>
          <w:rFonts w:ascii="宋体"/>
          <w:highlight w:val="none"/>
        </w:rPr>
      </w:pPr>
    </w:p>
    <w:p w14:paraId="3CD88680">
      <w:pPr>
        <w:spacing w:line="360" w:lineRule="auto"/>
        <w:ind w:firstLine="472" w:firstLineChars="196"/>
        <w:outlineLvl w:val="0"/>
        <w:rPr>
          <w:rFonts w:ascii="宋体"/>
          <w:b/>
          <w:highlight w:val="none"/>
        </w:rPr>
      </w:pPr>
      <w:bookmarkStart w:id="115" w:name="_Toc63757469"/>
      <w:r>
        <w:rPr>
          <w:rFonts w:hint="eastAsia" w:ascii="宋体"/>
          <w:b/>
          <w:highlight w:val="none"/>
        </w:rPr>
        <w:t>第十三条  价格与支付</w:t>
      </w:r>
      <w:bookmarkEnd w:id="115"/>
    </w:p>
    <w:p w14:paraId="62911734">
      <w:pPr>
        <w:spacing w:line="360" w:lineRule="auto"/>
        <w:jc w:val="left"/>
        <w:rPr>
          <w:rStyle w:val="37"/>
          <w:rFonts w:ascii="宋体"/>
          <w:kern w:val="0"/>
          <w:highlight w:val="none"/>
        </w:rPr>
      </w:pPr>
      <w:r>
        <w:rPr>
          <w:rStyle w:val="37"/>
          <w:rFonts w:hint="eastAsia" w:ascii="宋体"/>
          <w:kern w:val="0"/>
          <w:highlight w:val="none"/>
        </w:rPr>
        <w:t>13.1本项目产品实施总金额（价税合计）为</w:t>
      </w:r>
      <w:r>
        <w:rPr>
          <w:rStyle w:val="37"/>
          <w:rFonts w:hint="eastAsia" w:ascii="宋体"/>
          <w:kern w:val="0"/>
          <w:highlight w:val="none"/>
          <w:u w:val="single"/>
        </w:rPr>
        <w:t xml:space="preserve">       </w:t>
      </w:r>
      <w:r>
        <w:rPr>
          <w:rStyle w:val="37"/>
          <w:rFonts w:hint="eastAsia" w:ascii="宋体"/>
          <w:szCs w:val="2"/>
          <w:highlight w:val="none"/>
          <w:u w:val="single"/>
        </w:rPr>
        <w:t>元</w:t>
      </w:r>
      <w:r>
        <w:rPr>
          <w:rStyle w:val="37"/>
          <w:rFonts w:hint="eastAsia" w:ascii="宋体"/>
          <w:kern w:val="0"/>
          <w:highlight w:val="none"/>
          <w:u w:val="single"/>
        </w:rPr>
        <w:t>（大写：         元整）</w:t>
      </w:r>
      <w:r>
        <w:rPr>
          <w:rStyle w:val="37"/>
          <w:rFonts w:hint="eastAsia" w:ascii="宋体"/>
          <w:kern w:val="0"/>
          <w:highlight w:val="none"/>
        </w:rPr>
        <w:t>。</w:t>
      </w:r>
      <w:r>
        <w:rPr>
          <w:rStyle w:val="37"/>
          <w:rFonts w:hint="eastAsia" w:ascii="宋体"/>
          <w:szCs w:val="2"/>
          <w:highlight w:val="none"/>
        </w:rPr>
        <w:t>不含税价为：</w:t>
      </w:r>
      <w:r>
        <w:rPr>
          <w:rStyle w:val="37"/>
          <w:rFonts w:hint="eastAsia" w:ascii="宋体"/>
          <w:szCs w:val="2"/>
          <w:highlight w:val="none"/>
          <w:u w:val="single"/>
        </w:rPr>
        <w:t xml:space="preserve">       元</w:t>
      </w:r>
      <w:r>
        <w:rPr>
          <w:rStyle w:val="37"/>
          <w:rFonts w:hint="eastAsia" w:ascii="宋体"/>
          <w:szCs w:val="2"/>
          <w:highlight w:val="none"/>
        </w:rPr>
        <w:t>（</w:t>
      </w:r>
      <w:r>
        <w:rPr>
          <w:rStyle w:val="37"/>
          <w:rFonts w:hint="eastAsia" w:ascii="宋体"/>
          <w:szCs w:val="2"/>
          <w:highlight w:val="none"/>
          <w:u w:val="single"/>
        </w:rPr>
        <w:t>大写：         整）</w:t>
      </w:r>
      <w:r>
        <w:rPr>
          <w:rStyle w:val="37"/>
          <w:rFonts w:hint="eastAsia" w:ascii="宋体"/>
          <w:szCs w:val="2"/>
          <w:highlight w:val="none"/>
        </w:rPr>
        <w:t>,税额为：</w:t>
      </w:r>
      <w:r>
        <w:rPr>
          <w:rStyle w:val="37"/>
          <w:rFonts w:hint="eastAsia" w:ascii="宋体"/>
          <w:szCs w:val="2"/>
          <w:highlight w:val="none"/>
          <w:u w:val="single"/>
        </w:rPr>
        <w:t xml:space="preserve">       元</w:t>
      </w:r>
      <w:r>
        <w:rPr>
          <w:rStyle w:val="37"/>
          <w:rFonts w:hint="eastAsia" w:ascii="宋体"/>
          <w:szCs w:val="2"/>
          <w:highlight w:val="none"/>
        </w:rPr>
        <w:t>（</w:t>
      </w:r>
      <w:r>
        <w:rPr>
          <w:rStyle w:val="37"/>
          <w:rFonts w:hint="eastAsia" w:ascii="宋体"/>
          <w:szCs w:val="2"/>
          <w:highlight w:val="none"/>
          <w:u w:val="single"/>
        </w:rPr>
        <w:t>大写：         整）</w:t>
      </w:r>
      <w:r>
        <w:rPr>
          <w:rStyle w:val="37"/>
          <w:rFonts w:hint="eastAsia" w:ascii="宋体"/>
          <w:szCs w:val="2"/>
          <w:highlight w:val="none"/>
        </w:rPr>
        <w:t>；不含税价格不因国家税率变化而变化，若在合同履行期间，如遇国家的税率调整，则价税合计应相应调整，以开具发票的时间为准。</w:t>
      </w:r>
      <w:r>
        <w:rPr>
          <w:rStyle w:val="37"/>
          <w:rFonts w:hint="eastAsia" w:ascii="宋体"/>
          <w:kern w:val="0"/>
          <w:highlight w:val="none"/>
        </w:rPr>
        <w:t>该金额为本合同约定项目的全部费用，除双方另有约定外，甲方无须向乙方支付其他任何费用。</w:t>
      </w:r>
    </w:p>
    <w:p w14:paraId="05057385">
      <w:pPr>
        <w:spacing w:line="360" w:lineRule="auto"/>
        <w:rPr>
          <w:rFonts w:ascii="宋体"/>
          <w:highlight w:val="none"/>
        </w:rPr>
      </w:pPr>
      <w:r>
        <w:rPr>
          <w:rFonts w:hint="eastAsia" w:ascii="宋体"/>
          <w:highlight w:val="none"/>
        </w:rPr>
        <w:t>13.2支付方式：</w:t>
      </w:r>
    </w:p>
    <w:p w14:paraId="40F11761">
      <w:pPr>
        <w:spacing w:line="360" w:lineRule="auto"/>
        <w:rPr>
          <w:rFonts w:ascii="宋体"/>
          <w:highlight w:val="none"/>
        </w:rPr>
      </w:pPr>
      <w:r>
        <w:rPr>
          <w:rFonts w:hint="eastAsia" w:ascii="宋体"/>
          <w:highlight w:val="none"/>
        </w:rPr>
        <w:t>本合同实施款项采用分期付款：</w:t>
      </w:r>
    </w:p>
    <w:p w14:paraId="16C9F619">
      <w:pPr>
        <w:spacing w:line="360" w:lineRule="auto"/>
        <w:rPr>
          <w:rFonts w:ascii="宋体"/>
          <w:highlight w:val="none"/>
        </w:rPr>
      </w:pPr>
      <w:r>
        <w:rPr>
          <w:rFonts w:hint="eastAsia" w:ascii="宋体"/>
          <w:highlight w:val="none"/>
        </w:rPr>
        <w:t>13.2.1项目安装、调试并投入试运行后30个工作日内,乙方向甲方提供合法足额的增值税专用发票，甲方向乙方支付合同总额的60％，即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w:t>
      </w:r>
    </w:p>
    <w:p w14:paraId="0860A6F2">
      <w:pPr>
        <w:spacing w:line="360" w:lineRule="auto"/>
        <w:rPr>
          <w:rFonts w:ascii="宋体"/>
          <w:highlight w:val="none"/>
        </w:rPr>
      </w:pPr>
      <w:r>
        <w:rPr>
          <w:rFonts w:hint="eastAsia" w:ascii="宋体"/>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highlight w:val="none"/>
        </w:rPr>
        <w:t>，</w:t>
      </w:r>
      <w:r>
        <w:rPr>
          <w:rFonts w:hint="eastAsia" w:ascii="宋体"/>
          <w:highlight w:val="none"/>
        </w:rPr>
        <w:t>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w:t>
      </w:r>
    </w:p>
    <w:p w14:paraId="694D8775">
      <w:pPr>
        <w:spacing w:line="360" w:lineRule="auto"/>
        <w:rPr>
          <w:rFonts w:ascii="宋体"/>
          <w:highlight w:val="none"/>
        </w:rPr>
      </w:pPr>
      <w:r>
        <w:rPr>
          <w:rFonts w:hint="eastAsia" w:ascii="宋体"/>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），否则按《服务水平协议（SLA）》进行相应金额扣除（13.2.2中已扣除部分，本条不重复扣减）。</w:t>
      </w:r>
    </w:p>
    <w:p w14:paraId="3F3F4057">
      <w:pPr>
        <w:spacing w:line="360" w:lineRule="auto"/>
        <w:rPr>
          <w:rFonts w:ascii="宋体"/>
          <w:highlight w:val="none"/>
        </w:rPr>
      </w:pPr>
      <w:r>
        <w:rPr>
          <w:rFonts w:hint="eastAsia" w:ascii="宋体"/>
          <w:highlight w:val="none"/>
        </w:rPr>
        <w:t>13.3发票要求：</w:t>
      </w:r>
    </w:p>
    <w:p w14:paraId="0C1EBCC0">
      <w:pPr>
        <w:spacing w:line="360" w:lineRule="auto"/>
        <w:rPr>
          <w:rFonts w:ascii="宋体"/>
          <w:highlight w:val="none"/>
        </w:rPr>
      </w:pPr>
      <w:r>
        <w:rPr>
          <w:rFonts w:hint="eastAsia" w:ascii="宋体"/>
          <w:highlight w:val="none"/>
        </w:rPr>
        <w:t>乙方须严格按照合同内容开具税率为</w:t>
      </w:r>
      <w:r>
        <w:rPr>
          <w:rFonts w:hint="eastAsia" w:ascii="宋体"/>
          <w:b/>
          <w:highlight w:val="none"/>
        </w:rPr>
        <w:t>6%</w:t>
      </w:r>
      <w:r>
        <w:rPr>
          <w:rFonts w:hint="eastAsia" w:ascii="宋体"/>
          <w:highlight w:val="none"/>
        </w:rPr>
        <w:t>的增值税专用发票（若遇国家税率调整另议），乙方在甲方每次付款前30个工作日需向甲方交付合法足额发票，否则甲方有权拒绝支付任何费用且不承担逾期付款违约责任。</w:t>
      </w:r>
    </w:p>
    <w:p w14:paraId="7E2780D1">
      <w:pPr>
        <w:spacing w:line="360" w:lineRule="auto"/>
        <w:rPr>
          <w:rFonts w:ascii="宋体"/>
          <w:highlight w:val="none"/>
        </w:rPr>
      </w:pPr>
    </w:p>
    <w:p w14:paraId="4CFDAC49">
      <w:pPr>
        <w:spacing w:line="360" w:lineRule="auto"/>
        <w:ind w:firstLine="472" w:firstLineChars="196"/>
        <w:outlineLvl w:val="0"/>
        <w:rPr>
          <w:rFonts w:ascii="宋体"/>
          <w:b/>
          <w:highlight w:val="none"/>
        </w:rPr>
      </w:pPr>
      <w:bookmarkStart w:id="116" w:name="_Toc63757470"/>
      <w:r>
        <w:rPr>
          <w:rFonts w:hint="eastAsia" w:ascii="宋体"/>
          <w:b/>
          <w:highlight w:val="none"/>
        </w:rPr>
        <w:t>第十四条  风险责任的承担</w:t>
      </w:r>
      <w:bookmarkEnd w:id="116"/>
    </w:p>
    <w:p w14:paraId="32156DC7">
      <w:pPr>
        <w:tabs>
          <w:tab w:val="left" w:pos="6020"/>
        </w:tabs>
        <w:spacing w:line="360" w:lineRule="auto"/>
        <w:rPr>
          <w:rFonts w:ascii="宋体"/>
          <w:highlight w:val="none"/>
        </w:rPr>
      </w:pPr>
      <w:r>
        <w:rPr>
          <w:rFonts w:hint="eastAsia" w:ascii="宋体"/>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61505179">
      <w:pPr>
        <w:tabs>
          <w:tab w:val="left" w:pos="6020"/>
        </w:tabs>
        <w:spacing w:line="360" w:lineRule="auto"/>
        <w:rPr>
          <w:rStyle w:val="37"/>
          <w:rFonts w:ascii="宋体"/>
          <w:kern w:val="0"/>
          <w:highlight w:val="none"/>
        </w:rPr>
      </w:pPr>
      <w:r>
        <w:rPr>
          <w:rStyle w:val="37"/>
          <w:rFonts w:hint="eastAsia" w:ascii="宋体"/>
          <w:kern w:val="0"/>
          <w:highlight w:val="none"/>
        </w:rPr>
        <w:t>14.2乙方发现可能导致实施项目失败或者部分失败的情况时，应当及时通知甲方并采取适当措施减少损失；乙方没有及时通知甲方并采取适当措施致使措施扩大的，应当就扩大的损失承担责任。</w:t>
      </w:r>
    </w:p>
    <w:p w14:paraId="73602A0B">
      <w:pPr>
        <w:tabs>
          <w:tab w:val="left" w:pos="6020"/>
        </w:tabs>
        <w:spacing w:line="360" w:lineRule="auto"/>
        <w:rPr>
          <w:rFonts w:ascii="宋体"/>
          <w:highlight w:val="none"/>
        </w:rPr>
      </w:pPr>
      <w:r>
        <w:rPr>
          <w:rStyle w:val="37"/>
          <w:rFonts w:hint="eastAsia" w:ascii="宋体"/>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92935B7">
      <w:pPr>
        <w:tabs>
          <w:tab w:val="left" w:pos="6020"/>
        </w:tabs>
        <w:spacing w:line="360" w:lineRule="auto"/>
        <w:ind w:firstLine="560" w:firstLineChars="0"/>
        <w:rPr>
          <w:rFonts w:ascii="宋体"/>
          <w:highlight w:val="none"/>
        </w:rPr>
      </w:pPr>
    </w:p>
    <w:p w14:paraId="4807F418">
      <w:pPr>
        <w:spacing w:line="360" w:lineRule="auto"/>
        <w:ind w:firstLine="472" w:firstLineChars="196"/>
        <w:outlineLvl w:val="0"/>
        <w:rPr>
          <w:rFonts w:ascii="宋体"/>
          <w:b/>
          <w:highlight w:val="none"/>
        </w:rPr>
      </w:pPr>
      <w:bookmarkStart w:id="117" w:name="_Toc63757471"/>
      <w:r>
        <w:rPr>
          <w:rFonts w:hint="eastAsia" w:ascii="宋体"/>
          <w:b/>
          <w:highlight w:val="none"/>
        </w:rPr>
        <w:t xml:space="preserve">第十五条  </w:t>
      </w:r>
      <w:bookmarkStart w:id="118" w:name="_Toc58337511"/>
      <w:r>
        <w:rPr>
          <w:rFonts w:hint="eastAsia" w:ascii="宋体"/>
          <w:b/>
          <w:highlight w:val="none"/>
        </w:rPr>
        <w:t>违约与赔偿</w:t>
      </w:r>
      <w:bookmarkEnd w:id="117"/>
      <w:bookmarkEnd w:id="118"/>
    </w:p>
    <w:p w14:paraId="4A72B566">
      <w:pPr>
        <w:spacing w:line="360" w:lineRule="auto"/>
        <w:rPr>
          <w:rFonts w:ascii="宋体"/>
          <w:highlight w:val="none"/>
        </w:rPr>
      </w:pPr>
      <w:r>
        <w:rPr>
          <w:rFonts w:hint="eastAsia" w:ascii="宋体"/>
          <w:highlight w:val="none"/>
        </w:rPr>
        <w:t>15.1因甲方原因未按本合同规定支付第一期研究开发报酬，且经乙方合理催告后，仍无正当理由并逾期支付达【30】个工作日以上的，乙方有权解除合同。</w:t>
      </w:r>
    </w:p>
    <w:p w14:paraId="07EAE776">
      <w:pPr>
        <w:spacing w:line="360" w:lineRule="auto"/>
        <w:rPr>
          <w:rFonts w:ascii="宋体"/>
          <w:highlight w:val="none"/>
        </w:rPr>
      </w:pPr>
      <w:r>
        <w:rPr>
          <w:rFonts w:hint="eastAsia" w:ascii="宋体"/>
          <w:highlight w:val="none"/>
        </w:rPr>
        <w:t>15.2因甲方原因逾期支付第二期或第三期研究开发报酬的，自逾期一个月后的第二天起，每逾期一天支付应付逾期付款金额的万分之五的违约金，违约金总额不超过应付款额的5%。</w:t>
      </w:r>
    </w:p>
    <w:p w14:paraId="4603BB83">
      <w:pPr>
        <w:spacing w:line="360" w:lineRule="auto"/>
        <w:rPr>
          <w:rFonts w:ascii="宋体"/>
          <w:highlight w:val="none"/>
        </w:rPr>
      </w:pPr>
      <w:r>
        <w:rPr>
          <w:rFonts w:hint="eastAsia" w:ascii="宋体"/>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4757B4EF">
      <w:pPr>
        <w:spacing w:line="360" w:lineRule="auto"/>
        <w:rPr>
          <w:rFonts w:ascii="宋体"/>
          <w:highlight w:val="none"/>
        </w:rPr>
      </w:pPr>
      <w:r>
        <w:rPr>
          <w:rFonts w:hint="eastAsia" w:ascii="宋体"/>
          <w:highlight w:val="none"/>
        </w:rPr>
        <w:t>15.4乙方应按本合同规定的研究开发进程完成开发项目。若因乙方自身原因未按时完成开发项目，则按照附件五《服务水平协议（SLA）》扣除延期违约金。</w:t>
      </w:r>
    </w:p>
    <w:p w14:paraId="1A172A57">
      <w:pPr>
        <w:spacing w:line="360" w:lineRule="auto"/>
        <w:rPr>
          <w:rFonts w:ascii="宋体"/>
          <w:highlight w:val="none"/>
        </w:rPr>
      </w:pPr>
      <w:r>
        <w:rPr>
          <w:rFonts w:hint="eastAsia" w:ascii="宋体"/>
          <w:highlight w:val="none"/>
        </w:rPr>
        <w:t>15.5乙方未能完成甲方委托的开发项目或开发成果不符合本合同约定的要求，乙方承担本合同总额20%的违约金，并返还甲方已支付的研究开发费用。</w:t>
      </w:r>
    </w:p>
    <w:p w14:paraId="71D86B97">
      <w:pPr>
        <w:spacing w:line="360" w:lineRule="auto"/>
        <w:rPr>
          <w:rFonts w:ascii="宋体"/>
          <w:highlight w:val="none"/>
        </w:rPr>
      </w:pPr>
      <w:r>
        <w:rPr>
          <w:rFonts w:hint="eastAsia" w:ascii="宋体"/>
          <w:highlight w:val="none"/>
        </w:rPr>
        <w:t>15.6乙方将甲方支付的研发经费用于履行合同以外的目的，甲方有权制止并要求其纠正。如因此造成本合同研究开发项目停滞、延误或失败的，乙方应当承担给甲方造成的损失赔偿责任。</w:t>
      </w:r>
    </w:p>
    <w:p w14:paraId="1418B89A">
      <w:pPr>
        <w:spacing w:line="360" w:lineRule="auto"/>
        <w:rPr>
          <w:rFonts w:ascii="宋体"/>
          <w:highlight w:val="none"/>
        </w:rPr>
      </w:pPr>
      <w:r>
        <w:rPr>
          <w:rFonts w:hint="eastAsia" w:ascii="宋体"/>
          <w:highlight w:val="none"/>
        </w:rPr>
        <w:t>15.7除本条、附件五《服务水平协议（SLA）》及</w:t>
      </w:r>
      <w:r>
        <w:rPr>
          <w:rFonts w:ascii="宋体"/>
          <w:highlight w:val="none"/>
        </w:rPr>
        <w:t>其他条款</w:t>
      </w:r>
      <w:r>
        <w:rPr>
          <w:rFonts w:hint="eastAsia" w:ascii="宋体"/>
          <w:highlight w:val="none"/>
        </w:rPr>
        <w:t>另有约定外，乙方违反本合同任一条款的，应向甲方支付合同总额</w:t>
      </w:r>
      <w:r>
        <w:rPr>
          <w:rFonts w:ascii="宋体"/>
          <w:highlight w:val="none"/>
        </w:rPr>
        <w:t>5</w:t>
      </w:r>
      <w:r>
        <w:rPr>
          <w:rFonts w:hint="eastAsia" w:ascii="宋体"/>
          <w:highlight w:val="none"/>
        </w:rPr>
        <w:t>%的违约金并赔偿甲方产生的损失。</w:t>
      </w:r>
    </w:p>
    <w:p w14:paraId="679DD8BE">
      <w:pPr>
        <w:spacing w:line="360" w:lineRule="auto"/>
        <w:rPr>
          <w:rFonts w:ascii="宋体"/>
          <w:highlight w:val="none"/>
        </w:rPr>
      </w:pPr>
      <w:r>
        <w:rPr>
          <w:rFonts w:hint="eastAsia" w:ascii="宋体"/>
          <w:highlight w:val="none"/>
        </w:rPr>
        <w:t>15.8本合同项下乙方应支付的违约金、赔偿金等，甲方均有权从应支付给乙方的款项中优先扣除，若有不足，乙方应另行筹措资金补足。</w:t>
      </w:r>
    </w:p>
    <w:p w14:paraId="2B9FBA97">
      <w:pPr>
        <w:spacing w:line="360" w:lineRule="auto"/>
        <w:ind w:left="1200" w:leftChars="200" w:hanging="720" w:hangingChars="300"/>
        <w:rPr>
          <w:rFonts w:ascii="宋体"/>
          <w:highlight w:val="none"/>
        </w:rPr>
      </w:pPr>
    </w:p>
    <w:p w14:paraId="60F94809">
      <w:pPr>
        <w:spacing w:line="360" w:lineRule="auto"/>
        <w:ind w:firstLine="472" w:firstLineChars="196"/>
        <w:outlineLvl w:val="0"/>
        <w:rPr>
          <w:rFonts w:ascii="宋体"/>
          <w:b/>
          <w:highlight w:val="none"/>
        </w:rPr>
      </w:pPr>
      <w:bookmarkStart w:id="119" w:name="_Toc63757472"/>
      <w:r>
        <w:rPr>
          <w:rFonts w:hint="eastAsia" w:ascii="宋体"/>
          <w:b/>
          <w:highlight w:val="none"/>
        </w:rPr>
        <w:t>第十六条  合同的解除</w:t>
      </w:r>
      <w:bookmarkEnd w:id="119"/>
      <w:r>
        <w:rPr>
          <w:rFonts w:hint="eastAsia" w:ascii="宋体"/>
          <w:b/>
          <w:highlight w:val="none"/>
        </w:rPr>
        <w:t>和终止</w:t>
      </w:r>
    </w:p>
    <w:p w14:paraId="5C85A91C">
      <w:pPr>
        <w:spacing w:line="360" w:lineRule="auto"/>
        <w:rPr>
          <w:rFonts w:ascii="宋体"/>
          <w:highlight w:val="none"/>
        </w:rPr>
      </w:pPr>
      <w:r>
        <w:rPr>
          <w:rFonts w:hint="eastAsia" w:ascii="宋体"/>
          <w:highlight w:val="none"/>
        </w:rPr>
        <w:t>16.1如果满足以下条件，任一方在通知对方后，都可以解除本合同。</w:t>
      </w:r>
    </w:p>
    <w:p w14:paraId="5EA98694">
      <w:pPr>
        <w:spacing w:line="360" w:lineRule="auto"/>
        <w:rPr>
          <w:rFonts w:ascii="宋体"/>
          <w:highlight w:val="none"/>
        </w:rPr>
      </w:pPr>
      <w:r>
        <w:rPr>
          <w:rFonts w:hint="eastAsia" w:ascii="宋体"/>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0011F28A">
      <w:pPr>
        <w:spacing w:line="360" w:lineRule="auto"/>
        <w:rPr>
          <w:rFonts w:ascii="宋体"/>
          <w:highlight w:val="none"/>
        </w:rPr>
      </w:pPr>
      <w:r>
        <w:rPr>
          <w:rFonts w:hint="eastAsia" w:ascii="宋体"/>
          <w:highlight w:val="none"/>
        </w:rPr>
        <w:t>（2）当一方按正常程序停止经营业务、破产、处于付款拖欠、延期偿付、公司重组或倒闭状况，或全部转让利润与债权人、书面承认无力偿还到期债务、委派清算人清算其业务或财产。</w:t>
      </w:r>
    </w:p>
    <w:p w14:paraId="3B786A48">
      <w:pPr>
        <w:spacing w:line="360" w:lineRule="auto"/>
        <w:rPr>
          <w:rFonts w:ascii="宋体"/>
          <w:highlight w:val="none"/>
        </w:rPr>
      </w:pPr>
      <w:r>
        <w:rPr>
          <w:rFonts w:hint="eastAsia" w:ascii="宋体"/>
          <w:highlight w:val="none"/>
        </w:rPr>
        <w:t>16.2除本合同约定的情形外，甲方若认为乙方无法胜任本合同项下工作的，有权随时通知乙方后解除本合同。甲方除据实与乙方结算费用外，不承担其他违约责任。</w:t>
      </w:r>
    </w:p>
    <w:p w14:paraId="0B64640F">
      <w:pPr>
        <w:spacing w:line="360" w:lineRule="auto"/>
        <w:rPr>
          <w:rFonts w:ascii="宋体"/>
          <w:highlight w:val="none"/>
        </w:rPr>
      </w:pPr>
      <w:r>
        <w:rPr>
          <w:rFonts w:hint="eastAsia" w:ascii="宋体"/>
          <w:highlight w:val="none"/>
        </w:rPr>
        <w:t>16.3当本合同以任何原因终止时，乙方应将本合同项下的过程文档、资料等全部交付给甲方，配合甲方完成知识转移，保证甲方能够继续开展工作；乙方应立即停止使用并删除</w:t>
      </w:r>
      <w:r>
        <w:rPr>
          <w:rFonts w:ascii="宋体"/>
          <w:highlight w:val="none"/>
        </w:rPr>
        <w:t>或</w:t>
      </w:r>
      <w:r>
        <w:rPr>
          <w:rFonts w:hint="eastAsia" w:ascii="宋体"/>
          <w:highlight w:val="none"/>
        </w:rPr>
        <w:t>销毁包含甲方机密信息的所有物件，并证明该销毁情况；或者将这些物件归还给甲方。</w:t>
      </w:r>
    </w:p>
    <w:p w14:paraId="4DB5E3CA">
      <w:pPr>
        <w:spacing w:line="360" w:lineRule="auto"/>
        <w:rPr>
          <w:rFonts w:ascii="宋体"/>
          <w:b/>
          <w:highlight w:val="none"/>
        </w:rPr>
      </w:pPr>
    </w:p>
    <w:p w14:paraId="45C15911">
      <w:pPr>
        <w:spacing w:line="360" w:lineRule="auto"/>
        <w:ind w:firstLine="472" w:firstLineChars="196"/>
        <w:outlineLvl w:val="0"/>
        <w:rPr>
          <w:rFonts w:ascii="宋体"/>
          <w:b/>
          <w:highlight w:val="none"/>
        </w:rPr>
      </w:pPr>
      <w:bookmarkStart w:id="120" w:name="_Toc63757473"/>
      <w:r>
        <w:rPr>
          <w:rFonts w:hint="eastAsia" w:ascii="宋体"/>
          <w:b/>
          <w:highlight w:val="none"/>
        </w:rPr>
        <w:t>第十七条  合同变更及转让</w:t>
      </w:r>
      <w:bookmarkEnd w:id="120"/>
    </w:p>
    <w:p w14:paraId="7E115E33">
      <w:pPr>
        <w:spacing w:line="360" w:lineRule="auto"/>
        <w:rPr>
          <w:rFonts w:ascii="宋体"/>
          <w:highlight w:val="none"/>
        </w:rPr>
      </w:pPr>
      <w:r>
        <w:rPr>
          <w:rFonts w:hint="eastAsia" w:ascii="宋体"/>
          <w:highlight w:val="none"/>
        </w:rPr>
        <w:t>17.1对本合同及其附件的内容进行变更，必须经双方协商一致并签订补充协议，方能生效，本合同另有约定的除外。</w:t>
      </w:r>
    </w:p>
    <w:p w14:paraId="5B5579C4">
      <w:pPr>
        <w:spacing w:line="360" w:lineRule="auto"/>
        <w:rPr>
          <w:rFonts w:ascii="宋体"/>
          <w:highlight w:val="none"/>
        </w:rPr>
      </w:pPr>
      <w:r>
        <w:rPr>
          <w:rFonts w:hint="eastAsia" w:ascii="宋体"/>
          <w:highlight w:val="none"/>
        </w:rPr>
        <w:t>17.2本合同双方在未取得对方事先书面同意的前提下，均不得将各自本合同项下的任何权利或义务转让给第三方。</w:t>
      </w:r>
    </w:p>
    <w:p w14:paraId="7FC00225">
      <w:pPr>
        <w:spacing w:line="360" w:lineRule="auto"/>
        <w:rPr>
          <w:rFonts w:ascii="宋体"/>
          <w:b/>
          <w:highlight w:val="none"/>
        </w:rPr>
      </w:pPr>
    </w:p>
    <w:p w14:paraId="03F7EEED">
      <w:pPr>
        <w:spacing w:line="360" w:lineRule="auto"/>
        <w:ind w:firstLine="472" w:firstLineChars="196"/>
        <w:outlineLvl w:val="0"/>
        <w:rPr>
          <w:rFonts w:ascii="宋体"/>
          <w:b/>
          <w:highlight w:val="none"/>
        </w:rPr>
      </w:pPr>
      <w:bookmarkStart w:id="121" w:name="_Toc63757474"/>
      <w:r>
        <w:rPr>
          <w:rFonts w:hint="eastAsia" w:ascii="宋体"/>
          <w:b/>
          <w:highlight w:val="none"/>
        </w:rPr>
        <w:t>第十八条  争议解决</w:t>
      </w:r>
      <w:bookmarkEnd w:id="121"/>
    </w:p>
    <w:p w14:paraId="1073F61F">
      <w:pPr>
        <w:spacing w:line="360" w:lineRule="auto"/>
        <w:rPr>
          <w:rFonts w:ascii="宋体"/>
          <w:highlight w:val="none"/>
        </w:rPr>
      </w:pPr>
      <w:r>
        <w:rPr>
          <w:rFonts w:hint="eastAsia" w:ascii="宋体"/>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w:t>
      </w:r>
    </w:p>
    <w:p w14:paraId="72B52A32">
      <w:pPr>
        <w:spacing w:line="360" w:lineRule="auto"/>
        <w:rPr>
          <w:rFonts w:ascii="宋体"/>
          <w:highlight w:val="none"/>
        </w:rPr>
      </w:pPr>
    </w:p>
    <w:p w14:paraId="48565F5D">
      <w:pPr>
        <w:spacing w:line="360" w:lineRule="auto"/>
        <w:ind w:firstLine="472" w:firstLineChars="196"/>
        <w:outlineLvl w:val="0"/>
        <w:rPr>
          <w:rFonts w:ascii="宋体"/>
          <w:b/>
          <w:highlight w:val="none"/>
        </w:rPr>
      </w:pPr>
      <w:bookmarkStart w:id="122" w:name="_Toc63757475"/>
      <w:r>
        <w:rPr>
          <w:rFonts w:hint="eastAsia" w:ascii="宋体"/>
          <w:b/>
          <w:highlight w:val="none"/>
        </w:rPr>
        <w:t>第十九条 通知与送达</w:t>
      </w:r>
      <w:bookmarkEnd w:id="122"/>
    </w:p>
    <w:p w14:paraId="14FC555F">
      <w:pPr>
        <w:spacing w:line="360" w:lineRule="auto"/>
        <w:rPr>
          <w:rFonts w:ascii="宋体"/>
          <w:highlight w:val="none"/>
        </w:rPr>
      </w:pPr>
      <w:r>
        <w:rPr>
          <w:rFonts w:hint="eastAsia" w:ascii="宋体"/>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1D9A0987">
      <w:pPr>
        <w:adjustRightInd w:val="0"/>
        <w:spacing w:line="336" w:lineRule="auto"/>
        <w:ind w:firstLine="537" w:firstLineChars="224"/>
        <w:jc w:val="left"/>
        <w:rPr>
          <w:rFonts w:ascii="宋体"/>
          <w:highlight w:val="none"/>
        </w:rPr>
      </w:pPr>
      <w:r>
        <w:rPr>
          <w:rFonts w:hint="eastAsia" w:ascii="宋体"/>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5A7F07C3">
      <w:pPr>
        <w:spacing w:line="360" w:lineRule="auto"/>
        <w:rPr>
          <w:rFonts w:ascii="宋体"/>
          <w:highlight w:val="none"/>
          <w:lang w:val="zh-CN" w:eastAsia="zh-CN"/>
        </w:rPr>
      </w:pPr>
    </w:p>
    <w:p w14:paraId="499D4667">
      <w:pPr>
        <w:spacing w:line="360" w:lineRule="auto"/>
        <w:ind w:firstLine="472" w:firstLineChars="196"/>
        <w:outlineLvl w:val="0"/>
        <w:rPr>
          <w:rFonts w:ascii="宋体"/>
          <w:b/>
          <w:highlight w:val="none"/>
        </w:rPr>
      </w:pPr>
      <w:bookmarkStart w:id="123" w:name="_Toc63757476"/>
      <w:r>
        <w:rPr>
          <w:rFonts w:hint="eastAsia" w:ascii="宋体"/>
          <w:b/>
          <w:highlight w:val="none"/>
        </w:rPr>
        <w:t>第二十条  合同生效</w:t>
      </w:r>
      <w:bookmarkEnd w:id="123"/>
    </w:p>
    <w:p w14:paraId="3278A57C">
      <w:pPr>
        <w:spacing w:line="360" w:lineRule="auto"/>
        <w:rPr>
          <w:rFonts w:ascii="宋体"/>
          <w:highlight w:val="none"/>
        </w:rPr>
      </w:pPr>
      <w:r>
        <w:rPr>
          <w:rFonts w:hint="eastAsia" w:ascii="宋体"/>
          <w:highlight w:val="none"/>
        </w:rPr>
        <w:t>本合同自下列条件全部满足之日起生效：</w:t>
      </w:r>
    </w:p>
    <w:p w14:paraId="09F65E54">
      <w:pPr>
        <w:spacing w:line="360" w:lineRule="auto"/>
        <w:rPr>
          <w:rFonts w:ascii="宋体"/>
          <w:highlight w:val="none"/>
        </w:rPr>
      </w:pPr>
      <w:r>
        <w:rPr>
          <w:rFonts w:hint="eastAsia" w:ascii="宋体"/>
          <w:highlight w:val="none"/>
        </w:rPr>
        <w:t>双方对本合同及其全部附件内容达成一致并加盖公章。</w:t>
      </w:r>
    </w:p>
    <w:p w14:paraId="79664160">
      <w:pPr>
        <w:spacing w:line="360" w:lineRule="auto"/>
        <w:rPr>
          <w:rFonts w:ascii="宋体"/>
          <w:b/>
          <w:highlight w:val="none"/>
        </w:rPr>
      </w:pPr>
    </w:p>
    <w:p w14:paraId="011D39E0">
      <w:pPr>
        <w:spacing w:line="360" w:lineRule="auto"/>
        <w:ind w:firstLine="472" w:firstLineChars="196"/>
        <w:outlineLvl w:val="0"/>
        <w:rPr>
          <w:rFonts w:ascii="宋体"/>
          <w:b/>
          <w:highlight w:val="none"/>
        </w:rPr>
      </w:pPr>
      <w:bookmarkStart w:id="124" w:name="_Toc63757477"/>
      <w:r>
        <w:rPr>
          <w:rFonts w:hint="eastAsia" w:ascii="宋体"/>
          <w:b/>
          <w:highlight w:val="none"/>
        </w:rPr>
        <w:t>第二十一条  不可抗力</w:t>
      </w:r>
      <w:bookmarkEnd w:id="124"/>
    </w:p>
    <w:p w14:paraId="1BB43800">
      <w:pPr>
        <w:spacing w:line="360" w:lineRule="auto"/>
        <w:rPr>
          <w:rFonts w:ascii="宋体"/>
          <w:kern w:val="0"/>
          <w:highlight w:val="none"/>
        </w:rPr>
      </w:pPr>
      <w:r>
        <w:rPr>
          <w:rFonts w:hint="eastAsia" w:ascii="宋体"/>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1CD53922">
      <w:pPr>
        <w:spacing w:line="360" w:lineRule="auto"/>
        <w:rPr>
          <w:rFonts w:ascii="宋体"/>
          <w:kern w:val="0"/>
          <w:highlight w:val="none"/>
        </w:rPr>
      </w:pPr>
      <w:r>
        <w:rPr>
          <w:rFonts w:hint="eastAsia" w:ascii="宋体"/>
          <w:kern w:val="0"/>
          <w:highlight w:val="none"/>
        </w:rPr>
        <w:t>21.2发生不可抗力的一方应立即通知对方，并在十五天内提供不可抗力的详情及将有关证明文件送交对方。</w:t>
      </w:r>
    </w:p>
    <w:p w14:paraId="66D7D500">
      <w:pPr>
        <w:spacing w:line="360" w:lineRule="auto"/>
        <w:rPr>
          <w:rFonts w:ascii="宋体"/>
          <w:kern w:val="0"/>
          <w:highlight w:val="none"/>
        </w:rPr>
      </w:pPr>
      <w:r>
        <w:rPr>
          <w:rFonts w:hint="eastAsia" w:ascii="宋体"/>
          <w:kern w:val="0"/>
          <w:highlight w:val="none"/>
        </w:rPr>
        <w:t>21.3发生不可抗力事件时，甲乙双方应协商以寻找一个合理的解决方法，并尽一切努力减轻不可抗力产生的后果。</w:t>
      </w:r>
    </w:p>
    <w:p w14:paraId="446A0964">
      <w:pPr>
        <w:spacing w:line="360" w:lineRule="auto"/>
        <w:rPr>
          <w:rFonts w:ascii="宋体"/>
          <w:kern w:val="0"/>
          <w:highlight w:val="none"/>
        </w:rPr>
      </w:pPr>
      <w:r>
        <w:rPr>
          <w:rFonts w:hint="eastAsia" w:ascii="宋体"/>
          <w:kern w:val="0"/>
          <w:highlight w:val="none"/>
        </w:rPr>
        <w:t>21.4如不可抗力事件持续三十天时，甲乙双方应友好协商解决本合同是否继续履行或终止的问题。</w:t>
      </w:r>
    </w:p>
    <w:p w14:paraId="7123E139">
      <w:pPr>
        <w:spacing w:line="360" w:lineRule="auto"/>
        <w:rPr>
          <w:rFonts w:ascii="宋体"/>
          <w:b/>
          <w:highlight w:val="none"/>
        </w:rPr>
      </w:pPr>
    </w:p>
    <w:p w14:paraId="139E09E8">
      <w:pPr>
        <w:spacing w:line="360" w:lineRule="auto"/>
        <w:ind w:firstLine="472" w:firstLineChars="196"/>
        <w:outlineLvl w:val="0"/>
        <w:rPr>
          <w:rFonts w:ascii="宋体"/>
          <w:b/>
          <w:highlight w:val="none"/>
        </w:rPr>
      </w:pPr>
      <w:bookmarkStart w:id="125" w:name="_Toc63757478"/>
      <w:r>
        <w:rPr>
          <w:rFonts w:hint="eastAsia" w:ascii="宋体"/>
          <w:b/>
          <w:highlight w:val="none"/>
        </w:rPr>
        <w:t>第二十二条  反商业贿赂</w:t>
      </w:r>
      <w:bookmarkEnd w:id="125"/>
    </w:p>
    <w:p w14:paraId="76D18BF3">
      <w:pPr>
        <w:spacing w:line="360" w:lineRule="auto"/>
        <w:rPr>
          <w:rFonts w:ascii="宋体"/>
          <w:highlight w:val="none"/>
        </w:rPr>
      </w:pPr>
      <w:r>
        <w:rPr>
          <w:rFonts w:hint="eastAsia" w:ascii="宋体"/>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03AB9947">
      <w:pPr>
        <w:spacing w:line="360" w:lineRule="auto"/>
        <w:rPr>
          <w:rFonts w:ascii="宋体"/>
          <w:b/>
          <w:highlight w:val="none"/>
        </w:rPr>
      </w:pPr>
    </w:p>
    <w:p w14:paraId="38883A08">
      <w:pPr>
        <w:spacing w:line="360" w:lineRule="auto"/>
        <w:ind w:firstLine="472" w:firstLineChars="196"/>
        <w:outlineLvl w:val="0"/>
        <w:rPr>
          <w:rFonts w:ascii="宋体"/>
          <w:b/>
          <w:highlight w:val="none"/>
        </w:rPr>
      </w:pPr>
      <w:bookmarkStart w:id="126" w:name="_Toc63757479"/>
      <w:r>
        <w:rPr>
          <w:rFonts w:hint="eastAsia" w:ascii="宋体"/>
          <w:b/>
          <w:highlight w:val="none"/>
        </w:rPr>
        <w:t>第二十三条  附件</w:t>
      </w:r>
      <w:bookmarkEnd w:id="126"/>
    </w:p>
    <w:p w14:paraId="2C70E205">
      <w:pPr>
        <w:spacing w:line="360" w:lineRule="auto"/>
        <w:ind w:firstLine="559" w:firstLineChars="233"/>
        <w:rPr>
          <w:rFonts w:ascii="宋体"/>
          <w:highlight w:val="none"/>
        </w:rPr>
      </w:pPr>
      <w:r>
        <w:rPr>
          <w:rFonts w:hint="eastAsia" w:ascii="宋体"/>
          <w:highlight w:val="none"/>
        </w:rPr>
        <w:t>本合同的附件与合同正本具有同等法律效力，主合同与附件如有冲突，以主合同为准。本合同附件如下：</w:t>
      </w:r>
    </w:p>
    <w:p w14:paraId="350FD786">
      <w:pPr>
        <w:spacing w:line="360" w:lineRule="auto"/>
        <w:ind w:left="560"/>
        <w:rPr>
          <w:rFonts w:ascii="宋体"/>
          <w:highlight w:val="none"/>
        </w:rPr>
      </w:pPr>
      <w:r>
        <w:rPr>
          <w:rFonts w:hint="eastAsia" w:ascii="宋体"/>
          <w:highlight w:val="none"/>
        </w:rPr>
        <w:t>附件一：工作（需求）说明书</w:t>
      </w:r>
    </w:p>
    <w:p w14:paraId="2C7F2CB9">
      <w:pPr>
        <w:spacing w:line="360" w:lineRule="auto"/>
        <w:ind w:left="560"/>
        <w:rPr>
          <w:rFonts w:ascii="宋体"/>
          <w:highlight w:val="none"/>
        </w:rPr>
      </w:pPr>
      <w:r>
        <w:rPr>
          <w:rFonts w:hint="eastAsia" w:ascii="宋体"/>
          <w:highlight w:val="none"/>
        </w:rPr>
        <w:t>附件二：项目人员名单及人员应急退出机制</w:t>
      </w:r>
    </w:p>
    <w:p w14:paraId="580BDF4A">
      <w:pPr>
        <w:spacing w:line="360" w:lineRule="auto"/>
        <w:ind w:left="560"/>
        <w:rPr>
          <w:rFonts w:ascii="宋体"/>
          <w:highlight w:val="none"/>
        </w:rPr>
      </w:pPr>
      <w:r>
        <w:rPr>
          <w:rFonts w:hint="eastAsia" w:ascii="宋体"/>
          <w:highlight w:val="none"/>
        </w:rPr>
        <w:t>附件三：验收标准及流程</w:t>
      </w:r>
    </w:p>
    <w:p w14:paraId="0A0F884B">
      <w:pPr>
        <w:spacing w:line="360" w:lineRule="auto"/>
        <w:ind w:left="560"/>
        <w:rPr>
          <w:rFonts w:ascii="宋体"/>
          <w:highlight w:val="none"/>
        </w:rPr>
      </w:pPr>
      <w:r>
        <w:rPr>
          <w:rFonts w:hint="eastAsia" w:ascii="宋体"/>
          <w:highlight w:val="none"/>
        </w:rPr>
        <w:t>附件四：维护服务条款</w:t>
      </w:r>
    </w:p>
    <w:p w14:paraId="07C8C774">
      <w:pPr>
        <w:spacing w:line="360" w:lineRule="auto"/>
        <w:ind w:left="560"/>
        <w:rPr>
          <w:rFonts w:ascii="宋体"/>
          <w:highlight w:val="none"/>
        </w:rPr>
      </w:pPr>
      <w:r>
        <w:rPr>
          <w:rFonts w:hint="eastAsia" w:ascii="宋体"/>
          <w:highlight w:val="none"/>
        </w:rPr>
        <w:t>附件五：服务水平协议（SLA）</w:t>
      </w:r>
    </w:p>
    <w:p w14:paraId="492FFA3D">
      <w:pPr>
        <w:spacing w:line="360" w:lineRule="auto"/>
        <w:ind w:left="560"/>
        <w:rPr>
          <w:rFonts w:ascii="宋体"/>
          <w:highlight w:val="none"/>
        </w:rPr>
      </w:pPr>
      <w:r>
        <w:rPr>
          <w:rFonts w:hint="eastAsia" w:ascii="宋体"/>
          <w:highlight w:val="none"/>
        </w:rPr>
        <w:t>附件六：服务连续性预案</w:t>
      </w:r>
    </w:p>
    <w:p w14:paraId="3F90FB23">
      <w:pPr>
        <w:spacing w:line="360" w:lineRule="auto"/>
        <w:ind w:left="560"/>
        <w:rPr>
          <w:rFonts w:ascii="宋体"/>
          <w:highlight w:val="none"/>
        </w:rPr>
      </w:pPr>
    </w:p>
    <w:p w14:paraId="3B6F4805">
      <w:pPr>
        <w:spacing w:line="360" w:lineRule="auto"/>
        <w:ind w:firstLine="472" w:firstLineChars="196"/>
        <w:outlineLvl w:val="0"/>
        <w:rPr>
          <w:rFonts w:ascii="宋体"/>
          <w:b/>
          <w:highlight w:val="none"/>
        </w:rPr>
      </w:pPr>
      <w:bookmarkStart w:id="127" w:name="_Toc63757480"/>
      <w:r>
        <w:rPr>
          <w:rFonts w:hint="eastAsia" w:ascii="宋体"/>
          <w:b/>
          <w:highlight w:val="none"/>
        </w:rPr>
        <w:t>第二十四条  其他</w:t>
      </w:r>
      <w:bookmarkEnd w:id="127"/>
    </w:p>
    <w:p w14:paraId="46E694C7">
      <w:pPr>
        <w:pStyle w:val="13"/>
        <w:spacing w:before="0" w:beforeLines="0" w:line="360" w:lineRule="auto"/>
        <w:rPr>
          <w:rFonts w:ascii="宋体" w:eastAsia="宋体"/>
          <w:spacing w:val="0"/>
          <w:highlight w:val="none"/>
        </w:rPr>
      </w:pPr>
      <w:r>
        <w:rPr>
          <w:rStyle w:val="37"/>
          <w:rFonts w:hint="eastAsia" w:ascii="宋体" w:eastAsia="宋体"/>
          <w:spacing w:val="0"/>
          <w:kern w:val="0"/>
          <w:highlight w:val="none"/>
        </w:rPr>
        <w:t>24.1除本</w:t>
      </w:r>
      <w:r>
        <w:rPr>
          <w:rFonts w:hint="eastAsia" w:ascii="宋体" w:eastAsia="宋体"/>
          <w:spacing w:val="0"/>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CFDD74F">
      <w:pPr>
        <w:pStyle w:val="13"/>
        <w:spacing w:before="0" w:beforeLines="0" w:line="360" w:lineRule="auto"/>
        <w:rPr>
          <w:rFonts w:ascii="宋体" w:eastAsia="宋体"/>
          <w:spacing w:val="0"/>
          <w:highlight w:val="none"/>
        </w:rPr>
      </w:pPr>
      <w:r>
        <w:rPr>
          <w:rFonts w:hint="eastAsia" w:ascii="宋体" w:eastAsia="宋体"/>
          <w:spacing w:val="0"/>
          <w:highlight w:val="none"/>
        </w:rPr>
        <w:t>24.</w:t>
      </w:r>
      <w:r>
        <w:rPr>
          <w:rStyle w:val="37"/>
          <w:rFonts w:hint="eastAsia" w:ascii="宋体" w:eastAsia="宋体"/>
          <w:spacing w:val="0"/>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spacing w:val="0"/>
          <w:highlight w:val="none"/>
        </w:rPr>
        <w:t>同其他条款或内容的合法性、有效性和可执行性不受影响。</w:t>
      </w:r>
    </w:p>
    <w:p w14:paraId="6EBC56E4">
      <w:pPr>
        <w:spacing w:line="360" w:lineRule="auto"/>
        <w:rPr>
          <w:rFonts w:ascii="宋体"/>
          <w:highlight w:val="none"/>
        </w:rPr>
      </w:pPr>
      <w:r>
        <w:rPr>
          <w:rStyle w:val="37"/>
          <w:rFonts w:hint="eastAsia" w:ascii="宋体"/>
          <w:kern w:val="0"/>
          <w:highlight w:val="none"/>
        </w:rPr>
        <w:t>24.3本</w:t>
      </w:r>
      <w:r>
        <w:rPr>
          <w:rFonts w:hint="eastAsia" w:ascii="宋体"/>
          <w:highlight w:val="none"/>
        </w:rPr>
        <w:t>合同签订后，如需要就与合同执行有关的事项签订补充合同，应由双方加盖公章后，补充合同即生效。主合同与附件如有冲突，以主合同为准。</w:t>
      </w:r>
    </w:p>
    <w:p w14:paraId="2349BB41">
      <w:pPr>
        <w:spacing w:line="360" w:lineRule="auto"/>
        <w:rPr>
          <w:rStyle w:val="37"/>
          <w:rFonts w:ascii="宋体"/>
          <w:kern w:val="0"/>
          <w:highlight w:val="none"/>
        </w:rPr>
      </w:pPr>
      <w:r>
        <w:rPr>
          <w:rStyle w:val="37"/>
          <w:rFonts w:hint="eastAsia" w:ascii="宋体"/>
          <w:kern w:val="0"/>
          <w:highlight w:val="none"/>
        </w:rPr>
        <w:t>24.4本合同以中文版本为准，除非本合同明确规定或双方另有约定，为履行本合同的所有文件及信函均以中文书写。</w:t>
      </w:r>
    </w:p>
    <w:p w14:paraId="041D80AC">
      <w:pPr>
        <w:spacing w:line="360" w:lineRule="auto"/>
        <w:rPr>
          <w:rFonts w:ascii="宋体"/>
          <w:highlight w:val="none"/>
        </w:rPr>
      </w:pPr>
      <w:r>
        <w:rPr>
          <w:rStyle w:val="37"/>
          <w:rFonts w:hint="eastAsia" w:ascii="宋体"/>
          <w:kern w:val="0"/>
          <w:highlight w:val="none"/>
        </w:rPr>
        <w:t>24.5本合同一式肆份，甲方执贰份，乙方执贰份，每份具有同等法律</w:t>
      </w:r>
      <w:r>
        <w:rPr>
          <w:rFonts w:hint="eastAsia" w:ascii="宋体"/>
          <w:highlight w:val="none"/>
        </w:rPr>
        <w:t>效力。</w:t>
      </w:r>
    </w:p>
    <w:p w14:paraId="082935B1">
      <w:pPr>
        <w:spacing w:line="360" w:lineRule="auto"/>
        <w:rPr>
          <w:rFonts w:ascii="宋体"/>
          <w:b/>
          <w:iCs/>
          <w:highlight w:val="none"/>
        </w:rPr>
      </w:pPr>
      <w:r>
        <w:rPr>
          <w:rFonts w:hint="eastAsia" w:ascii="宋体"/>
          <w:b/>
          <w:iCs/>
          <w:highlight w:val="none"/>
        </w:rPr>
        <w:t>本合同由各方于本合同签署页所述日期正式签署，以昭信守。</w:t>
      </w:r>
    </w:p>
    <w:p w14:paraId="5478544E">
      <w:pPr>
        <w:spacing w:line="360" w:lineRule="auto"/>
        <w:rPr>
          <w:rFonts w:ascii="宋体"/>
          <w:b/>
          <w:iCs/>
          <w:highlight w:val="none"/>
        </w:rPr>
      </w:pPr>
      <w:r>
        <w:rPr>
          <w:rFonts w:hint="eastAsia" w:ascii="宋体"/>
          <w:b/>
          <w:iCs/>
          <w:highlight w:val="none"/>
        </w:rPr>
        <w:t>（以下无正文）</w:t>
      </w:r>
    </w:p>
    <w:p w14:paraId="6A21F209">
      <w:pPr>
        <w:spacing w:line="360" w:lineRule="auto"/>
        <w:rPr>
          <w:rFonts w:ascii="宋体"/>
          <w:b/>
          <w:iCs/>
          <w:highlight w:val="none"/>
        </w:rPr>
      </w:pPr>
      <w:r>
        <w:rPr>
          <w:rFonts w:hint="eastAsia" w:ascii="宋体"/>
          <w:b/>
          <w:highlight w:val="none"/>
        </w:rPr>
        <w:br w:type="page"/>
      </w:r>
      <w:r>
        <w:rPr>
          <w:rFonts w:hint="eastAsia" w:ascii="宋体"/>
          <w:b/>
          <w:iCs/>
          <w:highlight w:val="none"/>
        </w:rPr>
        <w:t>（本页无正文，为编号XXXXXXXXX《XXX合同》的签署页）</w:t>
      </w:r>
    </w:p>
    <w:p w14:paraId="65F37AB4">
      <w:pPr>
        <w:spacing w:line="360" w:lineRule="auto"/>
        <w:rPr>
          <w:rFonts w:ascii="宋体"/>
          <w:b/>
          <w:highlight w:val="none"/>
        </w:rPr>
      </w:pPr>
    </w:p>
    <w:p w14:paraId="40EF11D4">
      <w:pPr>
        <w:spacing w:line="360" w:lineRule="auto"/>
        <w:rPr>
          <w:rFonts w:ascii="宋体"/>
          <w:b/>
          <w:highlight w:val="none"/>
        </w:rPr>
      </w:pPr>
    </w:p>
    <w:p w14:paraId="2F199D58">
      <w:pPr>
        <w:tabs>
          <w:tab w:val="left" w:pos="851"/>
        </w:tabs>
        <w:adjustRightInd w:val="0"/>
        <w:spacing w:line="360" w:lineRule="auto"/>
        <w:textAlignment w:val="baseline"/>
        <w:rPr>
          <w:rFonts w:ascii="宋体"/>
          <w:kern w:val="0"/>
          <w:highlight w:val="none"/>
        </w:rPr>
      </w:pPr>
      <w:r>
        <w:rPr>
          <w:rFonts w:hint="eastAsia" w:ascii="宋体"/>
          <w:kern w:val="0"/>
          <w:highlight w:val="none"/>
        </w:rPr>
        <w:t>甲方：</w:t>
      </w:r>
      <w:r>
        <w:rPr>
          <w:rFonts w:hint="eastAsia" w:ascii="宋体"/>
          <w:b/>
          <w:highlight w:val="none"/>
        </w:rPr>
        <w:t>重庆三峡银行股份有限公司</w:t>
      </w:r>
      <w:r>
        <w:rPr>
          <w:rFonts w:hint="eastAsia" w:ascii="宋体"/>
          <w:kern w:val="0"/>
          <w:highlight w:val="none"/>
        </w:rPr>
        <w:t xml:space="preserve">     （公章）</w:t>
      </w:r>
    </w:p>
    <w:p w14:paraId="6C770FCF">
      <w:pPr>
        <w:spacing w:line="360" w:lineRule="auto"/>
        <w:rPr>
          <w:rFonts w:ascii="宋体"/>
          <w:highlight w:val="none"/>
        </w:rPr>
      </w:pPr>
    </w:p>
    <w:p w14:paraId="6C4466E8">
      <w:pPr>
        <w:tabs>
          <w:tab w:val="left" w:pos="851"/>
        </w:tabs>
        <w:adjustRightInd w:val="0"/>
        <w:spacing w:line="360" w:lineRule="auto"/>
        <w:ind w:firstLine="720" w:firstLineChars="300"/>
        <w:textAlignment w:val="baseline"/>
        <w:rPr>
          <w:rFonts w:ascii="宋体"/>
          <w:kern w:val="0"/>
          <w:highlight w:val="none"/>
        </w:rPr>
      </w:pPr>
      <w:r>
        <w:rPr>
          <w:rFonts w:hint="eastAsia" w:ascii="宋体"/>
          <w:kern w:val="0"/>
          <w:highlight w:val="none"/>
        </w:rPr>
        <w:t>经办人：</w:t>
      </w:r>
    </w:p>
    <w:p w14:paraId="0B34A44D">
      <w:pPr>
        <w:tabs>
          <w:tab w:val="left" w:pos="851"/>
        </w:tabs>
        <w:adjustRightInd w:val="0"/>
        <w:spacing w:line="360" w:lineRule="auto"/>
        <w:ind w:firstLine="720" w:firstLineChars="300"/>
        <w:textAlignment w:val="baseline"/>
        <w:rPr>
          <w:rFonts w:ascii="宋体"/>
          <w:kern w:val="0"/>
          <w:highlight w:val="none"/>
        </w:rPr>
      </w:pPr>
    </w:p>
    <w:p w14:paraId="303DD8A6">
      <w:pPr>
        <w:spacing w:line="360" w:lineRule="auto"/>
        <w:rPr>
          <w:rFonts w:ascii="宋体"/>
          <w:highlight w:val="none"/>
        </w:rPr>
      </w:pPr>
    </w:p>
    <w:p w14:paraId="2C237A10">
      <w:pPr>
        <w:spacing w:line="360" w:lineRule="auto"/>
        <w:rPr>
          <w:rFonts w:ascii="宋体"/>
          <w:highlight w:val="none"/>
        </w:rPr>
      </w:pPr>
    </w:p>
    <w:p w14:paraId="355979D6">
      <w:pPr>
        <w:spacing w:line="360" w:lineRule="auto"/>
        <w:rPr>
          <w:rFonts w:ascii="宋体"/>
          <w:highlight w:val="none"/>
        </w:rPr>
      </w:pPr>
    </w:p>
    <w:p w14:paraId="7CB577B6">
      <w:pPr>
        <w:spacing w:line="360" w:lineRule="auto"/>
        <w:rPr>
          <w:rFonts w:ascii="宋体"/>
          <w:highlight w:val="none"/>
        </w:rPr>
      </w:pPr>
      <w:r>
        <w:rPr>
          <w:rFonts w:hint="eastAsia" w:ascii="宋体"/>
          <w:highlight w:val="none"/>
        </w:rPr>
        <w:t>乙方：</w:t>
      </w:r>
      <w:r>
        <w:rPr>
          <w:rFonts w:hint="eastAsia" w:ascii="宋体"/>
          <w:b/>
          <w:highlight w:val="none"/>
        </w:rPr>
        <w:t>XXXXXXXXXXXXXXXXXXXXXXX</w:t>
      </w:r>
      <w:r>
        <w:rPr>
          <w:rFonts w:hint="eastAsia" w:ascii="宋体"/>
          <w:highlight w:val="none"/>
        </w:rPr>
        <w:t>（公章）</w:t>
      </w:r>
    </w:p>
    <w:p w14:paraId="0E19DD2D">
      <w:pPr>
        <w:spacing w:line="360" w:lineRule="auto"/>
        <w:rPr>
          <w:rFonts w:ascii="宋体"/>
          <w:highlight w:val="none"/>
        </w:rPr>
      </w:pPr>
    </w:p>
    <w:p w14:paraId="3948EB67">
      <w:pPr>
        <w:spacing w:line="360" w:lineRule="auto"/>
        <w:ind w:firstLine="720" w:firstLineChars="300"/>
        <w:rPr>
          <w:rFonts w:ascii="宋体"/>
          <w:highlight w:val="none"/>
        </w:rPr>
      </w:pPr>
      <w:r>
        <w:rPr>
          <w:rFonts w:hint="eastAsia" w:ascii="宋体"/>
          <w:highlight w:val="none"/>
        </w:rPr>
        <w:t>经办人：</w:t>
      </w:r>
    </w:p>
    <w:p w14:paraId="7297DDF8">
      <w:pPr>
        <w:spacing w:line="360" w:lineRule="auto"/>
        <w:rPr>
          <w:rFonts w:ascii="宋体"/>
          <w:highlight w:val="none"/>
        </w:rPr>
      </w:pPr>
    </w:p>
    <w:p w14:paraId="2A3465F8">
      <w:pPr>
        <w:spacing w:line="360" w:lineRule="auto"/>
        <w:ind w:firstLine="5040" w:firstLineChars="2100"/>
        <w:rPr>
          <w:rFonts w:ascii="宋体"/>
          <w:highlight w:val="none"/>
        </w:rPr>
      </w:pPr>
    </w:p>
    <w:p w14:paraId="09E87357">
      <w:pPr>
        <w:spacing w:line="360" w:lineRule="auto"/>
        <w:ind w:firstLine="5040" w:firstLineChars="2100"/>
        <w:rPr>
          <w:rFonts w:ascii="宋体"/>
          <w:highlight w:val="none"/>
        </w:rPr>
      </w:pPr>
    </w:p>
    <w:p w14:paraId="4B150FEE">
      <w:pPr>
        <w:spacing w:line="360" w:lineRule="auto"/>
        <w:ind w:firstLine="5040" w:firstLineChars="2100"/>
        <w:rPr>
          <w:rFonts w:ascii="宋体"/>
          <w:highlight w:val="none"/>
        </w:rPr>
      </w:pPr>
      <w:r>
        <w:rPr>
          <w:rFonts w:hint="eastAsia" w:ascii="宋体"/>
          <w:highlight w:val="none"/>
        </w:rPr>
        <w:t>日期：    年    月    日</w:t>
      </w:r>
    </w:p>
    <w:p w14:paraId="58B8D66E">
      <w:pPr>
        <w:pStyle w:val="2"/>
        <w:rPr>
          <w:rStyle w:val="37"/>
          <w:sz w:val="30"/>
          <w:highlight w:val="none"/>
        </w:rPr>
      </w:pPr>
      <w:r>
        <w:rPr>
          <w:highlight w:val="none"/>
        </w:rPr>
        <w:br w:type="page"/>
      </w:r>
      <w:bookmarkStart w:id="128" w:name="_Toc63757481"/>
      <w:r>
        <w:rPr>
          <w:rStyle w:val="37"/>
          <w:rFonts w:hint="eastAsia"/>
          <w:sz w:val="30"/>
          <w:highlight w:val="none"/>
        </w:rPr>
        <w:t>附件一：工作（需求）说明书</w:t>
      </w:r>
      <w:bookmarkEnd w:id="128"/>
    </w:p>
    <w:p w14:paraId="4820C314">
      <w:pPr>
        <w:rPr>
          <w:rFonts w:ascii="Times New Roman" w:hAnsi="Times New Roman"/>
          <w:color w:val="000000"/>
          <w:szCs w:val="24"/>
          <w:highlight w:val="none"/>
        </w:rPr>
      </w:pPr>
      <w:bookmarkStart w:id="129" w:name="_Toc63757482"/>
      <w:r>
        <w:rPr>
          <w:rFonts w:hint="eastAsia" w:ascii="Times New Roman" w:hAnsi="Times New Roman"/>
          <w:color w:val="000000"/>
          <w:szCs w:val="24"/>
          <w:highlight w:val="none"/>
        </w:rPr>
        <w:t>我行新一代核心系统（以下简称“新核心”）于2022年7月23日顺利投产，投产以来，整体运行平稳，现系统进入持续迭代期，在业务开展过程中，新的业务需求、监管需求陆续提出，为优化系统流程、提升交付效率、及时响应本行业务发展及监管需求，2024年亟待开展以下工作：</w:t>
      </w:r>
    </w:p>
    <w:p w14:paraId="0CAF22C3">
      <w:pPr>
        <w:snapToGrid w:val="0"/>
        <w:rPr>
          <w:rFonts w:hint="eastAsia" w:ascii="Times New Roman" w:hAnsi="Times New Roman"/>
          <w:color w:val="000000"/>
          <w:szCs w:val="24"/>
          <w:highlight w:val="none"/>
        </w:rPr>
      </w:pPr>
      <w:r>
        <w:rPr>
          <w:rFonts w:ascii="Times New Roman" w:hAnsi="Times New Roman"/>
          <w:color w:val="000000"/>
          <w:szCs w:val="24"/>
          <w:highlight w:val="none"/>
        </w:rPr>
        <w:t>一</w:t>
      </w:r>
      <w:r>
        <w:rPr>
          <w:rFonts w:hint="eastAsia" w:ascii="Times New Roman" w:hAnsi="Times New Roman"/>
          <w:color w:val="000000"/>
          <w:szCs w:val="24"/>
          <w:highlight w:val="none"/>
        </w:rPr>
        <w:t>、根据监管要求进行全面信创改造</w:t>
      </w:r>
    </w:p>
    <w:p w14:paraId="5271DFFC">
      <w:pPr>
        <w:pStyle w:val="36"/>
        <w:snapToGrid w:val="0"/>
        <w:rPr>
          <w:rFonts w:cs="Cambria Math"/>
          <w:color w:val="000000"/>
          <w:sz w:val="24"/>
          <w:szCs w:val="24"/>
          <w:highlight w:val="none"/>
        </w:rPr>
      </w:pPr>
      <w:r>
        <w:rPr>
          <w:rFonts w:hint="eastAsia" w:cs="Cambria Math"/>
          <w:color w:val="000000"/>
          <w:sz w:val="24"/>
          <w:szCs w:val="24"/>
          <w:highlight w:val="none"/>
        </w:rPr>
        <w:t>配合移动作业系统、银联无卡支付前置等系统信创改造。</w:t>
      </w:r>
    </w:p>
    <w:p w14:paraId="61D24C72">
      <w:pPr>
        <w:snapToGrid w:val="0"/>
        <w:rPr>
          <w:rFonts w:ascii="Times New Roman" w:hAnsi="Times New Roman"/>
          <w:color w:val="000000"/>
          <w:szCs w:val="24"/>
          <w:highlight w:val="none"/>
        </w:rPr>
      </w:pPr>
      <w:r>
        <w:rPr>
          <w:rFonts w:hint="eastAsia" w:ascii="Times New Roman" w:hAnsi="Times New Roman"/>
          <w:color w:val="000000"/>
          <w:szCs w:val="24"/>
          <w:highlight w:val="none"/>
        </w:rPr>
        <w:t>二、支撑业务发展需求</w:t>
      </w:r>
    </w:p>
    <w:p w14:paraId="1946AE15">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满足住房交易中心及资源中心等客户要求，提高客户体验，提出一体化平台存量房资金监管业务需求、保交楼专项借款资金监管/公共资源中心业务需求、商品房预售资金监管功能升级优化需求、高速ETC业务优化需求、智慧财资系统建设需求、市人力社保局农民工保证金业务需求、保证金状态自动控制和保证金解押、扣划、追加等7项需求。为丰富条线产品服务，提高客户体验，提出财富存•臻享版、大额存单预约优化需求、存E贷增加质物、社保卡同号换卡、同号换卡撤销、金融代销平台新增保险、基金等优化需求、商户服务平台需求、优化个人账户动账短信起点金额需求等10项需求。</w:t>
      </w:r>
    </w:p>
    <w:p w14:paraId="0A4BABE6">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为丰富条线产品服务，提高客户体验，提出舟e贷-异常情况还款需求、三峡付个人APP业务与功能迁移需求、网银电子回单查询优化业务需求。</w:t>
      </w:r>
    </w:p>
    <w:p w14:paraId="46751413">
      <w:pPr>
        <w:pStyle w:val="36"/>
        <w:numPr>
          <w:ilvl w:val="1"/>
          <w:numId w:val="3"/>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为丰富产品服务，提高客户体验，提出配合保函业务平台项目建设需求。</w:t>
      </w:r>
    </w:p>
    <w:p w14:paraId="4967B953">
      <w:pPr>
        <w:snapToGrid w:val="0"/>
        <w:rPr>
          <w:rFonts w:ascii="Times New Roman" w:hAnsi="Times New Roman"/>
          <w:color w:val="000000"/>
          <w:szCs w:val="24"/>
          <w:highlight w:val="none"/>
        </w:rPr>
      </w:pPr>
      <w:r>
        <w:rPr>
          <w:rFonts w:hint="eastAsia" w:ascii="Times New Roman" w:hAnsi="Times New Roman"/>
          <w:color w:val="000000"/>
          <w:szCs w:val="24"/>
          <w:highlight w:val="none"/>
        </w:rPr>
        <w:t>三、内部管理提升需求</w:t>
      </w:r>
    </w:p>
    <w:p w14:paraId="1243225E">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优化业务流程，提高系统风控能力，提升柜员体验，提高业务准确率及效率，支持我行业务发展，提出客户信息优化、单位业务优化、个人业务优化、差额定价优化、凭证管理优化等、现金管理优化、内部管理优化等需求16项。</w:t>
      </w:r>
    </w:p>
    <w:p w14:paraId="5D9F0630">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为防范操作风险、提高系统风控能力、提升柜员体验提出授信手机号实名认证需求。</w:t>
      </w:r>
    </w:p>
    <w:p w14:paraId="664F5B40">
      <w:pPr>
        <w:pStyle w:val="36"/>
        <w:numPr>
          <w:ilvl w:val="3"/>
          <w:numId w:val="4"/>
        </w:numPr>
        <w:snapToGrid w:val="0"/>
        <w:ind w:left="0" w:firstLine="454" w:firstLineChars="0"/>
        <w:rPr>
          <w:rFonts w:cs="Cambria Math"/>
          <w:color w:val="000000"/>
          <w:sz w:val="24"/>
          <w:szCs w:val="24"/>
          <w:highlight w:val="none"/>
        </w:rPr>
      </w:pPr>
      <w:r>
        <w:rPr>
          <w:rFonts w:hint="eastAsia" w:cs="Cambria Math"/>
          <w:color w:val="000000"/>
          <w:sz w:val="24"/>
          <w:szCs w:val="24"/>
          <w:highlight w:val="none"/>
        </w:rPr>
        <w:t>为防范操作风险、提升客户体验提出账户只收不付，不影响贷款扣款优化需求。</w:t>
      </w:r>
    </w:p>
    <w:p w14:paraId="5395E72B">
      <w:pPr>
        <w:snapToGrid w:val="0"/>
        <w:rPr>
          <w:rFonts w:hint="eastAsia" w:ascii="Times New Roman" w:hAnsi="Times New Roman"/>
          <w:color w:val="000000"/>
          <w:szCs w:val="24"/>
          <w:highlight w:val="none"/>
        </w:rPr>
      </w:pPr>
      <w:r>
        <w:rPr>
          <w:rFonts w:ascii="Times New Roman" w:hAnsi="Times New Roman"/>
          <w:color w:val="000000"/>
          <w:szCs w:val="24"/>
          <w:highlight w:val="none"/>
        </w:rPr>
        <w:t>四、</w:t>
      </w:r>
      <w:r>
        <w:rPr>
          <w:rFonts w:hint="eastAsia" w:ascii="Times New Roman" w:hAnsi="Times New Roman"/>
          <w:color w:val="000000"/>
          <w:szCs w:val="24"/>
          <w:highlight w:val="none"/>
        </w:rPr>
        <w:t>满足新的监管要求</w:t>
      </w:r>
    </w:p>
    <w:p w14:paraId="2D7C83E6">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为满足监管要求，提出建设银行对公账户实时风控模型、配合统一集中查控平台建设配合统一集中账户管理系统升级、非柜面限额分层管理业务优化需求、外国人永居证需求、一键查卡功能优化需求等8项需求。</w:t>
      </w:r>
    </w:p>
    <w:p w14:paraId="27F8C246">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为满足教培资金监管要求及两江新区政府监管要求，提出对接全国教培平台二期接口优化需求、驾培资金监管需求、两江新区监管企业资金动帐明细推送需求。</w:t>
      </w:r>
    </w:p>
    <w:p w14:paraId="7B6BE3A5">
      <w:pPr>
        <w:pStyle w:val="36"/>
        <w:numPr>
          <w:ilvl w:val="1"/>
          <w:numId w:val="5"/>
        </w:numPr>
        <w:snapToGrid w:val="0"/>
        <w:ind w:left="0" w:firstLine="442" w:firstLineChars="0"/>
        <w:rPr>
          <w:rFonts w:cs="Cambria Math"/>
          <w:color w:val="000000"/>
          <w:sz w:val="24"/>
          <w:szCs w:val="24"/>
          <w:highlight w:val="none"/>
        </w:rPr>
      </w:pPr>
      <w:r>
        <w:rPr>
          <w:rFonts w:hint="eastAsia" w:cs="Cambria Math"/>
          <w:color w:val="000000"/>
          <w:sz w:val="24"/>
          <w:szCs w:val="24"/>
          <w:highlight w:val="none"/>
        </w:rPr>
        <w:t>为满足监管要求，降低POS消费业务风险，提出银行卡消费限额需求。</w:t>
      </w:r>
    </w:p>
    <w:p w14:paraId="1D98F165">
      <w:pPr>
        <w:snapToGrid w:val="0"/>
        <w:rPr>
          <w:rFonts w:ascii="Times New Roman" w:hAnsi="Times New Roman"/>
          <w:color w:val="000000"/>
          <w:szCs w:val="24"/>
          <w:highlight w:val="none"/>
        </w:rPr>
      </w:pPr>
      <w:r>
        <w:rPr>
          <w:rFonts w:ascii="Times New Roman" w:hAnsi="Times New Roman"/>
          <w:color w:val="000000"/>
          <w:szCs w:val="24"/>
          <w:highlight w:val="none"/>
        </w:rPr>
        <w:t>五、</w:t>
      </w:r>
      <w:r>
        <w:rPr>
          <w:rFonts w:hint="eastAsia" w:ascii="Times New Roman" w:hAnsi="Times New Roman"/>
          <w:color w:val="000000"/>
          <w:szCs w:val="24"/>
          <w:highlight w:val="none"/>
        </w:rPr>
        <w:t>持续安全提升需求</w:t>
      </w:r>
    </w:p>
    <w:p w14:paraId="1DEE444A">
      <w:pPr>
        <w:snapToGrid w:val="0"/>
        <w:ind w:left="440"/>
        <w:rPr>
          <w:rFonts w:ascii="Times New Roman" w:hAnsi="Times New Roman"/>
          <w:color w:val="000000"/>
          <w:szCs w:val="24"/>
          <w:highlight w:val="none"/>
        </w:rPr>
      </w:pPr>
      <w:r>
        <w:rPr>
          <w:rFonts w:hint="eastAsia" w:ascii="Times New Roman" w:hAnsi="Times New Roman"/>
          <w:color w:val="000000"/>
          <w:szCs w:val="24"/>
          <w:highlight w:val="none"/>
        </w:rPr>
        <w:t>为满足安全渗透测试，漏洞扫描，等保测评，个人隐私信息等持续提升要求，对系统进行持续优化。</w:t>
      </w:r>
    </w:p>
    <w:p w14:paraId="1F429440">
      <w:pPr>
        <w:spacing w:line="360" w:lineRule="auto"/>
        <w:rPr>
          <w:rStyle w:val="37"/>
          <w:rFonts w:ascii="宋体"/>
          <w:b/>
          <w:kern w:val="0"/>
          <w:sz w:val="30"/>
          <w:highlight w:val="none"/>
        </w:rPr>
      </w:pPr>
    </w:p>
    <w:p w14:paraId="0344C583">
      <w:pPr>
        <w:pStyle w:val="2"/>
        <w:rPr>
          <w:rStyle w:val="37"/>
          <w:sz w:val="30"/>
          <w:highlight w:val="none"/>
        </w:rPr>
      </w:pPr>
      <w:r>
        <w:rPr>
          <w:rStyle w:val="37"/>
          <w:b w:val="0"/>
          <w:sz w:val="30"/>
          <w:highlight w:val="none"/>
        </w:rPr>
        <w:br w:type="page"/>
      </w:r>
      <w:r>
        <w:rPr>
          <w:rStyle w:val="37"/>
          <w:rFonts w:hint="eastAsia"/>
          <w:b w:val="0"/>
          <w:sz w:val="30"/>
          <w:highlight w:val="none"/>
        </w:rPr>
        <w:t>附件二：</w:t>
      </w:r>
      <w:r>
        <w:rPr>
          <w:rStyle w:val="37"/>
          <w:rFonts w:hint="eastAsia"/>
          <w:sz w:val="30"/>
          <w:highlight w:val="none"/>
        </w:rPr>
        <w:t>项目人员名单及人员应急退出机制</w:t>
      </w:r>
      <w:bookmarkEnd w:id="129"/>
    </w:p>
    <w:p w14:paraId="0629F5E8">
      <w:pPr>
        <w:spacing w:line="360" w:lineRule="auto"/>
        <w:rPr>
          <w:rStyle w:val="37"/>
          <w:rFonts w:ascii="宋体"/>
          <w:kern w:val="0"/>
          <w:highlight w:val="none"/>
        </w:rPr>
      </w:pPr>
    </w:p>
    <w:p w14:paraId="597B7D97">
      <w:pPr>
        <w:spacing w:line="360" w:lineRule="auto"/>
        <w:rPr>
          <w:rStyle w:val="37"/>
          <w:rFonts w:ascii="宋体"/>
          <w:b/>
          <w:kern w:val="0"/>
          <w:highlight w:val="none"/>
        </w:rPr>
      </w:pPr>
      <w:r>
        <w:rPr>
          <w:rStyle w:val="37"/>
          <w:rFonts w:hint="eastAsia" w:ascii="宋体"/>
          <w:b/>
          <w:kern w:val="0"/>
          <w:highlight w:val="none"/>
        </w:rPr>
        <w:t>一、项目人员名单</w:t>
      </w:r>
    </w:p>
    <w:p w14:paraId="60C2FD63">
      <w:pPr>
        <w:spacing w:line="360" w:lineRule="auto"/>
        <w:rPr>
          <w:rStyle w:val="37"/>
          <w:rFonts w:ascii="宋体"/>
          <w:kern w:val="0"/>
          <w:highlight w:val="none"/>
        </w:rPr>
      </w:pPr>
      <w:r>
        <w:rPr>
          <w:rStyle w:val="37"/>
          <w:rFonts w:hint="eastAsia" w:ascii="宋体"/>
          <w:kern w:val="0"/>
          <w:highlight w:val="none"/>
        </w:rPr>
        <w:t xml:space="preserve">项目经理： </w:t>
      </w:r>
    </w:p>
    <w:p w14:paraId="5B67B550">
      <w:pPr>
        <w:spacing w:line="360" w:lineRule="auto"/>
        <w:rPr>
          <w:rStyle w:val="37"/>
          <w:rFonts w:ascii="宋体"/>
          <w:kern w:val="0"/>
          <w:highlight w:val="none"/>
        </w:rPr>
      </w:pPr>
      <w:r>
        <w:rPr>
          <w:rStyle w:val="37"/>
          <w:rFonts w:hint="eastAsia" w:ascii="宋体"/>
          <w:kern w:val="0"/>
          <w:highlight w:val="none"/>
        </w:rPr>
        <w:t>技术骨干：</w:t>
      </w:r>
    </w:p>
    <w:p w14:paraId="64FA27AD">
      <w:pPr>
        <w:spacing w:line="360" w:lineRule="auto"/>
        <w:rPr>
          <w:rStyle w:val="37"/>
          <w:rFonts w:ascii="宋体"/>
          <w:kern w:val="0"/>
          <w:highlight w:val="none"/>
        </w:rPr>
      </w:pPr>
      <w:r>
        <w:rPr>
          <w:rStyle w:val="37"/>
          <w:rFonts w:hint="eastAsia" w:ascii="宋体"/>
          <w:kern w:val="0"/>
          <w:highlight w:val="none"/>
        </w:rPr>
        <w:t xml:space="preserve">项目组成员： </w:t>
      </w:r>
    </w:p>
    <w:p w14:paraId="33CB7A4D">
      <w:pPr>
        <w:spacing w:line="360" w:lineRule="auto"/>
        <w:rPr>
          <w:rStyle w:val="37"/>
          <w:rFonts w:ascii="宋体"/>
          <w:kern w:val="0"/>
          <w:highlight w:val="none"/>
        </w:rPr>
      </w:pPr>
    </w:p>
    <w:p w14:paraId="1DD30333">
      <w:pPr>
        <w:spacing w:line="360" w:lineRule="auto"/>
        <w:rPr>
          <w:rStyle w:val="37"/>
          <w:rFonts w:ascii="宋体"/>
          <w:b/>
          <w:kern w:val="0"/>
          <w:highlight w:val="none"/>
        </w:rPr>
      </w:pPr>
      <w:r>
        <w:rPr>
          <w:rStyle w:val="37"/>
          <w:rFonts w:hint="eastAsia" w:ascii="宋体"/>
          <w:b/>
          <w:kern w:val="0"/>
          <w:highlight w:val="none"/>
        </w:rPr>
        <w:t>二、人员应急退出机制</w:t>
      </w:r>
    </w:p>
    <w:p w14:paraId="434BC8EF">
      <w:pPr>
        <w:spacing w:line="360" w:lineRule="auto"/>
        <w:rPr>
          <w:rStyle w:val="37"/>
          <w:rFonts w:ascii="宋体"/>
          <w:kern w:val="0"/>
          <w:highlight w:val="none"/>
        </w:rPr>
      </w:pPr>
      <w:r>
        <w:rPr>
          <w:rStyle w:val="37"/>
          <w:rFonts w:hint="eastAsia" w:ascii="宋体"/>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2079F539">
      <w:pPr>
        <w:spacing w:line="360" w:lineRule="auto"/>
        <w:ind w:firstLine="465" w:firstLineChars="0"/>
        <w:rPr>
          <w:rStyle w:val="37"/>
          <w:rFonts w:ascii="宋体"/>
          <w:kern w:val="0"/>
          <w:highlight w:val="none"/>
        </w:rPr>
      </w:pPr>
      <w:r>
        <w:rPr>
          <w:rStyle w:val="37"/>
          <w:rFonts w:hint="eastAsia" w:ascii="宋体"/>
          <w:kern w:val="0"/>
          <w:highlight w:val="none"/>
        </w:rPr>
        <w:t>备用项目经理：</w:t>
      </w:r>
    </w:p>
    <w:p w14:paraId="56CB9DA8">
      <w:pPr>
        <w:spacing w:line="360" w:lineRule="auto"/>
        <w:ind w:firstLine="465" w:firstLineChars="0"/>
        <w:rPr>
          <w:rStyle w:val="37"/>
          <w:rFonts w:ascii="宋体"/>
          <w:kern w:val="0"/>
          <w:highlight w:val="none"/>
        </w:rPr>
      </w:pPr>
      <w:r>
        <w:rPr>
          <w:rStyle w:val="37"/>
          <w:rFonts w:hint="eastAsia" w:ascii="宋体"/>
          <w:kern w:val="0"/>
          <w:highlight w:val="none"/>
        </w:rPr>
        <w:t>备用技术骨干：</w:t>
      </w:r>
    </w:p>
    <w:p w14:paraId="4BC2C946">
      <w:pPr>
        <w:pStyle w:val="2"/>
        <w:jc w:val="left"/>
        <w:rPr>
          <w:rStyle w:val="37"/>
          <w:sz w:val="30"/>
          <w:highlight w:val="none"/>
        </w:rPr>
      </w:pPr>
      <w:r>
        <w:rPr>
          <w:rStyle w:val="37"/>
          <w:rFonts w:hint="eastAsia"/>
          <w:b w:val="0"/>
          <w:sz w:val="30"/>
          <w:highlight w:val="none"/>
        </w:rPr>
        <w:br w:type="page"/>
      </w:r>
      <w:bookmarkStart w:id="130" w:name="_Toc63757483"/>
      <w:r>
        <w:rPr>
          <w:rStyle w:val="37"/>
          <w:rFonts w:hint="eastAsia"/>
          <w:sz w:val="30"/>
          <w:highlight w:val="none"/>
        </w:rPr>
        <w:t>附件三：验收标准及流程</w:t>
      </w:r>
      <w:bookmarkEnd w:id="130"/>
    </w:p>
    <w:p w14:paraId="2C0BFA70">
      <w:pPr>
        <w:spacing w:line="360" w:lineRule="auto"/>
        <w:rPr>
          <w:rStyle w:val="37"/>
          <w:rFonts w:ascii="宋体"/>
          <w:kern w:val="0"/>
          <w:highlight w:val="none"/>
        </w:rPr>
      </w:pPr>
      <w:r>
        <w:rPr>
          <w:rStyle w:val="37"/>
          <w:rFonts w:hint="eastAsia" w:ascii="宋体"/>
          <w:b/>
          <w:kern w:val="0"/>
          <w:highlight w:val="none"/>
        </w:rPr>
        <w:t>一、验收标准</w:t>
      </w:r>
    </w:p>
    <w:p w14:paraId="54CE78A1">
      <w:pPr>
        <w:numPr>
          <w:ilvl w:val="0"/>
          <w:numId w:val="6"/>
        </w:numPr>
        <w:spacing w:line="360" w:lineRule="auto"/>
        <w:ind w:firstLineChars="0"/>
        <w:rPr>
          <w:rStyle w:val="37"/>
          <w:rFonts w:ascii="宋体"/>
          <w:kern w:val="0"/>
          <w:highlight w:val="none"/>
        </w:rPr>
      </w:pPr>
      <w:r>
        <w:rPr>
          <w:rStyle w:val="37"/>
          <w:rFonts w:hint="eastAsia" w:ascii="宋体"/>
          <w:kern w:val="0"/>
          <w:highlight w:val="none"/>
        </w:rPr>
        <w:t>验收系统须满足试运行期内项目产品运行稳定、无遗留问题。</w:t>
      </w:r>
    </w:p>
    <w:p w14:paraId="23C5EA90">
      <w:pPr>
        <w:numPr>
          <w:ilvl w:val="0"/>
          <w:numId w:val="6"/>
        </w:numPr>
        <w:spacing w:line="360" w:lineRule="auto"/>
        <w:ind w:firstLineChars="0"/>
        <w:rPr>
          <w:rStyle w:val="37"/>
          <w:rFonts w:ascii="宋体"/>
          <w:kern w:val="0"/>
          <w:highlight w:val="none"/>
        </w:rPr>
      </w:pPr>
      <w:r>
        <w:rPr>
          <w:rStyle w:val="37"/>
          <w:rFonts w:hint="eastAsia" w:ascii="宋体"/>
          <w:kern w:val="0"/>
          <w:highlight w:val="none"/>
        </w:rPr>
        <w:t>项目知识及文档已全部完成转移。</w:t>
      </w:r>
    </w:p>
    <w:p w14:paraId="16570A4A">
      <w:pPr>
        <w:spacing w:line="360" w:lineRule="auto"/>
        <w:ind w:firstLine="360" w:firstLineChars="150"/>
        <w:rPr>
          <w:rStyle w:val="37"/>
          <w:rFonts w:ascii="宋体"/>
          <w:kern w:val="0"/>
          <w:highlight w:val="none"/>
        </w:rPr>
      </w:pPr>
      <w:r>
        <w:rPr>
          <w:rStyle w:val="37"/>
          <w:rFonts w:hint="eastAsia" w:ascii="宋体"/>
          <w:kern w:val="0"/>
          <w:highlight w:val="none"/>
        </w:rPr>
        <w:t>3、 验收交付物包括：</w:t>
      </w:r>
    </w:p>
    <w:p w14:paraId="0A762D94">
      <w:pPr>
        <w:spacing w:line="360" w:lineRule="auto"/>
        <w:rPr>
          <w:rStyle w:val="37"/>
          <w:rFonts w:ascii="宋体"/>
          <w:kern w:val="0"/>
          <w:highlight w:val="none"/>
        </w:rPr>
      </w:pPr>
      <w:r>
        <w:rPr>
          <w:rStyle w:val="37"/>
          <w:rFonts w:hint="eastAsia" w:ascii="宋体"/>
          <w:kern w:val="0"/>
          <w:highlight w:val="none"/>
        </w:rPr>
        <w:t>《项目需求分析说明书》、《概要设计说明书》、《详细设计说明书》、《数据库设计说明书》、《系统安装部署手册》、《系统运行维护手册》、《用户操作手册》、《试运行报告》、《验收报告》</w:t>
      </w:r>
    </w:p>
    <w:p w14:paraId="6D426BED">
      <w:pPr>
        <w:spacing w:line="360" w:lineRule="auto"/>
        <w:rPr>
          <w:rStyle w:val="37"/>
          <w:rFonts w:ascii="宋体"/>
          <w:kern w:val="0"/>
          <w:highlight w:val="none"/>
          <w:lang w:val="zh-CN" w:eastAsia="zh-CN"/>
        </w:rPr>
      </w:pPr>
      <w:r>
        <w:rPr>
          <w:rStyle w:val="37"/>
          <w:rFonts w:hint="eastAsia" w:ascii="宋体"/>
          <w:kern w:val="0"/>
          <w:highlight w:val="none"/>
          <w:lang w:val="zh-CN" w:eastAsia="zh-CN"/>
        </w:rPr>
        <w:t>涉及数据迁移的，准备《数据迁移方案》；涉及兼容性方面的，准备《软件兼容性方案》；项目自负系统测试的，准备《系统测试计划》、《系统测试报告》、《性能测试报告》、《安全测试报告》</w:t>
      </w:r>
      <w:r>
        <w:rPr>
          <w:rStyle w:val="37"/>
          <w:rFonts w:hint="eastAsia" w:ascii="宋体"/>
          <w:kern w:val="0"/>
          <w:highlight w:val="none"/>
        </w:rPr>
        <w:t>；正文</w:t>
      </w:r>
      <w:r>
        <w:rPr>
          <w:rStyle w:val="37"/>
          <w:rFonts w:ascii="宋体"/>
          <w:kern w:val="0"/>
          <w:highlight w:val="none"/>
        </w:rPr>
        <w:t>要求提供源代码</w:t>
      </w:r>
      <w:r>
        <w:rPr>
          <w:rStyle w:val="37"/>
          <w:rFonts w:hint="eastAsia" w:ascii="宋体"/>
          <w:kern w:val="0"/>
          <w:highlight w:val="none"/>
        </w:rPr>
        <w:t>的</w:t>
      </w:r>
      <w:r>
        <w:rPr>
          <w:rStyle w:val="37"/>
          <w:rFonts w:ascii="宋体"/>
          <w:kern w:val="0"/>
          <w:highlight w:val="none"/>
        </w:rPr>
        <w:t>，准备源代码</w:t>
      </w:r>
    </w:p>
    <w:p w14:paraId="7FFB21CB">
      <w:pPr>
        <w:spacing w:line="360" w:lineRule="auto"/>
        <w:rPr>
          <w:rStyle w:val="37"/>
          <w:rFonts w:ascii="宋体"/>
          <w:b/>
          <w:kern w:val="0"/>
          <w:highlight w:val="none"/>
        </w:rPr>
      </w:pPr>
      <w:r>
        <w:rPr>
          <w:rStyle w:val="37"/>
          <w:rFonts w:hint="eastAsia" w:ascii="宋体"/>
          <w:b/>
          <w:kern w:val="0"/>
          <w:highlight w:val="none"/>
        </w:rPr>
        <w:t>二、验收流程</w:t>
      </w:r>
    </w:p>
    <w:p w14:paraId="4BBC8CBD">
      <w:pPr>
        <w:spacing w:line="360" w:lineRule="auto"/>
        <w:ind w:left="2" w:leftChars="1" w:firstLine="360" w:firstLineChars="150"/>
        <w:rPr>
          <w:rStyle w:val="37"/>
          <w:rFonts w:ascii="宋体"/>
          <w:kern w:val="0"/>
          <w:highlight w:val="none"/>
        </w:rPr>
      </w:pPr>
      <w:r>
        <w:rPr>
          <w:rStyle w:val="37"/>
          <w:rFonts w:hint="eastAsia" w:ascii="宋体"/>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1ACC64BB">
      <w:pPr>
        <w:spacing w:line="360" w:lineRule="auto"/>
        <w:ind w:left="-358"/>
        <w:rPr>
          <w:rStyle w:val="37"/>
          <w:rFonts w:ascii="宋体"/>
          <w:kern w:val="0"/>
          <w:highlight w:val="none"/>
        </w:rPr>
      </w:pPr>
    </w:p>
    <w:p w14:paraId="52600CA9">
      <w:pPr>
        <w:pStyle w:val="2"/>
        <w:rPr>
          <w:rStyle w:val="37"/>
          <w:sz w:val="30"/>
          <w:highlight w:val="none"/>
        </w:rPr>
      </w:pPr>
      <w:r>
        <w:rPr>
          <w:rStyle w:val="37"/>
          <w:rFonts w:hint="eastAsia"/>
          <w:b w:val="0"/>
          <w:sz w:val="30"/>
          <w:highlight w:val="none"/>
        </w:rPr>
        <w:br w:type="page"/>
      </w:r>
      <w:bookmarkStart w:id="131" w:name="_Toc63757484"/>
      <w:r>
        <w:rPr>
          <w:rStyle w:val="37"/>
          <w:rFonts w:hint="eastAsia"/>
          <w:sz w:val="30"/>
          <w:highlight w:val="none"/>
        </w:rPr>
        <w:t>附件四：维护服务条款</w:t>
      </w:r>
      <w:bookmarkEnd w:id="131"/>
    </w:p>
    <w:p w14:paraId="0E0D85F9">
      <w:pPr>
        <w:spacing w:line="360" w:lineRule="auto"/>
        <w:ind w:firstLine="480" w:firstLineChars="0"/>
        <w:rPr>
          <w:rStyle w:val="37"/>
          <w:rFonts w:ascii="宋体"/>
          <w:kern w:val="0"/>
          <w:highlight w:val="none"/>
        </w:rPr>
      </w:pPr>
      <w:r>
        <w:rPr>
          <w:rStyle w:val="37"/>
          <w:rFonts w:hint="eastAsia" w:ascii="宋体"/>
          <w:kern w:val="0"/>
          <w:highlight w:val="none"/>
        </w:rPr>
        <w:t>乙方业务代表作为技术服务的第一联系人，项目经理作为该项目的技术服务第二联系人，随时接受客户的电话服务支持，并申请调配相关资源为客户提供及时服务。</w:t>
      </w:r>
    </w:p>
    <w:p w14:paraId="44745E32">
      <w:pPr>
        <w:numPr>
          <w:ilvl w:val="0"/>
          <w:numId w:val="7"/>
        </w:numPr>
        <w:spacing w:line="360" w:lineRule="auto"/>
        <w:ind w:firstLineChars="0"/>
        <w:rPr>
          <w:rStyle w:val="37"/>
          <w:rFonts w:ascii="宋体"/>
          <w:highlight w:val="none"/>
        </w:rPr>
      </w:pPr>
      <w:r>
        <w:rPr>
          <w:rStyle w:val="37"/>
          <w:rFonts w:hint="eastAsia" w:ascii="宋体"/>
          <w:highlight w:val="none"/>
        </w:rPr>
        <w:t>系统正式验收通过，上线后提供三个月免费人员现场驻场维护，</w:t>
      </w:r>
      <w:r>
        <w:rPr>
          <w:rFonts w:hint="eastAsia" w:ascii="宋体"/>
          <w:kern w:val="0"/>
          <w:highlight w:val="none"/>
        </w:rPr>
        <w:t>正式</w:t>
      </w:r>
      <w:r>
        <w:rPr>
          <w:rFonts w:hint="eastAsia" w:ascii="宋体"/>
          <w:highlight w:val="none"/>
        </w:rPr>
        <w:t>验收合格次日</w:t>
      </w:r>
      <w:r>
        <w:rPr>
          <w:rStyle w:val="37"/>
          <w:rFonts w:hint="eastAsia" w:ascii="宋体"/>
          <w:highlight w:val="none"/>
        </w:rPr>
        <w:t>至次年</w:t>
      </w:r>
      <w:r>
        <w:rPr>
          <w:rFonts w:hint="eastAsia" w:ascii="宋体"/>
          <w:highlight w:val="none"/>
        </w:rPr>
        <w:t>并延期至6月30日或12月31日中较近日期（即维保延期最长不超过半年）</w:t>
      </w:r>
      <w:r>
        <w:rPr>
          <w:rStyle w:val="37"/>
          <w:rFonts w:hint="eastAsia" w:ascii="宋体"/>
          <w:highlight w:val="none"/>
        </w:rPr>
        <w:t>提供支持和服务。</w:t>
      </w:r>
    </w:p>
    <w:p w14:paraId="67A2E3C5">
      <w:pPr>
        <w:numPr>
          <w:ilvl w:val="0"/>
          <w:numId w:val="7"/>
        </w:numPr>
        <w:spacing w:line="360" w:lineRule="auto"/>
        <w:ind w:firstLineChars="0"/>
        <w:rPr>
          <w:rStyle w:val="37"/>
          <w:rFonts w:ascii="宋体"/>
          <w:highlight w:val="none"/>
        </w:rPr>
      </w:pPr>
      <w:r>
        <w:rPr>
          <w:rStyle w:val="37"/>
          <w:rFonts w:hint="eastAsia" w:ascii="宋体"/>
          <w:highlight w:val="none"/>
        </w:rPr>
        <w:t>维护期内，提供平台升级及优化服务。</w:t>
      </w:r>
    </w:p>
    <w:p w14:paraId="49005B57">
      <w:pPr>
        <w:numPr>
          <w:ilvl w:val="0"/>
          <w:numId w:val="7"/>
        </w:numPr>
        <w:spacing w:line="360" w:lineRule="auto"/>
        <w:ind w:firstLineChars="0"/>
        <w:rPr>
          <w:rStyle w:val="37"/>
          <w:rFonts w:ascii="宋体"/>
          <w:highlight w:val="none"/>
        </w:rPr>
      </w:pPr>
      <w:r>
        <w:rPr>
          <w:rStyle w:val="37"/>
          <w:rFonts w:hint="eastAsia" w:ascii="宋体"/>
          <w:highlight w:val="none"/>
        </w:rPr>
        <w:t>系统上线后，提供二次系统和产品的培训，时间为每次1天。在维护期内，也可以根据用户需求，随时到客户现场进行系统和产品的培训。</w:t>
      </w:r>
    </w:p>
    <w:p w14:paraId="74A2CCAA">
      <w:pPr>
        <w:numPr>
          <w:ilvl w:val="0"/>
          <w:numId w:val="7"/>
        </w:numPr>
        <w:spacing w:line="360" w:lineRule="auto"/>
        <w:ind w:firstLineChars="0"/>
        <w:rPr>
          <w:rFonts w:ascii="宋体"/>
          <w:highlight w:val="none"/>
        </w:rPr>
      </w:pPr>
      <w:r>
        <w:rPr>
          <w:rStyle w:val="37"/>
          <w:rFonts w:hint="eastAsia" w:ascii="宋体"/>
          <w:highlight w:val="none"/>
        </w:rPr>
        <w:t>维护期内，每季度派工程师现场巡检一次，并在巡检后提交巡检报告，针对巡检中发现的问题立即组织整改。</w:t>
      </w:r>
      <w:bookmarkStart w:id="132" w:name="_Toc131174383"/>
      <w:bookmarkStart w:id="133" w:name="_Toc87509290"/>
      <w:bookmarkStart w:id="134" w:name="_Toc85087070"/>
    </w:p>
    <w:p w14:paraId="6BB02D57">
      <w:pPr>
        <w:spacing w:line="360" w:lineRule="auto"/>
        <w:rPr>
          <w:rFonts w:ascii="宋体"/>
          <w:highlight w:val="none"/>
        </w:rPr>
      </w:pPr>
      <w:r>
        <w:rPr>
          <w:rFonts w:hint="eastAsia" w:ascii="宋体"/>
          <w:highlight w:val="none"/>
        </w:rPr>
        <w:t>支持方式和手段</w:t>
      </w:r>
      <w:bookmarkEnd w:id="132"/>
      <w:bookmarkEnd w:id="133"/>
      <w:bookmarkEnd w:id="134"/>
    </w:p>
    <w:p w14:paraId="192FC4E3">
      <w:pPr>
        <w:numPr>
          <w:ilvl w:val="0"/>
          <w:numId w:val="8"/>
        </w:numPr>
        <w:spacing w:line="360" w:lineRule="auto"/>
        <w:ind w:firstLineChars="0"/>
        <w:rPr>
          <w:rFonts w:ascii="宋体"/>
          <w:highlight w:val="none"/>
        </w:rPr>
      </w:pPr>
      <w:r>
        <w:rPr>
          <w:rFonts w:hint="eastAsia" w:ascii="宋体"/>
          <w:highlight w:val="none"/>
        </w:rPr>
        <w:t>热线电话</w:t>
      </w:r>
      <w:r>
        <w:rPr>
          <w:rFonts w:hint="eastAsia" w:ascii="宋体"/>
          <w:highlight w:val="none"/>
        </w:rPr>
        <w:br w:type="textWrapping"/>
      </w:r>
      <w:r>
        <w:rPr>
          <w:rFonts w:hint="eastAsia" w:ascii="宋体"/>
          <w:highlight w:val="none"/>
        </w:rPr>
        <w:t>针对具体业务过程中产生的各种技术咨询，开设专线，提供7*24小时的技术服务支持。</w:t>
      </w:r>
    </w:p>
    <w:p w14:paraId="50F796B6">
      <w:pPr>
        <w:numPr>
          <w:ilvl w:val="0"/>
          <w:numId w:val="8"/>
        </w:numPr>
        <w:spacing w:line="360" w:lineRule="auto"/>
        <w:ind w:firstLineChars="0"/>
        <w:rPr>
          <w:rFonts w:ascii="宋体"/>
          <w:highlight w:val="none"/>
        </w:rPr>
      </w:pPr>
      <w:r>
        <w:rPr>
          <w:rFonts w:hint="eastAsia" w:ascii="宋体"/>
          <w:highlight w:val="none"/>
        </w:rPr>
        <w:t>E-mail</w:t>
      </w:r>
      <w:r>
        <w:rPr>
          <w:rFonts w:hint="eastAsia" w:ascii="宋体"/>
          <w:highlight w:val="none"/>
        </w:rPr>
        <w:br w:type="textWrapping"/>
      </w:r>
      <w:r>
        <w:rPr>
          <w:rFonts w:hint="eastAsia" w:ascii="宋体"/>
          <w:highlight w:val="none"/>
        </w:rPr>
        <w:t>客户建议、意见及技术支持同样可以通过</w:t>
      </w:r>
      <w:r>
        <w:rPr>
          <w:rFonts w:hint="eastAsia" w:ascii="宋体"/>
          <w:highlight w:val="none"/>
          <w:u w:val="single"/>
        </w:rPr>
        <w:t xml:space="preserve">    XXXXX公司（乙方）  </w:t>
      </w:r>
      <w:r>
        <w:rPr>
          <w:rFonts w:hint="eastAsia" w:ascii="宋体"/>
          <w:highlight w:val="none"/>
        </w:rPr>
        <w:t>提供的服务支持电子信箱获得响应，我们将做出详细、全面的服务解答，在半天内给予E-mail回复。</w:t>
      </w:r>
    </w:p>
    <w:p w14:paraId="15974E4F">
      <w:pPr>
        <w:numPr>
          <w:ilvl w:val="0"/>
          <w:numId w:val="8"/>
        </w:numPr>
        <w:spacing w:line="360" w:lineRule="auto"/>
        <w:ind w:firstLineChars="0"/>
        <w:rPr>
          <w:rFonts w:ascii="宋体"/>
          <w:highlight w:val="none"/>
        </w:rPr>
      </w:pPr>
      <w:r>
        <w:rPr>
          <w:rFonts w:hint="eastAsia" w:ascii="宋体"/>
          <w:highlight w:val="none"/>
        </w:rPr>
        <w:t>远程登录</w:t>
      </w:r>
      <w:r>
        <w:rPr>
          <w:rFonts w:hint="eastAsia" w:ascii="宋体"/>
          <w:highlight w:val="none"/>
        </w:rPr>
        <w:br w:type="textWrapping"/>
      </w:r>
      <w:r>
        <w:rPr>
          <w:rFonts w:hint="eastAsia" w:ascii="宋体"/>
          <w:highlight w:val="none"/>
        </w:rPr>
        <w:t>对客户所遇到技术问题可以在客户条件许可的情况下进行远程访问排除故障，以方便客户能够及时解决疑难杂症。</w:t>
      </w:r>
    </w:p>
    <w:p w14:paraId="03A81F67">
      <w:pPr>
        <w:numPr>
          <w:ilvl w:val="0"/>
          <w:numId w:val="8"/>
        </w:numPr>
        <w:spacing w:line="360" w:lineRule="auto"/>
        <w:ind w:firstLineChars="0"/>
        <w:rPr>
          <w:rFonts w:ascii="宋体"/>
          <w:highlight w:val="none"/>
        </w:rPr>
      </w:pPr>
      <w:r>
        <w:rPr>
          <w:rFonts w:hint="eastAsia" w:ascii="宋体"/>
          <w:highlight w:val="none"/>
        </w:rPr>
        <w:t>现场支持</w:t>
      </w:r>
      <w:r>
        <w:rPr>
          <w:rFonts w:hint="eastAsia" w:ascii="宋体"/>
          <w:highlight w:val="none"/>
        </w:rPr>
        <w:br w:type="textWrapping"/>
      </w:r>
      <w:r>
        <w:rPr>
          <w:rFonts w:hint="eastAsia" w:ascii="宋体"/>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45A3C39B">
      <w:pPr>
        <w:numPr>
          <w:ilvl w:val="0"/>
          <w:numId w:val="8"/>
        </w:numPr>
        <w:spacing w:line="360" w:lineRule="auto"/>
        <w:ind w:firstLineChars="0"/>
        <w:rPr>
          <w:rFonts w:ascii="宋体"/>
          <w:highlight w:val="none"/>
        </w:rPr>
      </w:pPr>
      <w:r>
        <w:rPr>
          <w:rFonts w:hint="eastAsia" w:ascii="宋体"/>
          <w:highlight w:val="none"/>
        </w:rPr>
        <w:t>运行日志定期检查</w:t>
      </w:r>
      <w:r>
        <w:rPr>
          <w:rFonts w:hint="eastAsia" w:ascii="宋体"/>
          <w:highlight w:val="none"/>
        </w:rPr>
        <w:br w:type="textWrapping"/>
      </w:r>
      <w:r>
        <w:rPr>
          <w:rFonts w:hint="eastAsia" w:ascii="宋体"/>
          <w:highlight w:val="none"/>
        </w:rPr>
        <w:t>最好的服务方式是提前发现问题，将问题解决于发生前，在</w:t>
      </w:r>
      <w:r>
        <w:rPr>
          <w:rStyle w:val="37"/>
          <w:rFonts w:hint="eastAsia" w:ascii="宋体"/>
          <w:kern w:val="0"/>
          <w:highlight w:val="none"/>
        </w:rPr>
        <w:t>乙方</w:t>
      </w:r>
      <w:r>
        <w:rPr>
          <w:rFonts w:hint="eastAsia" w:ascii="宋体"/>
          <w:highlight w:val="none"/>
        </w:rPr>
        <w:t>实施的系统中，提供了相关的运行日志，通过和客户的协商，通过客户定期提供的运行日志，可实现定期的日志检查，可以提前发现系统的运行问题，以起到防患于未然的效果。</w:t>
      </w:r>
    </w:p>
    <w:p w14:paraId="08000A23">
      <w:pPr>
        <w:numPr>
          <w:ilvl w:val="0"/>
          <w:numId w:val="8"/>
        </w:numPr>
        <w:spacing w:line="360" w:lineRule="auto"/>
        <w:ind w:firstLineChars="0"/>
        <w:rPr>
          <w:rFonts w:ascii="宋体"/>
          <w:highlight w:val="none"/>
        </w:rPr>
      </w:pPr>
      <w:r>
        <w:rPr>
          <w:rFonts w:hint="eastAsia" w:ascii="宋体"/>
          <w:highlight w:val="none"/>
        </w:rPr>
        <w:t>故障处理流程</w:t>
      </w:r>
    </w:p>
    <w:p w14:paraId="5AC4EED9">
      <w:pPr>
        <w:spacing w:line="360" w:lineRule="auto"/>
        <w:ind w:left="420"/>
        <w:rPr>
          <w:rFonts w:ascii="宋体"/>
          <w:highlight w:val="none"/>
        </w:rPr>
        <w:sectPr>
          <w:pgSz w:w="11906" w:h="16838"/>
          <w:pgMar w:top="1440" w:right="1797" w:bottom="1440" w:left="1797" w:header="851" w:footer="992" w:gutter="0"/>
          <w:cols w:space="720" w:num="1"/>
          <w:docGrid w:type="lines" w:linePitch="326" w:charSpace="3269"/>
        </w:sectPr>
      </w:pPr>
      <w:r>
        <w:rPr>
          <w:rFonts w:hint="eastAsia" w:ascii="宋体"/>
          <w:highlight w:val="none"/>
        </w:rPr>
        <w:t>通过现象定位错误原因，编写处理说明书（包含处理完成时间）。</w:t>
      </w:r>
    </w:p>
    <w:p w14:paraId="04B6B25D">
      <w:pPr>
        <w:pStyle w:val="2"/>
        <w:rPr>
          <w:rStyle w:val="37"/>
          <w:sz w:val="30"/>
          <w:highlight w:val="none"/>
        </w:rPr>
      </w:pPr>
      <w:bookmarkStart w:id="135" w:name="_Toc63757485"/>
      <w:r>
        <w:rPr>
          <w:rStyle w:val="37"/>
          <w:rFonts w:hint="eastAsia"/>
          <w:sz w:val="30"/>
          <w:highlight w:val="none"/>
        </w:rPr>
        <w:t>附件五：服务水平协议（SLA）</w:t>
      </w:r>
      <w:bookmarkEnd w:id="135"/>
    </w:p>
    <w:p w14:paraId="2DB27B91">
      <w:pPr>
        <w:spacing w:line="360" w:lineRule="auto"/>
        <w:rPr>
          <w:rFonts w:ascii="宋体"/>
          <w:kern w:val="0"/>
          <w:sz w:val="21"/>
          <w:szCs w:val="24"/>
          <w:highlight w:val="none"/>
        </w:rPr>
      </w:pPr>
    </w:p>
    <w:p w14:paraId="180E551C">
      <w:pPr>
        <w:rPr>
          <w:rFonts w:ascii="宋体"/>
          <w:b/>
          <w:bCs/>
          <w:szCs w:val="24"/>
          <w:highlight w:val="none"/>
        </w:rPr>
      </w:pPr>
      <w:bookmarkStart w:id="136" w:name="_Toc254884639"/>
      <w:r>
        <w:rPr>
          <w:rFonts w:hint="eastAsia" w:ascii="宋体"/>
          <w:b/>
          <w:bCs/>
          <w:kern w:val="32"/>
          <w:szCs w:val="24"/>
          <w:highlight w:val="none"/>
        </w:rPr>
        <w:t>1. 目标</w:t>
      </w:r>
      <w:bookmarkEnd w:id="136"/>
    </w:p>
    <w:p w14:paraId="0A9E85DB">
      <w:pPr>
        <w:spacing w:line="360" w:lineRule="auto"/>
        <w:rPr>
          <w:rFonts w:ascii="宋体"/>
          <w:szCs w:val="24"/>
          <w:highlight w:val="none"/>
        </w:rPr>
      </w:pPr>
      <w:r>
        <w:rPr>
          <w:rFonts w:hint="eastAsia" w:ascii="宋体"/>
          <w:szCs w:val="24"/>
          <w:highlight w:val="none"/>
        </w:rPr>
        <w:t>本服务水平协议（SLA）的目标是为了清晰地定义由xxxxxx公司（乙方）在本项目中为重庆三峡银行（甲方）提供的服务水平，本SLA主要：</w:t>
      </w:r>
    </w:p>
    <w:p w14:paraId="480F53DC">
      <w:pPr>
        <w:widowControl/>
        <w:numPr>
          <w:ilvl w:val="0"/>
          <w:numId w:val="9"/>
        </w:numPr>
        <w:spacing w:line="360" w:lineRule="auto"/>
        <w:ind w:firstLineChars="0"/>
        <w:jc w:val="left"/>
        <w:rPr>
          <w:rFonts w:ascii="宋体"/>
          <w:szCs w:val="24"/>
          <w:highlight w:val="none"/>
        </w:rPr>
      </w:pPr>
      <w:r>
        <w:rPr>
          <w:rFonts w:hint="eastAsia" w:ascii="宋体"/>
          <w:szCs w:val="24"/>
          <w:highlight w:val="none"/>
        </w:rPr>
        <w:t>明确甲方对外包乙方所提供服务水平的期望</w:t>
      </w:r>
    </w:p>
    <w:p w14:paraId="791A63BD">
      <w:pPr>
        <w:widowControl/>
        <w:numPr>
          <w:ilvl w:val="0"/>
          <w:numId w:val="9"/>
        </w:numPr>
        <w:spacing w:line="360" w:lineRule="auto"/>
        <w:ind w:firstLineChars="0"/>
        <w:jc w:val="left"/>
        <w:rPr>
          <w:rFonts w:ascii="宋体"/>
          <w:szCs w:val="24"/>
          <w:highlight w:val="none"/>
        </w:rPr>
      </w:pPr>
      <w:r>
        <w:rPr>
          <w:rFonts w:hint="eastAsia" w:ascii="宋体"/>
          <w:szCs w:val="24"/>
          <w:highlight w:val="none"/>
        </w:rPr>
        <w:t>规范和加强甲方对乙方所提供服务水平的控制</w:t>
      </w:r>
    </w:p>
    <w:p w14:paraId="505B1215">
      <w:pPr>
        <w:spacing w:line="360" w:lineRule="auto"/>
        <w:rPr>
          <w:rFonts w:ascii="宋体"/>
          <w:szCs w:val="24"/>
          <w:highlight w:val="none"/>
        </w:rPr>
      </w:pPr>
      <w:r>
        <w:rPr>
          <w:rFonts w:hint="eastAsia" w:ascii="宋体"/>
          <w:szCs w:val="24"/>
          <w:highlight w:val="none"/>
        </w:rPr>
        <w:t>双方将针对本项目制定明确的职责分工表用来确定计划和管理服务水平协议的角色和职责。</w:t>
      </w:r>
    </w:p>
    <w:p w14:paraId="4645650D">
      <w:pPr>
        <w:rPr>
          <w:rFonts w:ascii="宋体"/>
          <w:b/>
          <w:bCs/>
          <w:kern w:val="32"/>
          <w:szCs w:val="24"/>
          <w:highlight w:val="none"/>
        </w:rPr>
      </w:pPr>
      <w:bookmarkStart w:id="137" w:name="_Toc254884640"/>
      <w:r>
        <w:rPr>
          <w:rFonts w:hint="eastAsia" w:ascii="宋体"/>
          <w:b/>
          <w:bCs/>
          <w:kern w:val="32"/>
          <w:szCs w:val="24"/>
          <w:highlight w:val="none"/>
        </w:rPr>
        <w:t>2. 协议期限</w:t>
      </w:r>
      <w:bookmarkEnd w:id="137"/>
    </w:p>
    <w:p w14:paraId="0F7F3F4E">
      <w:pPr>
        <w:spacing w:line="360" w:lineRule="auto"/>
        <w:ind w:firstLine="424" w:firstLineChars="177"/>
        <w:rPr>
          <w:rFonts w:ascii="宋体"/>
          <w:szCs w:val="24"/>
          <w:highlight w:val="none"/>
        </w:rPr>
      </w:pPr>
      <w:r>
        <w:rPr>
          <w:rFonts w:hint="eastAsia" w:ascii="宋体"/>
          <w:szCs w:val="24"/>
          <w:highlight w:val="none"/>
        </w:rPr>
        <w:t>根据双方达成的一致要求，本协议的有效期从本项目实施之日起到合同正文</w:t>
      </w:r>
      <w:r>
        <w:rPr>
          <w:rFonts w:hint="eastAsia" w:ascii="宋体"/>
          <w:highlight w:val="none"/>
        </w:rPr>
        <w:t>6.1承诺的</w:t>
      </w:r>
      <w:r>
        <w:rPr>
          <w:rFonts w:hint="eastAsia" w:ascii="宋体"/>
          <w:szCs w:val="24"/>
          <w:highlight w:val="none"/>
        </w:rPr>
        <w:t>维护期结束。</w:t>
      </w:r>
    </w:p>
    <w:p w14:paraId="09FE4E1D">
      <w:pPr>
        <w:rPr>
          <w:rFonts w:ascii="宋体"/>
          <w:b/>
          <w:bCs/>
          <w:kern w:val="32"/>
          <w:szCs w:val="24"/>
          <w:highlight w:val="none"/>
        </w:rPr>
      </w:pPr>
      <w:bookmarkStart w:id="138" w:name="_Toc254884641"/>
      <w:r>
        <w:rPr>
          <w:rFonts w:hint="eastAsia" w:ascii="宋体"/>
          <w:b/>
          <w:bCs/>
          <w:kern w:val="32"/>
          <w:szCs w:val="24"/>
          <w:highlight w:val="none"/>
        </w:rPr>
        <w:t>3. 双方职责</w:t>
      </w:r>
      <w:bookmarkEnd w:id="138"/>
    </w:p>
    <w:p w14:paraId="639FA78E">
      <w:pPr>
        <w:rPr>
          <w:rFonts w:ascii="宋体"/>
          <w:b/>
          <w:bCs/>
          <w:kern w:val="32"/>
          <w:szCs w:val="24"/>
          <w:highlight w:val="none"/>
        </w:rPr>
      </w:pPr>
      <w:bookmarkStart w:id="139" w:name="_Toc254884642"/>
      <w:r>
        <w:rPr>
          <w:rFonts w:hint="eastAsia" w:ascii="宋体"/>
          <w:b/>
          <w:bCs/>
          <w:kern w:val="32"/>
          <w:szCs w:val="24"/>
          <w:highlight w:val="none"/>
        </w:rPr>
        <w:t>3.1乙方</w:t>
      </w:r>
      <w:bookmarkEnd w:id="139"/>
    </w:p>
    <w:p w14:paraId="7167F653">
      <w:pPr>
        <w:spacing w:line="360" w:lineRule="auto"/>
        <w:rPr>
          <w:rFonts w:ascii="宋体"/>
          <w:szCs w:val="24"/>
          <w:highlight w:val="none"/>
        </w:rPr>
      </w:pPr>
      <w:r>
        <w:rPr>
          <w:rFonts w:hint="eastAsia" w:ascii="宋体"/>
          <w:szCs w:val="24"/>
          <w:highlight w:val="none"/>
        </w:rPr>
        <w:t>除本协议第7条描述的服务水平衡量和目标外，乙方还应：</w:t>
      </w:r>
    </w:p>
    <w:p w14:paraId="05D10E59">
      <w:pPr>
        <w:widowControl/>
        <w:numPr>
          <w:ilvl w:val="0"/>
          <w:numId w:val="9"/>
        </w:numPr>
        <w:spacing w:line="360" w:lineRule="auto"/>
        <w:ind w:firstLineChars="0"/>
        <w:jc w:val="left"/>
        <w:rPr>
          <w:rFonts w:ascii="宋体"/>
          <w:szCs w:val="24"/>
          <w:highlight w:val="none"/>
        </w:rPr>
      </w:pPr>
      <w:r>
        <w:rPr>
          <w:rFonts w:hint="eastAsia" w:ascii="宋体"/>
          <w:szCs w:val="24"/>
          <w:highlight w:val="none"/>
        </w:rPr>
        <w:t>尽快向甲方管理层汇报发现的问题；</w:t>
      </w:r>
    </w:p>
    <w:p w14:paraId="5D7112A2">
      <w:pPr>
        <w:widowControl/>
        <w:numPr>
          <w:ilvl w:val="0"/>
          <w:numId w:val="9"/>
        </w:numPr>
        <w:spacing w:line="360" w:lineRule="auto"/>
        <w:ind w:firstLineChars="0"/>
        <w:jc w:val="left"/>
        <w:rPr>
          <w:rFonts w:ascii="宋体"/>
          <w:szCs w:val="24"/>
          <w:highlight w:val="none"/>
        </w:rPr>
      </w:pPr>
      <w:r>
        <w:rPr>
          <w:rFonts w:hint="eastAsia" w:ascii="宋体"/>
          <w:szCs w:val="24"/>
          <w:highlight w:val="none"/>
        </w:rPr>
        <w:t>任何可能影响SLA中规定服务的服务能力的事件，乙方应尽早向甲方提供预警信息，以及可能的影响和处置措施。事件包括：</w:t>
      </w:r>
    </w:p>
    <w:p w14:paraId="4CE8E698">
      <w:pPr>
        <w:widowControl/>
        <w:numPr>
          <w:ilvl w:val="0"/>
          <w:numId w:val="10"/>
        </w:numPr>
        <w:spacing w:line="360" w:lineRule="auto"/>
        <w:ind w:firstLineChars="0"/>
        <w:jc w:val="left"/>
        <w:rPr>
          <w:rFonts w:ascii="宋体"/>
          <w:szCs w:val="24"/>
          <w:highlight w:val="none"/>
        </w:rPr>
      </w:pPr>
      <w:r>
        <w:rPr>
          <w:rFonts w:hint="eastAsia" w:ascii="宋体"/>
          <w:szCs w:val="24"/>
          <w:highlight w:val="none"/>
        </w:rPr>
        <w:t>组织架构变更</w:t>
      </w:r>
    </w:p>
    <w:p w14:paraId="4D316009">
      <w:pPr>
        <w:widowControl/>
        <w:numPr>
          <w:ilvl w:val="0"/>
          <w:numId w:val="10"/>
        </w:numPr>
        <w:spacing w:line="360" w:lineRule="auto"/>
        <w:ind w:firstLineChars="0"/>
        <w:jc w:val="left"/>
        <w:rPr>
          <w:rFonts w:ascii="宋体"/>
          <w:szCs w:val="24"/>
          <w:highlight w:val="none"/>
        </w:rPr>
      </w:pPr>
      <w:r>
        <w:rPr>
          <w:rFonts w:hint="eastAsia" w:ascii="宋体"/>
          <w:szCs w:val="24"/>
          <w:highlight w:val="none"/>
        </w:rPr>
        <w:t>技术变更</w:t>
      </w:r>
    </w:p>
    <w:p w14:paraId="1F620BAB">
      <w:pPr>
        <w:widowControl/>
        <w:numPr>
          <w:ilvl w:val="0"/>
          <w:numId w:val="10"/>
        </w:numPr>
        <w:spacing w:line="360" w:lineRule="auto"/>
        <w:ind w:firstLineChars="0"/>
        <w:jc w:val="left"/>
        <w:rPr>
          <w:rFonts w:ascii="宋体"/>
          <w:szCs w:val="24"/>
          <w:highlight w:val="none"/>
        </w:rPr>
      </w:pPr>
      <w:r>
        <w:rPr>
          <w:rFonts w:hint="eastAsia" w:ascii="宋体"/>
          <w:szCs w:val="24"/>
          <w:highlight w:val="none"/>
        </w:rPr>
        <w:t>职能变更</w:t>
      </w:r>
    </w:p>
    <w:p w14:paraId="0FEC0C61">
      <w:pPr>
        <w:widowControl/>
        <w:numPr>
          <w:ilvl w:val="0"/>
          <w:numId w:val="10"/>
        </w:numPr>
        <w:spacing w:line="360" w:lineRule="auto"/>
        <w:ind w:firstLineChars="0"/>
        <w:jc w:val="left"/>
        <w:rPr>
          <w:rFonts w:ascii="宋体"/>
          <w:szCs w:val="24"/>
          <w:highlight w:val="none"/>
        </w:rPr>
      </w:pPr>
      <w:r>
        <w:rPr>
          <w:rFonts w:hint="eastAsia" w:ascii="宋体"/>
          <w:szCs w:val="24"/>
          <w:highlight w:val="none"/>
        </w:rPr>
        <w:t>其他可能影响对甲方服务的突发事件</w:t>
      </w:r>
    </w:p>
    <w:p w14:paraId="581AF428">
      <w:pPr>
        <w:widowControl/>
        <w:numPr>
          <w:ilvl w:val="0"/>
          <w:numId w:val="9"/>
        </w:numPr>
        <w:spacing w:line="360" w:lineRule="auto"/>
        <w:ind w:left="709" w:hanging="229" w:firstLineChars="0"/>
        <w:jc w:val="left"/>
        <w:rPr>
          <w:rFonts w:ascii="宋体"/>
          <w:szCs w:val="24"/>
          <w:highlight w:val="none"/>
        </w:rPr>
      </w:pPr>
      <w:r>
        <w:rPr>
          <w:rFonts w:hint="eastAsia" w:ascii="宋体"/>
          <w:szCs w:val="24"/>
          <w:highlight w:val="none"/>
        </w:rPr>
        <w:t xml:space="preserve"> 协助甲方及时解决生产事件。当问题产生时，应尽快采取适当的措施识别并修复问题。</w:t>
      </w:r>
    </w:p>
    <w:p w14:paraId="196C1A92">
      <w:pPr>
        <w:rPr>
          <w:rFonts w:ascii="宋体"/>
          <w:b/>
          <w:bCs/>
          <w:kern w:val="32"/>
          <w:szCs w:val="24"/>
          <w:highlight w:val="none"/>
        </w:rPr>
      </w:pPr>
      <w:r>
        <w:rPr>
          <w:rFonts w:hint="eastAsia" w:ascii="宋体"/>
          <w:b/>
          <w:bCs/>
          <w:kern w:val="32"/>
          <w:szCs w:val="24"/>
          <w:highlight w:val="none"/>
        </w:rPr>
        <w:t>3.2甲方</w:t>
      </w:r>
    </w:p>
    <w:p w14:paraId="0D203945">
      <w:pPr>
        <w:widowControl/>
        <w:numPr>
          <w:ilvl w:val="0"/>
          <w:numId w:val="9"/>
        </w:numPr>
        <w:spacing w:line="360" w:lineRule="auto"/>
        <w:ind w:left="709" w:hanging="229" w:firstLineChars="0"/>
        <w:jc w:val="left"/>
        <w:rPr>
          <w:rFonts w:ascii="宋体"/>
          <w:szCs w:val="24"/>
          <w:highlight w:val="none"/>
        </w:rPr>
      </w:pPr>
      <w:r>
        <w:rPr>
          <w:rFonts w:hint="eastAsia" w:ascii="宋体"/>
          <w:szCs w:val="24"/>
          <w:highlight w:val="none"/>
        </w:rPr>
        <w:t>甲方将尽快将问题汇报给乙方管理层；</w:t>
      </w:r>
    </w:p>
    <w:p w14:paraId="5CFCAB39">
      <w:pPr>
        <w:widowControl/>
        <w:numPr>
          <w:ilvl w:val="0"/>
          <w:numId w:val="9"/>
        </w:numPr>
        <w:spacing w:line="360" w:lineRule="auto"/>
        <w:ind w:left="709" w:hanging="229" w:firstLineChars="0"/>
        <w:jc w:val="left"/>
        <w:rPr>
          <w:rFonts w:ascii="宋体"/>
          <w:szCs w:val="24"/>
          <w:highlight w:val="none"/>
        </w:rPr>
      </w:pPr>
      <w:r>
        <w:rPr>
          <w:rFonts w:hint="eastAsia" w:ascii="宋体"/>
          <w:szCs w:val="24"/>
          <w:highlight w:val="none"/>
        </w:rPr>
        <w:t>提供任何可能影响乙方向甲方提供SLA中规定服务的服务能力的事件信息，包括：</w:t>
      </w:r>
    </w:p>
    <w:p w14:paraId="75A840A6">
      <w:pPr>
        <w:widowControl/>
        <w:numPr>
          <w:ilvl w:val="0"/>
          <w:numId w:val="10"/>
        </w:numPr>
        <w:spacing w:line="360" w:lineRule="auto"/>
        <w:ind w:firstLineChars="0"/>
        <w:jc w:val="left"/>
        <w:rPr>
          <w:rFonts w:ascii="宋体"/>
          <w:szCs w:val="24"/>
          <w:highlight w:val="none"/>
        </w:rPr>
      </w:pPr>
      <w:r>
        <w:rPr>
          <w:rFonts w:hint="eastAsia" w:ascii="宋体"/>
          <w:szCs w:val="24"/>
          <w:highlight w:val="none"/>
        </w:rPr>
        <w:t>组织架构变更</w:t>
      </w:r>
    </w:p>
    <w:p w14:paraId="36F59D1C">
      <w:pPr>
        <w:widowControl/>
        <w:numPr>
          <w:ilvl w:val="0"/>
          <w:numId w:val="10"/>
        </w:numPr>
        <w:spacing w:line="360" w:lineRule="auto"/>
        <w:ind w:firstLineChars="0"/>
        <w:jc w:val="left"/>
        <w:rPr>
          <w:rFonts w:ascii="宋体"/>
          <w:szCs w:val="24"/>
          <w:highlight w:val="none"/>
        </w:rPr>
      </w:pPr>
      <w:r>
        <w:rPr>
          <w:rFonts w:hint="eastAsia" w:ascii="宋体"/>
          <w:szCs w:val="24"/>
          <w:highlight w:val="none"/>
        </w:rPr>
        <w:t>技术变更</w:t>
      </w:r>
    </w:p>
    <w:p w14:paraId="484C0D3C">
      <w:pPr>
        <w:widowControl/>
        <w:numPr>
          <w:ilvl w:val="0"/>
          <w:numId w:val="10"/>
        </w:numPr>
        <w:spacing w:line="360" w:lineRule="auto"/>
        <w:ind w:firstLineChars="0"/>
        <w:jc w:val="left"/>
        <w:rPr>
          <w:rFonts w:ascii="宋体"/>
          <w:szCs w:val="24"/>
          <w:highlight w:val="none"/>
        </w:rPr>
      </w:pPr>
      <w:r>
        <w:rPr>
          <w:rFonts w:hint="eastAsia" w:ascii="宋体"/>
          <w:szCs w:val="24"/>
          <w:highlight w:val="none"/>
        </w:rPr>
        <w:t>职能变更</w:t>
      </w:r>
    </w:p>
    <w:p w14:paraId="2F1E9266">
      <w:pPr>
        <w:rPr>
          <w:rFonts w:ascii="宋体"/>
          <w:b/>
          <w:bCs/>
          <w:kern w:val="32"/>
          <w:szCs w:val="24"/>
          <w:highlight w:val="none"/>
        </w:rPr>
      </w:pPr>
      <w:bookmarkStart w:id="140" w:name="_Toc254884644"/>
      <w:bookmarkStart w:id="141" w:name="_Toc254884645"/>
      <w:r>
        <w:rPr>
          <w:rFonts w:hint="eastAsia" w:ascii="宋体"/>
          <w:b/>
          <w:bCs/>
          <w:kern w:val="32"/>
          <w:szCs w:val="24"/>
          <w:highlight w:val="none"/>
        </w:rPr>
        <w:t>4. 服务内容</w:t>
      </w:r>
      <w:bookmarkEnd w:id="140"/>
    </w:p>
    <w:tbl>
      <w:tblPr>
        <w:tblStyle w:val="21"/>
        <w:tblW w:w="889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9"/>
        <w:gridCol w:w="1912"/>
        <w:gridCol w:w="6044"/>
      </w:tblGrid>
      <w:tr w14:paraId="285D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5" w:type="dxa"/>
            <w:gridSpan w:val="3"/>
            <w:tcBorders>
              <w:tl2br w:val="nil"/>
              <w:tr2bl w:val="nil"/>
            </w:tcBorders>
            <w:vAlign w:val="center"/>
          </w:tcPr>
          <w:p w14:paraId="70C70F73">
            <w:pPr>
              <w:spacing w:line="240" w:lineRule="auto"/>
              <w:ind w:firstLine="0" w:firstLineChars="0"/>
              <w:rPr>
                <w:rFonts w:ascii="宋体"/>
                <w:szCs w:val="24"/>
                <w:highlight w:val="none"/>
              </w:rPr>
            </w:pPr>
            <w:r>
              <w:rPr>
                <w:rFonts w:hint="eastAsia" w:ascii="宋体"/>
                <w:b/>
                <w:bCs/>
                <w:kern w:val="32"/>
                <w:szCs w:val="24"/>
                <w:highlight w:val="none"/>
              </w:rPr>
              <w:t>4.1技术管理</w:t>
            </w:r>
          </w:p>
        </w:tc>
      </w:tr>
      <w:tr w14:paraId="5EAB7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939" w:type="dxa"/>
            <w:tcBorders>
              <w:tl2br w:val="nil"/>
              <w:tr2bl w:val="nil"/>
            </w:tcBorders>
            <w:vAlign w:val="center"/>
          </w:tcPr>
          <w:p w14:paraId="4D49282D">
            <w:pPr>
              <w:spacing w:line="240" w:lineRule="auto"/>
              <w:ind w:firstLine="0" w:firstLineChars="0"/>
              <w:rPr>
                <w:rFonts w:ascii="宋体"/>
                <w:szCs w:val="24"/>
                <w:highlight w:val="none"/>
              </w:rPr>
            </w:pPr>
            <w:r>
              <w:rPr>
                <w:rFonts w:hint="eastAsia" w:ascii="宋体"/>
                <w:szCs w:val="24"/>
                <w:highlight w:val="none"/>
              </w:rPr>
              <w:t>4.1.1</w:t>
            </w:r>
          </w:p>
        </w:tc>
        <w:tc>
          <w:tcPr>
            <w:tcW w:w="1912" w:type="dxa"/>
            <w:tcBorders>
              <w:tl2br w:val="nil"/>
              <w:tr2bl w:val="nil"/>
            </w:tcBorders>
            <w:vAlign w:val="center"/>
          </w:tcPr>
          <w:p w14:paraId="3F02D42D">
            <w:pPr>
              <w:spacing w:line="240" w:lineRule="auto"/>
              <w:ind w:firstLine="0" w:firstLineChars="0"/>
              <w:rPr>
                <w:rFonts w:ascii="宋体"/>
                <w:szCs w:val="24"/>
                <w:highlight w:val="none"/>
              </w:rPr>
            </w:pPr>
            <w:r>
              <w:rPr>
                <w:rFonts w:hint="eastAsia" w:ascii="宋体"/>
                <w:szCs w:val="24"/>
                <w:highlight w:val="none"/>
              </w:rPr>
              <w:t>项目执行控制</w:t>
            </w:r>
          </w:p>
        </w:tc>
        <w:tc>
          <w:tcPr>
            <w:tcW w:w="6045" w:type="dxa"/>
            <w:tcBorders>
              <w:tl2br w:val="nil"/>
              <w:tr2bl w:val="nil"/>
            </w:tcBorders>
            <w:vAlign w:val="center"/>
          </w:tcPr>
          <w:p w14:paraId="7AB8168E">
            <w:pPr>
              <w:spacing w:line="240" w:lineRule="auto"/>
              <w:ind w:firstLine="0" w:firstLineChars="0"/>
              <w:rPr>
                <w:rFonts w:ascii="宋体"/>
                <w:szCs w:val="24"/>
                <w:highlight w:val="none"/>
              </w:rPr>
            </w:pPr>
            <w:r>
              <w:rPr>
                <w:rFonts w:hint="eastAsia" w:ascii="宋体"/>
                <w:szCs w:val="24"/>
                <w:highlight w:val="none"/>
              </w:rPr>
              <w:t>管理目标、沟通和范围</w:t>
            </w:r>
          </w:p>
        </w:tc>
      </w:tr>
      <w:tr w14:paraId="6B17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939" w:type="dxa"/>
            <w:tcBorders>
              <w:tl2br w:val="nil"/>
              <w:tr2bl w:val="nil"/>
            </w:tcBorders>
            <w:vAlign w:val="center"/>
          </w:tcPr>
          <w:p w14:paraId="7E9F875B">
            <w:pPr>
              <w:spacing w:line="240" w:lineRule="auto"/>
              <w:ind w:firstLine="0" w:firstLineChars="0"/>
              <w:rPr>
                <w:rFonts w:ascii="宋体"/>
                <w:szCs w:val="24"/>
                <w:highlight w:val="none"/>
              </w:rPr>
            </w:pPr>
            <w:r>
              <w:rPr>
                <w:rFonts w:hint="eastAsia" w:ascii="宋体"/>
                <w:szCs w:val="24"/>
                <w:highlight w:val="none"/>
              </w:rPr>
              <w:t>4.1.2</w:t>
            </w:r>
          </w:p>
        </w:tc>
        <w:tc>
          <w:tcPr>
            <w:tcW w:w="1912" w:type="dxa"/>
            <w:tcBorders>
              <w:tl2br w:val="nil"/>
              <w:tr2bl w:val="nil"/>
            </w:tcBorders>
            <w:vAlign w:val="center"/>
          </w:tcPr>
          <w:p w14:paraId="495363F1">
            <w:pPr>
              <w:spacing w:line="240" w:lineRule="auto"/>
              <w:ind w:firstLine="0" w:firstLineChars="0"/>
              <w:rPr>
                <w:rFonts w:ascii="宋体"/>
                <w:szCs w:val="24"/>
                <w:highlight w:val="none"/>
              </w:rPr>
            </w:pPr>
            <w:r>
              <w:rPr>
                <w:rFonts w:hint="eastAsia" w:ascii="宋体"/>
                <w:szCs w:val="24"/>
                <w:highlight w:val="none"/>
              </w:rPr>
              <w:t>系统部署</w:t>
            </w:r>
          </w:p>
        </w:tc>
        <w:tc>
          <w:tcPr>
            <w:tcW w:w="6045" w:type="dxa"/>
            <w:tcBorders>
              <w:tl2br w:val="nil"/>
              <w:tr2bl w:val="nil"/>
            </w:tcBorders>
            <w:vAlign w:val="center"/>
          </w:tcPr>
          <w:p w14:paraId="7CEBA2E5">
            <w:pPr>
              <w:spacing w:line="240" w:lineRule="auto"/>
              <w:ind w:firstLine="0" w:firstLineChars="0"/>
              <w:rPr>
                <w:rFonts w:ascii="宋体"/>
                <w:szCs w:val="24"/>
                <w:highlight w:val="none"/>
              </w:rPr>
            </w:pPr>
            <w:r>
              <w:rPr>
                <w:rFonts w:hint="eastAsia" w:ascii="宋体"/>
                <w:szCs w:val="24"/>
                <w:highlight w:val="none"/>
              </w:rPr>
              <w:t>在甲方所提供的技术环境内配置和部署系统接入所需的资源</w:t>
            </w:r>
          </w:p>
        </w:tc>
      </w:tr>
      <w:tr w14:paraId="0EFAB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939" w:type="dxa"/>
            <w:tcBorders>
              <w:tl2br w:val="nil"/>
              <w:tr2bl w:val="nil"/>
            </w:tcBorders>
            <w:vAlign w:val="center"/>
          </w:tcPr>
          <w:p w14:paraId="1C2E8D10">
            <w:pPr>
              <w:spacing w:line="240" w:lineRule="auto"/>
              <w:ind w:firstLine="0" w:firstLineChars="0"/>
              <w:rPr>
                <w:rFonts w:ascii="宋体"/>
                <w:szCs w:val="24"/>
                <w:highlight w:val="none"/>
              </w:rPr>
            </w:pPr>
            <w:r>
              <w:rPr>
                <w:rFonts w:hint="eastAsia" w:ascii="宋体"/>
                <w:szCs w:val="24"/>
                <w:highlight w:val="none"/>
              </w:rPr>
              <w:t>4.1.3</w:t>
            </w:r>
          </w:p>
        </w:tc>
        <w:tc>
          <w:tcPr>
            <w:tcW w:w="1912" w:type="dxa"/>
            <w:tcBorders>
              <w:tl2br w:val="nil"/>
              <w:tr2bl w:val="nil"/>
            </w:tcBorders>
            <w:vAlign w:val="center"/>
          </w:tcPr>
          <w:p w14:paraId="74C38DE2">
            <w:pPr>
              <w:ind w:firstLine="0" w:firstLineChars="0"/>
              <w:rPr>
                <w:rFonts w:ascii="宋体"/>
                <w:szCs w:val="24"/>
                <w:highlight w:val="none"/>
              </w:rPr>
            </w:pPr>
            <w:r>
              <w:rPr>
                <w:rFonts w:hint="eastAsia" w:ascii="宋体"/>
                <w:szCs w:val="24"/>
                <w:highlight w:val="none"/>
              </w:rPr>
              <w:t>管理系统</w:t>
            </w:r>
          </w:p>
        </w:tc>
        <w:tc>
          <w:tcPr>
            <w:tcW w:w="6045" w:type="dxa"/>
            <w:tcBorders>
              <w:tl2br w:val="nil"/>
              <w:tr2bl w:val="nil"/>
            </w:tcBorders>
            <w:vAlign w:val="center"/>
          </w:tcPr>
          <w:p w14:paraId="601C4573">
            <w:pPr>
              <w:spacing w:line="240" w:lineRule="auto"/>
              <w:ind w:firstLine="0" w:firstLineChars="0"/>
              <w:rPr>
                <w:rFonts w:ascii="宋体"/>
                <w:szCs w:val="24"/>
                <w:highlight w:val="none"/>
              </w:rPr>
            </w:pPr>
            <w:r>
              <w:rPr>
                <w:rFonts w:hint="eastAsia" w:ascii="宋体"/>
                <w:szCs w:val="24"/>
                <w:highlight w:val="none"/>
              </w:rPr>
              <w:t>管理运行过程中的各个环节和环境（如测试、培训、维护等）</w:t>
            </w:r>
          </w:p>
        </w:tc>
      </w:tr>
      <w:tr w14:paraId="7B85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5" w:type="dxa"/>
            <w:gridSpan w:val="3"/>
            <w:tcBorders>
              <w:tl2br w:val="nil"/>
              <w:tr2bl w:val="nil"/>
            </w:tcBorders>
            <w:vAlign w:val="center"/>
          </w:tcPr>
          <w:p w14:paraId="1F27DED8">
            <w:pPr>
              <w:spacing w:line="240" w:lineRule="auto"/>
              <w:ind w:firstLine="0" w:firstLineChars="0"/>
              <w:rPr>
                <w:rFonts w:ascii="宋体"/>
                <w:b/>
                <w:szCs w:val="24"/>
                <w:highlight w:val="none"/>
              </w:rPr>
            </w:pPr>
            <w:r>
              <w:rPr>
                <w:rFonts w:hint="eastAsia" w:ascii="宋体"/>
                <w:b/>
                <w:szCs w:val="24"/>
                <w:highlight w:val="none"/>
              </w:rPr>
              <w:t>4.2系统处理</w:t>
            </w:r>
          </w:p>
        </w:tc>
      </w:tr>
      <w:tr w14:paraId="5FB1D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939" w:type="dxa"/>
            <w:tcBorders>
              <w:tl2br w:val="nil"/>
              <w:tr2bl w:val="nil"/>
            </w:tcBorders>
            <w:vAlign w:val="center"/>
          </w:tcPr>
          <w:p w14:paraId="39657DE4">
            <w:pPr>
              <w:spacing w:line="240" w:lineRule="auto"/>
              <w:ind w:firstLine="0" w:firstLineChars="0"/>
              <w:rPr>
                <w:rFonts w:ascii="宋体"/>
                <w:szCs w:val="24"/>
                <w:highlight w:val="none"/>
              </w:rPr>
            </w:pPr>
            <w:r>
              <w:rPr>
                <w:rFonts w:hint="eastAsia" w:ascii="宋体"/>
                <w:szCs w:val="24"/>
                <w:highlight w:val="none"/>
              </w:rPr>
              <w:t>4.2.1</w:t>
            </w:r>
          </w:p>
        </w:tc>
        <w:tc>
          <w:tcPr>
            <w:tcW w:w="1912" w:type="dxa"/>
            <w:tcBorders>
              <w:tl2br w:val="nil"/>
              <w:tr2bl w:val="nil"/>
            </w:tcBorders>
            <w:vAlign w:val="center"/>
          </w:tcPr>
          <w:p w14:paraId="3B0309D1">
            <w:pPr>
              <w:spacing w:line="240" w:lineRule="auto"/>
              <w:ind w:firstLine="0" w:firstLineChars="0"/>
              <w:rPr>
                <w:rFonts w:ascii="宋体"/>
                <w:szCs w:val="24"/>
                <w:highlight w:val="none"/>
              </w:rPr>
            </w:pPr>
            <w:r>
              <w:rPr>
                <w:rFonts w:hint="eastAsia" w:ascii="宋体"/>
                <w:szCs w:val="24"/>
                <w:highlight w:val="none"/>
              </w:rPr>
              <w:t>备份</w:t>
            </w:r>
          </w:p>
        </w:tc>
        <w:tc>
          <w:tcPr>
            <w:tcW w:w="6045" w:type="dxa"/>
            <w:tcBorders>
              <w:tl2br w:val="nil"/>
              <w:tr2bl w:val="nil"/>
            </w:tcBorders>
            <w:vAlign w:val="center"/>
          </w:tcPr>
          <w:p w14:paraId="4985B792">
            <w:pPr>
              <w:spacing w:line="240" w:lineRule="auto"/>
              <w:ind w:firstLine="0" w:firstLineChars="0"/>
              <w:rPr>
                <w:rFonts w:ascii="宋体"/>
                <w:szCs w:val="24"/>
                <w:highlight w:val="none"/>
              </w:rPr>
            </w:pPr>
            <w:r>
              <w:rPr>
                <w:rFonts w:hint="eastAsia" w:ascii="宋体"/>
                <w:szCs w:val="24"/>
                <w:highlight w:val="none"/>
              </w:rPr>
              <w:t>提供数据容量规划咨询，设计系统的备份策略，完成其有效性验证</w:t>
            </w:r>
          </w:p>
        </w:tc>
      </w:tr>
      <w:tr w14:paraId="5685E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39" w:type="dxa"/>
            <w:tcBorders>
              <w:tl2br w:val="nil"/>
              <w:tr2bl w:val="nil"/>
            </w:tcBorders>
            <w:vAlign w:val="center"/>
          </w:tcPr>
          <w:p w14:paraId="11A71BC4">
            <w:pPr>
              <w:spacing w:line="240" w:lineRule="auto"/>
              <w:ind w:firstLine="0" w:firstLineChars="0"/>
              <w:rPr>
                <w:rFonts w:ascii="宋体"/>
                <w:szCs w:val="24"/>
                <w:highlight w:val="none"/>
              </w:rPr>
            </w:pPr>
            <w:r>
              <w:rPr>
                <w:rFonts w:hint="eastAsia" w:ascii="宋体"/>
                <w:szCs w:val="24"/>
                <w:highlight w:val="none"/>
              </w:rPr>
              <w:t>4.2.2</w:t>
            </w:r>
          </w:p>
        </w:tc>
        <w:tc>
          <w:tcPr>
            <w:tcW w:w="1912" w:type="dxa"/>
            <w:tcBorders>
              <w:tl2br w:val="nil"/>
              <w:tr2bl w:val="nil"/>
            </w:tcBorders>
            <w:vAlign w:val="center"/>
          </w:tcPr>
          <w:p w14:paraId="2E4B6C4F">
            <w:pPr>
              <w:spacing w:line="240" w:lineRule="auto"/>
              <w:ind w:firstLine="0" w:firstLineChars="0"/>
              <w:rPr>
                <w:rFonts w:ascii="宋体"/>
                <w:szCs w:val="24"/>
                <w:highlight w:val="none"/>
              </w:rPr>
            </w:pPr>
            <w:r>
              <w:rPr>
                <w:rFonts w:hint="eastAsia" w:ascii="宋体"/>
                <w:szCs w:val="24"/>
                <w:highlight w:val="none"/>
              </w:rPr>
              <w:t>恢复</w:t>
            </w:r>
          </w:p>
        </w:tc>
        <w:tc>
          <w:tcPr>
            <w:tcW w:w="6045" w:type="dxa"/>
            <w:tcBorders>
              <w:tl2br w:val="nil"/>
              <w:tr2bl w:val="nil"/>
            </w:tcBorders>
            <w:vAlign w:val="center"/>
          </w:tcPr>
          <w:p w14:paraId="5360B4A9">
            <w:pPr>
              <w:spacing w:line="240" w:lineRule="auto"/>
              <w:ind w:firstLine="0" w:firstLineChars="0"/>
              <w:rPr>
                <w:rFonts w:ascii="宋体"/>
                <w:szCs w:val="24"/>
                <w:highlight w:val="none"/>
              </w:rPr>
            </w:pPr>
            <w:r>
              <w:rPr>
                <w:rFonts w:hint="eastAsia" w:ascii="宋体"/>
                <w:szCs w:val="24"/>
                <w:highlight w:val="none"/>
              </w:rPr>
              <w:t>设计系统的恢复策略，完成其有效性验证</w:t>
            </w:r>
          </w:p>
        </w:tc>
      </w:tr>
      <w:tr w14:paraId="4D040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5" w:type="dxa"/>
            <w:gridSpan w:val="3"/>
            <w:tcBorders>
              <w:tl2br w:val="nil"/>
              <w:tr2bl w:val="nil"/>
            </w:tcBorders>
            <w:vAlign w:val="center"/>
          </w:tcPr>
          <w:p w14:paraId="257286D4">
            <w:pPr>
              <w:spacing w:line="240" w:lineRule="auto"/>
              <w:ind w:firstLine="0" w:firstLineChars="0"/>
              <w:rPr>
                <w:rFonts w:ascii="宋体"/>
                <w:b/>
                <w:szCs w:val="24"/>
                <w:highlight w:val="none"/>
              </w:rPr>
            </w:pPr>
            <w:r>
              <w:rPr>
                <w:rFonts w:hint="eastAsia" w:ascii="宋体"/>
                <w:b/>
                <w:szCs w:val="24"/>
                <w:highlight w:val="none"/>
              </w:rPr>
              <w:t>4.3软件开发及测试</w:t>
            </w:r>
          </w:p>
        </w:tc>
      </w:tr>
      <w:tr w14:paraId="5602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939" w:type="dxa"/>
            <w:tcBorders>
              <w:tl2br w:val="nil"/>
              <w:tr2bl w:val="nil"/>
            </w:tcBorders>
            <w:vAlign w:val="center"/>
          </w:tcPr>
          <w:p w14:paraId="1CD2D4F9">
            <w:pPr>
              <w:spacing w:line="240" w:lineRule="auto"/>
              <w:ind w:firstLine="0" w:firstLineChars="0"/>
              <w:rPr>
                <w:rFonts w:ascii="宋体"/>
                <w:szCs w:val="24"/>
                <w:highlight w:val="none"/>
              </w:rPr>
            </w:pPr>
            <w:r>
              <w:rPr>
                <w:rFonts w:hint="eastAsia" w:ascii="宋体"/>
                <w:szCs w:val="24"/>
                <w:highlight w:val="none"/>
              </w:rPr>
              <w:t>4.3.1</w:t>
            </w:r>
          </w:p>
        </w:tc>
        <w:tc>
          <w:tcPr>
            <w:tcW w:w="1912" w:type="dxa"/>
            <w:tcBorders>
              <w:tl2br w:val="nil"/>
              <w:tr2bl w:val="nil"/>
            </w:tcBorders>
            <w:vAlign w:val="center"/>
          </w:tcPr>
          <w:p w14:paraId="3B3CC513">
            <w:pPr>
              <w:spacing w:line="240" w:lineRule="auto"/>
              <w:ind w:firstLine="0" w:firstLineChars="0"/>
              <w:rPr>
                <w:rFonts w:ascii="宋体"/>
                <w:szCs w:val="24"/>
                <w:highlight w:val="none"/>
              </w:rPr>
            </w:pPr>
            <w:r>
              <w:rPr>
                <w:rFonts w:hint="eastAsia" w:ascii="宋体"/>
                <w:szCs w:val="24"/>
                <w:highlight w:val="none"/>
              </w:rPr>
              <w:t>软件管理</w:t>
            </w:r>
          </w:p>
        </w:tc>
        <w:tc>
          <w:tcPr>
            <w:tcW w:w="6045" w:type="dxa"/>
            <w:tcBorders>
              <w:tl2br w:val="nil"/>
              <w:tr2bl w:val="nil"/>
            </w:tcBorders>
            <w:vAlign w:val="center"/>
          </w:tcPr>
          <w:p w14:paraId="4DA5A141">
            <w:pPr>
              <w:spacing w:line="240" w:lineRule="auto"/>
              <w:ind w:firstLine="0" w:firstLineChars="0"/>
              <w:rPr>
                <w:rFonts w:ascii="宋体"/>
                <w:szCs w:val="24"/>
                <w:highlight w:val="none"/>
              </w:rPr>
            </w:pPr>
            <w:r>
              <w:rPr>
                <w:rFonts w:hint="eastAsia" w:ascii="宋体"/>
                <w:szCs w:val="24"/>
                <w:highlight w:val="none"/>
              </w:rPr>
              <w:t>负责管理和设计应用软件，配合进行软件过程开发管理</w:t>
            </w:r>
          </w:p>
        </w:tc>
      </w:tr>
      <w:tr w14:paraId="0213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939" w:type="dxa"/>
            <w:tcBorders>
              <w:tl2br w:val="nil"/>
              <w:tr2bl w:val="nil"/>
            </w:tcBorders>
            <w:vAlign w:val="center"/>
          </w:tcPr>
          <w:p w14:paraId="06F6F513">
            <w:pPr>
              <w:spacing w:line="240" w:lineRule="auto"/>
              <w:ind w:firstLine="0" w:firstLineChars="0"/>
              <w:rPr>
                <w:rFonts w:ascii="宋体"/>
                <w:szCs w:val="24"/>
                <w:highlight w:val="none"/>
              </w:rPr>
            </w:pPr>
            <w:r>
              <w:rPr>
                <w:rFonts w:hint="eastAsia" w:ascii="宋体"/>
                <w:szCs w:val="24"/>
                <w:highlight w:val="none"/>
              </w:rPr>
              <w:t>4.3.2</w:t>
            </w:r>
          </w:p>
        </w:tc>
        <w:tc>
          <w:tcPr>
            <w:tcW w:w="1912" w:type="dxa"/>
            <w:tcBorders>
              <w:tl2br w:val="nil"/>
              <w:tr2bl w:val="nil"/>
            </w:tcBorders>
            <w:vAlign w:val="center"/>
          </w:tcPr>
          <w:p w14:paraId="6DA3F1C2">
            <w:pPr>
              <w:spacing w:line="240" w:lineRule="auto"/>
              <w:ind w:firstLine="0" w:firstLineChars="0"/>
              <w:rPr>
                <w:rFonts w:ascii="宋体"/>
                <w:szCs w:val="24"/>
                <w:highlight w:val="none"/>
              </w:rPr>
            </w:pPr>
            <w:r>
              <w:rPr>
                <w:rFonts w:hint="eastAsia" w:ascii="宋体"/>
                <w:szCs w:val="24"/>
                <w:highlight w:val="none"/>
              </w:rPr>
              <w:t>系统接口开发</w:t>
            </w:r>
          </w:p>
        </w:tc>
        <w:tc>
          <w:tcPr>
            <w:tcW w:w="6045" w:type="dxa"/>
            <w:tcBorders>
              <w:tl2br w:val="nil"/>
              <w:tr2bl w:val="nil"/>
            </w:tcBorders>
            <w:vAlign w:val="center"/>
          </w:tcPr>
          <w:p w14:paraId="171F08A1">
            <w:pPr>
              <w:spacing w:line="240" w:lineRule="auto"/>
              <w:ind w:firstLine="0" w:firstLineChars="0"/>
              <w:rPr>
                <w:rFonts w:ascii="宋体"/>
                <w:szCs w:val="24"/>
                <w:highlight w:val="none"/>
              </w:rPr>
            </w:pPr>
            <w:r>
              <w:rPr>
                <w:rFonts w:hint="eastAsia" w:ascii="宋体"/>
                <w:szCs w:val="24"/>
                <w:highlight w:val="none"/>
              </w:rPr>
              <w:t>设计和开发系统内部各模块的接口以及与外部系统进行数据交互的接口</w:t>
            </w:r>
          </w:p>
        </w:tc>
      </w:tr>
      <w:tr w14:paraId="20D1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939" w:type="dxa"/>
            <w:tcBorders>
              <w:tl2br w:val="nil"/>
              <w:tr2bl w:val="nil"/>
            </w:tcBorders>
            <w:vAlign w:val="center"/>
          </w:tcPr>
          <w:p w14:paraId="4D9B07F6">
            <w:pPr>
              <w:spacing w:line="240" w:lineRule="auto"/>
              <w:ind w:firstLine="0" w:firstLineChars="0"/>
              <w:rPr>
                <w:rFonts w:ascii="宋体"/>
                <w:szCs w:val="24"/>
                <w:highlight w:val="none"/>
              </w:rPr>
            </w:pPr>
            <w:r>
              <w:rPr>
                <w:rFonts w:hint="eastAsia" w:ascii="宋体"/>
                <w:szCs w:val="24"/>
                <w:highlight w:val="none"/>
              </w:rPr>
              <w:t>4.3.3</w:t>
            </w:r>
          </w:p>
        </w:tc>
        <w:tc>
          <w:tcPr>
            <w:tcW w:w="1912" w:type="dxa"/>
            <w:tcBorders>
              <w:tl2br w:val="nil"/>
              <w:tr2bl w:val="nil"/>
            </w:tcBorders>
            <w:vAlign w:val="center"/>
          </w:tcPr>
          <w:p w14:paraId="5EB2BD3B">
            <w:pPr>
              <w:spacing w:line="240" w:lineRule="auto"/>
              <w:ind w:firstLine="0" w:firstLineChars="0"/>
              <w:rPr>
                <w:rFonts w:ascii="宋体"/>
                <w:szCs w:val="24"/>
                <w:highlight w:val="none"/>
              </w:rPr>
            </w:pPr>
            <w:r>
              <w:rPr>
                <w:rFonts w:hint="eastAsia" w:ascii="宋体"/>
                <w:szCs w:val="24"/>
                <w:highlight w:val="none"/>
              </w:rPr>
              <w:t>代码开发和测试</w:t>
            </w:r>
          </w:p>
        </w:tc>
        <w:tc>
          <w:tcPr>
            <w:tcW w:w="6045" w:type="dxa"/>
            <w:tcBorders>
              <w:tl2br w:val="nil"/>
              <w:tr2bl w:val="nil"/>
            </w:tcBorders>
            <w:vAlign w:val="center"/>
          </w:tcPr>
          <w:p w14:paraId="2296F5CE">
            <w:pPr>
              <w:spacing w:line="240" w:lineRule="auto"/>
              <w:ind w:firstLine="0" w:firstLineChars="0"/>
              <w:rPr>
                <w:rFonts w:ascii="宋体"/>
                <w:szCs w:val="24"/>
                <w:highlight w:val="none"/>
              </w:rPr>
            </w:pPr>
            <w:r>
              <w:rPr>
                <w:rFonts w:hint="eastAsia" w:ascii="宋体"/>
                <w:szCs w:val="24"/>
                <w:highlight w:val="none"/>
              </w:rPr>
              <w:t>编写代码并且完成开发自测与系统测试</w:t>
            </w:r>
          </w:p>
        </w:tc>
      </w:tr>
      <w:tr w14:paraId="0A3EF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939" w:type="dxa"/>
            <w:tcBorders>
              <w:tl2br w:val="nil"/>
              <w:tr2bl w:val="nil"/>
            </w:tcBorders>
            <w:vAlign w:val="center"/>
          </w:tcPr>
          <w:p w14:paraId="70B20727">
            <w:pPr>
              <w:spacing w:line="240" w:lineRule="auto"/>
              <w:ind w:firstLine="0" w:firstLineChars="0"/>
              <w:rPr>
                <w:rFonts w:ascii="宋体"/>
                <w:szCs w:val="24"/>
                <w:highlight w:val="none"/>
              </w:rPr>
            </w:pPr>
            <w:r>
              <w:rPr>
                <w:rFonts w:hint="eastAsia" w:ascii="宋体"/>
                <w:szCs w:val="24"/>
                <w:highlight w:val="none"/>
              </w:rPr>
              <w:t>4.3.4</w:t>
            </w:r>
          </w:p>
        </w:tc>
        <w:tc>
          <w:tcPr>
            <w:tcW w:w="1912" w:type="dxa"/>
            <w:tcBorders>
              <w:tl2br w:val="nil"/>
              <w:tr2bl w:val="nil"/>
            </w:tcBorders>
            <w:vAlign w:val="center"/>
          </w:tcPr>
          <w:p w14:paraId="495592FE">
            <w:pPr>
              <w:spacing w:line="240" w:lineRule="auto"/>
              <w:ind w:firstLine="0" w:firstLineChars="0"/>
              <w:rPr>
                <w:rFonts w:ascii="宋体"/>
                <w:szCs w:val="24"/>
                <w:highlight w:val="none"/>
              </w:rPr>
            </w:pPr>
            <w:r>
              <w:rPr>
                <w:rFonts w:hint="eastAsia" w:ascii="宋体"/>
                <w:szCs w:val="24"/>
                <w:highlight w:val="none"/>
              </w:rPr>
              <w:t>知识转移</w:t>
            </w:r>
          </w:p>
        </w:tc>
        <w:tc>
          <w:tcPr>
            <w:tcW w:w="6045" w:type="dxa"/>
            <w:tcBorders>
              <w:tl2br w:val="nil"/>
              <w:tr2bl w:val="nil"/>
            </w:tcBorders>
            <w:vAlign w:val="center"/>
          </w:tcPr>
          <w:p w14:paraId="7A8D6353">
            <w:pPr>
              <w:spacing w:line="240" w:lineRule="auto"/>
              <w:ind w:firstLine="0" w:firstLineChars="0"/>
              <w:rPr>
                <w:rFonts w:ascii="宋体"/>
                <w:szCs w:val="24"/>
                <w:highlight w:val="none"/>
              </w:rPr>
            </w:pPr>
            <w:r>
              <w:rPr>
                <w:rFonts w:hint="eastAsia" w:ascii="宋体"/>
                <w:szCs w:val="24"/>
                <w:highlight w:val="none"/>
              </w:rPr>
              <w:t>负责现场培训</w:t>
            </w:r>
          </w:p>
        </w:tc>
      </w:tr>
      <w:tr w14:paraId="5DA8C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5" w:type="dxa"/>
            <w:gridSpan w:val="3"/>
            <w:tcBorders>
              <w:tl2br w:val="nil"/>
              <w:tr2bl w:val="nil"/>
            </w:tcBorders>
            <w:vAlign w:val="center"/>
          </w:tcPr>
          <w:p w14:paraId="2763F8EB">
            <w:pPr>
              <w:spacing w:line="240" w:lineRule="auto"/>
              <w:ind w:firstLine="0" w:firstLineChars="0"/>
              <w:rPr>
                <w:rFonts w:ascii="宋体"/>
                <w:b/>
                <w:szCs w:val="24"/>
                <w:highlight w:val="none"/>
              </w:rPr>
            </w:pPr>
            <w:r>
              <w:rPr>
                <w:rFonts w:hint="eastAsia" w:ascii="宋体"/>
                <w:b/>
                <w:szCs w:val="24"/>
                <w:highlight w:val="none"/>
              </w:rPr>
              <w:t>4.4 支持和维护</w:t>
            </w:r>
          </w:p>
        </w:tc>
      </w:tr>
      <w:tr w14:paraId="6F96E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939" w:type="dxa"/>
            <w:tcBorders>
              <w:tl2br w:val="nil"/>
              <w:tr2bl w:val="nil"/>
            </w:tcBorders>
            <w:vAlign w:val="center"/>
          </w:tcPr>
          <w:p w14:paraId="16112E34">
            <w:pPr>
              <w:spacing w:line="240" w:lineRule="auto"/>
              <w:ind w:firstLine="0" w:firstLineChars="0"/>
              <w:rPr>
                <w:rFonts w:ascii="宋体"/>
                <w:szCs w:val="24"/>
                <w:highlight w:val="none"/>
              </w:rPr>
            </w:pPr>
            <w:r>
              <w:rPr>
                <w:rFonts w:hint="eastAsia" w:ascii="宋体"/>
                <w:szCs w:val="24"/>
                <w:highlight w:val="none"/>
              </w:rPr>
              <w:t>4.4.1</w:t>
            </w:r>
          </w:p>
        </w:tc>
        <w:tc>
          <w:tcPr>
            <w:tcW w:w="1912" w:type="dxa"/>
            <w:tcBorders>
              <w:tl2br w:val="nil"/>
              <w:tr2bl w:val="nil"/>
            </w:tcBorders>
            <w:vAlign w:val="center"/>
          </w:tcPr>
          <w:p w14:paraId="6FFBDD20">
            <w:pPr>
              <w:spacing w:line="240" w:lineRule="auto"/>
              <w:ind w:firstLine="0" w:firstLineChars="0"/>
              <w:rPr>
                <w:rFonts w:ascii="宋体"/>
                <w:szCs w:val="24"/>
                <w:highlight w:val="none"/>
              </w:rPr>
            </w:pPr>
            <w:r>
              <w:rPr>
                <w:rFonts w:hint="eastAsia" w:ascii="宋体"/>
                <w:szCs w:val="24"/>
                <w:highlight w:val="none"/>
              </w:rPr>
              <w:t>变更管理</w:t>
            </w:r>
          </w:p>
        </w:tc>
        <w:tc>
          <w:tcPr>
            <w:tcW w:w="6045" w:type="dxa"/>
            <w:tcBorders>
              <w:tl2br w:val="nil"/>
              <w:tr2bl w:val="nil"/>
            </w:tcBorders>
            <w:vAlign w:val="center"/>
          </w:tcPr>
          <w:p w14:paraId="3F8F2787">
            <w:pPr>
              <w:spacing w:line="240" w:lineRule="auto"/>
              <w:ind w:firstLine="0" w:firstLineChars="0"/>
              <w:rPr>
                <w:rFonts w:ascii="宋体"/>
                <w:szCs w:val="24"/>
                <w:highlight w:val="none"/>
              </w:rPr>
            </w:pPr>
            <w:r>
              <w:rPr>
                <w:rFonts w:hint="eastAsia" w:ascii="宋体"/>
                <w:szCs w:val="24"/>
                <w:highlight w:val="none"/>
              </w:rPr>
              <w:t>根据变更需求在甲方的技术环境内设计并且执行所有平台和应用软件变更程序</w:t>
            </w:r>
          </w:p>
        </w:tc>
      </w:tr>
      <w:tr w14:paraId="61A04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939" w:type="dxa"/>
            <w:tcBorders>
              <w:tl2br w:val="nil"/>
              <w:tr2bl w:val="nil"/>
            </w:tcBorders>
            <w:vAlign w:val="center"/>
          </w:tcPr>
          <w:p w14:paraId="5987F31D">
            <w:pPr>
              <w:spacing w:line="240" w:lineRule="auto"/>
              <w:ind w:firstLine="0" w:firstLineChars="0"/>
              <w:rPr>
                <w:rFonts w:ascii="宋体"/>
                <w:szCs w:val="24"/>
                <w:highlight w:val="none"/>
              </w:rPr>
            </w:pPr>
            <w:r>
              <w:rPr>
                <w:rFonts w:hint="eastAsia" w:ascii="宋体"/>
                <w:szCs w:val="24"/>
                <w:highlight w:val="none"/>
              </w:rPr>
              <w:t>4.4.2</w:t>
            </w:r>
          </w:p>
        </w:tc>
        <w:tc>
          <w:tcPr>
            <w:tcW w:w="1912" w:type="dxa"/>
            <w:tcBorders>
              <w:tl2br w:val="nil"/>
              <w:tr2bl w:val="nil"/>
            </w:tcBorders>
            <w:vAlign w:val="center"/>
          </w:tcPr>
          <w:p w14:paraId="3D2778CC">
            <w:pPr>
              <w:spacing w:line="240" w:lineRule="auto"/>
              <w:ind w:firstLine="0" w:firstLineChars="0"/>
              <w:rPr>
                <w:rFonts w:ascii="宋体"/>
                <w:szCs w:val="24"/>
                <w:highlight w:val="none"/>
              </w:rPr>
            </w:pPr>
            <w:r>
              <w:rPr>
                <w:rFonts w:hint="eastAsia" w:ascii="宋体"/>
                <w:szCs w:val="24"/>
                <w:highlight w:val="none"/>
              </w:rPr>
              <w:t>系统监控</w:t>
            </w:r>
          </w:p>
        </w:tc>
        <w:tc>
          <w:tcPr>
            <w:tcW w:w="6045" w:type="dxa"/>
            <w:tcBorders>
              <w:tl2br w:val="nil"/>
              <w:tr2bl w:val="nil"/>
            </w:tcBorders>
            <w:vAlign w:val="center"/>
          </w:tcPr>
          <w:p w14:paraId="725D3D93">
            <w:pPr>
              <w:spacing w:line="240" w:lineRule="auto"/>
              <w:ind w:firstLine="0" w:firstLineChars="0"/>
              <w:rPr>
                <w:rFonts w:ascii="宋体"/>
                <w:szCs w:val="24"/>
                <w:highlight w:val="none"/>
              </w:rPr>
            </w:pPr>
            <w:r>
              <w:rPr>
                <w:rFonts w:hint="eastAsia" w:ascii="宋体"/>
                <w:szCs w:val="24"/>
                <w:highlight w:val="none"/>
              </w:rPr>
              <w:t>提供对系统监控的支持，包括专有硬件设备（如有）、应用系统进程、日志、连接等</w:t>
            </w:r>
          </w:p>
        </w:tc>
      </w:tr>
      <w:tr w14:paraId="4707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939" w:type="dxa"/>
            <w:tcBorders>
              <w:tl2br w:val="nil"/>
              <w:tr2bl w:val="nil"/>
            </w:tcBorders>
            <w:vAlign w:val="center"/>
          </w:tcPr>
          <w:p w14:paraId="4CAA41B5">
            <w:pPr>
              <w:spacing w:line="240" w:lineRule="auto"/>
              <w:ind w:firstLine="0" w:firstLineChars="0"/>
              <w:rPr>
                <w:rFonts w:ascii="宋体"/>
                <w:szCs w:val="24"/>
                <w:highlight w:val="none"/>
              </w:rPr>
            </w:pPr>
            <w:r>
              <w:rPr>
                <w:rFonts w:hint="eastAsia" w:ascii="宋体"/>
                <w:szCs w:val="24"/>
                <w:highlight w:val="none"/>
              </w:rPr>
              <w:t>4.4.3</w:t>
            </w:r>
          </w:p>
        </w:tc>
        <w:tc>
          <w:tcPr>
            <w:tcW w:w="1912" w:type="dxa"/>
            <w:tcBorders>
              <w:tl2br w:val="nil"/>
              <w:tr2bl w:val="nil"/>
            </w:tcBorders>
            <w:vAlign w:val="center"/>
          </w:tcPr>
          <w:p w14:paraId="7F39F9F0">
            <w:pPr>
              <w:spacing w:line="240" w:lineRule="auto"/>
              <w:ind w:firstLine="0" w:firstLineChars="0"/>
              <w:rPr>
                <w:rFonts w:ascii="宋体"/>
                <w:szCs w:val="24"/>
                <w:highlight w:val="none"/>
              </w:rPr>
            </w:pPr>
            <w:r>
              <w:rPr>
                <w:rFonts w:hint="eastAsia" w:ascii="宋体"/>
                <w:szCs w:val="24"/>
                <w:highlight w:val="none"/>
              </w:rPr>
              <w:t>发布管理</w:t>
            </w:r>
          </w:p>
        </w:tc>
        <w:tc>
          <w:tcPr>
            <w:tcW w:w="6045" w:type="dxa"/>
            <w:tcBorders>
              <w:tl2br w:val="nil"/>
              <w:tr2bl w:val="nil"/>
            </w:tcBorders>
            <w:vAlign w:val="center"/>
          </w:tcPr>
          <w:p w14:paraId="1FA1AB1A">
            <w:pPr>
              <w:spacing w:line="240" w:lineRule="auto"/>
              <w:ind w:firstLine="0" w:firstLineChars="0"/>
              <w:rPr>
                <w:rFonts w:ascii="宋体"/>
                <w:szCs w:val="24"/>
                <w:highlight w:val="none"/>
              </w:rPr>
            </w:pPr>
            <w:r>
              <w:rPr>
                <w:rFonts w:hint="eastAsia" w:ascii="宋体"/>
                <w:szCs w:val="24"/>
                <w:highlight w:val="none"/>
              </w:rPr>
              <w:t>制定测试环境发布方案，协助将具体的目标系统从测试环境移植到生产的上线方案</w:t>
            </w:r>
          </w:p>
        </w:tc>
      </w:tr>
      <w:tr w14:paraId="64BA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939" w:type="dxa"/>
            <w:tcBorders>
              <w:tl2br w:val="nil"/>
              <w:tr2bl w:val="nil"/>
            </w:tcBorders>
            <w:vAlign w:val="center"/>
          </w:tcPr>
          <w:p w14:paraId="0340EAFC">
            <w:pPr>
              <w:spacing w:line="240" w:lineRule="auto"/>
              <w:ind w:firstLine="0" w:firstLineChars="0"/>
              <w:rPr>
                <w:rFonts w:ascii="宋体"/>
                <w:szCs w:val="24"/>
                <w:highlight w:val="none"/>
              </w:rPr>
            </w:pPr>
            <w:r>
              <w:rPr>
                <w:rFonts w:hint="eastAsia" w:ascii="宋体"/>
                <w:szCs w:val="24"/>
                <w:highlight w:val="none"/>
              </w:rPr>
              <w:t>4.4.4</w:t>
            </w:r>
          </w:p>
        </w:tc>
        <w:tc>
          <w:tcPr>
            <w:tcW w:w="1912" w:type="dxa"/>
            <w:tcBorders>
              <w:tl2br w:val="nil"/>
              <w:tr2bl w:val="nil"/>
            </w:tcBorders>
            <w:vAlign w:val="center"/>
          </w:tcPr>
          <w:p w14:paraId="7B738364">
            <w:pPr>
              <w:spacing w:line="240" w:lineRule="auto"/>
              <w:ind w:firstLine="0" w:firstLineChars="0"/>
              <w:rPr>
                <w:rFonts w:ascii="宋体"/>
                <w:szCs w:val="24"/>
                <w:highlight w:val="none"/>
              </w:rPr>
            </w:pPr>
            <w:r>
              <w:rPr>
                <w:rFonts w:hint="eastAsia" w:ascii="宋体"/>
                <w:szCs w:val="24"/>
                <w:highlight w:val="none"/>
              </w:rPr>
              <w:t>安全管理</w:t>
            </w:r>
          </w:p>
        </w:tc>
        <w:tc>
          <w:tcPr>
            <w:tcW w:w="6045" w:type="dxa"/>
            <w:tcBorders>
              <w:tl2br w:val="nil"/>
              <w:tr2bl w:val="nil"/>
            </w:tcBorders>
            <w:vAlign w:val="center"/>
          </w:tcPr>
          <w:p w14:paraId="312168BD">
            <w:pPr>
              <w:spacing w:line="240" w:lineRule="auto"/>
              <w:ind w:firstLine="0" w:firstLineChars="0"/>
              <w:rPr>
                <w:rFonts w:ascii="宋体"/>
                <w:szCs w:val="24"/>
                <w:highlight w:val="none"/>
              </w:rPr>
            </w:pPr>
            <w:r>
              <w:rPr>
                <w:rFonts w:hint="eastAsia" w:ascii="宋体"/>
                <w:szCs w:val="24"/>
                <w:highlight w:val="none"/>
              </w:rPr>
              <w:t>配合甲方完成上线前的漏洞扫描、渗透测试等安全评估工作，根据甲方要求完成发现漏洞的整改工作</w:t>
            </w:r>
          </w:p>
        </w:tc>
      </w:tr>
      <w:tr w14:paraId="6B429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5" w:type="dxa"/>
            <w:gridSpan w:val="3"/>
            <w:tcBorders>
              <w:tl2br w:val="nil"/>
              <w:tr2bl w:val="nil"/>
            </w:tcBorders>
            <w:vAlign w:val="center"/>
          </w:tcPr>
          <w:p w14:paraId="01F059D3">
            <w:pPr>
              <w:spacing w:line="240" w:lineRule="auto"/>
              <w:ind w:firstLine="0" w:firstLineChars="0"/>
              <w:rPr>
                <w:rFonts w:ascii="宋体"/>
                <w:b/>
                <w:szCs w:val="24"/>
                <w:highlight w:val="none"/>
              </w:rPr>
            </w:pPr>
            <w:r>
              <w:rPr>
                <w:rFonts w:hint="eastAsia" w:ascii="宋体"/>
                <w:b/>
                <w:szCs w:val="24"/>
                <w:highlight w:val="none"/>
              </w:rPr>
              <w:t>4.5 后续支持</w:t>
            </w:r>
          </w:p>
        </w:tc>
      </w:tr>
      <w:tr w14:paraId="08175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939" w:type="dxa"/>
            <w:tcBorders>
              <w:tl2br w:val="nil"/>
              <w:tr2bl w:val="nil"/>
            </w:tcBorders>
            <w:vAlign w:val="center"/>
          </w:tcPr>
          <w:p w14:paraId="3181FCC5">
            <w:pPr>
              <w:spacing w:line="240" w:lineRule="auto"/>
              <w:ind w:firstLine="0" w:firstLineChars="0"/>
              <w:rPr>
                <w:rFonts w:ascii="宋体"/>
                <w:szCs w:val="24"/>
                <w:highlight w:val="none"/>
              </w:rPr>
            </w:pPr>
            <w:r>
              <w:rPr>
                <w:rFonts w:hint="eastAsia" w:ascii="宋体"/>
                <w:szCs w:val="24"/>
                <w:highlight w:val="none"/>
              </w:rPr>
              <w:t>4.5.1</w:t>
            </w:r>
          </w:p>
        </w:tc>
        <w:tc>
          <w:tcPr>
            <w:tcW w:w="1912" w:type="dxa"/>
            <w:tcBorders>
              <w:tl2br w:val="nil"/>
              <w:tr2bl w:val="nil"/>
            </w:tcBorders>
            <w:vAlign w:val="center"/>
          </w:tcPr>
          <w:p w14:paraId="7B313B11">
            <w:pPr>
              <w:spacing w:line="240" w:lineRule="auto"/>
              <w:ind w:firstLine="0" w:firstLineChars="0"/>
              <w:rPr>
                <w:rFonts w:ascii="宋体"/>
                <w:szCs w:val="24"/>
                <w:highlight w:val="none"/>
              </w:rPr>
            </w:pPr>
            <w:r>
              <w:rPr>
                <w:rFonts w:hint="eastAsia" w:ascii="宋体"/>
                <w:szCs w:val="24"/>
                <w:highlight w:val="none"/>
              </w:rPr>
              <w:t>版本安装、更新和升级</w:t>
            </w:r>
          </w:p>
        </w:tc>
        <w:tc>
          <w:tcPr>
            <w:tcW w:w="6045" w:type="dxa"/>
            <w:tcBorders>
              <w:tl2br w:val="nil"/>
              <w:tr2bl w:val="nil"/>
            </w:tcBorders>
            <w:vAlign w:val="center"/>
          </w:tcPr>
          <w:p w14:paraId="7A344E05">
            <w:pPr>
              <w:spacing w:line="240" w:lineRule="auto"/>
              <w:ind w:firstLine="0" w:firstLineChars="0"/>
              <w:rPr>
                <w:rFonts w:ascii="宋体"/>
                <w:szCs w:val="24"/>
                <w:highlight w:val="none"/>
              </w:rPr>
            </w:pPr>
            <w:r>
              <w:rPr>
                <w:rFonts w:hint="eastAsia" w:ascii="宋体"/>
                <w:szCs w:val="24"/>
                <w:highlight w:val="none"/>
              </w:rPr>
              <w:t>提供系统版本安装和升级支持，包括响应甲方对生产、测试、开发、培训环境的安装和升级要求；提供硬件更换服务</w:t>
            </w:r>
          </w:p>
        </w:tc>
      </w:tr>
      <w:tr w14:paraId="782F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939" w:type="dxa"/>
            <w:tcBorders>
              <w:tl2br w:val="nil"/>
              <w:tr2bl w:val="nil"/>
            </w:tcBorders>
            <w:vAlign w:val="center"/>
          </w:tcPr>
          <w:p w14:paraId="0E7E4D8D">
            <w:pPr>
              <w:spacing w:line="240" w:lineRule="auto"/>
              <w:ind w:firstLine="0" w:firstLineChars="0"/>
              <w:rPr>
                <w:rFonts w:ascii="宋体"/>
                <w:szCs w:val="24"/>
                <w:highlight w:val="none"/>
              </w:rPr>
            </w:pPr>
            <w:r>
              <w:rPr>
                <w:rFonts w:hint="eastAsia" w:ascii="宋体"/>
                <w:szCs w:val="24"/>
                <w:highlight w:val="none"/>
              </w:rPr>
              <w:t>4.5.2</w:t>
            </w:r>
          </w:p>
        </w:tc>
        <w:tc>
          <w:tcPr>
            <w:tcW w:w="1912" w:type="dxa"/>
            <w:tcBorders>
              <w:tl2br w:val="nil"/>
              <w:tr2bl w:val="nil"/>
            </w:tcBorders>
            <w:vAlign w:val="center"/>
          </w:tcPr>
          <w:p w14:paraId="6C30026A">
            <w:pPr>
              <w:spacing w:line="240" w:lineRule="auto"/>
              <w:ind w:firstLine="0" w:firstLineChars="0"/>
              <w:rPr>
                <w:rFonts w:ascii="宋体"/>
                <w:szCs w:val="24"/>
                <w:highlight w:val="none"/>
              </w:rPr>
            </w:pPr>
            <w:r>
              <w:rPr>
                <w:rFonts w:hint="eastAsia" w:ascii="宋体"/>
                <w:szCs w:val="24"/>
                <w:highlight w:val="none"/>
              </w:rPr>
              <w:t>安全漏洞整改</w:t>
            </w:r>
          </w:p>
        </w:tc>
        <w:tc>
          <w:tcPr>
            <w:tcW w:w="6045" w:type="dxa"/>
            <w:tcBorders>
              <w:tl2br w:val="nil"/>
              <w:tr2bl w:val="nil"/>
            </w:tcBorders>
            <w:vAlign w:val="center"/>
          </w:tcPr>
          <w:p w14:paraId="1EA4E074">
            <w:pPr>
              <w:spacing w:line="240" w:lineRule="auto"/>
              <w:ind w:firstLine="0" w:firstLineChars="0"/>
              <w:rPr>
                <w:rFonts w:ascii="宋体"/>
                <w:szCs w:val="24"/>
                <w:highlight w:val="none"/>
              </w:rPr>
            </w:pPr>
            <w:r>
              <w:rPr>
                <w:rFonts w:hint="eastAsia" w:ascii="宋体"/>
                <w:szCs w:val="24"/>
                <w:highlight w:val="none"/>
              </w:rPr>
              <w:t>针对系统运行过程中发现的安全漏洞，根据甲方要求完成整改工作</w:t>
            </w:r>
          </w:p>
        </w:tc>
      </w:tr>
      <w:tr w14:paraId="731E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939" w:type="dxa"/>
            <w:tcBorders>
              <w:tl2br w:val="nil"/>
              <w:tr2bl w:val="nil"/>
            </w:tcBorders>
            <w:vAlign w:val="center"/>
          </w:tcPr>
          <w:p w14:paraId="30CDC47A">
            <w:pPr>
              <w:spacing w:line="240" w:lineRule="auto"/>
              <w:ind w:firstLine="0" w:firstLineChars="0"/>
              <w:rPr>
                <w:rFonts w:ascii="宋体"/>
                <w:szCs w:val="24"/>
                <w:highlight w:val="none"/>
              </w:rPr>
            </w:pPr>
            <w:r>
              <w:rPr>
                <w:rFonts w:hint="eastAsia" w:ascii="宋体"/>
                <w:szCs w:val="24"/>
                <w:highlight w:val="none"/>
              </w:rPr>
              <w:t>4.5.3</w:t>
            </w:r>
          </w:p>
        </w:tc>
        <w:tc>
          <w:tcPr>
            <w:tcW w:w="1912" w:type="dxa"/>
            <w:tcBorders>
              <w:tl2br w:val="nil"/>
              <w:tr2bl w:val="nil"/>
            </w:tcBorders>
            <w:vAlign w:val="center"/>
          </w:tcPr>
          <w:p w14:paraId="4B105DE1">
            <w:pPr>
              <w:spacing w:line="240" w:lineRule="auto"/>
              <w:ind w:firstLine="0" w:firstLineChars="0"/>
              <w:rPr>
                <w:rFonts w:ascii="宋体"/>
                <w:szCs w:val="24"/>
                <w:highlight w:val="none"/>
              </w:rPr>
            </w:pPr>
            <w:r>
              <w:rPr>
                <w:rFonts w:hint="eastAsia" w:ascii="宋体"/>
                <w:szCs w:val="24"/>
                <w:highlight w:val="none"/>
              </w:rPr>
              <w:t>服务台支持</w:t>
            </w:r>
          </w:p>
        </w:tc>
        <w:tc>
          <w:tcPr>
            <w:tcW w:w="6045" w:type="dxa"/>
            <w:tcBorders>
              <w:tl2br w:val="nil"/>
              <w:tr2bl w:val="nil"/>
            </w:tcBorders>
            <w:vAlign w:val="center"/>
          </w:tcPr>
          <w:p w14:paraId="44B3272C">
            <w:pPr>
              <w:spacing w:line="240" w:lineRule="auto"/>
              <w:ind w:firstLine="0" w:firstLineChars="0"/>
              <w:rPr>
                <w:rFonts w:ascii="宋体"/>
                <w:szCs w:val="24"/>
                <w:highlight w:val="none"/>
              </w:rPr>
            </w:pPr>
            <w:r>
              <w:rPr>
                <w:rFonts w:hint="eastAsia" w:ascii="宋体"/>
                <w:szCs w:val="24"/>
                <w:highlight w:val="none"/>
              </w:rPr>
              <w:t>提供7×24小时的技术支持服务</w:t>
            </w:r>
          </w:p>
        </w:tc>
      </w:tr>
      <w:tr w14:paraId="12E1D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939" w:type="dxa"/>
            <w:tcBorders>
              <w:tl2br w:val="nil"/>
              <w:tr2bl w:val="nil"/>
            </w:tcBorders>
            <w:vAlign w:val="center"/>
          </w:tcPr>
          <w:p w14:paraId="586EAF48">
            <w:pPr>
              <w:spacing w:line="240" w:lineRule="auto"/>
              <w:ind w:firstLine="0" w:firstLineChars="0"/>
              <w:rPr>
                <w:rFonts w:ascii="宋体"/>
                <w:szCs w:val="24"/>
                <w:highlight w:val="none"/>
              </w:rPr>
            </w:pPr>
            <w:r>
              <w:rPr>
                <w:rFonts w:hint="eastAsia" w:ascii="宋体"/>
                <w:szCs w:val="24"/>
                <w:highlight w:val="none"/>
              </w:rPr>
              <w:t>4.5.4</w:t>
            </w:r>
          </w:p>
        </w:tc>
        <w:tc>
          <w:tcPr>
            <w:tcW w:w="1912" w:type="dxa"/>
            <w:tcBorders>
              <w:tl2br w:val="nil"/>
              <w:tr2bl w:val="nil"/>
            </w:tcBorders>
            <w:vAlign w:val="center"/>
          </w:tcPr>
          <w:p w14:paraId="79290BD0">
            <w:pPr>
              <w:spacing w:line="240" w:lineRule="auto"/>
              <w:ind w:firstLine="0" w:firstLineChars="0"/>
              <w:rPr>
                <w:rFonts w:ascii="宋体"/>
                <w:szCs w:val="24"/>
                <w:highlight w:val="none"/>
              </w:rPr>
            </w:pPr>
            <w:r>
              <w:rPr>
                <w:rFonts w:hint="eastAsia" w:ascii="宋体"/>
                <w:szCs w:val="24"/>
                <w:highlight w:val="none"/>
              </w:rPr>
              <w:t>巡检服务</w:t>
            </w:r>
          </w:p>
        </w:tc>
        <w:tc>
          <w:tcPr>
            <w:tcW w:w="6045" w:type="dxa"/>
            <w:tcBorders>
              <w:tl2br w:val="nil"/>
              <w:tr2bl w:val="nil"/>
            </w:tcBorders>
            <w:vAlign w:val="center"/>
          </w:tcPr>
          <w:p w14:paraId="04B23B9A">
            <w:pPr>
              <w:spacing w:line="240" w:lineRule="auto"/>
              <w:ind w:firstLine="0" w:firstLineChars="0"/>
              <w:rPr>
                <w:rFonts w:ascii="宋体"/>
                <w:szCs w:val="24"/>
                <w:highlight w:val="none"/>
              </w:rPr>
            </w:pPr>
            <w:r>
              <w:rPr>
                <w:rFonts w:hint="eastAsia" w:ascii="宋体"/>
                <w:szCs w:val="24"/>
                <w:highlight w:val="none"/>
              </w:rPr>
              <w:t>提供系统运行状况报告</w:t>
            </w:r>
          </w:p>
        </w:tc>
      </w:tr>
      <w:tr w14:paraId="5013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939" w:type="dxa"/>
            <w:tcBorders>
              <w:tl2br w:val="nil"/>
              <w:tr2bl w:val="nil"/>
            </w:tcBorders>
            <w:vAlign w:val="center"/>
          </w:tcPr>
          <w:p w14:paraId="4FAC7AAF">
            <w:pPr>
              <w:spacing w:line="240" w:lineRule="auto"/>
              <w:ind w:firstLine="0" w:firstLineChars="0"/>
              <w:rPr>
                <w:rFonts w:ascii="宋体"/>
                <w:szCs w:val="24"/>
                <w:highlight w:val="none"/>
              </w:rPr>
            </w:pPr>
            <w:r>
              <w:rPr>
                <w:rFonts w:hint="eastAsia" w:ascii="宋体"/>
                <w:szCs w:val="24"/>
                <w:highlight w:val="none"/>
              </w:rPr>
              <w:t>4.5.5</w:t>
            </w:r>
          </w:p>
        </w:tc>
        <w:tc>
          <w:tcPr>
            <w:tcW w:w="1912" w:type="dxa"/>
            <w:tcBorders>
              <w:tl2br w:val="nil"/>
              <w:tr2bl w:val="nil"/>
            </w:tcBorders>
            <w:vAlign w:val="center"/>
          </w:tcPr>
          <w:p w14:paraId="5E94D540">
            <w:pPr>
              <w:spacing w:line="240" w:lineRule="auto"/>
              <w:ind w:firstLine="0" w:firstLineChars="0"/>
              <w:rPr>
                <w:rFonts w:ascii="宋体"/>
                <w:szCs w:val="24"/>
                <w:highlight w:val="none"/>
              </w:rPr>
            </w:pPr>
            <w:r>
              <w:rPr>
                <w:rFonts w:hint="eastAsia" w:ascii="宋体"/>
                <w:szCs w:val="24"/>
                <w:highlight w:val="none"/>
              </w:rPr>
              <w:t>现场问题解决</w:t>
            </w:r>
          </w:p>
        </w:tc>
        <w:tc>
          <w:tcPr>
            <w:tcW w:w="6045" w:type="dxa"/>
            <w:tcBorders>
              <w:tl2br w:val="nil"/>
              <w:tr2bl w:val="nil"/>
            </w:tcBorders>
            <w:vAlign w:val="center"/>
          </w:tcPr>
          <w:p w14:paraId="7C2AAF5C">
            <w:pPr>
              <w:spacing w:line="240" w:lineRule="auto"/>
              <w:ind w:firstLine="0" w:firstLineChars="0"/>
              <w:rPr>
                <w:rFonts w:ascii="宋体"/>
                <w:szCs w:val="24"/>
                <w:highlight w:val="none"/>
              </w:rPr>
            </w:pPr>
            <w:r>
              <w:rPr>
                <w:rFonts w:hint="eastAsia" w:ascii="宋体"/>
                <w:szCs w:val="24"/>
                <w:highlight w:val="none"/>
              </w:rPr>
              <w:t>提供重大问题现场解决，提供系统性能、容量、问题报告</w:t>
            </w:r>
          </w:p>
        </w:tc>
      </w:tr>
      <w:tr w14:paraId="7B6CF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939" w:type="dxa"/>
            <w:tcBorders>
              <w:tl2br w:val="nil"/>
              <w:tr2bl w:val="nil"/>
            </w:tcBorders>
            <w:vAlign w:val="center"/>
          </w:tcPr>
          <w:p w14:paraId="0167BCA1">
            <w:pPr>
              <w:spacing w:line="240" w:lineRule="auto"/>
              <w:ind w:firstLine="0" w:firstLineChars="0"/>
              <w:rPr>
                <w:rFonts w:ascii="宋体"/>
                <w:szCs w:val="24"/>
                <w:highlight w:val="none"/>
              </w:rPr>
            </w:pPr>
            <w:r>
              <w:rPr>
                <w:rFonts w:hint="eastAsia" w:ascii="宋体"/>
                <w:szCs w:val="24"/>
                <w:highlight w:val="none"/>
              </w:rPr>
              <w:t>4.5.6</w:t>
            </w:r>
          </w:p>
        </w:tc>
        <w:tc>
          <w:tcPr>
            <w:tcW w:w="1912" w:type="dxa"/>
            <w:tcBorders>
              <w:tl2br w:val="nil"/>
              <w:tr2bl w:val="nil"/>
            </w:tcBorders>
            <w:vAlign w:val="center"/>
          </w:tcPr>
          <w:p w14:paraId="767C4B64">
            <w:pPr>
              <w:spacing w:line="240" w:lineRule="auto"/>
              <w:ind w:firstLine="0" w:firstLineChars="0"/>
              <w:rPr>
                <w:rFonts w:ascii="宋体"/>
                <w:szCs w:val="24"/>
                <w:highlight w:val="none"/>
              </w:rPr>
            </w:pPr>
            <w:r>
              <w:rPr>
                <w:rFonts w:hint="eastAsia" w:ascii="宋体"/>
                <w:szCs w:val="24"/>
                <w:highlight w:val="none"/>
              </w:rPr>
              <w:t>响应要求</w:t>
            </w:r>
          </w:p>
        </w:tc>
        <w:tc>
          <w:tcPr>
            <w:tcW w:w="6045" w:type="dxa"/>
            <w:tcBorders>
              <w:tl2br w:val="nil"/>
              <w:tr2bl w:val="nil"/>
            </w:tcBorders>
            <w:vAlign w:val="center"/>
          </w:tcPr>
          <w:p w14:paraId="4E041F28">
            <w:pPr>
              <w:spacing w:line="240" w:lineRule="auto"/>
              <w:ind w:firstLine="0" w:firstLineChars="0"/>
              <w:rPr>
                <w:rFonts w:ascii="宋体"/>
                <w:szCs w:val="24"/>
                <w:highlight w:val="none"/>
              </w:rPr>
            </w:pPr>
            <w:r>
              <w:rPr>
                <w:rFonts w:hint="eastAsia" w:ascii="宋体"/>
                <w:szCs w:val="24"/>
                <w:highlight w:val="none"/>
              </w:rPr>
              <w:t>要求按服务水平和指标及时响应：</w:t>
            </w:r>
          </w:p>
          <w:p w14:paraId="722A4C41">
            <w:pPr>
              <w:spacing w:line="240" w:lineRule="auto"/>
              <w:ind w:firstLine="0" w:firstLineChars="0"/>
              <w:rPr>
                <w:rFonts w:ascii="宋体"/>
                <w:szCs w:val="24"/>
                <w:highlight w:val="none"/>
              </w:rPr>
            </w:pPr>
            <w:r>
              <w:rPr>
                <w:rFonts w:hint="eastAsia" w:ascii="宋体"/>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46D07B57">
            <w:pPr>
              <w:spacing w:line="240" w:lineRule="auto"/>
              <w:ind w:firstLine="0" w:firstLineChars="0"/>
              <w:rPr>
                <w:rFonts w:ascii="宋体"/>
                <w:szCs w:val="24"/>
                <w:highlight w:val="none"/>
              </w:rPr>
            </w:pPr>
            <w:r>
              <w:rPr>
                <w:rFonts w:hint="eastAsia" w:ascii="宋体"/>
                <w:szCs w:val="24"/>
                <w:highlight w:val="none"/>
              </w:rPr>
              <w:t>二级响应：系统的运行性能严重下降，或性能明显下降，对业务运作产生明显影响。响应时间1小时内，必要时4小时到达，8小时内排除问题；</w:t>
            </w:r>
          </w:p>
          <w:p w14:paraId="7B503ECC">
            <w:pPr>
              <w:spacing w:line="240" w:lineRule="auto"/>
              <w:ind w:firstLine="0" w:firstLineChars="0"/>
              <w:rPr>
                <w:rFonts w:ascii="宋体"/>
                <w:szCs w:val="24"/>
                <w:highlight w:val="none"/>
              </w:rPr>
            </w:pPr>
            <w:r>
              <w:rPr>
                <w:rFonts w:hint="eastAsia" w:ascii="宋体"/>
                <w:szCs w:val="24"/>
                <w:highlight w:val="none"/>
              </w:rPr>
              <w:t>三级响应：系统的运作性能受损，但业务仍可正常运行，响应时间12小时内，必要时24小时到达，1周内排除问题；</w:t>
            </w:r>
          </w:p>
          <w:p w14:paraId="58DCEC89">
            <w:pPr>
              <w:spacing w:line="240" w:lineRule="auto"/>
              <w:ind w:firstLine="0" w:firstLineChars="0"/>
              <w:rPr>
                <w:rFonts w:ascii="宋体"/>
                <w:szCs w:val="24"/>
                <w:highlight w:val="none"/>
              </w:rPr>
            </w:pPr>
            <w:r>
              <w:rPr>
                <w:rFonts w:hint="eastAsia" w:ascii="宋体"/>
                <w:szCs w:val="24"/>
                <w:highlight w:val="none"/>
              </w:rPr>
              <w:t>四级响应：对系统安装或配置方面需要咨询或支援，很显然对业务运作几乎无影响，或根本没有影响。响应时间24小时内，必要时48小时到达，2周内排除问题。</w:t>
            </w:r>
          </w:p>
        </w:tc>
      </w:tr>
    </w:tbl>
    <w:p w14:paraId="44C3F48D">
      <w:pPr>
        <w:rPr>
          <w:rFonts w:ascii="宋体"/>
          <w:b/>
          <w:bCs/>
          <w:kern w:val="32"/>
          <w:szCs w:val="24"/>
          <w:highlight w:val="none"/>
        </w:rPr>
      </w:pPr>
    </w:p>
    <w:p w14:paraId="378E7345">
      <w:pPr>
        <w:rPr>
          <w:rFonts w:ascii="宋体"/>
          <w:b/>
          <w:bCs/>
          <w:kern w:val="32"/>
          <w:szCs w:val="24"/>
          <w:highlight w:val="none"/>
        </w:rPr>
      </w:pPr>
      <w:r>
        <w:rPr>
          <w:rFonts w:hint="eastAsia" w:ascii="宋体"/>
          <w:b/>
          <w:bCs/>
          <w:kern w:val="32"/>
          <w:szCs w:val="24"/>
          <w:highlight w:val="none"/>
        </w:rPr>
        <w:t>5. 问题管理流程</w:t>
      </w:r>
      <w:bookmarkEnd w:id="141"/>
    </w:p>
    <w:p w14:paraId="0376CD01">
      <w:pPr>
        <w:rPr>
          <w:rFonts w:ascii="宋体"/>
          <w:b/>
          <w:bCs/>
          <w:kern w:val="32"/>
          <w:szCs w:val="24"/>
          <w:highlight w:val="none"/>
        </w:rPr>
      </w:pPr>
      <w:bookmarkStart w:id="142" w:name="_Toc254884646"/>
      <w:r>
        <w:rPr>
          <w:rFonts w:hint="eastAsia" w:ascii="宋体"/>
          <w:b/>
          <w:bCs/>
          <w:kern w:val="32"/>
          <w:szCs w:val="24"/>
          <w:highlight w:val="none"/>
        </w:rPr>
        <w:t>5.1问题处理流程</w:t>
      </w:r>
      <w:bookmarkEnd w:id="142"/>
    </w:p>
    <w:p w14:paraId="0F3C45A6">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甲方或乙方均可以首先提出对问题解决方案有不同意见的看法；</w:t>
      </w:r>
    </w:p>
    <w:p w14:paraId="1DA43DA9">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甲方管理层和乙方管理层将决定问题是否需要提升到更高的管理层；</w:t>
      </w:r>
    </w:p>
    <w:p w14:paraId="2EDB1E63">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及时召开相关的会议讨论和解决问题，问题的相关文档应提前一天发送到与会者；</w:t>
      </w:r>
    </w:p>
    <w:p w14:paraId="4791987B">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如有必要，甲方和乙方管理层在永久性解决方案出台之前可以先共同达成一套临时性的解决方案。乙方可以在会后与各利益相关方沟通并达成永久性的解决方案；</w:t>
      </w:r>
    </w:p>
    <w:p w14:paraId="1F75F415">
      <w:pPr>
        <w:widowControl/>
        <w:numPr>
          <w:ilvl w:val="0"/>
          <w:numId w:val="11"/>
        </w:numPr>
        <w:spacing w:line="360" w:lineRule="auto"/>
        <w:ind w:left="0" w:firstLine="648" w:firstLineChars="270"/>
        <w:rPr>
          <w:rFonts w:ascii="宋体"/>
          <w:szCs w:val="24"/>
          <w:highlight w:val="none"/>
        </w:rPr>
      </w:pPr>
      <w:r>
        <w:rPr>
          <w:rFonts w:hint="eastAsia" w:ascii="宋体"/>
          <w:szCs w:val="24"/>
          <w:highlight w:val="none"/>
        </w:rPr>
        <w:t>如果问题最终仍没解决，甲方和乙方双方可以申请仲裁来达成最终的一致方案。</w:t>
      </w:r>
    </w:p>
    <w:p w14:paraId="7D487A57">
      <w:pPr>
        <w:rPr>
          <w:rFonts w:ascii="宋体"/>
          <w:b/>
          <w:bCs/>
          <w:kern w:val="32"/>
          <w:szCs w:val="24"/>
          <w:highlight w:val="none"/>
        </w:rPr>
      </w:pPr>
      <w:bookmarkStart w:id="143" w:name="_Toc254884647"/>
      <w:r>
        <w:rPr>
          <w:rFonts w:hint="eastAsia" w:ascii="宋体"/>
          <w:b/>
          <w:bCs/>
          <w:kern w:val="32"/>
          <w:szCs w:val="24"/>
          <w:highlight w:val="none"/>
        </w:rPr>
        <w:t>5.2问题升级流程</w:t>
      </w:r>
      <w:bookmarkEnd w:id="143"/>
    </w:p>
    <w:p w14:paraId="26E54282">
      <w:pPr>
        <w:widowControl/>
        <w:numPr>
          <w:ilvl w:val="0"/>
          <w:numId w:val="12"/>
        </w:numPr>
        <w:spacing w:line="360" w:lineRule="auto"/>
        <w:ind w:firstLineChars="0"/>
        <w:rPr>
          <w:rFonts w:ascii="宋体"/>
          <w:szCs w:val="24"/>
          <w:highlight w:val="none"/>
        </w:rPr>
      </w:pPr>
      <w:r>
        <w:rPr>
          <w:rFonts w:hint="eastAsia" w:ascii="宋体"/>
          <w:szCs w:val="24"/>
          <w:highlight w:val="none"/>
        </w:rPr>
        <w:t>甲方或者乙方都有可能首先提出该流程；</w:t>
      </w:r>
    </w:p>
    <w:p w14:paraId="6FC66375">
      <w:pPr>
        <w:widowControl/>
        <w:numPr>
          <w:ilvl w:val="0"/>
          <w:numId w:val="12"/>
        </w:numPr>
        <w:spacing w:line="360" w:lineRule="auto"/>
        <w:ind w:firstLineChars="0"/>
        <w:rPr>
          <w:rFonts w:ascii="宋体"/>
          <w:szCs w:val="24"/>
          <w:highlight w:val="none"/>
        </w:rPr>
      </w:pPr>
      <w:r>
        <w:rPr>
          <w:rFonts w:hint="eastAsia" w:ascii="宋体"/>
          <w:szCs w:val="24"/>
          <w:highlight w:val="none"/>
        </w:rPr>
        <w:t>首先提出的一方应及时通知对方问题升级流程已经启动；</w:t>
      </w:r>
    </w:p>
    <w:p w14:paraId="675F0FC3">
      <w:pPr>
        <w:widowControl/>
        <w:numPr>
          <w:ilvl w:val="0"/>
          <w:numId w:val="12"/>
        </w:numPr>
        <w:spacing w:line="360" w:lineRule="auto"/>
        <w:ind w:firstLineChars="0"/>
        <w:rPr>
          <w:rFonts w:ascii="宋体"/>
          <w:szCs w:val="24"/>
          <w:highlight w:val="none"/>
        </w:rPr>
      </w:pPr>
      <w:r>
        <w:rPr>
          <w:rFonts w:hint="eastAsia" w:ascii="宋体"/>
          <w:szCs w:val="24"/>
          <w:highlight w:val="none"/>
        </w:rPr>
        <w:t>问题升级到的管理层应当事先定义在联络人表中；</w:t>
      </w:r>
    </w:p>
    <w:p w14:paraId="184DD45D">
      <w:pPr>
        <w:widowControl/>
        <w:numPr>
          <w:ilvl w:val="0"/>
          <w:numId w:val="12"/>
        </w:numPr>
        <w:spacing w:line="360" w:lineRule="auto"/>
        <w:ind w:firstLineChars="0"/>
        <w:rPr>
          <w:rFonts w:ascii="宋体"/>
          <w:szCs w:val="24"/>
          <w:highlight w:val="none"/>
        </w:rPr>
      </w:pPr>
      <w:r>
        <w:rPr>
          <w:rFonts w:hint="eastAsia" w:ascii="宋体"/>
          <w:szCs w:val="24"/>
          <w:highlight w:val="none"/>
        </w:rPr>
        <w:t>问题升级的层次在甲方和乙方之间应当保持一致，直至解决该问题。</w:t>
      </w:r>
    </w:p>
    <w:p w14:paraId="44B67821">
      <w:pPr>
        <w:rPr>
          <w:rFonts w:ascii="宋体"/>
          <w:b/>
          <w:bCs/>
          <w:kern w:val="32"/>
          <w:szCs w:val="24"/>
          <w:highlight w:val="none"/>
        </w:rPr>
      </w:pPr>
      <w:bookmarkStart w:id="144" w:name="_Toc254884648"/>
      <w:r>
        <w:rPr>
          <w:rFonts w:hint="eastAsia" w:ascii="宋体"/>
          <w:b/>
          <w:bCs/>
          <w:kern w:val="32"/>
          <w:szCs w:val="24"/>
          <w:highlight w:val="none"/>
        </w:rPr>
        <w:t>5.3联络表</w:t>
      </w:r>
      <w:bookmarkEnd w:id="144"/>
    </w:p>
    <w:tbl>
      <w:tblPr>
        <w:tblStyle w:val="21"/>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07C4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93BDE1E">
            <w:pPr>
              <w:spacing w:line="360" w:lineRule="auto"/>
              <w:jc w:val="center"/>
              <w:rPr>
                <w:rFonts w:ascii="宋体"/>
                <w:szCs w:val="24"/>
                <w:highlight w:val="none"/>
              </w:rPr>
            </w:pPr>
            <w:r>
              <w:rPr>
                <w:rFonts w:hint="eastAsia" w:ascii="宋体"/>
                <w:b/>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1580692C">
            <w:pPr>
              <w:spacing w:line="360" w:lineRule="auto"/>
              <w:jc w:val="center"/>
              <w:rPr>
                <w:rFonts w:ascii="宋体"/>
                <w:b/>
                <w:szCs w:val="24"/>
                <w:highlight w:val="none"/>
              </w:rPr>
            </w:pPr>
            <w:r>
              <w:rPr>
                <w:rFonts w:hint="eastAsia" w:ascii="宋体"/>
                <w:b/>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75D4014">
            <w:pPr>
              <w:spacing w:line="360" w:lineRule="auto"/>
              <w:jc w:val="center"/>
              <w:rPr>
                <w:rFonts w:ascii="宋体"/>
                <w:b/>
                <w:szCs w:val="24"/>
                <w:highlight w:val="none"/>
              </w:rPr>
            </w:pPr>
            <w:r>
              <w:rPr>
                <w:rFonts w:hint="eastAsia" w:ascii="宋体"/>
                <w:b/>
                <w:szCs w:val="24"/>
                <w:highlight w:val="none"/>
              </w:rPr>
              <w:t>电话</w:t>
            </w:r>
          </w:p>
        </w:tc>
      </w:tr>
      <w:tr w14:paraId="6B8E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3CC8061">
            <w:pPr>
              <w:spacing w:line="360" w:lineRule="auto"/>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1292333">
            <w:pPr>
              <w:spacing w:line="360" w:lineRule="auto"/>
              <w:jc w:val="center"/>
              <w:rPr>
                <w:rFonts w:ascii="宋体"/>
                <w:szCs w:val="24"/>
                <w:highlight w:val="none"/>
              </w:rPr>
            </w:pPr>
            <w:r>
              <w:rPr>
                <w:rFonts w:hint="eastAsia" w:ascii="宋体"/>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550CF4B">
            <w:pPr>
              <w:spacing w:line="360" w:lineRule="auto"/>
              <w:jc w:val="center"/>
              <w:rPr>
                <w:rFonts w:ascii="宋体"/>
                <w:szCs w:val="24"/>
                <w:highlight w:val="none"/>
              </w:rPr>
            </w:pPr>
          </w:p>
        </w:tc>
      </w:tr>
      <w:tr w14:paraId="201E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8C20DCD">
            <w:pPr>
              <w:spacing w:line="360" w:lineRule="auto"/>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1508FBB">
            <w:pPr>
              <w:spacing w:line="360" w:lineRule="auto"/>
              <w:jc w:val="center"/>
              <w:rPr>
                <w:rFonts w:ascii="宋体"/>
                <w:szCs w:val="24"/>
                <w:highlight w:val="none"/>
              </w:rPr>
            </w:pPr>
            <w:r>
              <w:rPr>
                <w:rFonts w:hint="eastAsia" w:ascii="宋体"/>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7318241">
            <w:pPr>
              <w:spacing w:line="360" w:lineRule="auto"/>
              <w:jc w:val="center"/>
              <w:rPr>
                <w:rFonts w:ascii="宋体"/>
                <w:szCs w:val="24"/>
                <w:highlight w:val="none"/>
              </w:rPr>
            </w:pPr>
          </w:p>
        </w:tc>
      </w:tr>
      <w:tr w14:paraId="6DBC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5FE4103">
            <w:pPr>
              <w:spacing w:line="360" w:lineRule="auto"/>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8579B24">
            <w:pPr>
              <w:spacing w:line="360" w:lineRule="auto"/>
              <w:jc w:val="center"/>
              <w:rPr>
                <w:rFonts w:ascii="宋体"/>
                <w:szCs w:val="24"/>
                <w:highlight w:val="none"/>
              </w:rPr>
            </w:pPr>
            <w:r>
              <w:rPr>
                <w:rFonts w:hint="eastAsia" w:ascii="宋体"/>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A5C0D57">
            <w:pPr>
              <w:spacing w:line="360" w:lineRule="auto"/>
              <w:jc w:val="center"/>
              <w:rPr>
                <w:rFonts w:ascii="宋体"/>
                <w:szCs w:val="24"/>
                <w:highlight w:val="none"/>
              </w:rPr>
            </w:pPr>
          </w:p>
        </w:tc>
      </w:tr>
      <w:tr w14:paraId="167A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42B92A4">
            <w:pPr>
              <w:spacing w:line="360" w:lineRule="auto"/>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2618DC7">
            <w:pPr>
              <w:spacing w:line="360" w:lineRule="auto"/>
              <w:jc w:val="center"/>
              <w:rPr>
                <w:rFonts w:ascii="宋体"/>
                <w:szCs w:val="24"/>
                <w:highlight w:val="none"/>
              </w:rPr>
            </w:pPr>
            <w:r>
              <w:rPr>
                <w:rFonts w:hint="eastAsia" w:ascii="宋体"/>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E4BF1B3">
            <w:pPr>
              <w:spacing w:line="360" w:lineRule="auto"/>
              <w:jc w:val="center"/>
              <w:rPr>
                <w:rFonts w:ascii="宋体"/>
                <w:szCs w:val="24"/>
                <w:highlight w:val="none"/>
              </w:rPr>
            </w:pPr>
          </w:p>
        </w:tc>
      </w:tr>
    </w:tbl>
    <w:p w14:paraId="0E238489">
      <w:pPr>
        <w:rPr>
          <w:rFonts w:ascii="宋体"/>
          <w:b/>
          <w:bCs/>
          <w:kern w:val="32"/>
          <w:szCs w:val="24"/>
          <w:highlight w:val="none"/>
        </w:rPr>
      </w:pPr>
      <w:bookmarkStart w:id="145" w:name="_Toc254884649"/>
      <w:r>
        <w:rPr>
          <w:rFonts w:hint="eastAsia" w:ascii="宋体"/>
          <w:b/>
          <w:bCs/>
          <w:kern w:val="32"/>
          <w:szCs w:val="24"/>
          <w:highlight w:val="none"/>
        </w:rPr>
        <w:t>6. 汇报内容及流程</w:t>
      </w:r>
      <w:bookmarkEnd w:id="145"/>
    </w:p>
    <w:p w14:paraId="0DAC253F">
      <w:pPr>
        <w:spacing w:line="360" w:lineRule="auto"/>
        <w:rPr>
          <w:rFonts w:ascii="宋体"/>
          <w:szCs w:val="24"/>
          <w:highlight w:val="none"/>
        </w:rPr>
      </w:pPr>
      <w:r>
        <w:rPr>
          <w:rFonts w:hint="eastAsia" w:ascii="宋体"/>
          <w:color w:val="000000"/>
          <w:szCs w:val="24"/>
          <w:highlight w:val="none"/>
        </w:rPr>
        <w:t>乙方应当在每星期五向甲方提交工作周报</w:t>
      </w:r>
      <w:r>
        <w:rPr>
          <w:rFonts w:hint="eastAsia" w:ascii="宋体"/>
          <w:szCs w:val="24"/>
          <w:highlight w:val="none"/>
        </w:rPr>
        <w:t>，包括项目情况跟踪及问题报告等，附带的性能报告（如有）也将递交给甲方项目经理。如发生突发事件，乙方也应第一时间向甲方项目经理报告。</w:t>
      </w:r>
    </w:p>
    <w:p w14:paraId="7553ACB4">
      <w:pPr>
        <w:rPr>
          <w:rFonts w:hint="eastAsia" w:ascii="宋体"/>
          <w:b/>
          <w:bCs/>
          <w:kern w:val="32"/>
          <w:szCs w:val="24"/>
          <w:highlight w:val="none"/>
        </w:rPr>
      </w:pPr>
      <w:r>
        <w:rPr>
          <w:rFonts w:hint="eastAsia" w:ascii="宋体"/>
          <w:b/>
          <w:bCs/>
          <w:kern w:val="32"/>
          <w:szCs w:val="24"/>
          <w:highlight w:val="none"/>
        </w:rPr>
        <w:t>7. 服务水平和指标</w:t>
      </w:r>
    </w:p>
    <w:p w14:paraId="71FCC91F">
      <w:pPr>
        <w:spacing w:line="360" w:lineRule="auto"/>
        <w:ind w:firstLine="480" w:firstLineChars="200"/>
        <w:rPr>
          <w:rFonts w:ascii="宋体" w:eastAsia="宋体"/>
          <w:spacing w:val="0"/>
          <w:szCs w:val="24"/>
          <w:highlight w:val="none"/>
        </w:rPr>
      </w:pPr>
      <w:r>
        <w:rPr>
          <w:rFonts w:hint="eastAsia" w:ascii="宋体" w:eastAsia="宋体"/>
          <w:color w:val="000000"/>
          <w:spacing w:val="0"/>
          <w:szCs w:val="24"/>
          <w:highlight w:val="none"/>
        </w:rPr>
        <w:t>甲方</w:t>
      </w:r>
      <w:r>
        <w:rPr>
          <w:rFonts w:hint="eastAsia" w:ascii="宋体" w:eastAsia="宋体"/>
          <w:spacing w:val="0"/>
          <w:szCs w:val="24"/>
          <w:highlight w:val="none"/>
        </w:rPr>
        <w:t>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62444998">
      <w:pPr>
        <w:widowControl/>
        <w:spacing w:line="360" w:lineRule="auto"/>
        <w:ind w:left="420" w:hanging="2" w:firstLineChars="0"/>
        <w:rPr>
          <w:rFonts w:ascii="宋体"/>
          <w:szCs w:val="24"/>
          <w:highlight w:val="none"/>
        </w:rPr>
      </w:pPr>
    </w:p>
    <w:p w14:paraId="25240492">
      <w:pPr>
        <w:widowControl/>
        <w:spacing w:line="360" w:lineRule="auto"/>
        <w:ind w:left="420" w:hanging="2" w:firstLineChars="0"/>
        <w:rPr>
          <w:rFonts w:ascii="宋体"/>
          <w:szCs w:val="24"/>
          <w:highlight w:val="none"/>
        </w:rPr>
      </w:pPr>
    </w:p>
    <w:p w14:paraId="76E844D6">
      <w:pPr>
        <w:widowControl/>
        <w:spacing w:line="360" w:lineRule="auto"/>
        <w:ind w:left="420" w:hanging="2" w:firstLineChars="0"/>
        <w:rPr>
          <w:rFonts w:ascii="宋体"/>
          <w:szCs w:val="24"/>
          <w:highlight w:val="none"/>
        </w:rPr>
      </w:pPr>
    </w:p>
    <w:p w14:paraId="1881D9D3">
      <w:pPr>
        <w:widowControl/>
        <w:spacing w:line="360" w:lineRule="auto"/>
        <w:ind w:left="420" w:hanging="2" w:firstLineChars="0"/>
        <w:rPr>
          <w:rFonts w:ascii="宋体"/>
          <w:szCs w:val="24"/>
          <w:highlight w:val="none"/>
        </w:rPr>
      </w:pPr>
    </w:p>
    <w:p w14:paraId="1229F99C">
      <w:pPr>
        <w:spacing w:line="360" w:lineRule="auto"/>
        <w:rPr>
          <w:rStyle w:val="37"/>
          <w:rFonts w:ascii="宋体"/>
          <w:kern w:val="0"/>
          <w:highlight w:val="none"/>
        </w:rPr>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start="1"/>
          <w:cols w:space="720" w:num="1"/>
          <w:docGrid w:type="lines" w:linePitch="312" w:charSpace="0"/>
        </w:sectPr>
      </w:pPr>
    </w:p>
    <w:tbl>
      <w:tblPr>
        <w:tblStyle w:val="21"/>
        <w:tblW w:w="13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2268"/>
        <w:gridCol w:w="3686"/>
        <w:gridCol w:w="2410"/>
        <w:gridCol w:w="1134"/>
        <w:gridCol w:w="1086"/>
      </w:tblGrid>
      <w:tr w14:paraId="11B9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AA7DC0">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序号</w:t>
            </w:r>
          </w:p>
        </w:tc>
        <w:tc>
          <w:tcPr>
            <w:tcW w:w="1134" w:type="dxa"/>
            <w:vAlign w:val="center"/>
          </w:tcPr>
          <w:p w14:paraId="45CFE099">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评价维度</w:t>
            </w:r>
          </w:p>
        </w:tc>
        <w:tc>
          <w:tcPr>
            <w:tcW w:w="1559" w:type="dxa"/>
            <w:vAlign w:val="center"/>
          </w:tcPr>
          <w:p w14:paraId="07CD72F4">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评价指标</w:t>
            </w:r>
          </w:p>
        </w:tc>
        <w:tc>
          <w:tcPr>
            <w:tcW w:w="2268" w:type="dxa"/>
            <w:vAlign w:val="center"/>
          </w:tcPr>
          <w:p w14:paraId="46A89034">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指标定义</w:t>
            </w:r>
          </w:p>
        </w:tc>
        <w:tc>
          <w:tcPr>
            <w:tcW w:w="3686" w:type="dxa"/>
            <w:vAlign w:val="center"/>
          </w:tcPr>
          <w:p w14:paraId="1B113788">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评分</w:t>
            </w:r>
            <w:r>
              <w:rPr>
                <w:rFonts w:hint="eastAsia" w:ascii="宋体" w:hAnsi="宋体" w:eastAsia="宋体"/>
                <w:b/>
                <w:szCs w:val="24"/>
                <w:highlight w:val="none"/>
              </w:rPr>
              <w:t>/价</w:t>
            </w:r>
            <w:r>
              <w:rPr>
                <w:rFonts w:ascii="宋体" w:hAnsi="宋体" w:eastAsia="宋体"/>
                <w:b/>
                <w:szCs w:val="24"/>
                <w:highlight w:val="none"/>
              </w:rPr>
              <w:t>标准</w:t>
            </w:r>
          </w:p>
        </w:tc>
        <w:tc>
          <w:tcPr>
            <w:tcW w:w="2410" w:type="dxa"/>
            <w:vAlign w:val="center"/>
          </w:tcPr>
          <w:p w14:paraId="3BE7C0DD">
            <w:pPr>
              <w:spacing w:line="240" w:lineRule="auto"/>
              <w:ind w:firstLine="0" w:firstLineChars="0"/>
              <w:jc w:val="center"/>
              <w:rPr>
                <w:rFonts w:ascii="宋体" w:hAnsi="宋体" w:eastAsia="宋体"/>
                <w:b/>
                <w:szCs w:val="24"/>
                <w:highlight w:val="none"/>
              </w:rPr>
            </w:pPr>
            <w:r>
              <w:rPr>
                <w:rFonts w:hint="eastAsia" w:ascii="宋体" w:hAnsi="宋体" w:eastAsia="宋体"/>
                <w:b/>
                <w:szCs w:val="24"/>
                <w:highlight w:val="none"/>
              </w:rPr>
              <w:t>违约金标准</w:t>
            </w:r>
          </w:p>
        </w:tc>
        <w:tc>
          <w:tcPr>
            <w:tcW w:w="1134" w:type="dxa"/>
            <w:vAlign w:val="center"/>
          </w:tcPr>
          <w:p w14:paraId="19F98FFE">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评价结果</w:t>
            </w:r>
          </w:p>
        </w:tc>
        <w:tc>
          <w:tcPr>
            <w:tcW w:w="1086" w:type="dxa"/>
            <w:vAlign w:val="center"/>
          </w:tcPr>
          <w:p w14:paraId="571F147D">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评价得分</w:t>
            </w:r>
          </w:p>
        </w:tc>
      </w:tr>
      <w:tr w14:paraId="6D3B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6F5FD9D">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w:t>
            </w:r>
          </w:p>
        </w:tc>
        <w:tc>
          <w:tcPr>
            <w:tcW w:w="1134" w:type="dxa"/>
            <w:vMerge w:val="restart"/>
            <w:tcBorders>
              <w:top w:val="single" w:color="auto" w:sz="4" w:space="0"/>
              <w:left w:val="single" w:color="auto" w:sz="4" w:space="0"/>
              <w:right w:val="single" w:color="auto" w:sz="4" w:space="0"/>
            </w:tcBorders>
            <w:vAlign w:val="center"/>
          </w:tcPr>
          <w:p w14:paraId="328BC332">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服务质量</w:t>
            </w:r>
          </w:p>
        </w:tc>
        <w:tc>
          <w:tcPr>
            <w:tcW w:w="1559" w:type="dxa"/>
            <w:tcBorders>
              <w:top w:val="single" w:color="auto" w:sz="4" w:space="0"/>
              <w:left w:val="single" w:color="auto" w:sz="4" w:space="0"/>
              <w:right w:val="single" w:color="auto" w:sz="4" w:space="0"/>
            </w:tcBorders>
            <w:vAlign w:val="center"/>
          </w:tcPr>
          <w:p w14:paraId="0FF7FF2F">
            <w:pPr>
              <w:spacing w:line="240" w:lineRule="auto"/>
              <w:ind w:firstLine="0" w:firstLineChars="0"/>
              <w:rPr>
                <w:rFonts w:ascii="宋体" w:hAnsi="宋体" w:eastAsia="宋体"/>
                <w:szCs w:val="24"/>
                <w:highlight w:val="none"/>
              </w:rPr>
            </w:pPr>
            <w:r>
              <w:rPr>
                <w:rFonts w:ascii="宋体" w:hAnsi="宋体" w:eastAsia="宋体"/>
                <w:szCs w:val="24"/>
                <w:highlight w:val="none"/>
              </w:rPr>
              <w:t>交付成果质量</w:t>
            </w:r>
          </w:p>
        </w:tc>
        <w:tc>
          <w:tcPr>
            <w:tcW w:w="2268" w:type="dxa"/>
            <w:tcBorders>
              <w:top w:val="single" w:color="auto" w:sz="4" w:space="0"/>
              <w:left w:val="single" w:color="auto" w:sz="4" w:space="0"/>
              <w:right w:val="single" w:color="auto" w:sz="4" w:space="0"/>
            </w:tcBorders>
            <w:vAlign w:val="center"/>
          </w:tcPr>
          <w:p w14:paraId="312CC334">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乙方</w:t>
            </w:r>
            <w:r>
              <w:rPr>
                <w:rFonts w:ascii="宋体" w:hAnsi="宋体" w:eastAsia="宋体"/>
                <w:szCs w:val="24"/>
                <w:highlight w:val="none"/>
              </w:rPr>
              <w:t>所提交的项目交付成果与</w:t>
            </w:r>
            <w:r>
              <w:rPr>
                <w:rFonts w:hint="eastAsia" w:ascii="宋体" w:hAnsi="宋体" w:eastAsia="宋体"/>
                <w:szCs w:val="24"/>
                <w:highlight w:val="none"/>
              </w:rPr>
              <w:t>甲方</w:t>
            </w:r>
            <w:r>
              <w:rPr>
                <w:rFonts w:ascii="宋体" w:hAnsi="宋体" w:eastAsia="宋体"/>
                <w:szCs w:val="24"/>
                <w:highlight w:val="none"/>
              </w:rPr>
              <w:t>要求的项目交付成果的契合度或交付成果质量与合同所约定要求的项目交付成果质量的满足程度</w:t>
            </w:r>
          </w:p>
        </w:tc>
        <w:tc>
          <w:tcPr>
            <w:tcW w:w="3686" w:type="dxa"/>
            <w:tcBorders>
              <w:top w:val="single" w:color="auto" w:sz="4" w:space="0"/>
              <w:left w:val="single" w:color="auto" w:sz="4" w:space="0"/>
              <w:right w:val="single" w:color="auto" w:sz="4" w:space="0"/>
            </w:tcBorders>
            <w:vAlign w:val="center"/>
          </w:tcPr>
          <w:p w14:paraId="4B82FA9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能够主动快速与</w:t>
            </w:r>
            <w:r>
              <w:rPr>
                <w:rFonts w:hint="eastAsia" w:ascii="宋体" w:hAnsi="宋体" w:eastAsia="宋体"/>
                <w:szCs w:val="24"/>
                <w:highlight w:val="none"/>
              </w:rPr>
              <w:t>甲方</w:t>
            </w:r>
            <w:r>
              <w:rPr>
                <w:rFonts w:ascii="宋体" w:hAnsi="宋体" w:eastAsia="宋体"/>
                <w:szCs w:val="24"/>
                <w:highlight w:val="none"/>
              </w:rPr>
              <w:t>进行有效的沟通，交付成果高度契合需求，完全满足并超出合同约定的预期目标，给</w:t>
            </w:r>
            <w:r>
              <w:rPr>
                <w:rFonts w:hint="eastAsia" w:ascii="宋体" w:hAnsi="宋体" w:eastAsia="宋体"/>
                <w:szCs w:val="24"/>
                <w:highlight w:val="none"/>
              </w:rPr>
              <w:t>甲方</w:t>
            </w:r>
            <w:r>
              <w:rPr>
                <w:rFonts w:ascii="宋体" w:hAnsi="宋体" w:eastAsia="宋体"/>
                <w:szCs w:val="24"/>
                <w:highlight w:val="none"/>
              </w:rPr>
              <w:t>带来显著的附加价值</w:t>
            </w:r>
            <w:r>
              <w:rPr>
                <w:rFonts w:hint="eastAsia" w:ascii="宋体" w:hAnsi="宋体" w:eastAsia="宋体"/>
                <w:szCs w:val="24"/>
                <w:highlight w:val="none"/>
              </w:rPr>
              <w:t>；</w:t>
            </w:r>
          </w:p>
          <w:p w14:paraId="5AC5181B">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能够快速响应需求，交付成果达到合同约定的预期目标，基本契合需求，满足合同约定的预期目标</w:t>
            </w:r>
            <w:r>
              <w:rPr>
                <w:rFonts w:hint="eastAsia" w:ascii="宋体" w:hAnsi="宋体" w:eastAsia="宋体"/>
                <w:szCs w:val="24"/>
                <w:highlight w:val="none"/>
              </w:rPr>
              <w:t>；</w:t>
            </w:r>
          </w:p>
          <w:p w14:paraId="6A07154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能够按要求响应需求，交付成果</w:t>
            </w:r>
            <w:r>
              <w:rPr>
                <w:rFonts w:hint="eastAsia" w:ascii="宋体" w:hAnsi="宋体" w:eastAsia="宋体"/>
                <w:szCs w:val="24"/>
                <w:highlight w:val="none"/>
              </w:rPr>
              <w:t>基本满足</w:t>
            </w:r>
            <w:r>
              <w:rPr>
                <w:rFonts w:ascii="宋体" w:hAnsi="宋体" w:eastAsia="宋体"/>
                <w:szCs w:val="24"/>
                <w:highlight w:val="none"/>
              </w:rPr>
              <w:t>需求，但是总体可满足合同约定的预期目标</w:t>
            </w:r>
            <w:r>
              <w:rPr>
                <w:rFonts w:hint="eastAsia" w:ascii="宋体" w:hAnsi="宋体" w:eastAsia="宋体"/>
                <w:szCs w:val="24"/>
                <w:highlight w:val="none"/>
              </w:rPr>
              <w:t>；</w:t>
            </w:r>
          </w:p>
          <w:p w14:paraId="1528A25E">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乙方未</w:t>
            </w:r>
            <w:r>
              <w:rPr>
                <w:rFonts w:ascii="宋体" w:hAnsi="宋体" w:eastAsia="宋体"/>
                <w:szCs w:val="24"/>
                <w:highlight w:val="none"/>
              </w:rPr>
              <w:t>能够按要求响应需求，</w:t>
            </w:r>
            <w:r>
              <w:rPr>
                <w:rFonts w:hint="eastAsia" w:ascii="宋体" w:hAnsi="宋体" w:eastAsia="宋体"/>
                <w:szCs w:val="24"/>
                <w:highlight w:val="none"/>
              </w:rPr>
              <w:t>或</w:t>
            </w:r>
            <w:r>
              <w:rPr>
                <w:rFonts w:ascii="宋体" w:hAnsi="宋体" w:eastAsia="宋体"/>
                <w:szCs w:val="24"/>
                <w:highlight w:val="none"/>
              </w:rPr>
              <w:t>交付成果与需求</w:t>
            </w:r>
            <w:r>
              <w:rPr>
                <w:rFonts w:hint="eastAsia" w:ascii="宋体" w:hAnsi="宋体" w:eastAsia="宋体"/>
                <w:szCs w:val="24"/>
                <w:highlight w:val="none"/>
              </w:rPr>
              <w:t>契合度</w:t>
            </w:r>
            <w:r>
              <w:rPr>
                <w:rFonts w:ascii="宋体" w:hAnsi="宋体" w:eastAsia="宋体"/>
                <w:szCs w:val="24"/>
                <w:highlight w:val="none"/>
              </w:rPr>
              <w:t>差距较大，无法达到合同约定的预期目标</w:t>
            </w:r>
            <w:r>
              <w:rPr>
                <w:rFonts w:hint="eastAsia" w:ascii="宋体" w:hAnsi="宋体" w:eastAsia="宋体"/>
                <w:szCs w:val="24"/>
                <w:highlight w:val="none"/>
              </w:rPr>
              <w:t>。</w:t>
            </w:r>
          </w:p>
        </w:tc>
        <w:tc>
          <w:tcPr>
            <w:tcW w:w="2410" w:type="dxa"/>
            <w:tcBorders>
              <w:top w:val="single" w:color="auto" w:sz="4" w:space="0"/>
              <w:left w:val="single" w:color="auto" w:sz="4" w:space="0"/>
              <w:right w:val="single" w:color="auto" w:sz="4" w:space="0"/>
            </w:tcBorders>
            <w:vAlign w:val="center"/>
          </w:tcPr>
          <w:p w14:paraId="3DF162B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交付成果每缺少一项扣除乙方金额人民币2</w:t>
            </w:r>
            <w:r>
              <w:rPr>
                <w:rFonts w:ascii="宋体" w:hAnsi="宋体" w:eastAsia="宋体"/>
                <w:szCs w:val="24"/>
                <w:highlight w:val="none"/>
              </w:rPr>
              <w:t>000</w:t>
            </w:r>
            <w:r>
              <w:rPr>
                <w:rFonts w:hint="eastAsia" w:ascii="宋体" w:hAnsi="宋体" w:eastAsia="宋体"/>
                <w:szCs w:val="24"/>
                <w:highlight w:val="none"/>
              </w:rPr>
              <w:t>元；每有一项交付成果质量不合格扣除乙方金额人民币2</w:t>
            </w:r>
            <w:r>
              <w:rPr>
                <w:rFonts w:ascii="宋体" w:hAnsi="宋体" w:eastAsia="宋体"/>
                <w:szCs w:val="24"/>
                <w:highlight w:val="none"/>
              </w:rPr>
              <w:t>000</w:t>
            </w:r>
            <w:r>
              <w:rPr>
                <w:rFonts w:hint="eastAsia" w:ascii="宋体" w:hAnsi="宋体" w:eastAsia="宋体"/>
                <w:szCs w:val="24"/>
                <w:highlight w:val="none"/>
              </w:rPr>
              <w:t>元。</w:t>
            </w:r>
          </w:p>
        </w:tc>
        <w:tc>
          <w:tcPr>
            <w:tcW w:w="1134" w:type="dxa"/>
            <w:tcBorders>
              <w:top w:val="single" w:color="auto" w:sz="4" w:space="0"/>
              <w:left w:val="single" w:color="auto" w:sz="4" w:space="0"/>
              <w:right w:val="single" w:color="auto" w:sz="4" w:space="0"/>
            </w:tcBorders>
            <w:vAlign w:val="center"/>
          </w:tcPr>
          <w:p w14:paraId="418F6FEE">
            <w:pPr>
              <w:spacing w:line="240" w:lineRule="auto"/>
              <w:ind w:firstLine="0" w:firstLineChars="0"/>
              <w:jc w:val="left"/>
              <w:rPr>
                <w:rFonts w:ascii="宋体" w:hAnsi="宋体" w:eastAsia="宋体"/>
                <w:szCs w:val="24"/>
                <w:highlight w:val="none"/>
              </w:rPr>
            </w:pPr>
          </w:p>
        </w:tc>
        <w:tc>
          <w:tcPr>
            <w:tcW w:w="1086" w:type="dxa"/>
            <w:vAlign w:val="center"/>
          </w:tcPr>
          <w:p w14:paraId="754C8072">
            <w:pPr>
              <w:spacing w:line="240" w:lineRule="auto"/>
              <w:ind w:firstLine="0" w:firstLineChars="0"/>
              <w:jc w:val="left"/>
              <w:rPr>
                <w:rFonts w:ascii="宋体" w:hAnsi="宋体" w:eastAsia="宋体"/>
                <w:szCs w:val="24"/>
                <w:highlight w:val="none"/>
              </w:rPr>
            </w:pPr>
          </w:p>
        </w:tc>
      </w:tr>
      <w:tr w14:paraId="3418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F1848F">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2</w:t>
            </w:r>
          </w:p>
        </w:tc>
        <w:tc>
          <w:tcPr>
            <w:tcW w:w="1134" w:type="dxa"/>
            <w:vMerge w:val="continue"/>
            <w:tcBorders>
              <w:top w:val="single" w:color="auto" w:sz="4" w:space="0"/>
              <w:left w:val="single" w:color="auto" w:sz="4" w:space="0"/>
              <w:right w:val="single" w:color="auto" w:sz="4" w:space="0"/>
            </w:tcBorders>
          </w:tcPr>
          <w:p w14:paraId="07DEEDF6">
            <w:pPr>
              <w:rPr>
                <w:highlight w:val="none"/>
              </w:rPr>
            </w:pPr>
          </w:p>
        </w:tc>
        <w:tc>
          <w:tcPr>
            <w:tcW w:w="1559" w:type="dxa"/>
            <w:tcBorders>
              <w:top w:val="single" w:color="auto" w:sz="4" w:space="0"/>
              <w:left w:val="single" w:color="auto" w:sz="4" w:space="0"/>
              <w:right w:val="single" w:color="auto" w:sz="4" w:space="0"/>
            </w:tcBorders>
            <w:vAlign w:val="center"/>
          </w:tcPr>
          <w:p w14:paraId="1C5D5FA5">
            <w:pPr>
              <w:spacing w:line="240" w:lineRule="auto"/>
              <w:ind w:firstLine="0" w:firstLineChars="0"/>
              <w:rPr>
                <w:rFonts w:ascii="宋体" w:hAnsi="宋体" w:eastAsia="宋体"/>
                <w:szCs w:val="24"/>
                <w:highlight w:val="none"/>
              </w:rPr>
            </w:pPr>
            <w:r>
              <w:rPr>
                <w:rFonts w:ascii="宋体" w:hAnsi="宋体" w:eastAsia="宋体"/>
                <w:szCs w:val="24"/>
                <w:highlight w:val="none"/>
              </w:rPr>
              <w:t>成果交付延期情况</w:t>
            </w:r>
          </w:p>
        </w:tc>
        <w:tc>
          <w:tcPr>
            <w:tcW w:w="2268" w:type="dxa"/>
            <w:tcBorders>
              <w:top w:val="single" w:color="auto" w:sz="4" w:space="0"/>
              <w:left w:val="single" w:color="auto" w:sz="4" w:space="0"/>
              <w:right w:val="single" w:color="auto" w:sz="4" w:space="0"/>
            </w:tcBorders>
            <w:vAlign w:val="center"/>
          </w:tcPr>
          <w:p w14:paraId="42CE1671">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因乙方原因导致</w:t>
            </w:r>
            <w:r>
              <w:rPr>
                <w:rFonts w:ascii="宋体" w:hAnsi="宋体" w:eastAsia="宋体"/>
                <w:szCs w:val="24"/>
                <w:highlight w:val="none"/>
              </w:rPr>
              <w:t>项目交付成果时间与合同规定时间之间的差距</w:t>
            </w:r>
          </w:p>
        </w:tc>
        <w:tc>
          <w:tcPr>
            <w:tcW w:w="3686" w:type="dxa"/>
            <w:tcBorders>
              <w:top w:val="single" w:color="auto" w:sz="4" w:space="0"/>
              <w:left w:val="single" w:color="auto" w:sz="4" w:space="0"/>
              <w:right w:val="single" w:color="auto" w:sz="4" w:space="0"/>
            </w:tcBorders>
            <w:vAlign w:val="center"/>
          </w:tcPr>
          <w:p w14:paraId="6A8CAC1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实</w:t>
            </w:r>
            <w:r>
              <w:rPr>
                <w:rFonts w:ascii="宋体" w:hAnsi="宋体" w:eastAsia="宋体"/>
                <w:szCs w:val="24"/>
                <w:highlight w:val="none"/>
              </w:rPr>
              <w:t>际交付成果日期与合同约定交付日期之差</w:t>
            </w:r>
            <w:r>
              <w:rPr>
                <w:rFonts w:hint="eastAsia" w:ascii="宋体" w:hAnsi="宋体" w:eastAsia="宋体"/>
                <w:b/>
                <w:bCs/>
                <w:szCs w:val="24"/>
                <w:highlight w:val="none"/>
              </w:rPr>
              <w:t>【得分上限5分】</w:t>
            </w:r>
          </w:p>
          <w:p w14:paraId="6B3ACEB9">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无延期：</w:t>
            </w:r>
            <w:r>
              <w:rPr>
                <w:rFonts w:hint="eastAsia" w:ascii="宋体" w:hAnsi="宋体" w:eastAsia="宋体"/>
                <w:szCs w:val="24"/>
                <w:highlight w:val="none"/>
              </w:rPr>
              <w:t>指未出现延期，该项指标满分；</w:t>
            </w:r>
          </w:p>
          <w:p w14:paraId="6976A718">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0＜延期≤3个月：</w:t>
            </w:r>
            <w:r>
              <w:rPr>
                <w:rFonts w:hint="eastAsia" w:ascii="宋体" w:hAnsi="宋体" w:eastAsia="宋体"/>
                <w:szCs w:val="24"/>
                <w:highlight w:val="none"/>
              </w:rPr>
              <w:t>扣2分，指出现延期3个月</w:t>
            </w:r>
            <w:r>
              <w:rPr>
                <w:rFonts w:ascii="宋体" w:hAnsi="宋体" w:eastAsia="宋体"/>
                <w:szCs w:val="24"/>
                <w:highlight w:val="none"/>
              </w:rPr>
              <w:t>（含）</w:t>
            </w:r>
            <w:r>
              <w:rPr>
                <w:rFonts w:hint="eastAsia" w:ascii="宋体" w:hAnsi="宋体" w:eastAsia="宋体"/>
                <w:szCs w:val="24"/>
                <w:highlight w:val="none"/>
              </w:rPr>
              <w:t>以内；</w:t>
            </w:r>
          </w:p>
          <w:p w14:paraId="666FACD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3＜延期≤6个月：</w:t>
            </w:r>
            <w:r>
              <w:rPr>
                <w:rFonts w:hint="eastAsia" w:ascii="宋体" w:hAnsi="宋体" w:eastAsia="宋体"/>
                <w:szCs w:val="24"/>
                <w:highlight w:val="none"/>
              </w:rPr>
              <w:t>扣3分，指出现延期大于3个月且小于等于6个月；</w:t>
            </w:r>
          </w:p>
          <w:p w14:paraId="17826919">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延期6个月以上：</w:t>
            </w:r>
            <w:r>
              <w:rPr>
                <w:rFonts w:hint="eastAsia" w:ascii="宋体" w:hAnsi="宋体" w:eastAsia="宋体"/>
                <w:szCs w:val="24"/>
                <w:highlight w:val="none"/>
              </w:rPr>
              <w:t>扣5分，指出现延期6个月以上。</w:t>
            </w:r>
          </w:p>
        </w:tc>
        <w:tc>
          <w:tcPr>
            <w:tcW w:w="2410" w:type="dxa"/>
            <w:tcBorders>
              <w:top w:val="single" w:color="auto" w:sz="4" w:space="0"/>
              <w:left w:val="single" w:color="auto" w:sz="4" w:space="0"/>
              <w:right w:val="single" w:color="auto" w:sz="4" w:space="0"/>
            </w:tcBorders>
            <w:vAlign w:val="center"/>
          </w:tcPr>
          <w:p w14:paraId="57D06A14">
            <w:pPr>
              <w:spacing w:line="240" w:lineRule="auto"/>
              <w:ind w:firstLine="0" w:firstLineChars="0"/>
              <w:rPr>
                <w:rFonts w:ascii="宋体" w:hAnsi="宋体" w:eastAsia="宋体"/>
                <w:b/>
                <w:bCs/>
                <w:szCs w:val="24"/>
                <w:highlight w:val="none"/>
              </w:rPr>
            </w:pPr>
            <w:r>
              <w:rPr>
                <w:rFonts w:hint="eastAsia" w:ascii="宋体" w:hAnsi="宋体" w:eastAsia="宋体"/>
                <w:szCs w:val="24"/>
                <w:highlight w:val="none"/>
              </w:rPr>
              <w:t>若延期超过1个月，每延期增加一天扣除合同总金额的0.1%（注：最多扣除不超过合同总金额的10%）</w:t>
            </w:r>
          </w:p>
        </w:tc>
        <w:tc>
          <w:tcPr>
            <w:tcW w:w="1134" w:type="dxa"/>
            <w:tcBorders>
              <w:top w:val="single" w:color="auto" w:sz="4" w:space="0"/>
              <w:left w:val="single" w:color="auto" w:sz="4" w:space="0"/>
              <w:right w:val="single" w:color="auto" w:sz="4" w:space="0"/>
            </w:tcBorders>
            <w:vAlign w:val="center"/>
          </w:tcPr>
          <w:p w14:paraId="392A743E">
            <w:pPr>
              <w:spacing w:line="240" w:lineRule="auto"/>
              <w:ind w:firstLine="0" w:firstLineChars="0"/>
              <w:jc w:val="left"/>
              <w:rPr>
                <w:rFonts w:ascii="宋体" w:hAnsi="宋体" w:eastAsia="宋体"/>
                <w:szCs w:val="24"/>
                <w:highlight w:val="none"/>
              </w:rPr>
            </w:pPr>
          </w:p>
        </w:tc>
        <w:tc>
          <w:tcPr>
            <w:tcW w:w="1086" w:type="dxa"/>
            <w:vAlign w:val="center"/>
          </w:tcPr>
          <w:p w14:paraId="631C3CDC">
            <w:pPr>
              <w:spacing w:line="240" w:lineRule="auto"/>
              <w:ind w:firstLine="0" w:firstLineChars="0"/>
              <w:jc w:val="left"/>
              <w:rPr>
                <w:rFonts w:ascii="宋体" w:hAnsi="宋体" w:eastAsia="宋体"/>
                <w:szCs w:val="24"/>
                <w:highlight w:val="none"/>
              </w:rPr>
            </w:pPr>
          </w:p>
        </w:tc>
      </w:tr>
      <w:tr w14:paraId="4071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AB262C">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3</w:t>
            </w:r>
          </w:p>
        </w:tc>
        <w:tc>
          <w:tcPr>
            <w:tcW w:w="1134" w:type="dxa"/>
            <w:vMerge w:val="continue"/>
            <w:tcBorders>
              <w:top w:val="single" w:color="auto" w:sz="4" w:space="0"/>
              <w:left w:val="single" w:color="auto" w:sz="4" w:space="0"/>
              <w:right w:val="single" w:color="auto" w:sz="4" w:space="0"/>
            </w:tcBorders>
          </w:tcPr>
          <w:p w14:paraId="5A8C19FE">
            <w:pPr>
              <w:rPr>
                <w:highlight w:val="none"/>
              </w:rPr>
            </w:pPr>
          </w:p>
        </w:tc>
        <w:tc>
          <w:tcPr>
            <w:tcW w:w="1559" w:type="dxa"/>
            <w:tcBorders>
              <w:top w:val="single" w:color="auto" w:sz="4" w:space="0"/>
              <w:left w:val="single" w:color="auto" w:sz="4" w:space="0"/>
              <w:right w:val="single" w:color="auto" w:sz="4" w:space="0"/>
            </w:tcBorders>
            <w:vAlign w:val="center"/>
          </w:tcPr>
          <w:p w14:paraId="71C21118">
            <w:pPr>
              <w:spacing w:line="240" w:lineRule="auto"/>
              <w:ind w:firstLine="0" w:firstLineChars="0"/>
              <w:rPr>
                <w:rFonts w:ascii="宋体" w:hAnsi="宋体" w:eastAsia="宋体"/>
                <w:szCs w:val="24"/>
                <w:highlight w:val="none"/>
              </w:rPr>
            </w:pPr>
            <w:r>
              <w:rPr>
                <w:rFonts w:ascii="宋体" w:hAnsi="宋体" w:eastAsia="宋体"/>
                <w:szCs w:val="24"/>
                <w:highlight w:val="none"/>
              </w:rPr>
              <w:t>产品缺陷密度</w:t>
            </w:r>
          </w:p>
        </w:tc>
        <w:tc>
          <w:tcPr>
            <w:tcW w:w="2268" w:type="dxa"/>
            <w:tcBorders>
              <w:top w:val="single" w:color="auto" w:sz="4" w:space="0"/>
              <w:left w:val="single" w:color="auto" w:sz="4" w:space="0"/>
              <w:right w:val="single" w:color="auto" w:sz="4" w:space="0"/>
            </w:tcBorders>
            <w:vAlign w:val="center"/>
          </w:tcPr>
          <w:p w14:paraId="4EBAEB82">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用于记录统计周期内单位功能</w:t>
            </w:r>
            <w:r>
              <w:rPr>
                <w:rFonts w:hint="eastAsia" w:ascii="宋体" w:hAnsi="宋体" w:eastAsia="宋体"/>
                <w:szCs w:val="24"/>
                <w:highlight w:val="none"/>
              </w:rPr>
              <w:t>（案例）</w:t>
            </w:r>
            <w:r>
              <w:rPr>
                <w:rFonts w:ascii="宋体" w:hAnsi="宋体" w:eastAsia="宋体"/>
                <w:szCs w:val="24"/>
                <w:highlight w:val="none"/>
              </w:rPr>
              <w:t>点发现的缺陷数量</w:t>
            </w:r>
          </w:p>
        </w:tc>
        <w:tc>
          <w:tcPr>
            <w:tcW w:w="3686" w:type="dxa"/>
            <w:tcBorders>
              <w:top w:val="single" w:color="auto" w:sz="4" w:space="0"/>
              <w:left w:val="single" w:color="auto" w:sz="4" w:space="0"/>
              <w:right w:val="single" w:color="auto" w:sz="4" w:space="0"/>
            </w:tcBorders>
            <w:vAlign w:val="center"/>
          </w:tcPr>
          <w:p w14:paraId="6CDCF8D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产</w:t>
            </w:r>
            <w:r>
              <w:rPr>
                <w:rFonts w:ascii="宋体" w:hAnsi="宋体" w:eastAsia="宋体"/>
                <w:szCs w:val="24"/>
                <w:highlight w:val="none"/>
              </w:rPr>
              <w:t>品缺陷密度=统计周期内发现的该系统有效缺陷数/统计周期内该系统功能点总数</w:t>
            </w:r>
            <w:r>
              <w:rPr>
                <w:rFonts w:hint="eastAsia" w:ascii="宋体" w:hAnsi="宋体" w:eastAsia="宋体"/>
                <w:szCs w:val="24"/>
                <w:highlight w:val="none"/>
              </w:rPr>
              <w:t>（案例数）</w:t>
            </w:r>
          </w:p>
          <w:p w14:paraId="78C9DBE8">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10分【0-5%】</w:t>
            </w:r>
          </w:p>
          <w:p w14:paraId="0D08B042">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5分【5%-20%】</w:t>
            </w:r>
          </w:p>
          <w:p w14:paraId="21AFA975">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0分【超过20%】</w:t>
            </w:r>
          </w:p>
        </w:tc>
        <w:tc>
          <w:tcPr>
            <w:tcW w:w="2410" w:type="dxa"/>
            <w:tcBorders>
              <w:top w:val="single" w:color="auto" w:sz="4" w:space="0"/>
              <w:left w:val="single" w:color="auto" w:sz="4" w:space="0"/>
              <w:right w:val="single" w:color="auto" w:sz="4" w:space="0"/>
            </w:tcBorders>
            <w:vAlign w:val="center"/>
          </w:tcPr>
          <w:p w14:paraId="38726A1E">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产</w:t>
            </w:r>
            <w:r>
              <w:rPr>
                <w:rFonts w:ascii="宋体" w:hAnsi="宋体" w:eastAsia="宋体"/>
                <w:szCs w:val="24"/>
                <w:highlight w:val="none"/>
              </w:rPr>
              <w:t>品缺</w:t>
            </w:r>
            <w:r>
              <w:rPr>
                <w:rFonts w:hint="eastAsia" w:ascii="宋体" w:hAnsi="宋体" w:eastAsia="宋体"/>
                <w:szCs w:val="24"/>
                <w:highlight w:val="none"/>
              </w:rPr>
              <w:t>陷</w:t>
            </w:r>
            <w:r>
              <w:rPr>
                <w:rFonts w:ascii="宋体" w:hAnsi="宋体" w:eastAsia="宋体"/>
                <w:szCs w:val="24"/>
                <w:highlight w:val="none"/>
              </w:rPr>
              <w:t>密度</w:t>
            </w:r>
            <w:r>
              <w:rPr>
                <w:rFonts w:hint="eastAsia" w:ascii="宋体" w:hAnsi="宋体" w:eastAsia="宋体"/>
                <w:szCs w:val="24"/>
                <w:highlight w:val="none"/>
              </w:rPr>
              <w:t>超过20%，缺陷密度每增加1%扣除合同总金额的0.1%。</w:t>
            </w:r>
          </w:p>
        </w:tc>
        <w:tc>
          <w:tcPr>
            <w:tcW w:w="1134" w:type="dxa"/>
            <w:tcBorders>
              <w:top w:val="single" w:color="auto" w:sz="4" w:space="0"/>
              <w:left w:val="single" w:color="auto" w:sz="4" w:space="0"/>
              <w:right w:val="single" w:color="auto" w:sz="4" w:space="0"/>
            </w:tcBorders>
            <w:vAlign w:val="center"/>
          </w:tcPr>
          <w:p w14:paraId="63652436">
            <w:pPr>
              <w:spacing w:line="240" w:lineRule="auto"/>
              <w:ind w:firstLine="0" w:firstLineChars="0"/>
              <w:jc w:val="left"/>
              <w:rPr>
                <w:rFonts w:ascii="宋体" w:hAnsi="宋体" w:eastAsia="宋体"/>
                <w:szCs w:val="24"/>
                <w:highlight w:val="none"/>
              </w:rPr>
            </w:pPr>
          </w:p>
        </w:tc>
        <w:tc>
          <w:tcPr>
            <w:tcW w:w="1086" w:type="dxa"/>
            <w:vAlign w:val="center"/>
          </w:tcPr>
          <w:p w14:paraId="6089B68B">
            <w:pPr>
              <w:spacing w:line="240" w:lineRule="auto"/>
              <w:ind w:firstLine="0" w:firstLineChars="0"/>
              <w:jc w:val="left"/>
              <w:rPr>
                <w:rFonts w:ascii="宋体" w:hAnsi="宋体" w:eastAsia="宋体"/>
                <w:szCs w:val="24"/>
                <w:highlight w:val="none"/>
              </w:rPr>
            </w:pPr>
          </w:p>
        </w:tc>
      </w:tr>
      <w:tr w14:paraId="7D15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9C24622">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4</w:t>
            </w:r>
          </w:p>
        </w:tc>
        <w:tc>
          <w:tcPr>
            <w:tcW w:w="1134" w:type="dxa"/>
            <w:vMerge w:val="continue"/>
            <w:tcBorders>
              <w:top w:val="single" w:color="auto" w:sz="4" w:space="0"/>
              <w:left w:val="single" w:color="auto" w:sz="4" w:space="0"/>
              <w:right w:val="single" w:color="auto" w:sz="4" w:space="0"/>
            </w:tcBorders>
          </w:tcPr>
          <w:p w14:paraId="6DF9230F">
            <w:pPr>
              <w:rPr>
                <w:highlight w:val="none"/>
              </w:rPr>
            </w:pPr>
          </w:p>
        </w:tc>
        <w:tc>
          <w:tcPr>
            <w:tcW w:w="1559" w:type="dxa"/>
            <w:tcBorders>
              <w:top w:val="single" w:color="auto" w:sz="4" w:space="0"/>
              <w:left w:val="single" w:color="auto" w:sz="4" w:space="0"/>
              <w:right w:val="single" w:color="auto" w:sz="4" w:space="0"/>
            </w:tcBorders>
            <w:vAlign w:val="center"/>
          </w:tcPr>
          <w:p w14:paraId="435B7A2B">
            <w:pPr>
              <w:spacing w:line="240" w:lineRule="auto"/>
              <w:ind w:firstLine="0" w:firstLineChars="0"/>
              <w:rPr>
                <w:rFonts w:ascii="宋体" w:hAnsi="宋体" w:eastAsia="宋体"/>
                <w:szCs w:val="24"/>
                <w:highlight w:val="none"/>
              </w:rPr>
            </w:pPr>
            <w:r>
              <w:rPr>
                <w:rFonts w:ascii="宋体" w:hAnsi="宋体" w:eastAsia="宋体"/>
                <w:szCs w:val="24"/>
                <w:highlight w:val="none"/>
              </w:rPr>
              <w:t>缺陷</w:t>
            </w:r>
            <w:r>
              <w:rPr>
                <w:rFonts w:hint="eastAsia" w:ascii="宋体" w:hAnsi="宋体" w:eastAsia="宋体"/>
                <w:szCs w:val="24"/>
                <w:highlight w:val="none"/>
              </w:rPr>
              <w:t>解决率</w:t>
            </w:r>
          </w:p>
        </w:tc>
        <w:tc>
          <w:tcPr>
            <w:tcW w:w="2268" w:type="dxa"/>
            <w:tcBorders>
              <w:top w:val="single" w:color="auto" w:sz="4" w:space="0"/>
              <w:left w:val="single" w:color="auto" w:sz="4" w:space="0"/>
              <w:right w:val="single" w:color="auto" w:sz="4" w:space="0"/>
            </w:tcBorders>
            <w:vAlign w:val="center"/>
          </w:tcPr>
          <w:p w14:paraId="3EE46674">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用于记录统计周期内测试发现的缺陷中已解决缺陷的比例</w:t>
            </w:r>
          </w:p>
        </w:tc>
        <w:tc>
          <w:tcPr>
            <w:tcW w:w="3686" w:type="dxa"/>
            <w:tcBorders>
              <w:top w:val="single" w:color="auto" w:sz="4" w:space="0"/>
              <w:left w:val="single" w:color="auto" w:sz="4" w:space="0"/>
              <w:right w:val="single" w:color="auto" w:sz="4" w:space="0"/>
            </w:tcBorders>
            <w:vAlign w:val="center"/>
          </w:tcPr>
          <w:p w14:paraId="16E94C99">
            <w:pPr>
              <w:spacing w:line="240" w:lineRule="auto"/>
              <w:ind w:firstLine="0" w:firstLineChars="0"/>
              <w:rPr>
                <w:rFonts w:ascii="宋体" w:hAnsi="宋体" w:eastAsia="宋体"/>
                <w:szCs w:val="24"/>
                <w:highlight w:val="none"/>
              </w:rPr>
            </w:pPr>
            <w:r>
              <w:rPr>
                <w:rFonts w:ascii="宋体" w:hAnsi="宋体" w:eastAsia="宋体"/>
                <w:szCs w:val="24"/>
                <w:highlight w:val="none"/>
              </w:rPr>
              <w:t>缺陷解决率=统计周期内测试发现的有效缺陷中已解决的数量/统计周期内测试发现的有效缺陷总数量</w:t>
            </w:r>
          </w:p>
          <w:p w14:paraId="75F9B4A4">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10分【98%-100%】</w:t>
            </w:r>
          </w:p>
          <w:p w14:paraId="660C6A3F">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5分【95%-97%】</w:t>
            </w:r>
          </w:p>
          <w:p w14:paraId="0D6DD3E0">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3E05201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w:t>
            </w:r>
            <w:r>
              <w:rPr>
                <w:rFonts w:ascii="宋体" w:hAnsi="宋体" w:eastAsia="宋体"/>
                <w:szCs w:val="24"/>
                <w:highlight w:val="none"/>
              </w:rPr>
              <w:t>缺陷解决率</w:t>
            </w:r>
            <w:r>
              <w:rPr>
                <w:rFonts w:hint="eastAsia" w:ascii="宋体" w:hAnsi="宋体" w:eastAsia="宋体"/>
                <w:bCs/>
                <w:szCs w:val="24"/>
                <w:highlight w:val="none"/>
              </w:rPr>
              <w:t>低于95</w:t>
            </w:r>
            <w:r>
              <w:rPr>
                <w:rFonts w:hint="eastAsia" w:ascii="宋体" w:hAnsi="宋体" w:eastAsia="宋体"/>
                <w:szCs w:val="24"/>
                <w:highlight w:val="none"/>
              </w:rPr>
              <w:t>%，</w:t>
            </w:r>
            <w:r>
              <w:rPr>
                <w:rFonts w:ascii="宋体" w:hAnsi="宋体" w:eastAsia="宋体"/>
                <w:szCs w:val="24"/>
                <w:highlight w:val="none"/>
              </w:rPr>
              <w:t>缺陷</w:t>
            </w:r>
            <w:r>
              <w:rPr>
                <w:rFonts w:hint="eastAsia" w:ascii="宋体" w:hAnsi="宋体" w:eastAsia="宋体"/>
                <w:szCs w:val="24"/>
                <w:highlight w:val="none"/>
              </w:rPr>
              <w:t>解决率每低1%扣除合同总金额的0.1%。</w:t>
            </w:r>
          </w:p>
        </w:tc>
        <w:tc>
          <w:tcPr>
            <w:tcW w:w="1134" w:type="dxa"/>
            <w:tcBorders>
              <w:top w:val="single" w:color="auto" w:sz="4" w:space="0"/>
              <w:left w:val="single" w:color="auto" w:sz="4" w:space="0"/>
              <w:right w:val="single" w:color="auto" w:sz="4" w:space="0"/>
            </w:tcBorders>
            <w:vAlign w:val="center"/>
          </w:tcPr>
          <w:p w14:paraId="515E2198">
            <w:pPr>
              <w:spacing w:line="240" w:lineRule="auto"/>
              <w:ind w:firstLine="0" w:firstLineChars="0"/>
              <w:jc w:val="left"/>
              <w:rPr>
                <w:rFonts w:ascii="宋体" w:hAnsi="宋体" w:eastAsia="宋体"/>
                <w:szCs w:val="24"/>
                <w:highlight w:val="none"/>
              </w:rPr>
            </w:pPr>
          </w:p>
        </w:tc>
        <w:tc>
          <w:tcPr>
            <w:tcW w:w="1086" w:type="dxa"/>
            <w:vAlign w:val="center"/>
          </w:tcPr>
          <w:p w14:paraId="60AE41F2">
            <w:pPr>
              <w:spacing w:line="240" w:lineRule="auto"/>
              <w:ind w:firstLine="0" w:firstLineChars="0"/>
              <w:jc w:val="left"/>
              <w:rPr>
                <w:rFonts w:ascii="宋体" w:hAnsi="宋体" w:eastAsia="宋体"/>
                <w:szCs w:val="24"/>
                <w:highlight w:val="none"/>
              </w:rPr>
            </w:pPr>
          </w:p>
        </w:tc>
      </w:tr>
      <w:tr w14:paraId="6D51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25C9E3">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5</w:t>
            </w:r>
          </w:p>
        </w:tc>
        <w:tc>
          <w:tcPr>
            <w:tcW w:w="1134" w:type="dxa"/>
            <w:vMerge w:val="restart"/>
            <w:tcBorders>
              <w:top w:val="single" w:color="auto" w:sz="4" w:space="0"/>
              <w:left w:val="single" w:color="auto" w:sz="4" w:space="0"/>
              <w:right w:val="single" w:color="auto" w:sz="4" w:space="0"/>
            </w:tcBorders>
            <w:vAlign w:val="center"/>
          </w:tcPr>
          <w:p w14:paraId="68580925">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协议履行</w:t>
            </w:r>
          </w:p>
        </w:tc>
        <w:tc>
          <w:tcPr>
            <w:tcW w:w="1559" w:type="dxa"/>
            <w:tcBorders>
              <w:top w:val="single" w:color="auto" w:sz="4" w:space="0"/>
              <w:left w:val="single" w:color="auto" w:sz="4" w:space="0"/>
              <w:right w:val="single" w:color="auto" w:sz="4" w:space="0"/>
            </w:tcBorders>
            <w:vAlign w:val="center"/>
          </w:tcPr>
          <w:p w14:paraId="44C17CC6">
            <w:pPr>
              <w:spacing w:line="240" w:lineRule="auto"/>
              <w:ind w:firstLine="0" w:firstLineChars="0"/>
              <w:rPr>
                <w:rFonts w:ascii="宋体" w:hAnsi="宋体" w:eastAsia="宋体"/>
                <w:szCs w:val="24"/>
                <w:highlight w:val="none"/>
              </w:rPr>
            </w:pPr>
            <w:r>
              <w:rPr>
                <w:rFonts w:ascii="宋体" w:hAnsi="宋体" w:eastAsia="宋体"/>
                <w:szCs w:val="24"/>
                <w:highlight w:val="none"/>
              </w:rPr>
              <w:t>重大事项报告</w:t>
            </w:r>
          </w:p>
        </w:tc>
        <w:tc>
          <w:tcPr>
            <w:tcW w:w="2268" w:type="dxa"/>
            <w:tcBorders>
              <w:top w:val="single" w:color="auto" w:sz="4" w:space="0"/>
              <w:left w:val="single" w:color="auto" w:sz="4" w:space="0"/>
              <w:right w:val="single" w:color="auto" w:sz="4" w:space="0"/>
            </w:tcBorders>
            <w:vAlign w:val="center"/>
          </w:tcPr>
          <w:p w14:paraId="190E85D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top w:val="single" w:color="auto" w:sz="4" w:space="0"/>
              <w:left w:val="single" w:color="auto" w:sz="4" w:space="0"/>
              <w:right w:val="single" w:color="auto" w:sz="4" w:space="0"/>
            </w:tcBorders>
            <w:vAlign w:val="center"/>
          </w:tcPr>
          <w:p w14:paraId="2ADB733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指无重大事项或当发生重大事项时，能够于24小时内</w:t>
            </w:r>
            <w:r>
              <w:rPr>
                <w:rFonts w:hint="eastAsia" w:ascii="宋体" w:hAnsi="宋体" w:eastAsia="宋体"/>
                <w:szCs w:val="24"/>
                <w:highlight w:val="none"/>
              </w:rPr>
              <w:t>告知甲方；</w:t>
            </w:r>
          </w:p>
          <w:p w14:paraId="60CEE2A8">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指当发生重大事项时，能够于一周内告知</w:t>
            </w:r>
            <w:r>
              <w:rPr>
                <w:rFonts w:hint="eastAsia" w:ascii="宋体" w:hAnsi="宋体" w:eastAsia="宋体"/>
                <w:szCs w:val="24"/>
                <w:highlight w:val="none"/>
              </w:rPr>
              <w:t>甲方；</w:t>
            </w:r>
          </w:p>
          <w:p w14:paraId="19A12013">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指当发生重大事项时，能够于一</w:t>
            </w:r>
            <w:r>
              <w:rPr>
                <w:rFonts w:hint="eastAsia" w:ascii="宋体" w:hAnsi="宋体" w:eastAsia="宋体"/>
                <w:szCs w:val="24"/>
                <w:highlight w:val="none"/>
              </w:rPr>
              <w:t>月</w:t>
            </w:r>
            <w:r>
              <w:rPr>
                <w:rFonts w:ascii="宋体" w:hAnsi="宋体" w:eastAsia="宋体"/>
                <w:szCs w:val="24"/>
                <w:highlight w:val="none"/>
              </w:rPr>
              <w:t>内告知</w:t>
            </w:r>
            <w:r>
              <w:rPr>
                <w:rFonts w:hint="eastAsia" w:ascii="宋体" w:hAnsi="宋体" w:eastAsia="宋体"/>
                <w:szCs w:val="24"/>
                <w:highlight w:val="none"/>
              </w:rPr>
              <w:t>甲方；</w:t>
            </w:r>
          </w:p>
          <w:p w14:paraId="2C5749A8">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指当发生重大事项时，</w:t>
            </w:r>
            <w:r>
              <w:rPr>
                <w:rFonts w:hint="eastAsia" w:ascii="宋体" w:hAnsi="宋体" w:eastAsia="宋体"/>
                <w:szCs w:val="24"/>
                <w:highlight w:val="none"/>
              </w:rPr>
              <w:t>未</w:t>
            </w:r>
            <w:r>
              <w:rPr>
                <w:rFonts w:ascii="宋体" w:hAnsi="宋体" w:eastAsia="宋体"/>
                <w:szCs w:val="24"/>
                <w:highlight w:val="none"/>
              </w:rPr>
              <w:t>告知</w:t>
            </w:r>
            <w:r>
              <w:rPr>
                <w:rFonts w:hint="eastAsia" w:ascii="宋体" w:hAnsi="宋体" w:eastAsia="宋体"/>
                <w:szCs w:val="24"/>
                <w:highlight w:val="none"/>
              </w:rPr>
              <w:t>甲方。</w:t>
            </w:r>
          </w:p>
        </w:tc>
        <w:tc>
          <w:tcPr>
            <w:tcW w:w="2410" w:type="dxa"/>
            <w:tcBorders>
              <w:top w:val="single" w:color="auto" w:sz="4" w:space="0"/>
              <w:left w:val="single" w:color="auto" w:sz="4" w:space="0"/>
              <w:right w:val="single" w:color="auto" w:sz="4" w:space="0"/>
            </w:tcBorders>
            <w:vAlign w:val="center"/>
          </w:tcPr>
          <w:p w14:paraId="007F157D">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评价为较差/差时，甲方根据实际情况有权终止合同，并要求乙方赔偿实际损失。</w:t>
            </w:r>
          </w:p>
        </w:tc>
        <w:tc>
          <w:tcPr>
            <w:tcW w:w="1134" w:type="dxa"/>
            <w:tcBorders>
              <w:top w:val="single" w:color="auto" w:sz="4" w:space="0"/>
              <w:left w:val="single" w:color="auto" w:sz="4" w:space="0"/>
              <w:right w:val="single" w:color="auto" w:sz="4" w:space="0"/>
            </w:tcBorders>
            <w:vAlign w:val="center"/>
          </w:tcPr>
          <w:p w14:paraId="58760F79">
            <w:pPr>
              <w:spacing w:line="240" w:lineRule="auto"/>
              <w:ind w:firstLine="0" w:firstLineChars="0"/>
              <w:jc w:val="left"/>
              <w:rPr>
                <w:rFonts w:ascii="宋体" w:hAnsi="宋体" w:eastAsia="宋体"/>
                <w:szCs w:val="24"/>
                <w:highlight w:val="none"/>
              </w:rPr>
            </w:pPr>
          </w:p>
        </w:tc>
        <w:tc>
          <w:tcPr>
            <w:tcW w:w="1086" w:type="dxa"/>
            <w:vAlign w:val="center"/>
          </w:tcPr>
          <w:p w14:paraId="79403AFA">
            <w:pPr>
              <w:spacing w:line="240" w:lineRule="auto"/>
              <w:ind w:firstLine="0" w:firstLineChars="0"/>
              <w:jc w:val="left"/>
              <w:rPr>
                <w:rFonts w:ascii="宋体" w:hAnsi="宋体" w:eastAsia="宋体"/>
                <w:szCs w:val="24"/>
                <w:highlight w:val="none"/>
              </w:rPr>
            </w:pPr>
          </w:p>
        </w:tc>
      </w:tr>
      <w:tr w14:paraId="2A3E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7E1B0F7">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6</w:t>
            </w:r>
          </w:p>
        </w:tc>
        <w:tc>
          <w:tcPr>
            <w:tcW w:w="1134" w:type="dxa"/>
            <w:vMerge w:val="continue"/>
            <w:tcBorders>
              <w:top w:val="single" w:color="auto" w:sz="4" w:space="0"/>
              <w:left w:val="single" w:color="auto" w:sz="4" w:space="0"/>
              <w:right w:val="single" w:color="auto" w:sz="4" w:space="0"/>
            </w:tcBorders>
          </w:tcPr>
          <w:p w14:paraId="7411AFDB">
            <w:pPr>
              <w:rPr>
                <w:highlight w:val="none"/>
              </w:rPr>
            </w:pPr>
          </w:p>
        </w:tc>
        <w:tc>
          <w:tcPr>
            <w:tcW w:w="1559" w:type="dxa"/>
            <w:tcBorders>
              <w:top w:val="single" w:color="auto" w:sz="4" w:space="0"/>
              <w:left w:val="single" w:color="auto" w:sz="4" w:space="0"/>
              <w:right w:val="single" w:color="auto" w:sz="4" w:space="0"/>
            </w:tcBorders>
            <w:vAlign w:val="center"/>
          </w:tcPr>
          <w:p w14:paraId="56E7C6E8">
            <w:pPr>
              <w:spacing w:line="240" w:lineRule="auto"/>
              <w:ind w:firstLine="0" w:firstLineChars="0"/>
              <w:rPr>
                <w:rFonts w:ascii="宋体" w:hAnsi="宋体" w:eastAsia="宋体"/>
                <w:szCs w:val="24"/>
                <w:highlight w:val="none"/>
              </w:rPr>
            </w:pPr>
            <w:r>
              <w:rPr>
                <w:rFonts w:ascii="宋体" w:hAnsi="宋体" w:eastAsia="宋体"/>
                <w:szCs w:val="24"/>
                <w:highlight w:val="none"/>
              </w:rPr>
              <w:t>重大</w:t>
            </w:r>
            <w:r>
              <w:rPr>
                <w:rFonts w:hint="eastAsia" w:ascii="宋体" w:hAnsi="宋体" w:eastAsia="宋体"/>
                <w:szCs w:val="24"/>
                <w:highlight w:val="none"/>
              </w:rPr>
              <w:t>事件及质量缺陷</w:t>
            </w:r>
          </w:p>
        </w:tc>
        <w:tc>
          <w:tcPr>
            <w:tcW w:w="2268" w:type="dxa"/>
            <w:tcBorders>
              <w:top w:val="single" w:color="auto" w:sz="4" w:space="0"/>
              <w:left w:val="single" w:color="auto" w:sz="4" w:space="0"/>
              <w:right w:val="single" w:color="auto" w:sz="4" w:space="0"/>
            </w:tcBorders>
            <w:vAlign w:val="center"/>
          </w:tcPr>
          <w:p w14:paraId="350DA501">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w:t>
            </w:r>
            <w:r>
              <w:rPr>
                <w:rFonts w:hint="eastAsia" w:ascii="宋体" w:hAnsi="宋体" w:eastAsia="宋体"/>
                <w:szCs w:val="24"/>
                <w:highlight w:val="none"/>
              </w:rPr>
              <w:t>乙方在服务</w:t>
            </w:r>
            <w:r>
              <w:rPr>
                <w:rFonts w:ascii="宋体" w:hAnsi="宋体" w:eastAsia="宋体"/>
                <w:szCs w:val="24"/>
                <w:highlight w:val="none"/>
              </w:rPr>
              <w:t>期内出现</w:t>
            </w:r>
            <w:r>
              <w:rPr>
                <w:rFonts w:hint="eastAsia" w:ascii="宋体" w:hAnsi="宋体" w:eastAsia="宋体"/>
                <w:szCs w:val="24"/>
                <w:highlight w:val="none"/>
              </w:rPr>
              <w:t>以下重大事件及质量缺陷次数：</w:t>
            </w:r>
          </w:p>
          <w:p w14:paraId="60856CF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a.应用软件出现I</w:t>
            </w:r>
            <w:r>
              <w:rPr>
                <w:rFonts w:ascii="宋体" w:hAnsi="宋体" w:eastAsia="宋体"/>
                <w:szCs w:val="24"/>
                <w:highlight w:val="none"/>
              </w:rPr>
              <w:t>II</w:t>
            </w:r>
            <w:r>
              <w:rPr>
                <w:rFonts w:hint="eastAsia" w:ascii="宋体" w:hAnsi="宋体" w:eastAsia="宋体"/>
                <w:szCs w:val="24"/>
                <w:highlight w:val="none"/>
              </w:rPr>
              <w:t>级（含）以上的运营中断事件；</w:t>
            </w:r>
          </w:p>
          <w:p w14:paraId="1912E01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b.因乙方原因（含乙方合作的第三方）导致甲方发生网络安全事件；</w:t>
            </w:r>
          </w:p>
          <w:p w14:paraId="12AD8E77">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c.应用软件出现严重缺陷和致命缺陷。</w:t>
            </w:r>
          </w:p>
        </w:tc>
        <w:tc>
          <w:tcPr>
            <w:tcW w:w="3686" w:type="dxa"/>
            <w:tcBorders>
              <w:top w:val="single" w:color="auto" w:sz="4" w:space="0"/>
              <w:left w:val="single" w:color="auto" w:sz="4" w:space="0"/>
              <w:right w:val="single" w:color="auto" w:sz="4" w:space="0"/>
            </w:tcBorders>
            <w:vAlign w:val="center"/>
          </w:tcPr>
          <w:p w14:paraId="68DC6AF0">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【得分上限10分】</w:t>
            </w:r>
          </w:p>
          <w:p w14:paraId="63706B90">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指未出现</w:t>
            </w:r>
            <w:r>
              <w:rPr>
                <w:rFonts w:ascii="宋体" w:hAnsi="宋体" w:eastAsia="宋体"/>
                <w:szCs w:val="24"/>
                <w:highlight w:val="none"/>
              </w:rPr>
              <w:t>重大事件</w:t>
            </w:r>
            <w:r>
              <w:rPr>
                <w:rFonts w:hint="eastAsia" w:ascii="宋体" w:hAnsi="宋体" w:eastAsia="宋体"/>
                <w:szCs w:val="24"/>
                <w:highlight w:val="none"/>
              </w:rPr>
              <w:t>及质量缺陷，该项指标满分；</w:t>
            </w:r>
          </w:p>
          <w:p w14:paraId="78CDA0A8">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0分，指出现1次及以上任意一项</w:t>
            </w:r>
            <w:r>
              <w:rPr>
                <w:rFonts w:ascii="宋体" w:hAnsi="宋体" w:eastAsia="宋体"/>
                <w:szCs w:val="24"/>
                <w:highlight w:val="none"/>
              </w:rPr>
              <w:t>重大事件</w:t>
            </w:r>
            <w:r>
              <w:rPr>
                <w:rFonts w:hint="eastAsia" w:ascii="宋体" w:hAnsi="宋体" w:eastAsia="宋体"/>
                <w:szCs w:val="24"/>
                <w:highlight w:val="none"/>
              </w:rPr>
              <w:t>或质量缺陷。</w:t>
            </w:r>
          </w:p>
        </w:tc>
        <w:tc>
          <w:tcPr>
            <w:tcW w:w="2410" w:type="dxa"/>
            <w:tcBorders>
              <w:top w:val="single" w:color="auto" w:sz="4" w:space="0"/>
              <w:left w:val="single" w:color="auto" w:sz="4" w:space="0"/>
              <w:right w:val="single" w:color="auto" w:sz="4" w:space="0"/>
            </w:tcBorders>
            <w:vAlign w:val="center"/>
          </w:tcPr>
          <w:p w14:paraId="6ADE0AF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每出现一次</w:t>
            </w:r>
            <w:r>
              <w:rPr>
                <w:rFonts w:ascii="宋体" w:hAnsi="宋体" w:eastAsia="宋体"/>
                <w:szCs w:val="24"/>
                <w:highlight w:val="none"/>
              </w:rPr>
              <w:t>重大事件</w:t>
            </w:r>
            <w:r>
              <w:rPr>
                <w:rFonts w:hint="eastAsia" w:ascii="宋体" w:hAnsi="宋体" w:eastAsia="宋体"/>
                <w:szCs w:val="24"/>
                <w:highlight w:val="none"/>
              </w:rPr>
              <w:t>或质量缺陷，扣除乙方合同总金额不低于5%（不低于2万元），并要求乙方赔偿实际损失。</w:t>
            </w:r>
          </w:p>
        </w:tc>
        <w:tc>
          <w:tcPr>
            <w:tcW w:w="1134" w:type="dxa"/>
            <w:tcBorders>
              <w:top w:val="single" w:color="auto" w:sz="4" w:space="0"/>
              <w:left w:val="single" w:color="auto" w:sz="4" w:space="0"/>
              <w:right w:val="single" w:color="auto" w:sz="4" w:space="0"/>
            </w:tcBorders>
            <w:vAlign w:val="center"/>
          </w:tcPr>
          <w:p w14:paraId="4231B2CB">
            <w:pPr>
              <w:spacing w:line="240" w:lineRule="auto"/>
              <w:ind w:firstLine="0" w:firstLineChars="0"/>
              <w:jc w:val="left"/>
              <w:rPr>
                <w:rFonts w:ascii="宋体" w:hAnsi="宋体" w:eastAsia="宋体"/>
                <w:szCs w:val="24"/>
                <w:highlight w:val="none"/>
              </w:rPr>
            </w:pPr>
          </w:p>
        </w:tc>
        <w:tc>
          <w:tcPr>
            <w:tcW w:w="1086" w:type="dxa"/>
            <w:vAlign w:val="center"/>
          </w:tcPr>
          <w:p w14:paraId="74CEB327">
            <w:pPr>
              <w:spacing w:line="240" w:lineRule="auto"/>
              <w:ind w:firstLine="0" w:firstLineChars="0"/>
              <w:jc w:val="left"/>
              <w:rPr>
                <w:rFonts w:ascii="宋体" w:hAnsi="宋体" w:eastAsia="宋体"/>
                <w:szCs w:val="24"/>
                <w:highlight w:val="none"/>
              </w:rPr>
            </w:pPr>
          </w:p>
        </w:tc>
      </w:tr>
      <w:tr w14:paraId="1B54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14EDBE">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7</w:t>
            </w:r>
          </w:p>
        </w:tc>
        <w:tc>
          <w:tcPr>
            <w:tcW w:w="1134" w:type="dxa"/>
            <w:vMerge w:val="continue"/>
            <w:tcBorders>
              <w:top w:val="single" w:color="auto" w:sz="4" w:space="0"/>
              <w:left w:val="single" w:color="auto" w:sz="4" w:space="0"/>
              <w:right w:val="single" w:color="auto" w:sz="4" w:space="0"/>
            </w:tcBorders>
          </w:tcPr>
          <w:p w14:paraId="6D98E9BB">
            <w:pPr>
              <w:rPr>
                <w:highlight w:val="none"/>
              </w:rPr>
            </w:pPr>
          </w:p>
        </w:tc>
        <w:tc>
          <w:tcPr>
            <w:tcW w:w="1559" w:type="dxa"/>
            <w:tcBorders>
              <w:top w:val="single" w:color="auto" w:sz="4" w:space="0"/>
              <w:left w:val="single" w:color="auto" w:sz="4" w:space="0"/>
              <w:right w:val="single" w:color="auto" w:sz="4" w:space="0"/>
            </w:tcBorders>
            <w:vAlign w:val="center"/>
          </w:tcPr>
          <w:p w14:paraId="38F3568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信息安全管理</w:t>
            </w:r>
          </w:p>
        </w:tc>
        <w:tc>
          <w:tcPr>
            <w:tcW w:w="2268" w:type="dxa"/>
            <w:tcBorders>
              <w:top w:val="single" w:color="auto" w:sz="4" w:space="0"/>
              <w:left w:val="single" w:color="auto" w:sz="4" w:space="0"/>
              <w:right w:val="single" w:color="auto" w:sz="4" w:space="0"/>
            </w:tcBorders>
            <w:vAlign w:val="center"/>
          </w:tcPr>
          <w:p w14:paraId="572C1BFF">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w:t>
            </w:r>
            <w:r>
              <w:rPr>
                <w:rFonts w:hint="eastAsia" w:ascii="宋体" w:hAnsi="宋体" w:eastAsia="宋体"/>
                <w:szCs w:val="24"/>
                <w:highlight w:val="none"/>
              </w:rPr>
              <w:t>乙方在服务</w:t>
            </w:r>
            <w:r>
              <w:rPr>
                <w:rFonts w:ascii="宋体" w:hAnsi="宋体" w:eastAsia="宋体"/>
                <w:szCs w:val="24"/>
                <w:highlight w:val="none"/>
              </w:rPr>
              <w:t>期内</w:t>
            </w:r>
            <w:r>
              <w:rPr>
                <w:rFonts w:hint="eastAsia" w:ascii="宋体" w:hAnsi="宋体" w:eastAsia="宋体"/>
                <w:szCs w:val="24"/>
                <w:highlight w:val="none"/>
              </w:rPr>
              <w:t>网络和信息安全服务的管理能力，针对发现的安全漏洞及安全缺陷（包括源代码、第三方SDK或第三方小程序、第三方软件产品及开源组件等），须按甲方要求完成整改</w:t>
            </w:r>
          </w:p>
        </w:tc>
        <w:tc>
          <w:tcPr>
            <w:tcW w:w="3686" w:type="dxa"/>
            <w:tcBorders>
              <w:top w:val="single" w:color="auto" w:sz="4" w:space="0"/>
              <w:left w:val="single" w:color="auto" w:sz="4" w:space="0"/>
              <w:right w:val="single" w:color="auto" w:sz="4" w:space="0"/>
            </w:tcBorders>
            <w:vAlign w:val="center"/>
          </w:tcPr>
          <w:p w14:paraId="1C41558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互联网或电子银行类系统：</w:t>
            </w:r>
          </w:p>
          <w:p w14:paraId="25D9D10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1.安全漏洞及安全缺陷整改及时率=100%</w:t>
            </w:r>
          </w:p>
          <w:p w14:paraId="2E5927ED">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2.安全漏洞及安全缺陷整改通过率=100%</w:t>
            </w:r>
          </w:p>
          <w:p w14:paraId="24FC7FE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非互联网或电子银行类系统：</w:t>
            </w:r>
          </w:p>
          <w:p w14:paraId="0C8E6A5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1.中高危安全漏洞及安全缺陷整改及时率=100%</w:t>
            </w:r>
          </w:p>
          <w:p w14:paraId="587F8CD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2.中高危安全漏洞及安全缺陷整改通过率=100%</w:t>
            </w:r>
          </w:p>
          <w:p w14:paraId="269D3D6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5分，指未出现安全漏洞及安全缺陷，该项指标满分；</w:t>
            </w:r>
          </w:p>
          <w:p w14:paraId="5BC073ED">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3分，指出现安全漏洞或安全缺陷，但整改及时率、通过率均为100%；</w:t>
            </w:r>
          </w:p>
          <w:p w14:paraId="2AF9FAB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0分，指出现安全漏洞及安全缺陷，但整改及时率或通过率未达到100%。</w:t>
            </w:r>
          </w:p>
        </w:tc>
        <w:tc>
          <w:tcPr>
            <w:tcW w:w="2410" w:type="dxa"/>
            <w:tcBorders>
              <w:top w:val="single" w:color="auto" w:sz="4" w:space="0"/>
              <w:left w:val="single" w:color="auto" w:sz="4" w:space="0"/>
              <w:right w:val="single" w:color="auto" w:sz="4" w:space="0"/>
            </w:tcBorders>
            <w:vAlign w:val="center"/>
          </w:tcPr>
          <w:p w14:paraId="2BE8DBD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若出现的安全漏洞或安全缺陷被上级或监管单位通报的，扣除乙方金额人民币不低于2万元；</w:t>
            </w:r>
          </w:p>
          <w:p w14:paraId="0D92241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若评价为较差/差时，扣除乙方金额人民币不低于2万元，并要求乙方赔偿实际损失。</w:t>
            </w:r>
          </w:p>
        </w:tc>
        <w:tc>
          <w:tcPr>
            <w:tcW w:w="1134" w:type="dxa"/>
            <w:tcBorders>
              <w:top w:val="single" w:color="auto" w:sz="4" w:space="0"/>
              <w:left w:val="single" w:color="auto" w:sz="4" w:space="0"/>
              <w:right w:val="single" w:color="auto" w:sz="4" w:space="0"/>
            </w:tcBorders>
            <w:vAlign w:val="center"/>
          </w:tcPr>
          <w:p w14:paraId="77F826FC">
            <w:pPr>
              <w:spacing w:line="240" w:lineRule="auto"/>
              <w:ind w:firstLine="0" w:firstLineChars="0"/>
              <w:jc w:val="left"/>
              <w:rPr>
                <w:rFonts w:ascii="宋体" w:hAnsi="宋体" w:eastAsia="宋体"/>
                <w:szCs w:val="24"/>
                <w:highlight w:val="none"/>
              </w:rPr>
            </w:pPr>
          </w:p>
        </w:tc>
        <w:tc>
          <w:tcPr>
            <w:tcW w:w="1086" w:type="dxa"/>
            <w:vAlign w:val="center"/>
          </w:tcPr>
          <w:p w14:paraId="61E7E970">
            <w:pPr>
              <w:spacing w:line="240" w:lineRule="auto"/>
              <w:ind w:firstLine="0" w:firstLineChars="0"/>
              <w:jc w:val="left"/>
              <w:rPr>
                <w:rFonts w:ascii="宋体" w:hAnsi="宋体" w:eastAsia="宋体"/>
                <w:szCs w:val="24"/>
                <w:highlight w:val="none"/>
              </w:rPr>
            </w:pPr>
          </w:p>
        </w:tc>
      </w:tr>
      <w:tr w14:paraId="4BB5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EFEA1A3">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8</w:t>
            </w:r>
          </w:p>
        </w:tc>
        <w:tc>
          <w:tcPr>
            <w:tcW w:w="1134" w:type="dxa"/>
            <w:vMerge w:val="continue"/>
            <w:tcBorders>
              <w:top w:val="single" w:color="auto" w:sz="4" w:space="0"/>
              <w:left w:val="single" w:color="auto" w:sz="4" w:space="0"/>
              <w:right w:val="single" w:color="auto" w:sz="4" w:space="0"/>
            </w:tcBorders>
          </w:tcPr>
          <w:p w14:paraId="232EF6E6">
            <w:pPr>
              <w:rPr>
                <w:highlight w:val="none"/>
              </w:rPr>
            </w:pPr>
          </w:p>
        </w:tc>
        <w:tc>
          <w:tcPr>
            <w:tcW w:w="1559" w:type="dxa"/>
            <w:tcBorders>
              <w:top w:val="single" w:color="auto" w:sz="4" w:space="0"/>
              <w:left w:val="single" w:color="auto" w:sz="4" w:space="0"/>
              <w:right w:val="single" w:color="auto" w:sz="4" w:space="0"/>
            </w:tcBorders>
            <w:vAlign w:val="center"/>
          </w:tcPr>
          <w:p w14:paraId="224B9D48">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外包安全行为</w:t>
            </w:r>
          </w:p>
        </w:tc>
        <w:tc>
          <w:tcPr>
            <w:tcW w:w="2268" w:type="dxa"/>
            <w:tcBorders>
              <w:top w:val="single" w:color="auto" w:sz="4" w:space="0"/>
              <w:left w:val="single" w:color="auto" w:sz="4" w:space="0"/>
              <w:right w:val="single" w:color="auto" w:sz="4" w:space="0"/>
            </w:tcBorders>
            <w:vAlign w:val="center"/>
          </w:tcPr>
          <w:p w14:paraId="1763300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tcBorders>
              <w:top w:val="single" w:color="auto" w:sz="4" w:space="0"/>
              <w:left w:val="single" w:color="auto" w:sz="4" w:space="0"/>
              <w:right w:val="single" w:color="auto" w:sz="4" w:space="0"/>
            </w:tcBorders>
            <w:vAlign w:val="center"/>
          </w:tcPr>
          <w:p w14:paraId="241D161E">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【得分上限10分】</w:t>
            </w:r>
          </w:p>
          <w:p w14:paraId="46B3BED3">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指乙方服务未出现外包安全行为风险，该项指标满分；</w:t>
            </w:r>
          </w:p>
          <w:p w14:paraId="633A9F71">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指乙方出现1次及以上外包安全行为风险（每次扣5分，最高扣除10分）。</w:t>
            </w:r>
          </w:p>
        </w:tc>
        <w:tc>
          <w:tcPr>
            <w:tcW w:w="2410" w:type="dxa"/>
            <w:tcBorders>
              <w:top w:val="single" w:color="auto" w:sz="4" w:space="0"/>
              <w:left w:val="single" w:color="auto" w:sz="4" w:space="0"/>
              <w:right w:val="single" w:color="auto" w:sz="4" w:space="0"/>
            </w:tcBorders>
            <w:vAlign w:val="center"/>
          </w:tcPr>
          <w:p w14:paraId="01D431FE">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每发生一次外包</w:t>
            </w:r>
            <w:r>
              <w:rPr>
                <w:rFonts w:ascii="宋体" w:hAnsi="宋体" w:eastAsia="宋体"/>
                <w:szCs w:val="24"/>
                <w:highlight w:val="none"/>
              </w:rPr>
              <w:t>安全</w:t>
            </w:r>
            <w:r>
              <w:rPr>
                <w:rFonts w:hint="eastAsia" w:ascii="宋体" w:hAnsi="宋体" w:eastAsia="宋体"/>
                <w:szCs w:val="24"/>
                <w:highlight w:val="none"/>
              </w:rPr>
              <w:t>行为风险，扣除乙方金额人民币不低于</w:t>
            </w:r>
            <w:r>
              <w:rPr>
                <w:rFonts w:ascii="宋体" w:hAnsi="宋体" w:eastAsia="宋体"/>
                <w:szCs w:val="24"/>
                <w:highlight w:val="none"/>
              </w:rPr>
              <w:t>1000</w:t>
            </w:r>
            <w:r>
              <w:rPr>
                <w:rFonts w:hint="eastAsia" w:ascii="宋体" w:hAnsi="宋体" w:eastAsia="宋体"/>
                <w:szCs w:val="24"/>
                <w:highlight w:val="none"/>
              </w:rPr>
              <w:t>元，并要求乙方赔偿实际损失。</w:t>
            </w:r>
          </w:p>
        </w:tc>
        <w:tc>
          <w:tcPr>
            <w:tcW w:w="1134" w:type="dxa"/>
            <w:tcBorders>
              <w:top w:val="single" w:color="auto" w:sz="4" w:space="0"/>
              <w:left w:val="single" w:color="auto" w:sz="4" w:space="0"/>
              <w:right w:val="single" w:color="auto" w:sz="4" w:space="0"/>
            </w:tcBorders>
            <w:vAlign w:val="center"/>
          </w:tcPr>
          <w:p w14:paraId="4B89E972">
            <w:pPr>
              <w:spacing w:line="240" w:lineRule="auto"/>
              <w:ind w:firstLine="0" w:firstLineChars="0"/>
              <w:jc w:val="left"/>
              <w:rPr>
                <w:rFonts w:ascii="宋体" w:hAnsi="宋体" w:eastAsia="宋体"/>
                <w:szCs w:val="24"/>
                <w:highlight w:val="none"/>
              </w:rPr>
            </w:pPr>
          </w:p>
        </w:tc>
        <w:tc>
          <w:tcPr>
            <w:tcW w:w="1086" w:type="dxa"/>
            <w:vAlign w:val="center"/>
          </w:tcPr>
          <w:p w14:paraId="67C4C6CE">
            <w:pPr>
              <w:spacing w:line="240" w:lineRule="auto"/>
              <w:ind w:firstLine="0" w:firstLineChars="0"/>
              <w:jc w:val="left"/>
              <w:rPr>
                <w:rFonts w:ascii="宋体" w:hAnsi="宋体" w:eastAsia="宋体"/>
                <w:szCs w:val="24"/>
                <w:highlight w:val="none"/>
              </w:rPr>
            </w:pPr>
          </w:p>
        </w:tc>
      </w:tr>
      <w:tr w14:paraId="3FA3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D7D4B8">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9</w:t>
            </w:r>
          </w:p>
        </w:tc>
        <w:tc>
          <w:tcPr>
            <w:tcW w:w="1134" w:type="dxa"/>
            <w:vMerge w:val="continue"/>
            <w:tcBorders>
              <w:top w:val="single" w:color="auto" w:sz="4" w:space="0"/>
              <w:left w:val="single" w:color="auto" w:sz="4" w:space="0"/>
              <w:right w:val="single" w:color="auto" w:sz="4" w:space="0"/>
            </w:tcBorders>
          </w:tcPr>
          <w:p w14:paraId="5A30C977">
            <w:pPr>
              <w:rPr>
                <w:highlight w:val="none"/>
              </w:rPr>
            </w:pPr>
          </w:p>
        </w:tc>
        <w:tc>
          <w:tcPr>
            <w:tcW w:w="1559" w:type="dxa"/>
            <w:tcBorders>
              <w:top w:val="single" w:color="auto" w:sz="4" w:space="0"/>
              <w:left w:val="single" w:color="auto" w:sz="4" w:space="0"/>
              <w:right w:val="single" w:color="auto" w:sz="4" w:space="0"/>
            </w:tcBorders>
            <w:vAlign w:val="center"/>
          </w:tcPr>
          <w:p w14:paraId="3D76BC58">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响应与解决及时性</w:t>
            </w:r>
          </w:p>
        </w:tc>
        <w:tc>
          <w:tcPr>
            <w:tcW w:w="2268" w:type="dxa"/>
            <w:tcBorders>
              <w:top w:val="single" w:color="auto" w:sz="4" w:space="0"/>
              <w:left w:val="single" w:color="auto" w:sz="4" w:space="0"/>
              <w:right w:val="single" w:color="auto" w:sz="4" w:space="0"/>
            </w:tcBorders>
            <w:vAlign w:val="center"/>
          </w:tcPr>
          <w:p w14:paraId="133698CA">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乙方</w:t>
            </w:r>
            <w:r>
              <w:rPr>
                <w:rFonts w:ascii="宋体" w:hAnsi="宋体" w:eastAsia="宋体"/>
                <w:szCs w:val="24"/>
                <w:highlight w:val="none"/>
              </w:rPr>
              <w:t>或服务项目对</w:t>
            </w:r>
            <w:r>
              <w:rPr>
                <w:rFonts w:hint="eastAsia" w:ascii="宋体" w:hAnsi="宋体" w:eastAsia="宋体"/>
                <w:szCs w:val="24"/>
                <w:highlight w:val="none"/>
              </w:rPr>
              <w:t>甲方</w:t>
            </w:r>
            <w:r>
              <w:rPr>
                <w:rFonts w:ascii="宋体" w:hAnsi="宋体" w:eastAsia="宋体"/>
                <w:szCs w:val="24"/>
                <w:highlight w:val="none"/>
              </w:rPr>
              <w:t>的响应与解决的及时性</w:t>
            </w:r>
          </w:p>
        </w:tc>
        <w:tc>
          <w:tcPr>
            <w:tcW w:w="3686" w:type="dxa"/>
            <w:tcBorders>
              <w:top w:val="single" w:color="auto" w:sz="4" w:space="0"/>
              <w:left w:val="single" w:color="auto" w:sz="4" w:space="0"/>
              <w:right w:val="single" w:color="auto" w:sz="4" w:space="0"/>
            </w:tcBorders>
            <w:vAlign w:val="center"/>
          </w:tcPr>
          <w:p w14:paraId="1DC9CB8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或服务项目能够迅速响应需求，主动快速与</w:t>
            </w:r>
            <w:r>
              <w:rPr>
                <w:rFonts w:hint="eastAsia" w:ascii="宋体" w:hAnsi="宋体" w:eastAsia="宋体"/>
                <w:szCs w:val="24"/>
                <w:highlight w:val="none"/>
              </w:rPr>
              <w:t>甲方</w:t>
            </w:r>
            <w:r>
              <w:rPr>
                <w:rFonts w:ascii="宋体" w:hAnsi="宋体" w:eastAsia="宋体"/>
                <w:szCs w:val="24"/>
                <w:highlight w:val="none"/>
              </w:rPr>
              <w:t>进行有效的沟通，第一时间从专业角度给出解决方案并解决问题</w:t>
            </w:r>
            <w:r>
              <w:rPr>
                <w:rFonts w:hint="eastAsia" w:ascii="宋体" w:hAnsi="宋体" w:eastAsia="宋体"/>
                <w:szCs w:val="24"/>
                <w:highlight w:val="none"/>
              </w:rPr>
              <w:t>；</w:t>
            </w:r>
          </w:p>
          <w:p w14:paraId="648FA13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或服务项目能够按要求响应需求，及时与</w:t>
            </w:r>
            <w:r>
              <w:rPr>
                <w:rFonts w:hint="eastAsia" w:ascii="宋体" w:hAnsi="宋体" w:eastAsia="宋体"/>
                <w:szCs w:val="24"/>
                <w:highlight w:val="none"/>
              </w:rPr>
              <w:t>甲方</w:t>
            </w:r>
            <w:r>
              <w:rPr>
                <w:rFonts w:ascii="宋体" w:hAnsi="宋体" w:eastAsia="宋体"/>
                <w:szCs w:val="24"/>
                <w:highlight w:val="none"/>
              </w:rPr>
              <w:t>进行有效的沟通，快速给出处理方案并解决问题</w:t>
            </w:r>
            <w:r>
              <w:rPr>
                <w:rFonts w:hint="eastAsia" w:ascii="宋体" w:hAnsi="宋体" w:eastAsia="宋体"/>
                <w:szCs w:val="24"/>
                <w:highlight w:val="none"/>
              </w:rPr>
              <w:t>；</w:t>
            </w:r>
          </w:p>
          <w:p w14:paraId="3BD720A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或服务项目能够基本按要求响应需求</w:t>
            </w:r>
            <w:r>
              <w:rPr>
                <w:rFonts w:hint="eastAsia" w:ascii="宋体" w:hAnsi="宋体" w:eastAsia="宋体"/>
                <w:szCs w:val="24"/>
                <w:highlight w:val="none"/>
              </w:rPr>
              <w:t>，</w:t>
            </w:r>
            <w:r>
              <w:rPr>
                <w:rFonts w:ascii="宋体" w:hAnsi="宋体" w:eastAsia="宋体"/>
                <w:szCs w:val="24"/>
                <w:highlight w:val="none"/>
              </w:rPr>
              <w:t>保持与</w:t>
            </w:r>
            <w:r>
              <w:rPr>
                <w:rFonts w:hint="eastAsia" w:ascii="宋体" w:hAnsi="宋体" w:eastAsia="宋体"/>
                <w:szCs w:val="24"/>
                <w:highlight w:val="none"/>
              </w:rPr>
              <w:t>甲方</w:t>
            </w:r>
            <w:r>
              <w:rPr>
                <w:rFonts w:ascii="宋体" w:hAnsi="宋体" w:eastAsia="宋体"/>
                <w:szCs w:val="24"/>
                <w:highlight w:val="none"/>
              </w:rPr>
              <w:t>的沟通，按时解决问题</w:t>
            </w:r>
            <w:r>
              <w:rPr>
                <w:rFonts w:hint="eastAsia" w:ascii="宋体" w:hAnsi="宋体" w:eastAsia="宋体"/>
                <w:szCs w:val="24"/>
                <w:highlight w:val="none"/>
              </w:rPr>
              <w:t>；</w:t>
            </w:r>
          </w:p>
          <w:p w14:paraId="098B2D87">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或服务项目未及时响应需求，或响应需求后无法</w:t>
            </w:r>
            <w:r>
              <w:rPr>
                <w:rFonts w:hint="eastAsia" w:ascii="宋体" w:hAnsi="宋体" w:eastAsia="宋体"/>
                <w:szCs w:val="24"/>
                <w:highlight w:val="none"/>
              </w:rPr>
              <w:t>及时</w:t>
            </w:r>
            <w:r>
              <w:rPr>
                <w:rFonts w:ascii="宋体" w:hAnsi="宋体" w:eastAsia="宋体"/>
                <w:szCs w:val="24"/>
                <w:highlight w:val="none"/>
              </w:rPr>
              <w:t>解决问题</w:t>
            </w:r>
            <w:r>
              <w:rPr>
                <w:rFonts w:hint="eastAsia" w:ascii="宋体" w:hAnsi="宋体" w:eastAsia="宋体"/>
                <w:szCs w:val="24"/>
                <w:highlight w:val="none"/>
              </w:rPr>
              <w:t>。</w:t>
            </w:r>
          </w:p>
        </w:tc>
        <w:tc>
          <w:tcPr>
            <w:tcW w:w="2410" w:type="dxa"/>
            <w:tcBorders>
              <w:top w:val="single" w:color="auto" w:sz="4" w:space="0"/>
              <w:left w:val="single" w:color="auto" w:sz="4" w:space="0"/>
              <w:right w:val="single" w:color="auto" w:sz="4" w:space="0"/>
            </w:tcBorders>
            <w:vAlign w:val="center"/>
          </w:tcPr>
          <w:p w14:paraId="179EFDD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评价为较差/差，即乙方</w:t>
            </w:r>
            <w:r>
              <w:rPr>
                <w:rFonts w:ascii="宋体" w:hAnsi="宋体" w:eastAsia="宋体"/>
                <w:szCs w:val="24"/>
                <w:highlight w:val="none"/>
              </w:rPr>
              <w:t>或服务项目未及时响应需求，或响应需求后无法</w:t>
            </w:r>
            <w:r>
              <w:rPr>
                <w:rFonts w:hint="eastAsia" w:ascii="宋体" w:hAnsi="宋体" w:eastAsia="宋体"/>
                <w:szCs w:val="24"/>
                <w:highlight w:val="none"/>
              </w:rPr>
              <w:t>及时</w:t>
            </w:r>
            <w:r>
              <w:rPr>
                <w:rFonts w:ascii="宋体" w:hAnsi="宋体" w:eastAsia="宋体"/>
                <w:szCs w:val="24"/>
                <w:highlight w:val="none"/>
              </w:rPr>
              <w:t>解决问题</w:t>
            </w:r>
            <w:r>
              <w:rPr>
                <w:rFonts w:hint="eastAsia" w:ascii="宋体" w:hAnsi="宋体" w:eastAsia="宋体"/>
                <w:szCs w:val="24"/>
                <w:highlight w:val="none"/>
              </w:rPr>
              <w:t>，扣除乙方金额人民币不低于1000元。</w:t>
            </w:r>
          </w:p>
        </w:tc>
        <w:tc>
          <w:tcPr>
            <w:tcW w:w="1134" w:type="dxa"/>
            <w:tcBorders>
              <w:top w:val="single" w:color="auto" w:sz="4" w:space="0"/>
              <w:left w:val="single" w:color="auto" w:sz="4" w:space="0"/>
              <w:right w:val="single" w:color="auto" w:sz="4" w:space="0"/>
            </w:tcBorders>
            <w:vAlign w:val="center"/>
          </w:tcPr>
          <w:p w14:paraId="22F04C39">
            <w:pPr>
              <w:spacing w:line="240" w:lineRule="auto"/>
              <w:ind w:firstLine="0" w:firstLineChars="0"/>
              <w:jc w:val="left"/>
              <w:rPr>
                <w:rFonts w:ascii="宋体" w:hAnsi="宋体" w:eastAsia="宋体"/>
                <w:szCs w:val="24"/>
                <w:highlight w:val="none"/>
              </w:rPr>
            </w:pPr>
          </w:p>
        </w:tc>
        <w:tc>
          <w:tcPr>
            <w:tcW w:w="1086" w:type="dxa"/>
            <w:vAlign w:val="center"/>
          </w:tcPr>
          <w:p w14:paraId="262E81EC">
            <w:pPr>
              <w:spacing w:line="240" w:lineRule="auto"/>
              <w:ind w:firstLine="0" w:firstLineChars="0"/>
              <w:jc w:val="left"/>
              <w:rPr>
                <w:rFonts w:ascii="宋体" w:hAnsi="宋体" w:eastAsia="宋体"/>
                <w:szCs w:val="24"/>
                <w:highlight w:val="none"/>
              </w:rPr>
            </w:pPr>
          </w:p>
        </w:tc>
      </w:tr>
      <w:tr w14:paraId="75CF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853E35">
            <w:pPr>
              <w:spacing w:line="240" w:lineRule="auto"/>
              <w:ind w:firstLine="0" w:firstLineChars="0"/>
              <w:jc w:val="center"/>
              <w:rPr>
                <w:rFonts w:ascii="宋体" w:hAnsi="宋体" w:eastAsia="宋体"/>
                <w:szCs w:val="24"/>
                <w:highlight w:val="none"/>
              </w:rPr>
            </w:pPr>
            <w:r>
              <w:rPr>
                <w:rFonts w:ascii="宋体" w:hAnsi="宋体" w:eastAsia="宋体"/>
                <w:szCs w:val="24"/>
                <w:highlight w:val="none"/>
              </w:rPr>
              <w:t>1</w:t>
            </w:r>
            <w:r>
              <w:rPr>
                <w:rFonts w:hint="eastAsia" w:ascii="宋体" w:hAnsi="宋体" w:eastAsia="宋体"/>
                <w:szCs w:val="24"/>
                <w:highlight w:val="none"/>
              </w:rPr>
              <w:t>0</w:t>
            </w:r>
          </w:p>
        </w:tc>
        <w:tc>
          <w:tcPr>
            <w:tcW w:w="1134" w:type="dxa"/>
            <w:vMerge w:val="continue"/>
            <w:tcBorders>
              <w:top w:val="single" w:color="auto" w:sz="4" w:space="0"/>
              <w:left w:val="single" w:color="auto" w:sz="4" w:space="0"/>
              <w:right w:val="single" w:color="auto" w:sz="4" w:space="0"/>
            </w:tcBorders>
          </w:tcPr>
          <w:p w14:paraId="2F7AD4AA">
            <w:pPr>
              <w:rPr>
                <w:highlight w:val="none"/>
              </w:rPr>
            </w:pPr>
          </w:p>
        </w:tc>
        <w:tc>
          <w:tcPr>
            <w:tcW w:w="1559" w:type="dxa"/>
            <w:tcBorders>
              <w:top w:val="single" w:color="auto" w:sz="4" w:space="0"/>
              <w:left w:val="single" w:color="auto" w:sz="4" w:space="0"/>
              <w:right w:val="single" w:color="auto" w:sz="4" w:space="0"/>
            </w:tcBorders>
            <w:vAlign w:val="center"/>
          </w:tcPr>
          <w:p w14:paraId="284D8521">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需求排期率</w:t>
            </w:r>
          </w:p>
        </w:tc>
        <w:tc>
          <w:tcPr>
            <w:tcW w:w="2268" w:type="dxa"/>
            <w:tcBorders>
              <w:top w:val="single" w:color="auto" w:sz="4" w:space="0"/>
              <w:left w:val="single" w:color="auto" w:sz="4" w:space="0"/>
              <w:right w:val="single" w:color="auto" w:sz="4" w:space="0"/>
            </w:tcBorders>
            <w:vAlign w:val="center"/>
          </w:tcPr>
          <w:p w14:paraId="13FFBC92">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用于记录统计周期内对</w:t>
            </w:r>
            <w:r>
              <w:rPr>
                <w:rFonts w:hint="eastAsia" w:ascii="宋体" w:hAnsi="宋体" w:eastAsia="宋体"/>
                <w:szCs w:val="24"/>
                <w:highlight w:val="none"/>
              </w:rPr>
              <w:t>甲方</w:t>
            </w:r>
            <w:r>
              <w:rPr>
                <w:rFonts w:ascii="宋体" w:hAnsi="宋体" w:eastAsia="宋体"/>
                <w:szCs w:val="24"/>
                <w:highlight w:val="none"/>
              </w:rPr>
              <w:t>需求进行投产计划安排的比例</w:t>
            </w:r>
          </w:p>
        </w:tc>
        <w:tc>
          <w:tcPr>
            <w:tcW w:w="3686" w:type="dxa"/>
            <w:tcBorders>
              <w:top w:val="single" w:color="auto" w:sz="4" w:space="0"/>
              <w:left w:val="single" w:color="auto" w:sz="4" w:space="0"/>
              <w:right w:val="single" w:color="auto" w:sz="4" w:space="0"/>
            </w:tcBorders>
            <w:vAlign w:val="center"/>
          </w:tcPr>
          <w:p w14:paraId="5A34D199">
            <w:pPr>
              <w:spacing w:line="240" w:lineRule="auto"/>
              <w:ind w:firstLine="0" w:firstLineChars="0"/>
              <w:rPr>
                <w:rFonts w:ascii="宋体" w:hAnsi="宋体" w:eastAsia="宋体"/>
                <w:szCs w:val="24"/>
                <w:highlight w:val="none"/>
              </w:rPr>
            </w:pPr>
            <w:r>
              <w:rPr>
                <w:rFonts w:ascii="宋体" w:hAnsi="宋体" w:eastAsia="宋体"/>
                <w:szCs w:val="24"/>
                <w:highlight w:val="none"/>
              </w:rPr>
              <w:t>需求排期率=已排期需求数/总需求数</w:t>
            </w:r>
          </w:p>
          <w:p w14:paraId="6058C06B">
            <w:pPr>
              <w:spacing w:line="240" w:lineRule="auto"/>
              <w:ind w:firstLine="0" w:firstLineChars="0"/>
              <w:rPr>
                <w:rFonts w:ascii="宋体" w:hAnsi="宋体" w:eastAsia="宋体"/>
                <w:szCs w:val="24"/>
                <w:highlight w:val="none"/>
              </w:rPr>
            </w:pPr>
            <w:r>
              <w:rPr>
                <w:rFonts w:ascii="宋体" w:hAnsi="宋体" w:eastAsia="宋体"/>
                <w:szCs w:val="24"/>
                <w:highlight w:val="none"/>
              </w:rPr>
              <w:t>注：已排期需求数指统计周期内已经纳入投产计划的需求个数。总需求数指统计周期内由</w:t>
            </w:r>
            <w:r>
              <w:rPr>
                <w:rFonts w:hint="eastAsia" w:ascii="宋体" w:hAnsi="宋体" w:eastAsia="宋体"/>
                <w:szCs w:val="24"/>
                <w:highlight w:val="none"/>
              </w:rPr>
              <w:t>甲方</w:t>
            </w:r>
            <w:r>
              <w:rPr>
                <w:rFonts w:ascii="宋体" w:hAnsi="宋体" w:eastAsia="宋体"/>
                <w:szCs w:val="24"/>
                <w:highlight w:val="none"/>
              </w:rPr>
              <w:t>提出到达服务商项目组的需求数。</w:t>
            </w:r>
          </w:p>
          <w:p w14:paraId="55FB3353">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5分【98%-100%】</w:t>
            </w:r>
          </w:p>
          <w:p w14:paraId="70B31B30">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3分【95%-97%】</w:t>
            </w:r>
          </w:p>
          <w:p w14:paraId="2B41085B">
            <w:pPr>
              <w:spacing w:line="240" w:lineRule="auto"/>
              <w:ind w:firstLine="0" w:firstLineChars="0"/>
              <w:rPr>
                <w:rFonts w:ascii="宋体" w:hAnsi="宋体" w:eastAsia="宋体"/>
                <w:b/>
                <w:bCs/>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3A5A6F35">
            <w:pPr>
              <w:spacing w:line="240" w:lineRule="auto"/>
              <w:ind w:firstLine="0" w:firstLineChars="0"/>
              <w:rPr>
                <w:rFonts w:ascii="宋体" w:hAnsi="宋体" w:eastAsia="宋体"/>
                <w:szCs w:val="24"/>
                <w:highlight w:val="none"/>
              </w:rPr>
            </w:pPr>
          </w:p>
        </w:tc>
        <w:tc>
          <w:tcPr>
            <w:tcW w:w="1134" w:type="dxa"/>
            <w:tcBorders>
              <w:top w:val="single" w:color="auto" w:sz="4" w:space="0"/>
              <w:left w:val="single" w:color="auto" w:sz="4" w:space="0"/>
              <w:right w:val="single" w:color="auto" w:sz="4" w:space="0"/>
            </w:tcBorders>
            <w:vAlign w:val="center"/>
          </w:tcPr>
          <w:p w14:paraId="42F8D44F">
            <w:pPr>
              <w:spacing w:line="240" w:lineRule="auto"/>
              <w:ind w:firstLine="0" w:firstLineChars="0"/>
              <w:jc w:val="left"/>
              <w:rPr>
                <w:rFonts w:ascii="宋体" w:hAnsi="宋体" w:eastAsia="宋体"/>
                <w:szCs w:val="24"/>
                <w:highlight w:val="none"/>
              </w:rPr>
            </w:pPr>
          </w:p>
        </w:tc>
        <w:tc>
          <w:tcPr>
            <w:tcW w:w="1086" w:type="dxa"/>
            <w:vAlign w:val="center"/>
          </w:tcPr>
          <w:p w14:paraId="5EF35704">
            <w:pPr>
              <w:spacing w:line="240" w:lineRule="auto"/>
              <w:ind w:firstLine="0" w:firstLineChars="0"/>
              <w:jc w:val="left"/>
              <w:rPr>
                <w:rFonts w:ascii="宋体" w:hAnsi="宋体" w:eastAsia="宋体"/>
                <w:szCs w:val="24"/>
                <w:highlight w:val="none"/>
              </w:rPr>
            </w:pPr>
          </w:p>
        </w:tc>
      </w:tr>
      <w:tr w14:paraId="12CB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2A53D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11</w:t>
            </w:r>
          </w:p>
        </w:tc>
        <w:tc>
          <w:tcPr>
            <w:tcW w:w="1134" w:type="dxa"/>
            <w:vMerge w:val="continue"/>
            <w:tcBorders>
              <w:top w:val="single" w:color="auto" w:sz="4" w:space="0"/>
              <w:left w:val="single" w:color="auto" w:sz="4" w:space="0"/>
              <w:right w:val="single" w:color="auto" w:sz="4" w:space="0"/>
            </w:tcBorders>
          </w:tcPr>
          <w:p w14:paraId="745858AA">
            <w:pPr>
              <w:rPr>
                <w:highlight w:val="none"/>
              </w:rPr>
            </w:pPr>
          </w:p>
        </w:tc>
        <w:tc>
          <w:tcPr>
            <w:tcW w:w="1559" w:type="dxa"/>
            <w:tcBorders>
              <w:top w:val="single" w:color="auto" w:sz="4" w:space="0"/>
              <w:left w:val="single" w:color="auto" w:sz="4" w:space="0"/>
              <w:right w:val="single" w:color="auto" w:sz="4" w:space="0"/>
            </w:tcBorders>
            <w:vAlign w:val="center"/>
          </w:tcPr>
          <w:p w14:paraId="08FCA9E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需求完成率</w:t>
            </w:r>
          </w:p>
        </w:tc>
        <w:tc>
          <w:tcPr>
            <w:tcW w:w="2268" w:type="dxa"/>
            <w:tcBorders>
              <w:top w:val="single" w:color="auto" w:sz="4" w:space="0"/>
              <w:left w:val="single" w:color="auto" w:sz="4" w:space="0"/>
              <w:right w:val="single" w:color="auto" w:sz="4" w:space="0"/>
            </w:tcBorders>
            <w:vAlign w:val="center"/>
          </w:tcPr>
          <w:p w14:paraId="6D466F93">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w:t>
            </w:r>
            <w:r>
              <w:rPr>
                <w:rFonts w:hint="eastAsia" w:ascii="宋体" w:hAnsi="宋体" w:eastAsia="宋体"/>
                <w:szCs w:val="24"/>
                <w:highlight w:val="none"/>
              </w:rPr>
              <w:t>甲方</w:t>
            </w:r>
            <w:r>
              <w:rPr>
                <w:rFonts w:ascii="宋体" w:hAnsi="宋体" w:eastAsia="宋体"/>
                <w:szCs w:val="24"/>
                <w:highlight w:val="none"/>
              </w:rPr>
              <w:t>需求完成投产的比例</w:t>
            </w:r>
          </w:p>
        </w:tc>
        <w:tc>
          <w:tcPr>
            <w:tcW w:w="3686" w:type="dxa"/>
            <w:tcBorders>
              <w:top w:val="single" w:color="auto" w:sz="4" w:space="0"/>
              <w:left w:val="single" w:color="auto" w:sz="4" w:space="0"/>
              <w:right w:val="single" w:color="auto" w:sz="4" w:space="0"/>
            </w:tcBorders>
            <w:vAlign w:val="center"/>
          </w:tcPr>
          <w:p w14:paraId="251E2C8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w:t>
            </w:r>
            <w:r>
              <w:rPr>
                <w:rFonts w:ascii="宋体" w:hAnsi="宋体" w:eastAsia="宋体"/>
                <w:szCs w:val="24"/>
                <w:highlight w:val="none"/>
              </w:rPr>
              <w:t>求完成率=流程完结需求数/总需求数</w:t>
            </w:r>
          </w:p>
          <w:p w14:paraId="4A6F702A">
            <w:pPr>
              <w:spacing w:line="240" w:lineRule="auto"/>
              <w:ind w:firstLine="0" w:firstLineChars="0"/>
              <w:rPr>
                <w:rFonts w:ascii="宋体" w:hAnsi="宋体" w:eastAsia="宋体"/>
                <w:szCs w:val="24"/>
                <w:highlight w:val="none"/>
              </w:rPr>
            </w:pPr>
            <w:r>
              <w:rPr>
                <w:rFonts w:ascii="宋体" w:hAnsi="宋体" w:eastAsia="宋体"/>
                <w:szCs w:val="24"/>
                <w:highlight w:val="none"/>
              </w:rPr>
              <w:t>注：流程完结需求数指统计周期内已完成投产的需求个数</w:t>
            </w:r>
            <w:r>
              <w:rPr>
                <w:rFonts w:hint="eastAsia" w:ascii="宋体" w:hAnsi="宋体" w:eastAsia="宋体"/>
                <w:szCs w:val="24"/>
                <w:highlight w:val="none"/>
              </w:rPr>
              <w:t>；</w:t>
            </w:r>
            <w:r>
              <w:rPr>
                <w:rFonts w:ascii="宋体" w:hAnsi="宋体" w:eastAsia="宋体"/>
                <w:szCs w:val="24"/>
                <w:highlight w:val="none"/>
              </w:rPr>
              <w:t>总需求数指统计周期内由</w:t>
            </w:r>
            <w:r>
              <w:rPr>
                <w:rFonts w:hint="eastAsia" w:ascii="宋体" w:hAnsi="宋体" w:eastAsia="宋体"/>
                <w:szCs w:val="24"/>
                <w:highlight w:val="none"/>
              </w:rPr>
              <w:t>甲方</w:t>
            </w:r>
            <w:r>
              <w:rPr>
                <w:rFonts w:ascii="宋体" w:hAnsi="宋体" w:eastAsia="宋体"/>
                <w:szCs w:val="24"/>
                <w:highlight w:val="none"/>
              </w:rPr>
              <w:t>提出到达服务商项目组的需求个数。</w:t>
            </w:r>
          </w:p>
          <w:p w14:paraId="2B549F6B">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5分【98%-100%】</w:t>
            </w:r>
          </w:p>
          <w:p w14:paraId="747A548D">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3分【95%-97%】</w:t>
            </w:r>
          </w:p>
          <w:p w14:paraId="41190DF6">
            <w:pPr>
              <w:spacing w:line="240" w:lineRule="auto"/>
              <w:ind w:firstLine="0" w:firstLineChars="0"/>
              <w:rPr>
                <w:rFonts w:ascii="宋体" w:hAnsi="宋体" w:eastAsia="宋体"/>
                <w:b/>
                <w:bCs/>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311D1198">
            <w:pPr>
              <w:spacing w:line="240" w:lineRule="auto"/>
              <w:ind w:firstLine="0" w:firstLineChars="0"/>
              <w:rPr>
                <w:rFonts w:ascii="宋体" w:hAnsi="宋体" w:eastAsia="宋体"/>
                <w:szCs w:val="24"/>
                <w:highlight w:val="none"/>
              </w:rPr>
            </w:pPr>
          </w:p>
        </w:tc>
        <w:tc>
          <w:tcPr>
            <w:tcW w:w="1134" w:type="dxa"/>
            <w:tcBorders>
              <w:top w:val="single" w:color="auto" w:sz="4" w:space="0"/>
              <w:left w:val="single" w:color="auto" w:sz="4" w:space="0"/>
              <w:right w:val="single" w:color="auto" w:sz="4" w:space="0"/>
            </w:tcBorders>
            <w:vAlign w:val="center"/>
          </w:tcPr>
          <w:p w14:paraId="6D4B1A58">
            <w:pPr>
              <w:spacing w:line="240" w:lineRule="auto"/>
              <w:ind w:firstLine="0" w:firstLineChars="0"/>
              <w:jc w:val="left"/>
              <w:rPr>
                <w:rFonts w:ascii="宋体" w:hAnsi="宋体" w:eastAsia="宋体"/>
                <w:szCs w:val="24"/>
                <w:highlight w:val="none"/>
              </w:rPr>
            </w:pPr>
          </w:p>
        </w:tc>
        <w:tc>
          <w:tcPr>
            <w:tcW w:w="1086" w:type="dxa"/>
            <w:vAlign w:val="center"/>
          </w:tcPr>
          <w:p w14:paraId="27BFBE21">
            <w:pPr>
              <w:spacing w:line="240" w:lineRule="auto"/>
              <w:ind w:firstLine="0" w:firstLineChars="0"/>
              <w:jc w:val="left"/>
              <w:rPr>
                <w:rFonts w:ascii="宋体" w:hAnsi="宋体" w:eastAsia="宋体"/>
                <w:szCs w:val="24"/>
                <w:highlight w:val="none"/>
              </w:rPr>
            </w:pPr>
          </w:p>
        </w:tc>
      </w:tr>
      <w:tr w14:paraId="7441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8F1EA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12</w:t>
            </w:r>
          </w:p>
        </w:tc>
        <w:tc>
          <w:tcPr>
            <w:tcW w:w="1134" w:type="dxa"/>
            <w:vMerge w:val="continue"/>
            <w:tcBorders>
              <w:top w:val="single" w:color="auto" w:sz="4" w:space="0"/>
              <w:left w:val="single" w:color="auto" w:sz="4" w:space="0"/>
              <w:right w:val="single" w:color="auto" w:sz="4" w:space="0"/>
            </w:tcBorders>
          </w:tcPr>
          <w:p w14:paraId="433B93D5">
            <w:pPr>
              <w:rPr>
                <w:highlight w:val="none"/>
              </w:rPr>
            </w:pPr>
          </w:p>
        </w:tc>
        <w:tc>
          <w:tcPr>
            <w:tcW w:w="1559" w:type="dxa"/>
            <w:tcBorders>
              <w:top w:val="single" w:color="auto" w:sz="4" w:space="0"/>
              <w:left w:val="single" w:color="auto" w:sz="4" w:space="0"/>
              <w:right w:val="single" w:color="auto" w:sz="4" w:space="0"/>
            </w:tcBorders>
            <w:vAlign w:val="center"/>
          </w:tcPr>
          <w:p w14:paraId="67F2D917">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人员行为规范性</w:t>
            </w:r>
          </w:p>
        </w:tc>
        <w:tc>
          <w:tcPr>
            <w:tcW w:w="2268" w:type="dxa"/>
            <w:tcBorders>
              <w:top w:val="single" w:color="auto" w:sz="4" w:space="0"/>
              <w:left w:val="single" w:color="auto" w:sz="4" w:space="0"/>
              <w:right w:val="single" w:color="auto" w:sz="4" w:space="0"/>
            </w:tcBorders>
            <w:vAlign w:val="center"/>
          </w:tcPr>
          <w:p w14:paraId="43E098D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于记录外包场地日常管理或</w:t>
            </w:r>
            <w:r>
              <w:rPr>
                <w:rFonts w:hint="eastAsia" w:ascii="宋体" w:hAnsi="宋体" w:eastAsia="宋体"/>
                <w:szCs w:val="24"/>
                <w:highlight w:val="none"/>
              </w:rPr>
              <w:t>检查</w:t>
            </w:r>
            <w:r>
              <w:rPr>
                <w:rFonts w:ascii="宋体" w:hAnsi="宋体" w:eastAsia="宋体"/>
                <w:szCs w:val="24"/>
                <w:highlight w:val="none"/>
              </w:rPr>
              <w:t>过程中发现外包人员</w:t>
            </w:r>
            <w:r>
              <w:rPr>
                <w:rFonts w:hint="eastAsia" w:ascii="宋体" w:hAnsi="宋体" w:eastAsia="宋体"/>
                <w:szCs w:val="24"/>
                <w:highlight w:val="none"/>
              </w:rPr>
              <w:t>行为</w:t>
            </w:r>
            <w:r>
              <w:rPr>
                <w:rFonts w:ascii="宋体" w:hAnsi="宋体" w:eastAsia="宋体"/>
                <w:szCs w:val="24"/>
                <w:highlight w:val="none"/>
              </w:rPr>
              <w:t>违</w:t>
            </w:r>
            <w:r>
              <w:rPr>
                <w:rFonts w:hint="eastAsia" w:ascii="宋体" w:hAnsi="宋体" w:eastAsia="宋体"/>
                <w:szCs w:val="24"/>
                <w:highlight w:val="none"/>
              </w:rPr>
              <w:t>规（包括但不限于办公纪律、造成办公环境物理安全隐患等）</w:t>
            </w:r>
            <w:r>
              <w:rPr>
                <w:rFonts w:ascii="宋体" w:hAnsi="宋体" w:eastAsia="宋体"/>
                <w:szCs w:val="24"/>
                <w:highlight w:val="none"/>
              </w:rPr>
              <w:t>的次数</w:t>
            </w:r>
          </w:p>
        </w:tc>
        <w:tc>
          <w:tcPr>
            <w:tcW w:w="3686" w:type="dxa"/>
            <w:tcBorders>
              <w:top w:val="single" w:color="auto" w:sz="4" w:space="0"/>
              <w:left w:val="single" w:color="auto" w:sz="4" w:space="0"/>
              <w:right w:val="single" w:color="auto" w:sz="4" w:space="0"/>
            </w:tcBorders>
            <w:vAlign w:val="center"/>
          </w:tcPr>
          <w:p w14:paraId="63BD8B81">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w:t>
            </w:r>
            <w:r>
              <w:rPr>
                <w:rFonts w:ascii="宋体" w:hAnsi="宋体" w:eastAsia="宋体"/>
                <w:b/>
                <w:bCs/>
                <w:szCs w:val="24"/>
                <w:highlight w:val="none"/>
              </w:rPr>
              <w:t>0</w:t>
            </w:r>
            <w:r>
              <w:rPr>
                <w:rFonts w:hint="eastAsia" w:ascii="宋体" w:hAnsi="宋体" w:eastAsia="宋体"/>
                <w:b/>
                <w:bCs/>
                <w:szCs w:val="24"/>
                <w:highlight w:val="none"/>
              </w:rPr>
              <w:t>分】</w:t>
            </w:r>
          </w:p>
          <w:p w14:paraId="18A4E6DC">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指未出现外包人员行为违规，该项指标满分；</w:t>
            </w:r>
          </w:p>
          <w:p w14:paraId="49B1D22D">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指检查发现外包人员行为违规1次及以上（每人次扣5分，最高扣除1</w:t>
            </w:r>
            <w:r>
              <w:rPr>
                <w:rFonts w:ascii="宋体" w:hAnsi="宋体" w:eastAsia="宋体"/>
                <w:szCs w:val="24"/>
                <w:highlight w:val="none"/>
              </w:rPr>
              <w:t>0</w:t>
            </w:r>
            <w:r>
              <w:rPr>
                <w:rFonts w:hint="eastAsia" w:ascii="宋体" w:hAnsi="宋体" w:eastAsia="宋体"/>
                <w:szCs w:val="24"/>
                <w:highlight w:val="none"/>
              </w:rPr>
              <w:t>分）</w:t>
            </w:r>
          </w:p>
        </w:tc>
        <w:tc>
          <w:tcPr>
            <w:tcW w:w="2410" w:type="dxa"/>
            <w:tcBorders>
              <w:top w:val="single" w:color="auto" w:sz="4" w:space="0"/>
              <w:left w:val="single" w:color="auto" w:sz="4" w:space="0"/>
              <w:right w:val="single" w:color="auto" w:sz="4" w:space="0"/>
            </w:tcBorders>
            <w:vAlign w:val="center"/>
          </w:tcPr>
          <w:p w14:paraId="61A65CB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每出现一次人员行为</w:t>
            </w:r>
            <w:r>
              <w:rPr>
                <w:rFonts w:ascii="宋体" w:hAnsi="宋体" w:eastAsia="宋体"/>
                <w:szCs w:val="24"/>
                <w:highlight w:val="none"/>
              </w:rPr>
              <w:t>违规</w:t>
            </w:r>
            <w:r>
              <w:rPr>
                <w:rFonts w:hint="eastAsia" w:ascii="宋体" w:hAnsi="宋体" w:eastAsia="宋体"/>
                <w:szCs w:val="24"/>
                <w:highlight w:val="none"/>
              </w:rPr>
              <w:t>，扣除乙方金额人民币不低于500元。</w:t>
            </w:r>
          </w:p>
        </w:tc>
        <w:tc>
          <w:tcPr>
            <w:tcW w:w="1134" w:type="dxa"/>
            <w:tcBorders>
              <w:top w:val="single" w:color="auto" w:sz="4" w:space="0"/>
              <w:left w:val="single" w:color="auto" w:sz="4" w:space="0"/>
              <w:right w:val="single" w:color="auto" w:sz="4" w:space="0"/>
            </w:tcBorders>
            <w:vAlign w:val="center"/>
          </w:tcPr>
          <w:p w14:paraId="06DA4D25">
            <w:pPr>
              <w:spacing w:line="240" w:lineRule="auto"/>
              <w:ind w:firstLine="0" w:firstLineChars="0"/>
              <w:jc w:val="left"/>
              <w:rPr>
                <w:rFonts w:ascii="宋体" w:hAnsi="宋体" w:eastAsia="宋体"/>
                <w:szCs w:val="24"/>
                <w:highlight w:val="none"/>
              </w:rPr>
            </w:pPr>
          </w:p>
        </w:tc>
        <w:tc>
          <w:tcPr>
            <w:tcW w:w="1086" w:type="dxa"/>
            <w:vAlign w:val="center"/>
          </w:tcPr>
          <w:p w14:paraId="5D9C3639">
            <w:pPr>
              <w:spacing w:line="240" w:lineRule="auto"/>
              <w:ind w:firstLine="0" w:firstLineChars="0"/>
              <w:jc w:val="left"/>
              <w:rPr>
                <w:rFonts w:ascii="宋体" w:hAnsi="宋体" w:eastAsia="宋体"/>
                <w:szCs w:val="24"/>
                <w:highlight w:val="none"/>
              </w:rPr>
            </w:pPr>
          </w:p>
        </w:tc>
      </w:tr>
      <w:tr w14:paraId="2BBA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F82661">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13</w:t>
            </w:r>
          </w:p>
        </w:tc>
        <w:tc>
          <w:tcPr>
            <w:tcW w:w="1134" w:type="dxa"/>
            <w:vMerge w:val="continue"/>
            <w:tcBorders>
              <w:top w:val="single" w:color="auto" w:sz="4" w:space="0"/>
              <w:left w:val="single" w:color="auto" w:sz="4" w:space="0"/>
              <w:right w:val="single" w:color="auto" w:sz="4" w:space="0"/>
            </w:tcBorders>
          </w:tcPr>
          <w:p w14:paraId="55CE57C6">
            <w:pPr>
              <w:rPr>
                <w:highlight w:val="none"/>
              </w:rPr>
            </w:pPr>
          </w:p>
        </w:tc>
        <w:tc>
          <w:tcPr>
            <w:tcW w:w="1559" w:type="dxa"/>
            <w:tcBorders>
              <w:top w:val="single" w:color="auto" w:sz="4" w:space="0"/>
              <w:left w:val="single" w:color="auto" w:sz="4" w:space="0"/>
              <w:right w:val="single" w:color="auto" w:sz="4" w:space="0"/>
            </w:tcBorders>
            <w:vAlign w:val="center"/>
          </w:tcPr>
          <w:p w14:paraId="6B9BEE5F">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人员变动率</w:t>
            </w:r>
          </w:p>
        </w:tc>
        <w:tc>
          <w:tcPr>
            <w:tcW w:w="2268" w:type="dxa"/>
            <w:tcBorders>
              <w:top w:val="single" w:color="auto" w:sz="4" w:space="0"/>
              <w:left w:val="single" w:color="auto" w:sz="4" w:space="0"/>
              <w:right w:val="single" w:color="auto" w:sz="4" w:space="0"/>
            </w:tcBorders>
            <w:vAlign w:val="center"/>
          </w:tcPr>
          <w:p w14:paraId="2C87554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于记录统计周期内</w:t>
            </w:r>
            <w:r>
              <w:rPr>
                <w:rFonts w:hint="eastAsia" w:ascii="宋体" w:hAnsi="宋体" w:eastAsia="宋体"/>
                <w:szCs w:val="24"/>
                <w:highlight w:val="none"/>
              </w:rPr>
              <w:t>乙方未经甲方同意</w:t>
            </w:r>
            <w:r>
              <w:rPr>
                <w:rFonts w:ascii="宋体" w:hAnsi="宋体" w:eastAsia="宋体"/>
                <w:szCs w:val="24"/>
                <w:highlight w:val="none"/>
              </w:rPr>
              <w:t>更换外包人员数量占</w:t>
            </w:r>
            <w:r>
              <w:rPr>
                <w:rFonts w:hint="eastAsia" w:ascii="宋体" w:hAnsi="宋体" w:eastAsia="宋体"/>
                <w:szCs w:val="24"/>
                <w:highlight w:val="none"/>
              </w:rPr>
              <w:t>乙方</w:t>
            </w:r>
            <w:r>
              <w:rPr>
                <w:rFonts w:ascii="宋体" w:hAnsi="宋体" w:eastAsia="宋体"/>
                <w:szCs w:val="24"/>
                <w:highlight w:val="none"/>
              </w:rPr>
              <w:t>驻场外包人员总数量的比率</w:t>
            </w:r>
          </w:p>
        </w:tc>
        <w:tc>
          <w:tcPr>
            <w:tcW w:w="3686" w:type="dxa"/>
            <w:tcBorders>
              <w:top w:val="single" w:color="auto" w:sz="4" w:space="0"/>
              <w:left w:val="single" w:color="auto" w:sz="4" w:space="0"/>
              <w:right w:val="single" w:color="auto" w:sz="4" w:space="0"/>
            </w:tcBorders>
            <w:vAlign w:val="center"/>
          </w:tcPr>
          <w:p w14:paraId="6C17428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w:t>
            </w:r>
            <w:r>
              <w:rPr>
                <w:rFonts w:ascii="宋体" w:hAnsi="宋体" w:eastAsia="宋体"/>
                <w:szCs w:val="24"/>
                <w:highlight w:val="none"/>
              </w:rPr>
              <w:t>员变动率=</w:t>
            </w:r>
            <w:r>
              <w:rPr>
                <w:rFonts w:hint="eastAsia" w:ascii="宋体" w:hAnsi="宋体" w:eastAsia="宋体"/>
                <w:szCs w:val="24"/>
                <w:highlight w:val="none"/>
              </w:rPr>
              <w:t>乙方未经甲方同意</w:t>
            </w:r>
            <w:r>
              <w:rPr>
                <w:rFonts w:ascii="宋体" w:hAnsi="宋体" w:eastAsia="宋体"/>
                <w:szCs w:val="24"/>
                <w:highlight w:val="none"/>
              </w:rPr>
              <w:t>更换外包人员数量/</w:t>
            </w:r>
            <w:r>
              <w:rPr>
                <w:rFonts w:hint="eastAsia" w:ascii="宋体" w:hAnsi="宋体" w:eastAsia="宋体"/>
                <w:szCs w:val="24"/>
                <w:highlight w:val="none"/>
              </w:rPr>
              <w:t>乙方</w:t>
            </w:r>
            <w:r>
              <w:rPr>
                <w:rFonts w:ascii="宋体" w:hAnsi="宋体" w:eastAsia="宋体"/>
                <w:szCs w:val="24"/>
                <w:highlight w:val="none"/>
              </w:rPr>
              <w:t>驻场外包人员总数量</w:t>
            </w:r>
          </w:p>
          <w:p w14:paraId="65183C9E">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10分【0-20%】</w:t>
            </w:r>
          </w:p>
          <w:p w14:paraId="31E2178D">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5分【20%-40%】</w:t>
            </w:r>
          </w:p>
          <w:p w14:paraId="10A55BA3">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0分【超过40%】</w:t>
            </w:r>
          </w:p>
        </w:tc>
        <w:tc>
          <w:tcPr>
            <w:tcW w:w="2410" w:type="dxa"/>
            <w:tcBorders>
              <w:top w:val="single" w:color="auto" w:sz="4" w:space="0"/>
              <w:left w:val="single" w:color="auto" w:sz="4" w:space="0"/>
              <w:right w:val="single" w:color="auto" w:sz="4" w:space="0"/>
            </w:tcBorders>
            <w:vAlign w:val="center"/>
          </w:tcPr>
          <w:p w14:paraId="7A7701C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技术骨干或项目经理未经甲方同意变动，扣除乙方金额人民币不低于3万元；其余人员变动率超过40</w:t>
            </w:r>
            <w:r>
              <w:rPr>
                <w:rFonts w:ascii="宋体" w:hAnsi="宋体" w:eastAsia="宋体"/>
                <w:szCs w:val="24"/>
                <w:highlight w:val="none"/>
              </w:rPr>
              <w:t>%</w:t>
            </w:r>
            <w:r>
              <w:rPr>
                <w:rFonts w:hint="eastAsia" w:ascii="宋体" w:hAnsi="宋体" w:eastAsia="宋体"/>
                <w:szCs w:val="24"/>
                <w:highlight w:val="none"/>
              </w:rPr>
              <w:t>，扣除不低于合同总金额的1%。</w:t>
            </w:r>
          </w:p>
        </w:tc>
        <w:tc>
          <w:tcPr>
            <w:tcW w:w="1134" w:type="dxa"/>
            <w:tcBorders>
              <w:top w:val="single" w:color="auto" w:sz="4" w:space="0"/>
              <w:left w:val="single" w:color="auto" w:sz="4" w:space="0"/>
              <w:right w:val="single" w:color="auto" w:sz="4" w:space="0"/>
            </w:tcBorders>
            <w:vAlign w:val="center"/>
          </w:tcPr>
          <w:p w14:paraId="781E56E4">
            <w:pPr>
              <w:spacing w:line="240" w:lineRule="auto"/>
              <w:ind w:firstLine="0" w:firstLineChars="0"/>
              <w:jc w:val="left"/>
              <w:rPr>
                <w:rFonts w:ascii="宋体" w:hAnsi="宋体" w:eastAsia="宋体"/>
                <w:szCs w:val="24"/>
                <w:highlight w:val="none"/>
              </w:rPr>
            </w:pPr>
          </w:p>
        </w:tc>
        <w:tc>
          <w:tcPr>
            <w:tcW w:w="1086" w:type="dxa"/>
            <w:vAlign w:val="center"/>
          </w:tcPr>
          <w:p w14:paraId="0F88EAF9">
            <w:pPr>
              <w:spacing w:line="240" w:lineRule="auto"/>
              <w:ind w:firstLine="0" w:firstLineChars="0"/>
              <w:jc w:val="left"/>
              <w:rPr>
                <w:rFonts w:ascii="宋体" w:hAnsi="宋体" w:eastAsia="宋体"/>
                <w:szCs w:val="24"/>
                <w:highlight w:val="none"/>
              </w:rPr>
            </w:pPr>
          </w:p>
        </w:tc>
      </w:tr>
      <w:tr w14:paraId="1824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531664">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14</w:t>
            </w:r>
          </w:p>
        </w:tc>
        <w:tc>
          <w:tcPr>
            <w:tcW w:w="1134" w:type="dxa"/>
            <w:vMerge w:val="continue"/>
            <w:tcBorders>
              <w:top w:val="single" w:color="auto" w:sz="4" w:space="0"/>
              <w:left w:val="single" w:color="auto" w:sz="4" w:space="0"/>
              <w:right w:val="single" w:color="auto" w:sz="4" w:space="0"/>
            </w:tcBorders>
          </w:tcPr>
          <w:p w14:paraId="3692CFFF">
            <w:pPr>
              <w:rPr>
                <w:highlight w:val="none"/>
              </w:rPr>
            </w:pPr>
          </w:p>
        </w:tc>
        <w:tc>
          <w:tcPr>
            <w:tcW w:w="1559" w:type="dxa"/>
            <w:tcBorders>
              <w:top w:val="single" w:color="auto" w:sz="4" w:space="0"/>
              <w:left w:val="single" w:color="auto" w:sz="4" w:space="0"/>
              <w:right w:val="single" w:color="auto" w:sz="4" w:space="0"/>
            </w:tcBorders>
            <w:vAlign w:val="center"/>
          </w:tcPr>
          <w:p w14:paraId="27D8FCD1">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人员满意度评价</w:t>
            </w:r>
          </w:p>
        </w:tc>
        <w:tc>
          <w:tcPr>
            <w:tcW w:w="2268" w:type="dxa"/>
            <w:tcBorders>
              <w:top w:val="single" w:color="auto" w:sz="4" w:space="0"/>
              <w:left w:val="single" w:color="auto" w:sz="4" w:space="0"/>
              <w:right w:val="single" w:color="auto" w:sz="4" w:space="0"/>
            </w:tcBorders>
            <w:vAlign w:val="center"/>
          </w:tcPr>
          <w:p w14:paraId="3D9CE75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甲方</w:t>
            </w:r>
            <w:r>
              <w:rPr>
                <w:rFonts w:ascii="宋体" w:hAnsi="宋体" w:eastAsia="宋体"/>
                <w:szCs w:val="24"/>
                <w:highlight w:val="none"/>
              </w:rPr>
              <w:t>对</w:t>
            </w:r>
            <w:r>
              <w:rPr>
                <w:rFonts w:hint="eastAsia" w:ascii="宋体" w:hAnsi="宋体" w:eastAsia="宋体"/>
                <w:szCs w:val="24"/>
                <w:highlight w:val="none"/>
              </w:rPr>
              <w:t>乙方</w:t>
            </w:r>
            <w:r>
              <w:rPr>
                <w:rFonts w:ascii="宋体" w:hAnsi="宋体" w:eastAsia="宋体"/>
                <w:szCs w:val="24"/>
                <w:highlight w:val="none"/>
              </w:rPr>
              <w:t>外包人员表现的满意度评价</w:t>
            </w:r>
          </w:p>
        </w:tc>
        <w:tc>
          <w:tcPr>
            <w:tcW w:w="3686" w:type="dxa"/>
            <w:tcBorders>
              <w:top w:val="single" w:color="auto" w:sz="4" w:space="0"/>
              <w:left w:val="single" w:color="auto" w:sz="4" w:space="0"/>
              <w:right w:val="single" w:color="auto" w:sz="4" w:space="0"/>
            </w:tcBorders>
            <w:vAlign w:val="center"/>
          </w:tcPr>
          <w:p w14:paraId="5963F8D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工作效率高，态度积极主动，</w:t>
            </w:r>
            <w:r>
              <w:rPr>
                <w:rFonts w:ascii="宋体" w:hAnsi="宋体" w:eastAsia="宋体"/>
                <w:szCs w:val="24"/>
                <w:highlight w:val="none"/>
              </w:rPr>
              <w:t>保质保量完成工作任务</w:t>
            </w:r>
            <w:r>
              <w:rPr>
                <w:rFonts w:hint="eastAsia" w:ascii="宋体" w:hAnsi="宋体" w:eastAsia="宋体"/>
                <w:szCs w:val="24"/>
                <w:highlight w:val="none"/>
              </w:rPr>
              <w:t>，</w:t>
            </w:r>
            <w:r>
              <w:rPr>
                <w:rFonts w:ascii="宋体" w:hAnsi="宋体" w:eastAsia="宋体"/>
                <w:szCs w:val="24"/>
                <w:highlight w:val="none"/>
              </w:rPr>
              <w:t>对团队有突出贡献，日常行为能起到模范带头作用</w:t>
            </w:r>
            <w:r>
              <w:rPr>
                <w:rFonts w:hint="eastAsia" w:ascii="宋体" w:hAnsi="宋体" w:eastAsia="宋体"/>
                <w:szCs w:val="24"/>
                <w:highlight w:val="none"/>
              </w:rPr>
              <w:t>的；</w:t>
            </w:r>
          </w:p>
          <w:p w14:paraId="3EDFD367">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工作效率较高，态度比较主动，较好</w:t>
            </w:r>
            <w:r>
              <w:rPr>
                <w:rFonts w:ascii="宋体" w:hAnsi="宋体" w:eastAsia="宋体"/>
                <w:szCs w:val="24"/>
                <w:highlight w:val="none"/>
              </w:rPr>
              <w:t>完成工作任务</w:t>
            </w:r>
            <w:r>
              <w:rPr>
                <w:rFonts w:hint="eastAsia" w:ascii="宋体" w:hAnsi="宋体" w:eastAsia="宋体"/>
                <w:szCs w:val="24"/>
                <w:highlight w:val="none"/>
              </w:rPr>
              <w:t>，</w:t>
            </w:r>
            <w:r>
              <w:rPr>
                <w:rFonts w:ascii="宋体" w:hAnsi="宋体" w:eastAsia="宋体"/>
                <w:szCs w:val="24"/>
                <w:highlight w:val="none"/>
              </w:rPr>
              <w:t>对团队有</w:t>
            </w:r>
            <w:r>
              <w:rPr>
                <w:rFonts w:hint="eastAsia" w:ascii="宋体" w:hAnsi="宋体" w:eastAsia="宋体"/>
                <w:szCs w:val="24"/>
                <w:highlight w:val="none"/>
              </w:rPr>
              <w:t>一定</w:t>
            </w:r>
            <w:r>
              <w:rPr>
                <w:rFonts w:ascii="宋体" w:hAnsi="宋体" w:eastAsia="宋体"/>
                <w:szCs w:val="24"/>
                <w:highlight w:val="none"/>
              </w:rPr>
              <w:t>贡献，日常行为</w:t>
            </w:r>
            <w:r>
              <w:rPr>
                <w:rFonts w:hint="eastAsia" w:ascii="宋体" w:hAnsi="宋体" w:eastAsia="宋体"/>
                <w:szCs w:val="24"/>
                <w:highlight w:val="none"/>
              </w:rPr>
              <w:t>表现较好的；</w:t>
            </w:r>
          </w:p>
          <w:p w14:paraId="2C78C4BF">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工作效率一般，态度合格，能够按时</w:t>
            </w:r>
            <w:r>
              <w:rPr>
                <w:rFonts w:ascii="宋体" w:hAnsi="宋体" w:eastAsia="宋体"/>
                <w:szCs w:val="24"/>
                <w:highlight w:val="none"/>
              </w:rPr>
              <w:t>完成工作任务</w:t>
            </w:r>
            <w:r>
              <w:rPr>
                <w:rFonts w:hint="eastAsia" w:ascii="宋体" w:hAnsi="宋体" w:eastAsia="宋体"/>
                <w:szCs w:val="24"/>
                <w:highlight w:val="none"/>
              </w:rPr>
              <w:t>的；</w:t>
            </w:r>
          </w:p>
          <w:p w14:paraId="12FFC1CC">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工作效率低下，态度懈怠散漫，不能按时</w:t>
            </w:r>
            <w:r>
              <w:rPr>
                <w:rFonts w:ascii="宋体" w:hAnsi="宋体" w:eastAsia="宋体"/>
                <w:szCs w:val="24"/>
                <w:highlight w:val="none"/>
              </w:rPr>
              <w:t>完成工作任务</w:t>
            </w:r>
            <w:r>
              <w:rPr>
                <w:rFonts w:hint="eastAsia" w:ascii="宋体" w:hAnsi="宋体" w:eastAsia="宋体"/>
                <w:szCs w:val="24"/>
                <w:highlight w:val="none"/>
              </w:rPr>
              <w:t>的。</w:t>
            </w:r>
          </w:p>
        </w:tc>
        <w:tc>
          <w:tcPr>
            <w:tcW w:w="2410" w:type="dxa"/>
            <w:tcBorders>
              <w:top w:val="single" w:color="auto" w:sz="4" w:space="0"/>
              <w:left w:val="single" w:color="auto" w:sz="4" w:space="0"/>
              <w:right w:val="single" w:color="auto" w:sz="4" w:space="0"/>
            </w:tcBorders>
            <w:vAlign w:val="center"/>
          </w:tcPr>
          <w:p w14:paraId="6283DFC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评价为较差/差时，甲方有权要求乙方更换人员并赔偿实际损失。</w:t>
            </w:r>
          </w:p>
        </w:tc>
        <w:tc>
          <w:tcPr>
            <w:tcW w:w="1134" w:type="dxa"/>
            <w:tcBorders>
              <w:top w:val="single" w:color="auto" w:sz="4" w:space="0"/>
              <w:left w:val="single" w:color="auto" w:sz="4" w:space="0"/>
              <w:right w:val="single" w:color="auto" w:sz="4" w:space="0"/>
            </w:tcBorders>
            <w:vAlign w:val="center"/>
          </w:tcPr>
          <w:p w14:paraId="7AC24AA7">
            <w:pPr>
              <w:spacing w:line="240" w:lineRule="auto"/>
              <w:ind w:firstLine="0" w:firstLineChars="0"/>
              <w:jc w:val="left"/>
              <w:rPr>
                <w:rFonts w:ascii="宋体" w:hAnsi="宋体" w:eastAsia="宋体"/>
                <w:szCs w:val="24"/>
                <w:highlight w:val="none"/>
              </w:rPr>
            </w:pPr>
          </w:p>
        </w:tc>
        <w:tc>
          <w:tcPr>
            <w:tcW w:w="1086" w:type="dxa"/>
            <w:vAlign w:val="center"/>
          </w:tcPr>
          <w:p w14:paraId="5022795F">
            <w:pPr>
              <w:spacing w:line="240" w:lineRule="auto"/>
              <w:ind w:firstLine="0" w:firstLineChars="0"/>
              <w:jc w:val="left"/>
              <w:rPr>
                <w:rFonts w:ascii="宋体" w:hAnsi="宋体" w:eastAsia="宋体"/>
                <w:szCs w:val="24"/>
                <w:highlight w:val="none"/>
              </w:rPr>
            </w:pPr>
          </w:p>
        </w:tc>
      </w:tr>
      <w:tr w14:paraId="5024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5" w:type="dxa"/>
            <w:gridSpan w:val="7"/>
            <w:vAlign w:val="center"/>
          </w:tcPr>
          <w:p w14:paraId="60DAFD58">
            <w:pPr>
              <w:spacing w:line="240" w:lineRule="auto"/>
              <w:ind w:firstLine="0" w:firstLineChars="0"/>
              <w:jc w:val="right"/>
              <w:rPr>
                <w:rFonts w:ascii="宋体" w:hAnsi="宋体" w:eastAsia="宋体"/>
                <w:color w:val="FF0000"/>
                <w:szCs w:val="24"/>
                <w:highlight w:val="none"/>
              </w:rPr>
            </w:pPr>
            <w:r>
              <w:rPr>
                <w:rFonts w:hint="eastAsia" w:ascii="宋体" w:hAnsi="宋体" w:eastAsia="宋体"/>
                <w:szCs w:val="24"/>
                <w:highlight w:val="none"/>
              </w:rPr>
              <w:t>综合得分：</w:t>
            </w:r>
          </w:p>
        </w:tc>
        <w:tc>
          <w:tcPr>
            <w:tcW w:w="1086" w:type="dxa"/>
          </w:tcPr>
          <w:p w14:paraId="5B1B36FB">
            <w:pPr>
              <w:spacing w:line="240" w:lineRule="auto"/>
              <w:ind w:firstLine="0" w:firstLineChars="0"/>
              <w:jc w:val="left"/>
              <w:rPr>
                <w:rFonts w:ascii="宋体" w:hAnsi="宋体" w:eastAsia="宋体"/>
                <w:color w:val="FF0000"/>
                <w:szCs w:val="24"/>
                <w:highlight w:val="none"/>
              </w:rPr>
            </w:pPr>
          </w:p>
        </w:tc>
      </w:tr>
      <w:tr w14:paraId="545F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3981" w:type="dxa"/>
            <w:gridSpan w:val="8"/>
          </w:tcPr>
          <w:p w14:paraId="4AB8D54F">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综合评价：</w:t>
            </w:r>
          </w:p>
          <w:p w14:paraId="7E3269D2">
            <w:pPr>
              <w:spacing w:line="240" w:lineRule="auto"/>
              <w:ind w:firstLine="0" w:firstLineChars="0"/>
              <w:jc w:val="left"/>
              <w:rPr>
                <w:rFonts w:ascii="宋体" w:hAnsi="宋体" w:eastAsia="宋体"/>
                <w:color w:val="FF0000"/>
                <w:szCs w:val="24"/>
                <w:highlight w:val="none"/>
              </w:rPr>
            </w:pPr>
            <w:r>
              <w:rPr>
                <w:rFonts w:hint="eastAsia" w:ascii="宋体" w:hAnsi="宋体" w:eastAsia="宋体"/>
                <w:color w:val="FF0000"/>
                <w:szCs w:val="24"/>
                <w:highlight w:val="none"/>
              </w:rPr>
              <w:t>（注：请开展综合评价，不满足服务要求的，需详细阐述不满足的内容及扣除合同违约金，填写完成后删除此括号内容）</w:t>
            </w:r>
          </w:p>
          <w:p w14:paraId="57B61B5D">
            <w:pPr>
              <w:spacing w:line="240" w:lineRule="auto"/>
              <w:ind w:firstLine="0" w:firstLineChars="0"/>
              <w:jc w:val="left"/>
              <w:rPr>
                <w:rFonts w:ascii="宋体" w:hAnsi="宋体" w:eastAsia="宋体"/>
                <w:szCs w:val="24"/>
                <w:highlight w:val="none"/>
              </w:rPr>
            </w:pPr>
          </w:p>
          <w:p w14:paraId="66CEF96C">
            <w:pPr>
              <w:wordWrap w:val="0"/>
              <w:autoSpaceDE w:val="0"/>
              <w:autoSpaceDN w:val="0"/>
              <w:spacing w:line="240" w:lineRule="auto"/>
              <w:ind w:firstLine="0" w:firstLineChars="0"/>
              <w:jc w:val="right"/>
              <w:rPr>
                <w:rFonts w:ascii="宋体" w:hAnsi="宋体" w:eastAsia="宋体"/>
                <w:szCs w:val="24"/>
                <w:highlight w:val="none"/>
              </w:rPr>
            </w:pPr>
            <w:r>
              <w:rPr>
                <w:rFonts w:hint="eastAsia" w:ascii="宋体" w:hAnsi="宋体" w:eastAsia="宋体"/>
                <w:szCs w:val="24"/>
                <w:highlight w:val="none"/>
              </w:rPr>
              <w:t xml:space="preserve">评价人：                                 </w:t>
            </w:r>
          </w:p>
        </w:tc>
      </w:tr>
    </w:tbl>
    <w:p w14:paraId="2B58164C">
      <w:pPr>
        <w:spacing w:line="360" w:lineRule="auto"/>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4CEC9BE8">
      <w:pPr>
        <w:spacing w:line="360" w:lineRule="auto"/>
        <w:rPr>
          <w:rFonts w:ascii="宋体" w:eastAsia="宋体"/>
          <w:spacing w:val="0"/>
          <w:szCs w:val="24"/>
          <w:highlight w:val="none"/>
        </w:rPr>
      </w:pPr>
      <w:r>
        <w:rPr>
          <w:rFonts w:hint="eastAsia" w:ascii="宋体" w:eastAsia="宋体"/>
          <w:spacing w:val="0"/>
          <w:szCs w:val="24"/>
          <w:highlight w:val="none"/>
        </w:rPr>
        <w:t>优秀：评价得分达90分以上；</w:t>
      </w:r>
    </w:p>
    <w:p w14:paraId="65AED4B3">
      <w:pPr>
        <w:spacing w:line="360" w:lineRule="auto"/>
        <w:rPr>
          <w:rFonts w:ascii="宋体" w:eastAsia="宋体"/>
          <w:spacing w:val="0"/>
          <w:szCs w:val="24"/>
          <w:highlight w:val="none"/>
        </w:rPr>
      </w:pPr>
      <w:r>
        <w:rPr>
          <w:rFonts w:hint="eastAsia" w:ascii="宋体" w:eastAsia="宋体"/>
          <w:spacing w:val="0"/>
          <w:szCs w:val="24"/>
          <w:highlight w:val="none"/>
        </w:rPr>
        <w:t>良好：评价得分达75-90分；</w:t>
      </w:r>
    </w:p>
    <w:p w14:paraId="0FC056E7">
      <w:pPr>
        <w:spacing w:line="360" w:lineRule="auto"/>
        <w:rPr>
          <w:rFonts w:ascii="宋体" w:eastAsia="宋体"/>
          <w:spacing w:val="0"/>
          <w:szCs w:val="24"/>
          <w:highlight w:val="none"/>
        </w:rPr>
      </w:pPr>
      <w:r>
        <w:rPr>
          <w:rFonts w:hint="eastAsia" w:ascii="宋体" w:eastAsia="宋体"/>
          <w:spacing w:val="0"/>
          <w:szCs w:val="24"/>
          <w:highlight w:val="none"/>
        </w:rPr>
        <w:t>合格：评价得分达60-75分；</w:t>
      </w:r>
    </w:p>
    <w:p w14:paraId="327CCB10">
      <w:pPr>
        <w:spacing w:line="360" w:lineRule="auto"/>
        <w:ind w:firstLine="720" w:firstLineChars="300"/>
        <w:rPr>
          <w:rFonts w:ascii="宋体" w:eastAsia="宋体"/>
          <w:spacing w:val="0"/>
          <w:szCs w:val="24"/>
          <w:highlight w:val="none"/>
        </w:rPr>
      </w:pPr>
      <w:r>
        <w:rPr>
          <w:rFonts w:hint="eastAsia" w:ascii="宋体" w:eastAsia="宋体"/>
          <w:spacing w:val="0"/>
          <w:szCs w:val="24"/>
          <w:highlight w:val="none"/>
        </w:rPr>
        <w:t>差：评价得分在60分以下。</w:t>
      </w:r>
    </w:p>
    <w:p w14:paraId="399B0B92">
      <w:pPr>
        <w:rPr>
          <w:rStyle w:val="37"/>
          <w:rFonts w:ascii="宋体"/>
          <w:kern w:val="0"/>
          <w:highlight w:val="none"/>
        </w:rPr>
        <w:sectPr>
          <w:pgSz w:w="16838" w:h="11906" w:orient="landscape"/>
          <w:pgMar w:top="1800" w:right="1440" w:bottom="1800" w:left="1440" w:header="851" w:footer="992" w:gutter="0"/>
          <w:pgNumType w:start="1"/>
          <w:cols w:space="720" w:num="1"/>
          <w:docGrid w:type="lines" w:linePitch="312" w:charSpace="0"/>
        </w:sectPr>
      </w:pPr>
    </w:p>
    <w:p w14:paraId="2E8D1C95">
      <w:pPr>
        <w:pStyle w:val="2"/>
        <w:rPr>
          <w:rStyle w:val="37"/>
          <w:sz w:val="30"/>
          <w:highlight w:val="none"/>
        </w:rPr>
      </w:pPr>
      <w:r>
        <w:rPr>
          <w:rStyle w:val="37"/>
          <w:rFonts w:hint="eastAsia"/>
          <w:sz w:val="30"/>
          <w:highlight w:val="none"/>
        </w:rPr>
        <w:t>附件六：服务连续性预案</w:t>
      </w:r>
    </w:p>
    <w:p w14:paraId="04F336A2">
      <w:pPr>
        <w:jc w:val="center"/>
        <w:rPr>
          <w:rFonts w:ascii="方正小标宋_GBK" w:eastAsia="方正小标宋_GBK"/>
          <w:color w:val="FF0000"/>
          <w:highlight w:val="none"/>
        </w:rPr>
      </w:pPr>
      <w:r>
        <w:rPr>
          <w:rFonts w:hint="eastAsia" w:ascii="方正小标宋_GBK" w:eastAsia="方正小标宋_GBK"/>
          <w:highlight w:val="none"/>
        </w:rPr>
        <w:t>（应考虑供应链风险产生的影响）</w:t>
      </w:r>
    </w:p>
    <w:p w14:paraId="1D492ED9">
      <w:pPr>
        <w:rPr>
          <w:rFonts w:ascii="宋体" w:hAnsi="宋体"/>
          <w:b/>
          <w:szCs w:val="24"/>
          <w:highlight w:val="none"/>
        </w:rPr>
      </w:pPr>
      <w:r>
        <w:rPr>
          <w:rFonts w:hint="eastAsia" w:ascii="宋体" w:hAnsi="宋体"/>
          <w:b/>
          <w:szCs w:val="24"/>
          <w:highlight w:val="none"/>
        </w:rPr>
        <w:t>一、目的</w:t>
      </w:r>
    </w:p>
    <w:p w14:paraId="19AACA21">
      <w:pPr>
        <w:spacing w:line="360" w:lineRule="auto"/>
        <w:ind w:firstLine="559" w:firstLineChars="233"/>
        <w:rPr>
          <w:szCs w:val="24"/>
          <w:highlight w:val="none"/>
        </w:rPr>
      </w:pPr>
      <w:r>
        <w:rPr>
          <w:rFonts w:hint="eastAsia" w:ascii="宋体"/>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790C671E">
      <w:pPr>
        <w:rPr>
          <w:rFonts w:ascii="宋体" w:hAnsi="宋体"/>
          <w:b/>
          <w:szCs w:val="24"/>
          <w:highlight w:val="none"/>
        </w:rPr>
      </w:pPr>
      <w:r>
        <w:rPr>
          <w:rFonts w:hint="eastAsia" w:ascii="宋体" w:hAnsi="宋体"/>
          <w:b/>
          <w:szCs w:val="24"/>
          <w:highlight w:val="none"/>
        </w:rPr>
        <w:t>二、应急组织架构及职责</w:t>
      </w:r>
    </w:p>
    <w:p w14:paraId="0CA55692">
      <w:pPr>
        <w:rPr>
          <w:rFonts w:ascii="宋体" w:hAnsi="宋体"/>
          <w:b/>
          <w:szCs w:val="24"/>
          <w:highlight w:val="none"/>
        </w:rPr>
      </w:pPr>
      <w:r>
        <w:rPr>
          <w:rFonts w:hint="eastAsia" w:ascii="宋体" w:hAnsi="宋体"/>
          <w:b/>
          <w:szCs w:val="24"/>
          <w:highlight w:val="none"/>
        </w:rPr>
        <w:t>（一）决策层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1D1C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412A572">
            <w:pPr>
              <w:spacing w:line="360" w:lineRule="auto"/>
              <w:ind w:firstLine="559" w:firstLineChars="233"/>
              <w:rPr>
                <w:rFonts w:ascii="宋体"/>
                <w:szCs w:val="24"/>
                <w:highlight w:val="none"/>
              </w:rPr>
            </w:pPr>
            <w:r>
              <w:rPr>
                <w:rFonts w:hint="eastAsia" w:ascii="宋体"/>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6AA08C98">
            <w:pPr>
              <w:spacing w:line="360" w:lineRule="auto"/>
              <w:jc w:val="center"/>
              <w:rPr>
                <w:rFonts w:ascii="宋体"/>
                <w:szCs w:val="24"/>
                <w:highlight w:val="none"/>
              </w:rPr>
            </w:pPr>
            <w:r>
              <w:rPr>
                <w:rFonts w:hint="eastAsia" w:ascii="宋体"/>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5E927855">
            <w:pPr>
              <w:spacing w:line="360" w:lineRule="auto"/>
              <w:jc w:val="center"/>
              <w:rPr>
                <w:rFonts w:ascii="宋体"/>
                <w:szCs w:val="24"/>
                <w:highlight w:val="none"/>
              </w:rPr>
            </w:pPr>
            <w:r>
              <w:rPr>
                <w:rFonts w:hint="eastAsia" w:ascii="宋体"/>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87EF81E">
            <w:pPr>
              <w:spacing w:line="360" w:lineRule="auto"/>
              <w:jc w:val="center"/>
              <w:rPr>
                <w:rFonts w:ascii="宋体"/>
                <w:szCs w:val="24"/>
                <w:highlight w:val="none"/>
              </w:rPr>
            </w:pPr>
            <w:r>
              <w:rPr>
                <w:rFonts w:hint="eastAsia" w:ascii="宋体"/>
                <w:szCs w:val="24"/>
                <w:highlight w:val="none"/>
              </w:rPr>
              <w:t>职责</w:t>
            </w:r>
          </w:p>
        </w:tc>
      </w:tr>
      <w:tr w14:paraId="738C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3ADBFAF">
            <w:pPr>
              <w:widowControl/>
              <w:jc w:val="center"/>
              <w:rPr>
                <w:rFonts w:ascii="宋体"/>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B40FECD">
            <w:pPr>
              <w:widowControl/>
              <w:jc w:val="center"/>
              <w:rPr>
                <w:rFonts w:ascii="宋体"/>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CC310FC">
            <w:pPr>
              <w:widowControl/>
              <w:jc w:val="center"/>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79C3062">
            <w:pPr>
              <w:widowControl/>
              <w:jc w:val="center"/>
              <w:rPr>
                <w:rFonts w:ascii="宋体"/>
                <w:sz w:val="21"/>
                <w:szCs w:val="24"/>
                <w:highlight w:val="none"/>
              </w:rPr>
            </w:pPr>
          </w:p>
        </w:tc>
      </w:tr>
      <w:tr w14:paraId="686F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F1967BE">
            <w:pPr>
              <w:widowControl/>
              <w:jc w:val="center"/>
              <w:rPr>
                <w:rFonts w:ascii="宋体"/>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0570DE96">
            <w:pPr>
              <w:widowControl/>
              <w:jc w:val="center"/>
              <w:rPr>
                <w:rFonts w:ascii="宋体"/>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466DFA70">
            <w:pPr>
              <w:widowControl/>
              <w:jc w:val="center"/>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C8686B5">
            <w:pPr>
              <w:widowControl/>
              <w:jc w:val="center"/>
              <w:rPr>
                <w:rFonts w:ascii="宋体"/>
                <w:sz w:val="21"/>
                <w:szCs w:val="24"/>
                <w:highlight w:val="none"/>
              </w:rPr>
            </w:pPr>
          </w:p>
        </w:tc>
      </w:tr>
      <w:tr w14:paraId="6C8D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D182729">
            <w:pPr>
              <w:widowControl/>
              <w:jc w:val="center"/>
              <w:rPr>
                <w:rFonts w:ascii="宋体"/>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0783DCC">
            <w:pPr>
              <w:widowControl/>
              <w:jc w:val="center"/>
              <w:rPr>
                <w:rFonts w:ascii="宋体"/>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379F6FB">
            <w:pPr>
              <w:widowControl/>
              <w:jc w:val="center"/>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6C82DAF">
            <w:pPr>
              <w:widowControl/>
              <w:jc w:val="center"/>
              <w:rPr>
                <w:rFonts w:ascii="宋体"/>
                <w:sz w:val="21"/>
                <w:szCs w:val="24"/>
                <w:highlight w:val="none"/>
              </w:rPr>
            </w:pPr>
          </w:p>
        </w:tc>
      </w:tr>
    </w:tbl>
    <w:p w14:paraId="65695CAD">
      <w:pPr>
        <w:rPr>
          <w:rFonts w:ascii="宋体" w:hAnsi="宋体"/>
          <w:b/>
          <w:szCs w:val="24"/>
          <w:highlight w:val="none"/>
        </w:rPr>
      </w:pPr>
      <w:r>
        <w:rPr>
          <w:rFonts w:hint="eastAsia" w:ascii="宋体" w:hAnsi="宋体"/>
          <w:b/>
          <w:szCs w:val="24"/>
          <w:highlight w:val="none"/>
        </w:rPr>
        <w:t>（二）危机处理层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2C3A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3E17057">
            <w:pPr>
              <w:spacing w:line="360" w:lineRule="auto"/>
              <w:ind w:firstLine="559" w:firstLineChars="233"/>
              <w:rPr>
                <w:rFonts w:ascii="宋体"/>
                <w:szCs w:val="24"/>
                <w:highlight w:val="none"/>
              </w:rPr>
            </w:pPr>
            <w:r>
              <w:rPr>
                <w:rFonts w:hint="eastAsia" w:ascii="宋体"/>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20E07FF6">
            <w:pPr>
              <w:spacing w:line="360" w:lineRule="auto"/>
              <w:jc w:val="center"/>
              <w:rPr>
                <w:rFonts w:ascii="宋体"/>
                <w:szCs w:val="24"/>
                <w:highlight w:val="none"/>
              </w:rPr>
            </w:pPr>
            <w:r>
              <w:rPr>
                <w:rFonts w:hint="eastAsia" w:ascii="宋体"/>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382F9323">
            <w:pPr>
              <w:spacing w:line="360" w:lineRule="auto"/>
              <w:jc w:val="center"/>
              <w:rPr>
                <w:rFonts w:ascii="宋体"/>
                <w:szCs w:val="24"/>
                <w:highlight w:val="none"/>
              </w:rPr>
            </w:pPr>
            <w:r>
              <w:rPr>
                <w:rFonts w:hint="eastAsia" w:ascii="宋体"/>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55842A68">
            <w:pPr>
              <w:spacing w:line="360" w:lineRule="auto"/>
              <w:jc w:val="center"/>
              <w:rPr>
                <w:rFonts w:ascii="宋体"/>
                <w:szCs w:val="24"/>
                <w:highlight w:val="none"/>
              </w:rPr>
            </w:pPr>
            <w:r>
              <w:rPr>
                <w:rFonts w:hint="eastAsia" w:ascii="宋体"/>
                <w:szCs w:val="24"/>
                <w:highlight w:val="none"/>
              </w:rPr>
              <w:t>职责</w:t>
            </w:r>
          </w:p>
        </w:tc>
      </w:tr>
      <w:tr w14:paraId="3ECF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7962048">
            <w:pPr>
              <w:widowControl/>
              <w:jc w:val="center"/>
              <w:rPr>
                <w:rFonts w:ascii="宋体"/>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48064FA0">
            <w:pPr>
              <w:widowControl/>
              <w:jc w:val="center"/>
              <w:rPr>
                <w:rFonts w:ascii="宋体"/>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34DD53C">
            <w:pPr>
              <w:widowControl/>
              <w:jc w:val="center"/>
              <w:rPr>
                <w:rFonts w:ascii="宋体"/>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0281DA59">
            <w:pPr>
              <w:widowControl/>
              <w:jc w:val="center"/>
              <w:rPr>
                <w:rFonts w:ascii="宋体"/>
                <w:sz w:val="21"/>
                <w:szCs w:val="24"/>
                <w:highlight w:val="none"/>
              </w:rPr>
            </w:pPr>
          </w:p>
        </w:tc>
      </w:tr>
      <w:tr w14:paraId="7FDA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8A465EB">
            <w:pPr>
              <w:widowControl/>
              <w:jc w:val="center"/>
              <w:rPr>
                <w:rFonts w:ascii="宋体"/>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4C88160E">
            <w:pPr>
              <w:widowControl/>
              <w:jc w:val="center"/>
              <w:rPr>
                <w:rFonts w:ascii="宋体"/>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12492F5">
            <w:pPr>
              <w:widowControl/>
              <w:jc w:val="center"/>
              <w:rPr>
                <w:rFonts w:ascii="宋体"/>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4F52B5AE">
            <w:pPr>
              <w:widowControl/>
              <w:jc w:val="center"/>
              <w:rPr>
                <w:rFonts w:ascii="宋体"/>
                <w:sz w:val="21"/>
                <w:szCs w:val="24"/>
                <w:highlight w:val="none"/>
              </w:rPr>
            </w:pPr>
          </w:p>
        </w:tc>
      </w:tr>
    </w:tbl>
    <w:p w14:paraId="6C6849C6">
      <w:pPr>
        <w:rPr>
          <w:rFonts w:ascii="宋体" w:hAnsi="宋体"/>
          <w:b/>
          <w:szCs w:val="24"/>
          <w:highlight w:val="none"/>
        </w:rPr>
      </w:pPr>
      <w:r>
        <w:rPr>
          <w:rFonts w:hint="eastAsia" w:ascii="宋体" w:hAnsi="宋体"/>
          <w:b/>
          <w:szCs w:val="24"/>
          <w:highlight w:val="none"/>
        </w:rPr>
        <w:t>（三）具体业务层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3BE2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38C020B">
            <w:pPr>
              <w:spacing w:line="360" w:lineRule="auto"/>
              <w:ind w:firstLine="559" w:firstLineChars="233"/>
              <w:rPr>
                <w:rFonts w:ascii="宋体"/>
                <w:szCs w:val="24"/>
                <w:highlight w:val="none"/>
              </w:rPr>
            </w:pPr>
            <w:r>
              <w:rPr>
                <w:rFonts w:hint="eastAsia" w:ascii="宋体"/>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77142D0">
            <w:pPr>
              <w:spacing w:line="360" w:lineRule="auto"/>
              <w:jc w:val="center"/>
              <w:rPr>
                <w:rFonts w:ascii="宋体"/>
                <w:szCs w:val="24"/>
                <w:highlight w:val="none"/>
              </w:rPr>
            </w:pPr>
            <w:r>
              <w:rPr>
                <w:rFonts w:hint="eastAsia" w:ascii="宋体"/>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28DC292E">
            <w:pPr>
              <w:spacing w:line="360" w:lineRule="auto"/>
              <w:jc w:val="center"/>
              <w:rPr>
                <w:rFonts w:ascii="宋体"/>
                <w:szCs w:val="24"/>
                <w:highlight w:val="none"/>
              </w:rPr>
            </w:pPr>
            <w:r>
              <w:rPr>
                <w:rFonts w:hint="eastAsia" w:ascii="宋体"/>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08C0741B">
            <w:pPr>
              <w:spacing w:line="360" w:lineRule="auto"/>
              <w:jc w:val="center"/>
              <w:rPr>
                <w:rFonts w:ascii="宋体"/>
                <w:szCs w:val="24"/>
                <w:highlight w:val="none"/>
              </w:rPr>
            </w:pPr>
            <w:r>
              <w:rPr>
                <w:rFonts w:hint="eastAsia" w:ascii="宋体"/>
                <w:szCs w:val="24"/>
                <w:highlight w:val="none"/>
              </w:rPr>
              <w:t>职责</w:t>
            </w:r>
          </w:p>
        </w:tc>
      </w:tr>
      <w:tr w14:paraId="55CA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EA86587">
            <w:pPr>
              <w:widowControl/>
              <w:jc w:val="center"/>
              <w:rPr>
                <w:rFonts w:ascii="宋体"/>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6AC350D">
            <w:pPr>
              <w:widowControl/>
              <w:jc w:val="center"/>
              <w:rPr>
                <w:rFonts w:ascii="宋体"/>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D691550">
            <w:pPr>
              <w:widowControl/>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A3E8158">
            <w:pPr>
              <w:widowControl/>
              <w:jc w:val="center"/>
              <w:rPr>
                <w:rFonts w:ascii="宋体"/>
                <w:sz w:val="21"/>
                <w:szCs w:val="24"/>
                <w:highlight w:val="none"/>
              </w:rPr>
            </w:pPr>
          </w:p>
        </w:tc>
      </w:tr>
      <w:tr w14:paraId="6B33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13D9BB4">
            <w:pPr>
              <w:widowControl/>
              <w:jc w:val="center"/>
              <w:rPr>
                <w:rFonts w:ascii="宋体"/>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7E13386">
            <w:pPr>
              <w:widowControl/>
              <w:jc w:val="center"/>
              <w:rPr>
                <w:rFonts w:ascii="宋体"/>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774AB5C9">
            <w:pPr>
              <w:widowControl/>
              <w:rPr>
                <w:rFonts w:ascii="宋体"/>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15EAE3FA">
            <w:pPr>
              <w:widowControl/>
              <w:jc w:val="center"/>
              <w:rPr>
                <w:rFonts w:ascii="宋体"/>
                <w:sz w:val="21"/>
                <w:szCs w:val="24"/>
                <w:highlight w:val="none"/>
              </w:rPr>
            </w:pPr>
          </w:p>
        </w:tc>
      </w:tr>
    </w:tbl>
    <w:p w14:paraId="70112552">
      <w:pPr>
        <w:rPr>
          <w:rFonts w:ascii="宋体" w:hAnsi="宋体"/>
          <w:b/>
          <w:szCs w:val="24"/>
          <w:highlight w:val="none"/>
        </w:rPr>
      </w:pPr>
      <w:r>
        <w:rPr>
          <w:rFonts w:hint="eastAsia" w:ascii="宋体" w:hAnsi="宋体"/>
          <w:b/>
          <w:szCs w:val="24"/>
          <w:highlight w:val="none"/>
        </w:rPr>
        <w:t>（四）应急领导小组职责</w:t>
      </w:r>
    </w:p>
    <w:p w14:paraId="427EA617">
      <w:pPr>
        <w:spacing w:line="360" w:lineRule="auto"/>
        <w:ind w:firstLine="559" w:firstLineChars="233"/>
        <w:rPr>
          <w:rFonts w:ascii="宋体"/>
          <w:szCs w:val="24"/>
          <w:highlight w:val="none"/>
        </w:rPr>
      </w:pPr>
      <w:r>
        <w:rPr>
          <w:rFonts w:hint="eastAsia" w:ascii="宋体"/>
          <w:szCs w:val="24"/>
          <w:highlight w:val="none"/>
        </w:rPr>
        <w:t>1</w:t>
      </w:r>
      <w:r>
        <w:rPr>
          <w:rFonts w:ascii="宋体"/>
          <w:szCs w:val="24"/>
          <w:highlight w:val="none"/>
        </w:rPr>
        <w:t>.</w:t>
      </w:r>
      <w:r>
        <w:rPr>
          <w:rFonts w:hint="eastAsia" w:ascii="宋体"/>
          <w:szCs w:val="24"/>
          <w:highlight w:val="none"/>
        </w:rPr>
        <w:t>启动应急预案</w:t>
      </w:r>
    </w:p>
    <w:p w14:paraId="1522487A">
      <w:pPr>
        <w:spacing w:line="360" w:lineRule="auto"/>
        <w:ind w:firstLine="559" w:firstLineChars="233"/>
        <w:rPr>
          <w:rFonts w:ascii="宋体"/>
          <w:szCs w:val="24"/>
          <w:highlight w:val="none"/>
        </w:rPr>
      </w:pPr>
      <w:r>
        <w:rPr>
          <w:rFonts w:hint="eastAsia" w:ascii="宋体"/>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231354EF">
      <w:pPr>
        <w:spacing w:line="360" w:lineRule="auto"/>
        <w:ind w:firstLine="559" w:firstLineChars="233"/>
        <w:rPr>
          <w:rFonts w:ascii="宋体"/>
          <w:szCs w:val="24"/>
          <w:highlight w:val="none"/>
        </w:rPr>
      </w:pPr>
      <w:r>
        <w:rPr>
          <w:rFonts w:hint="eastAsia" w:ascii="宋体"/>
          <w:szCs w:val="24"/>
          <w:highlight w:val="none"/>
        </w:rPr>
        <w:t>2</w:t>
      </w:r>
      <w:r>
        <w:rPr>
          <w:rFonts w:ascii="宋体"/>
          <w:szCs w:val="24"/>
          <w:highlight w:val="none"/>
        </w:rPr>
        <w:t>.</w:t>
      </w:r>
      <w:r>
        <w:rPr>
          <w:rFonts w:hint="eastAsia" w:ascii="宋体"/>
          <w:szCs w:val="24"/>
          <w:highlight w:val="none"/>
        </w:rPr>
        <w:t>应急事件处理</w:t>
      </w:r>
    </w:p>
    <w:p w14:paraId="424D7087">
      <w:pPr>
        <w:spacing w:line="360" w:lineRule="auto"/>
        <w:ind w:firstLine="559" w:firstLineChars="233"/>
        <w:rPr>
          <w:rFonts w:ascii="宋体"/>
          <w:szCs w:val="24"/>
          <w:highlight w:val="none"/>
        </w:rPr>
      </w:pPr>
      <w:r>
        <w:rPr>
          <w:rFonts w:hint="eastAsia" w:ascii="宋体"/>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504CF8FC">
      <w:pPr>
        <w:spacing w:line="360" w:lineRule="auto"/>
        <w:ind w:firstLine="559" w:firstLineChars="233"/>
        <w:rPr>
          <w:rFonts w:ascii="宋体"/>
          <w:szCs w:val="24"/>
          <w:highlight w:val="none"/>
        </w:rPr>
      </w:pPr>
      <w:r>
        <w:rPr>
          <w:rFonts w:hint="eastAsia" w:ascii="宋体"/>
          <w:szCs w:val="24"/>
          <w:highlight w:val="none"/>
        </w:rPr>
        <w:t>3</w:t>
      </w:r>
      <w:r>
        <w:rPr>
          <w:rFonts w:ascii="宋体"/>
          <w:szCs w:val="24"/>
          <w:highlight w:val="none"/>
        </w:rPr>
        <w:t>.</w:t>
      </w:r>
      <w:r>
        <w:rPr>
          <w:rFonts w:hint="eastAsia" w:ascii="宋体"/>
          <w:szCs w:val="24"/>
          <w:highlight w:val="none"/>
        </w:rPr>
        <w:t>业务持续性计划及应急预案优化</w:t>
      </w:r>
    </w:p>
    <w:p w14:paraId="2FFEDA9E">
      <w:pPr>
        <w:spacing w:line="360" w:lineRule="auto"/>
        <w:ind w:firstLine="559" w:firstLineChars="233"/>
        <w:rPr>
          <w:rFonts w:ascii="宋体"/>
          <w:szCs w:val="24"/>
          <w:highlight w:val="none"/>
        </w:rPr>
      </w:pPr>
      <w:r>
        <w:rPr>
          <w:rFonts w:hint="eastAsia" w:ascii="宋体"/>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23B2AC75">
      <w:pPr>
        <w:rPr>
          <w:rFonts w:ascii="宋体" w:hAnsi="宋体"/>
          <w:b/>
          <w:szCs w:val="24"/>
          <w:highlight w:val="none"/>
        </w:rPr>
      </w:pPr>
      <w:r>
        <w:rPr>
          <w:rFonts w:hint="eastAsia" w:ascii="宋体" w:hAnsi="宋体"/>
          <w:b/>
          <w:szCs w:val="24"/>
          <w:highlight w:val="none"/>
        </w:rPr>
        <w:t>三、应急场景</w:t>
      </w:r>
    </w:p>
    <w:p w14:paraId="4729C532">
      <w:pPr>
        <w:rPr>
          <w:rFonts w:ascii="宋体" w:hAnsi="宋体"/>
          <w:b/>
          <w:szCs w:val="24"/>
          <w:highlight w:val="none"/>
        </w:rPr>
      </w:pPr>
      <w:r>
        <w:rPr>
          <w:rFonts w:hint="eastAsia" w:ascii="宋体" w:hAnsi="宋体"/>
          <w:b/>
          <w:szCs w:val="24"/>
          <w:highlight w:val="none"/>
        </w:rPr>
        <w:t>（一）单个核心成员或某个角色无法提供正常服务</w:t>
      </w:r>
    </w:p>
    <w:p w14:paraId="276D1E0C">
      <w:pPr>
        <w:spacing w:line="360" w:lineRule="auto"/>
        <w:ind w:firstLine="559" w:firstLineChars="233"/>
        <w:rPr>
          <w:rFonts w:ascii="宋体"/>
          <w:szCs w:val="24"/>
          <w:highlight w:val="none"/>
        </w:rPr>
      </w:pPr>
      <w:r>
        <w:rPr>
          <w:rFonts w:hint="eastAsia" w:ascii="宋体"/>
          <w:szCs w:val="24"/>
          <w:highlight w:val="none"/>
        </w:rPr>
        <w:t>1.影响程度：外包服务部分中断</w:t>
      </w:r>
    </w:p>
    <w:p w14:paraId="61D4A11F">
      <w:pPr>
        <w:spacing w:line="360" w:lineRule="auto"/>
        <w:ind w:firstLine="559" w:firstLineChars="233"/>
        <w:rPr>
          <w:rFonts w:ascii="宋体"/>
          <w:szCs w:val="24"/>
          <w:highlight w:val="none"/>
        </w:rPr>
      </w:pPr>
      <w:r>
        <w:rPr>
          <w:rFonts w:hint="eastAsia" w:ascii="宋体"/>
          <w:szCs w:val="24"/>
          <w:highlight w:val="none"/>
        </w:rPr>
        <w:t>2.规避措施：</w:t>
      </w:r>
    </w:p>
    <w:p w14:paraId="70D9E47E">
      <w:pPr>
        <w:spacing w:line="360" w:lineRule="auto"/>
        <w:ind w:firstLine="559" w:firstLineChars="233"/>
        <w:rPr>
          <w:rFonts w:ascii="宋体"/>
          <w:szCs w:val="24"/>
          <w:highlight w:val="none"/>
        </w:rPr>
      </w:pPr>
      <w:r>
        <w:rPr>
          <w:rFonts w:ascii="宋体"/>
          <w:szCs w:val="24"/>
          <w:highlight w:val="none"/>
        </w:rPr>
        <w:t>1</w:t>
      </w:r>
      <w:r>
        <w:rPr>
          <w:rFonts w:hint="eastAsia" w:ascii="宋体"/>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52FBB781">
      <w:pPr>
        <w:spacing w:line="360" w:lineRule="auto"/>
        <w:ind w:firstLine="559" w:firstLineChars="233"/>
        <w:rPr>
          <w:rFonts w:ascii="宋体"/>
          <w:szCs w:val="24"/>
          <w:highlight w:val="none"/>
        </w:rPr>
      </w:pPr>
      <w:r>
        <w:rPr>
          <w:rFonts w:ascii="宋体"/>
          <w:szCs w:val="24"/>
          <w:highlight w:val="none"/>
        </w:rPr>
        <w:t>2</w:t>
      </w:r>
      <w:r>
        <w:rPr>
          <w:rFonts w:hint="eastAsia" w:ascii="宋体"/>
          <w:szCs w:val="24"/>
          <w:highlight w:val="none"/>
        </w:rPr>
        <w:t>）乙方服务团队在合同有效期内，建立人才储备机制和培训机制，同时由A角和B角对项目进行支持工作。</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w:t>
      </w:r>
      <w:r>
        <w:rPr>
          <w:rFonts w:hint="eastAsia" w:ascii="宋体"/>
          <w:szCs w:val="24"/>
          <w:highlight w:val="none"/>
        </w:rPr>
        <w:t>按照SLA进行</w:t>
      </w:r>
      <w:r>
        <w:rPr>
          <w:rFonts w:ascii="宋体"/>
          <w:szCs w:val="24"/>
          <w:highlight w:val="none"/>
        </w:rPr>
        <w:t>赔偿。</w:t>
      </w:r>
    </w:p>
    <w:p w14:paraId="62E3B9B4">
      <w:pPr>
        <w:rPr>
          <w:rFonts w:ascii="宋体" w:hAnsi="宋体"/>
          <w:b/>
          <w:szCs w:val="24"/>
          <w:highlight w:val="none"/>
        </w:rPr>
      </w:pPr>
      <w:r>
        <w:rPr>
          <w:rFonts w:hint="eastAsia" w:ascii="宋体" w:hAnsi="宋体"/>
          <w:b/>
          <w:szCs w:val="24"/>
          <w:highlight w:val="none"/>
        </w:rPr>
        <w:t>（二）乙方服务团队无法提供正常服务，但乙方仍具备履约能力</w:t>
      </w:r>
    </w:p>
    <w:p w14:paraId="3011B62C">
      <w:pPr>
        <w:spacing w:line="360" w:lineRule="auto"/>
        <w:ind w:firstLine="559" w:firstLineChars="233"/>
        <w:rPr>
          <w:rFonts w:ascii="宋体"/>
          <w:szCs w:val="24"/>
          <w:highlight w:val="none"/>
        </w:rPr>
      </w:pPr>
      <w:r>
        <w:rPr>
          <w:rFonts w:hint="eastAsia" w:ascii="宋体"/>
          <w:szCs w:val="24"/>
          <w:highlight w:val="none"/>
        </w:rPr>
        <w:t>1.影响程度：外包服务完全中断</w:t>
      </w:r>
    </w:p>
    <w:p w14:paraId="310A81A8">
      <w:pPr>
        <w:spacing w:line="360" w:lineRule="auto"/>
        <w:ind w:firstLine="559" w:firstLineChars="233"/>
        <w:rPr>
          <w:rFonts w:ascii="宋体"/>
          <w:szCs w:val="24"/>
          <w:highlight w:val="none"/>
        </w:rPr>
      </w:pPr>
      <w:r>
        <w:rPr>
          <w:rFonts w:hint="eastAsia" w:ascii="宋体"/>
          <w:szCs w:val="24"/>
          <w:highlight w:val="none"/>
        </w:rPr>
        <w:t>2.规避措施：</w:t>
      </w:r>
    </w:p>
    <w:p w14:paraId="696DA045">
      <w:pPr>
        <w:spacing w:line="360" w:lineRule="auto"/>
        <w:ind w:firstLine="559" w:firstLineChars="233"/>
        <w:rPr>
          <w:rFonts w:ascii="宋体"/>
          <w:szCs w:val="24"/>
          <w:highlight w:val="none"/>
        </w:rPr>
      </w:pPr>
      <w:r>
        <w:rPr>
          <w:rFonts w:hint="eastAsia" w:ascii="宋体"/>
          <w:szCs w:val="24"/>
          <w:highlight w:val="none"/>
        </w:rPr>
        <w:t>1）乙方服务团队需按时按照甲方流程及制度规范提交项目各类文档；</w:t>
      </w:r>
    </w:p>
    <w:p w14:paraId="58CF88CB">
      <w:pPr>
        <w:spacing w:line="360" w:lineRule="auto"/>
        <w:ind w:firstLine="559" w:firstLineChars="233"/>
        <w:rPr>
          <w:rFonts w:ascii="宋体"/>
          <w:szCs w:val="24"/>
          <w:highlight w:val="none"/>
        </w:rPr>
      </w:pPr>
      <w:r>
        <w:rPr>
          <w:rFonts w:hint="eastAsia" w:ascii="宋体"/>
          <w:szCs w:val="24"/>
          <w:highlight w:val="none"/>
        </w:rPr>
        <w:t>2）乙方服务团队需制定合理的培训计划和培训内容，加强知识转移；</w:t>
      </w:r>
    </w:p>
    <w:p w14:paraId="7D8E1D66">
      <w:pPr>
        <w:spacing w:line="360" w:lineRule="auto"/>
        <w:ind w:firstLine="559" w:firstLineChars="233"/>
        <w:rPr>
          <w:rFonts w:ascii="宋体"/>
          <w:szCs w:val="24"/>
          <w:highlight w:val="none"/>
        </w:rPr>
      </w:pPr>
      <w:r>
        <w:rPr>
          <w:rFonts w:hint="eastAsia" w:ascii="宋体"/>
          <w:szCs w:val="24"/>
          <w:highlight w:val="none"/>
        </w:rPr>
        <w:t>3）如遇类似事件乙方提前10个工作日书面通知甲方项目经理；</w:t>
      </w:r>
    </w:p>
    <w:p w14:paraId="79475108">
      <w:pPr>
        <w:spacing w:line="360" w:lineRule="auto"/>
        <w:ind w:firstLine="559" w:firstLineChars="233"/>
        <w:rPr>
          <w:rFonts w:ascii="宋体"/>
          <w:szCs w:val="24"/>
          <w:highlight w:val="none"/>
        </w:rPr>
      </w:pPr>
      <w:r>
        <w:rPr>
          <w:rFonts w:ascii="宋体"/>
          <w:szCs w:val="24"/>
          <w:highlight w:val="none"/>
        </w:rPr>
        <w:t>4</w:t>
      </w:r>
      <w:r>
        <w:rPr>
          <w:rFonts w:hint="eastAsia" w:ascii="宋体"/>
          <w:szCs w:val="24"/>
          <w:highlight w:val="none"/>
        </w:rPr>
        <w:t>）乙方负责提前协调备用团队，并协调相应角色做好交接工作，协调方案经过甲方认可后，在10个工作日内将补充团队派驻入场，保障工作连续开展。</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p>
    <w:p w14:paraId="7B6274B7">
      <w:pPr>
        <w:rPr>
          <w:rFonts w:ascii="宋体" w:hAnsi="宋体"/>
          <w:b/>
          <w:szCs w:val="24"/>
          <w:highlight w:val="none"/>
        </w:rPr>
      </w:pPr>
      <w:r>
        <w:rPr>
          <w:rFonts w:hint="eastAsia" w:ascii="宋体" w:hAnsi="宋体"/>
          <w:b/>
          <w:szCs w:val="24"/>
          <w:highlight w:val="none"/>
        </w:rPr>
        <w:t>（三）乙方服务团队无法提供正常服务且乙方不具备恢复服务能力或意愿</w:t>
      </w:r>
    </w:p>
    <w:p w14:paraId="688FD818">
      <w:pPr>
        <w:spacing w:line="360" w:lineRule="auto"/>
        <w:ind w:firstLine="559" w:firstLineChars="233"/>
        <w:rPr>
          <w:rFonts w:ascii="宋体"/>
          <w:szCs w:val="24"/>
          <w:highlight w:val="none"/>
        </w:rPr>
      </w:pPr>
      <w:r>
        <w:rPr>
          <w:rFonts w:hint="eastAsia" w:ascii="宋体"/>
          <w:szCs w:val="24"/>
          <w:highlight w:val="none"/>
        </w:rPr>
        <w:t>1.影响程度：外包服务完全中断</w:t>
      </w:r>
    </w:p>
    <w:p w14:paraId="4B583D56">
      <w:pPr>
        <w:spacing w:line="360" w:lineRule="auto"/>
        <w:ind w:firstLine="559" w:firstLineChars="233"/>
        <w:rPr>
          <w:rFonts w:ascii="宋体"/>
          <w:szCs w:val="24"/>
          <w:highlight w:val="none"/>
        </w:rPr>
      </w:pPr>
      <w:r>
        <w:rPr>
          <w:rFonts w:hint="eastAsia" w:ascii="宋体"/>
          <w:szCs w:val="24"/>
          <w:highlight w:val="none"/>
        </w:rPr>
        <w:t>2.规避措施：</w:t>
      </w:r>
    </w:p>
    <w:p w14:paraId="684F2053">
      <w:pPr>
        <w:spacing w:line="360" w:lineRule="auto"/>
        <w:ind w:firstLine="559" w:firstLineChars="233"/>
        <w:rPr>
          <w:rFonts w:ascii="宋体"/>
          <w:szCs w:val="24"/>
          <w:highlight w:val="none"/>
        </w:rPr>
      </w:pPr>
      <w:r>
        <w:rPr>
          <w:rFonts w:hint="eastAsia" w:ascii="宋体"/>
          <w:szCs w:val="24"/>
          <w:highlight w:val="none"/>
        </w:rPr>
        <w:t>1）如遇类似事件乙方提前15个工作日书面通知甲方项目经理；</w:t>
      </w:r>
    </w:p>
    <w:p w14:paraId="703AE7AF">
      <w:pPr>
        <w:spacing w:line="360" w:lineRule="auto"/>
        <w:ind w:firstLine="559" w:firstLineChars="233"/>
        <w:rPr>
          <w:rFonts w:ascii="宋体"/>
          <w:szCs w:val="24"/>
          <w:highlight w:val="none"/>
        </w:rPr>
      </w:pPr>
      <w:r>
        <w:rPr>
          <w:rFonts w:ascii="宋体"/>
          <w:szCs w:val="24"/>
          <w:highlight w:val="none"/>
        </w:rPr>
        <w:t>2</w:t>
      </w:r>
      <w:r>
        <w:rPr>
          <w:rFonts w:hint="eastAsia" w:ascii="宋体"/>
          <w:szCs w:val="24"/>
          <w:highlight w:val="none"/>
        </w:rPr>
        <w:t>）乙方保证提前沟通协调人力资源，于10个工作日内提交所有阶段性项目文档，并完成甲方认可的所有工作交接和知识转移，包括不限于对替代供应商进行培训；</w:t>
      </w:r>
    </w:p>
    <w:p w14:paraId="3367B0D0">
      <w:pPr>
        <w:spacing w:line="360" w:lineRule="auto"/>
        <w:ind w:firstLine="559" w:firstLineChars="233"/>
        <w:rPr>
          <w:rFonts w:ascii="宋体"/>
          <w:szCs w:val="24"/>
          <w:highlight w:val="none"/>
        </w:rPr>
      </w:pPr>
      <w:r>
        <w:rPr>
          <w:rFonts w:ascii="宋体"/>
          <w:szCs w:val="24"/>
          <w:highlight w:val="none"/>
        </w:rPr>
        <w:t>3</w:t>
      </w:r>
      <w:r>
        <w:rPr>
          <w:rFonts w:hint="eastAsia" w:ascii="宋体"/>
          <w:szCs w:val="24"/>
          <w:highlight w:val="none"/>
        </w:rPr>
        <w:t>）允许推荐项目成员到与甲方合作良好的其他供应商任职或由甲方直接聘用。</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r>
        <w:rPr>
          <w:rFonts w:hint="eastAsia" w:ascii="宋体"/>
          <w:szCs w:val="24"/>
          <w:highlight w:val="none"/>
        </w:rPr>
        <w:t>。</w:t>
      </w:r>
    </w:p>
    <w:p w14:paraId="649BF1F9">
      <w:pPr>
        <w:rPr>
          <w:rFonts w:ascii="宋体" w:hAnsi="宋体"/>
          <w:b/>
          <w:szCs w:val="24"/>
          <w:highlight w:val="none"/>
        </w:rPr>
      </w:pPr>
      <w:r>
        <w:rPr>
          <w:rFonts w:hint="eastAsia" w:ascii="宋体" w:hAnsi="宋体"/>
          <w:b/>
          <w:szCs w:val="24"/>
          <w:highlight w:val="none"/>
        </w:rPr>
        <w:t>（四）乙方因资质变更、被收购、兼并或破产等原因致使其无法继续提供服务</w:t>
      </w:r>
    </w:p>
    <w:p w14:paraId="3A0BDF8D">
      <w:pPr>
        <w:spacing w:line="360" w:lineRule="auto"/>
        <w:ind w:firstLine="559" w:firstLineChars="233"/>
        <w:rPr>
          <w:rFonts w:ascii="宋体"/>
          <w:szCs w:val="24"/>
          <w:highlight w:val="none"/>
        </w:rPr>
      </w:pPr>
      <w:r>
        <w:rPr>
          <w:rFonts w:hint="eastAsia" w:ascii="宋体"/>
          <w:szCs w:val="24"/>
          <w:highlight w:val="none"/>
        </w:rPr>
        <w:t>1.影响程度：外包服务完全中断</w:t>
      </w:r>
    </w:p>
    <w:p w14:paraId="08E8FFDF">
      <w:pPr>
        <w:spacing w:line="360" w:lineRule="auto"/>
        <w:ind w:firstLine="559" w:firstLineChars="233"/>
        <w:rPr>
          <w:rFonts w:ascii="宋体"/>
          <w:szCs w:val="24"/>
          <w:highlight w:val="none"/>
        </w:rPr>
      </w:pPr>
      <w:r>
        <w:rPr>
          <w:rFonts w:hint="eastAsia" w:ascii="宋体"/>
          <w:szCs w:val="24"/>
          <w:highlight w:val="none"/>
        </w:rPr>
        <w:t>2.规避措施：</w:t>
      </w:r>
    </w:p>
    <w:p w14:paraId="2B53D0FD">
      <w:pPr>
        <w:spacing w:line="360" w:lineRule="auto"/>
        <w:ind w:firstLine="559" w:firstLineChars="233"/>
        <w:rPr>
          <w:rFonts w:ascii="宋体"/>
          <w:szCs w:val="24"/>
          <w:highlight w:val="none"/>
        </w:rPr>
      </w:pPr>
      <w:r>
        <w:rPr>
          <w:rFonts w:hint="eastAsia" w:ascii="宋体"/>
          <w:szCs w:val="24"/>
          <w:highlight w:val="none"/>
        </w:rPr>
        <w:t>1）如遇类似事件乙方提前20个工作日通知甲方项目经理；</w:t>
      </w:r>
    </w:p>
    <w:p w14:paraId="62AF9416">
      <w:pPr>
        <w:spacing w:line="360" w:lineRule="auto"/>
        <w:ind w:firstLine="559" w:firstLineChars="233"/>
        <w:rPr>
          <w:rFonts w:ascii="宋体"/>
          <w:szCs w:val="24"/>
          <w:highlight w:val="none"/>
        </w:rPr>
      </w:pPr>
      <w:r>
        <w:rPr>
          <w:rFonts w:ascii="宋体"/>
          <w:szCs w:val="24"/>
          <w:highlight w:val="none"/>
        </w:rPr>
        <w:t>2</w:t>
      </w:r>
      <w:r>
        <w:rPr>
          <w:rFonts w:hint="eastAsia" w:ascii="宋体"/>
          <w:szCs w:val="24"/>
          <w:highlight w:val="none"/>
        </w:rPr>
        <w:t>）根据开发合同约定提前与甲方进行沟通协商，做好代码、文档、服务等交接工作，减少对甲方的影响；</w:t>
      </w:r>
    </w:p>
    <w:p w14:paraId="2CBC3C2B">
      <w:pPr>
        <w:spacing w:line="360" w:lineRule="auto"/>
        <w:ind w:firstLine="559" w:firstLineChars="233"/>
        <w:rPr>
          <w:rFonts w:ascii="宋体"/>
          <w:szCs w:val="24"/>
          <w:highlight w:val="none"/>
        </w:rPr>
      </w:pPr>
      <w:r>
        <w:rPr>
          <w:rFonts w:ascii="宋体"/>
          <w:szCs w:val="24"/>
          <w:highlight w:val="none"/>
        </w:rPr>
        <w:t>3</w:t>
      </w:r>
      <w:r>
        <w:rPr>
          <w:rFonts w:hint="eastAsia" w:ascii="宋体"/>
          <w:szCs w:val="24"/>
          <w:highlight w:val="none"/>
        </w:rPr>
        <w:t>）乙方保证提前沟通协调人力资源，于15个工作日内提交所有阶段性项目文档，并完成甲方认可的所有工作交接和知识转移，包括不限于对替代供应商进行培训。</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r>
        <w:rPr>
          <w:rFonts w:hint="eastAsia" w:ascii="宋体"/>
          <w:szCs w:val="24"/>
          <w:highlight w:val="none"/>
        </w:rPr>
        <w:t>；</w:t>
      </w:r>
    </w:p>
    <w:p w14:paraId="625C9520">
      <w:pPr>
        <w:spacing w:line="360" w:lineRule="auto"/>
        <w:ind w:firstLine="559" w:firstLineChars="233"/>
        <w:rPr>
          <w:rFonts w:ascii="宋体"/>
          <w:szCs w:val="24"/>
          <w:highlight w:val="none"/>
        </w:rPr>
      </w:pPr>
      <w:r>
        <w:rPr>
          <w:rFonts w:ascii="宋体"/>
          <w:szCs w:val="24"/>
          <w:highlight w:val="none"/>
        </w:rPr>
        <w:t>4</w:t>
      </w:r>
      <w:r>
        <w:rPr>
          <w:rFonts w:hint="eastAsia" w:ascii="宋体"/>
          <w:szCs w:val="24"/>
          <w:highlight w:val="none"/>
        </w:rPr>
        <w:t>）允许推荐项目成员到与甲方合作良好的其他供应商任职或由甲方直接聘用。</w:t>
      </w:r>
    </w:p>
    <w:p w14:paraId="7BD904DE">
      <w:pPr>
        <w:rPr>
          <w:rFonts w:ascii="宋体" w:hAnsi="宋体"/>
          <w:b/>
          <w:szCs w:val="24"/>
          <w:highlight w:val="none"/>
        </w:rPr>
      </w:pPr>
      <w:r>
        <w:rPr>
          <w:rFonts w:hint="eastAsia" w:ascii="宋体" w:hAnsi="宋体"/>
          <w:b/>
          <w:szCs w:val="24"/>
          <w:highlight w:val="none"/>
        </w:rPr>
        <w:t>（五）乙方因不可抗力导致其主动退出（国家相关法律法规调整、遭受大规模自然灾害等）</w:t>
      </w:r>
    </w:p>
    <w:p w14:paraId="18E0C5B7">
      <w:pPr>
        <w:spacing w:line="360" w:lineRule="auto"/>
        <w:ind w:firstLine="559" w:firstLineChars="233"/>
        <w:rPr>
          <w:rFonts w:ascii="宋体"/>
          <w:szCs w:val="24"/>
          <w:highlight w:val="none"/>
        </w:rPr>
      </w:pPr>
      <w:r>
        <w:rPr>
          <w:rFonts w:hint="eastAsia" w:ascii="宋体"/>
          <w:szCs w:val="24"/>
          <w:highlight w:val="none"/>
        </w:rPr>
        <w:t>1.影响程度：外包服务完全中断</w:t>
      </w:r>
    </w:p>
    <w:p w14:paraId="4CEB19C9">
      <w:pPr>
        <w:spacing w:line="360" w:lineRule="auto"/>
        <w:ind w:firstLine="559" w:firstLineChars="233"/>
        <w:rPr>
          <w:rFonts w:ascii="宋体"/>
          <w:szCs w:val="24"/>
          <w:highlight w:val="none"/>
        </w:rPr>
      </w:pPr>
      <w:r>
        <w:rPr>
          <w:rFonts w:hint="eastAsia" w:ascii="宋体"/>
          <w:szCs w:val="24"/>
          <w:highlight w:val="none"/>
        </w:rPr>
        <w:t>2.规避措施：</w:t>
      </w:r>
    </w:p>
    <w:p w14:paraId="4B2E4124">
      <w:pPr>
        <w:spacing w:line="360" w:lineRule="auto"/>
        <w:ind w:firstLine="559" w:firstLineChars="233"/>
        <w:rPr>
          <w:rFonts w:ascii="宋体"/>
          <w:szCs w:val="24"/>
          <w:highlight w:val="none"/>
        </w:rPr>
      </w:pPr>
      <w:r>
        <w:rPr>
          <w:rFonts w:hint="eastAsia" w:ascii="宋体"/>
          <w:szCs w:val="24"/>
          <w:highlight w:val="none"/>
        </w:rPr>
        <w:t>1）如遇类似事件乙方应立即通知甲方项目经理。</w:t>
      </w:r>
    </w:p>
    <w:p w14:paraId="1F7D990C">
      <w:pPr>
        <w:spacing w:line="360" w:lineRule="auto"/>
        <w:ind w:firstLine="559" w:firstLineChars="233"/>
        <w:rPr>
          <w:rFonts w:ascii="宋体"/>
          <w:szCs w:val="24"/>
          <w:highlight w:val="none"/>
        </w:rPr>
      </w:pPr>
      <w:r>
        <w:rPr>
          <w:rFonts w:ascii="宋体"/>
          <w:szCs w:val="24"/>
          <w:highlight w:val="none"/>
        </w:rPr>
        <w:t>2</w:t>
      </w:r>
      <w:r>
        <w:rPr>
          <w:rFonts w:hint="eastAsia" w:ascii="宋体"/>
          <w:szCs w:val="24"/>
          <w:highlight w:val="none"/>
        </w:rPr>
        <w:t>）乙方与甲方及时进行协商，得出一致性解决方案，于15个工作日内提交所有阶段性项目文档，并完成甲方认可的所有工作交接和知识转移，降低突发事件的影响；</w:t>
      </w:r>
    </w:p>
    <w:p w14:paraId="41F06070">
      <w:pPr>
        <w:spacing w:line="360" w:lineRule="auto"/>
        <w:ind w:firstLine="559" w:firstLineChars="233"/>
        <w:rPr>
          <w:rFonts w:ascii="宋体"/>
          <w:szCs w:val="24"/>
          <w:highlight w:val="none"/>
        </w:rPr>
      </w:pPr>
      <w:r>
        <w:rPr>
          <w:rFonts w:ascii="宋体"/>
          <w:szCs w:val="24"/>
          <w:highlight w:val="none"/>
        </w:rPr>
        <w:t>3</w:t>
      </w:r>
      <w:r>
        <w:rPr>
          <w:rFonts w:hint="eastAsia" w:ascii="宋体"/>
          <w:szCs w:val="24"/>
          <w:highlight w:val="none"/>
        </w:rPr>
        <w:t>）允许推荐项目成员到与甲方合作良好的其他供应商任职或由甲方直接聘用。</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p>
    <w:p w14:paraId="313016D6">
      <w:pPr>
        <w:rPr>
          <w:rFonts w:ascii="宋体" w:hAnsi="宋体"/>
          <w:szCs w:val="24"/>
          <w:highlight w:val="none"/>
        </w:rPr>
      </w:pPr>
      <w:r>
        <w:rPr>
          <w:rFonts w:hint="eastAsia" w:ascii="宋体" w:hAnsi="宋体"/>
          <w:b/>
          <w:szCs w:val="24"/>
          <w:highlight w:val="none"/>
        </w:rPr>
        <w:t>四、应急处理阶段</w:t>
      </w:r>
    </w:p>
    <w:p w14:paraId="08AB3D44">
      <w:pPr>
        <w:rPr>
          <w:rFonts w:ascii="宋体" w:hAnsi="宋体"/>
          <w:b/>
          <w:szCs w:val="24"/>
          <w:highlight w:val="none"/>
        </w:rPr>
      </w:pPr>
      <w:r>
        <w:rPr>
          <w:rFonts w:hint="eastAsia" w:ascii="宋体" w:hAnsi="宋体"/>
          <w:b/>
          <w:szCs w:val="24"/>
          <w:highlight w:val="none"/>
        </w:rPr>
        <w:t>（一）项目实施过程中应急服务</w:t>
      </w:r>
    </w:p>
    <w:p w14:paraId="281A9BDA">
      <w:pPr>
        <w:spacing w:line="360" w:lineRule="auto"/>
        <w:ind w:firstLine="559" w:firstLineChars="233"/>
        <w:rPr>
          <w:rFonts w:ascii="宋体"/>
          <w:szCs w:val="24"/>
          <w:highlight w:val="none"/>
        </w:rPr>
      </w:pPr>
      <w:r>
        <w:rPr>
          <w:rFonts w:hint="eastAsia" w:ascii="宋体"/>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C9AD0B9">
      <w:pPr>
        <w:spacing w:line="360" w:lineRule="auto"/>
        <w:ind w:firstLine="559" w:firstLineChars="233"/>
        <w:rPr>
          <w:rFonts w:ascii="宋体"/>
          <w:szCs w:val="24"/>
          <w:highlight w:val="none"/>
        </w:rPr>
      </w:pPr>
      <w:r>
        <w:rPr>
          <w:rFonts w:hint="eastAsia" w:ascii="宋体"/>
          <w:szCs w:val="24"/>
          <w:highlight w:val="none"/>
        </w:rPr>
        <w:t>在应急事件处理完毕后，由乙方应急小组</w:t>
      </w:r>
      <w:r>
        <w:rPr>
          <w:rFonts w:ascii="宋体"/>
          <w:szCs w:val="24"/>
          <w:highlight w:val="none"/>
        </w:rPr>
        <w:t>对事件发生原因、性质、影响、后果、责任及应急处置能力、恢复重建等问题进行全面调查评估，总结经验教训，完善应急处理预案，整改</w:t>
      </w:r>
      <w:r>
        <w:rPr>
          <w:rFonts w:hint="eastAsia" w:ascii="宋体"/>
          <w:szCs w:val="24"/>
          <w:highlight w:val="none"/>
        </w:rPr>
        <w:t>项目服务过程中</w:t>
      </w:r>
      <w:r>
        <w:rPr>
          <w:rFonts w:ascii="宋体"/>
          <w:szCs w:val="24"/>
          <w:highlight w:val="none"/>
        </w:rPr>
        <w:t>存在的隐患</w:t>
      </w:r>
      <w:r>
        <w:rPr>
          <w:rFonts w:hint="eastAsia" w:ascii="宋体"/>
          <w:szCs w:val="24"/>
          <w:highlight w:val="none"/>
        </w:rPr>
        <w:t>问题</w:t>
      </w:r>
      <w:r>
        <w:rPr>
          <w:rFonts w:ascii="宋体"/>
          <w:szCs w:val="24"/>
          <w:highlight w:val="none"/>
        </w:rPr>
        <w:t>。</w:t>
      </w:r>
    </w:p>
    <w:p w14:paraId="67FF83F4">
      <w:pPr>
        <w:rPr>
          <w:rFonts w:ascii="宋体" w:hAnsi="宋体"/>
          <w:b/>
          <w:szCs w:val="24"/>
          <w:highlight w:val="none"/>
        </w:rPr>
      </w:pPr>
      <w:r>
        <w:rPr>
          <w:rFonts w:hint="eastAsia" w:ascii="宋体" w:hAnsi="宋体"/>
          <w:b/>
          <w:szCs w:val="24"/>
          <w:highlight w:val="none"/>
        </w:rPr>
        <w:t>（二）系统上线后应急服务</w:t>
      </w:r>
    </w:p>
    <w:p w14:paraId="1AAC532F">
      <w:pPr>
        <w:spacing w:line="360" w:lineRule="auto"/>
        <w:ind w:firstLine="559" w:firstLineChars="233"/>
        <w:rPr>
          <w:rFonts w:ascii="宋体"/>
          <w:szCs w:val="24"/>
          <w:highlight w:val="none"/>
        </w:rPr>
      </w:pPr>
      <w:r>
        <w:rPr>
          <w:rFonts w:hint="eastAsia" w:ascii="宋体"/>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2AA8E3F9">
      <w:pPr>
        <w:spacing w:line="360" w:lineRule="auto"/>
        <w:ind w:firstLine="559" w:firstLineChars="233"/>
        <w:rPr>
          <w:rFonts w:ascii="宋体"/>
          <w:szCs w:val="24"/>
          <w:highlight w:val="none"/>
        </w:rPr>
      </w:pPr>
      <w:r>
        <w:rPr>
          <w:rFonts w:hint="eastAsia" w:ascii="宋体"/>
          <w:szCs w:val="24"/>
          <w:highlight w:val="none"/>
        </w:rPr>
        <w:t>姓名:        手机号码：        邮箱：</w:t>
      </w:r>
    </w:p>
    <w:p w14:paraId="6AD4B7B4">
      <w:pPr>
        <w:spacing w:line="360" w:lineRule="auto"/>
        <w:ind w:firstLine="559" w:firstLineChars="233"/>
        <w:rPr>
          <w:rFonts w:ascii="宋体"/>
          <w:szCs w:val="24"/>
          <w:highlight w:val="none"/>
        </w:rPr>
      </w:pPr>
      <w:r>
        <w:rPr>
          <w:rFonts w:hint="eastAsia" w:ascii="宋体"/>
          <w:szCs w:val="24"/>
          <w:highlight w:val="none"/>
        </w:rPr>
        <w:t>姓名:        手机号码：        邮箱：</w:t>
      </w:r>
    </w:p>
    <w:p w14:paraId="62D6D677">
      <w:pPr>
        <w:spacing w:line="360" w:lineRule="auto"/>
        <w:ind w:firstLine="559" w:firstLineChars="233"/>
        <w:rPr>
          <w:rFonts w:ascii="宋体"/>
          <w:szCs w:val="24"/>
          <w:highlight w:val="none"/>
        </w:rPr>
      </w:pPr>
    </w:p>
    <w:p w14:paraId="2D9893B4">
      <w:pPr>
        <w:spacing w:line="360" w:lineRule="auto"/>
        <w:ind w:firstLine="559" w:firstLineChars="233"/>
        <w:rPr>
          <w:rFonts w:ascii="宋体"/>
          <w:szCs w:val="24"/>
          <w:highlight w:val="none"/>
        </w:rPr>
      </w:pPr>
    </w:p>
    <w:p w14:paraId="43DFF609">
      <w:pPr>
        <w:spacing w:line="360" w:lineRule="auto"/>
        <w:ind w:firstLine="0" w:firstLineChars="0"/>
        <w:rPr>
          <w:rFonts w:ascii="宋体"/>
          <w:szCs w:val="24"/>
          <w:highlight w:val="none"/>
        </w:rPr>
      </w:pPr>
    </w:p>
    <w:p w14:paraId="47C86CFA">
      <w:pPr>
        <w:spacing w:line="360" w:lineRule="auto"/>
        <w:ind w:firstLine="0" w:firstLineChars="0"/>
        <w:rPr>
          <w:rFonts w:ascii="宋体"/>
          <w:szCs w:val="24"/>
          <w:highlight w:val="none"/>
        </w:rPr>
      </w:pPr>
    </w:p>
    <w:p w14:paraId="5E6B5BC9">
      <w:pPr>
        <w:spacing w:line="360" w:lineRule="auto"/>
        <w:ind w:firstLine="0" w:firstLineChars="0"/>
        <w:rPr>
          <w:rFonts w:ascii="宋体"/>
          <w:szCs w:val="24"/>
          <w:highlight w:val="none"/>
        </w:rPr>
      </w:pPr>
    </w:p>
    <w:p w14:paraId="13CDC5EB">
      <w:pPr>
        <w:spacing w:line="360" w:lineRule="auto"/>
        <w:ind w:firstLine="0" w:firstLineChars="0"/>
        <w:rPr>
          <w:rFonts w:ascii="宋体"/>
          <w:szCs w:val="24"/>
          <w:highlight w:val="none"/>
        </w:rPr>
      </w:pPr>
    </w:p>
    <w:p w14:paraId="21FE728D">
      <w:pPr>
        <w:spacing w:line="360" w:lineRule="auto"/>
        <w:ind w:firstLine="0" w:firstLineChars="0"/>
        <w:rPr>
          <w:rFonts w:ascii="宋体"/>
          <w:szCs w:val="24"/>
          <w:highlight w:val="none"/>
        </w:rPr>
      </w:pPr>
    </w:p>
    <w:p w14:paraId="03732C3C">
      <w:pPr>
        <w:spacing w:line="360" w:lineRule="auto"/>
        <w:ind w:firstLine="0" w:firstLineChars="0"/>
        <w:rPr>
          <w:rFonts w:ascii="宋体"/>
          <w:szCs w:val="24"/>
          <w:highlight w:val="none"/>
        </w:rPr>
      </w:pPr>
    </w:p>
    <w:p w14:paraId="5A1C0E73">
      <w:pPr>
        <w:ind w:firstLine="0" w:firstLineChars="0"/>
        <w:jc w:val="center"/>
        <w:rPr>
          <w:rFonts w:ascii="Times New Roman" w:hAnsi="Times New Roman"/>
          <w:highlight w:val="none"/>
        </w:rPr>
      </w:pPr>
    </w:p>
    <w:p w14:paraId="07939265">
      <w:pPr>
        <w:pStyle w:val="2"/>
        <w:rPr>
          <w:rFonts w:ascii="Times New Roman" w:hAnsi="Times New Roman"/>
          <w:highlight w:val="none"/>
        </w:rPr>
      </w:pPr>
      <w:bookmarkStart w:id="146" w:name="_Toc7021"/>
      <w:r>
        <w:rPr>
          <w:rFonts w:hint="eastAsia" w:ascii="Times New Roman" w:hAnsi="Times New Roman"/>
          <w:highlight w:val="none"/>
        </w:rPr>
        <w:t>第六章 参选文件</w:t>
      </w:r>
      <w:bookmarkEnd w:id="96"/>
      <w:bookmarkEnd w:id="97"/>
      <w:bookmarkStart w:id="147" w:name="_Toc303066035"/>
      <w:r>
        <w:rPr>
          <w:rFonts w:hint="eastAsia" w:ascii="Times New Roman" w:hAnsi="Times New Roman"/>
          <w:highlight w:val="none"/>
        </w:rPr>
        <w:t>格式</w:t>
      </w:r>
      <w:bookmarkEnd w:id="146"/>
    </w:p>
    <w:bookmarkEnd w:id="147"/>
    <w:p w14:paraId="5E871B91">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294B2286">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5503B40F">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u w:val="single"/>
        </w:rPr>
      </w:pPr>
      <w:r>
        <w:rPr>
          <w:rFonts w:hint="eastAsia" w:ascii="Times New Roman" w:hAnsi="Times New Roman" w:cs="Times New Roman"/>
          <w:b/>
          <w:snapToGrid w:val="0"/>
          <w:kern w:val="0"/>
          <w:sz w:val="48"/>
          <w:szCs w:val="84"/>
          <w:highlight w:val="none"/>
        </w:rPr>
        <w:t>2024年度新一代核心系统持续优化项目</w:t>
      </w:r>
      <w:r>
        <w:rPr>
          <w:rFonts w:hint="eastAsia" w:ascii="Times New Roman" w:hAnsi="Times New Roman" w:cs="Times New Roman"/>
          <w:b/>
          <w:snapToGrid w:val="0"/>
          <w:kern w:val="0"/>
          <w:sz w:val="48"/>
          <w:szCs w:val="84"/>
          <w:highlight w:val="none"/>
          <w:lang w:eastAsia="zh-CN"/>
        </w:rPr>
        <w:t>（</w:t>
      </w:r>
      <w:r>
        <w:rPr>
          <w:rFonts w:hint="eastAsia" w:ascii="Times New Roman" w:hAnsi="Times New Roman" w:cs="Times New Roman"/>
          <w:b/>
          <w:snapToGrid w:val="0"/>
          <w:kern w:val="0"/>
          <w:sz w:val="48"/>
          <w:szCs w:val="84"/>
          <w:highlight w:val="none"/>
          <w:lang w:val="en-US" w:eastAsia="zh-CN"/>
        </w:rPr>
        <w:t>第二次</w:t>
      </w:r>
      <w:r>
        <w:rPr>
          <w:rFonts w:hint="eastAsia" w:ascii="Times New Roman" w:hAnsi="Times New Roman" w:cs="Times New Roman"/>
          <w:b/>
          <w:snapToGrid w:val="0"/>
          <w:kern w:val="0"/>
          <w:sz w:val="48"/>
          <w:szCs w:val="84"/>
          <w:highlight w:val="none"/>
          <w:lang w:eastAsia="zh-CN"/>
        </w:rPr>
        <w:t>）</w:t>
      </w:r>
    </w:p>
    <w:p w14:paraId="449C8F39">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7B107E72">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2F9AE63B">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1B2ED77B">
      <w:pPr>
        <w:adjustRightInd w:val="0"/>
        <w:snapToGrid w:val="0"/>
        <w:spacing w:line="360" w:lineRule="auto"/>
        <w:ind w:firstLine="0" w:firstLineChars="0"/>
        <w:jc w:val="center"/>
        <w:rPr>
          <w:rFonts w:ascii="Times New Roman" w:hAnsi="Times New Roman"/>
          <w:kern w:val="0"/>
          <w:sz w:val="16"/>
          <w:highlight w:val="none"/>
        </w:rPr>
      </w:pPr>
    </w:p>
    <w:p w14:paraId="5EF42BFB">
      <w:pPr>
        <w:adjustRightInd w:val="0"/>
        <w:snapToGrid w:val="0"/>
        <w:spacing w:line="360" w:lineRule="auto"/>
        <w:ind w:firstLine="0" w:firstLineChars="0"/>
        <w:jc w:val="center"/>
        <w:rPr>
          <w:rFonts w:ascii="Times New Roman" w:hAnsi="Times New Roman"/>
          <w:b/>
          <w:kern w:val="0"/>
          <w:sz w:val="20"/>
          <w:highlight w:val="none"/>
        </w:rPr>
      </w:pPr>
    </w:p>
    <w:p w14:paraId="31950A2F">
      <w:pPr>
        <w:adjustRightInd w:val="0"/>
        <w:snapToGrid w:val="0"/>
        <w:spacing w:line="360" w:lineRule="auto"/>
        <w:ind w:firstLine="0" w:firstLineChars="0"/>
        <w:jc w:val="center"/>
        <w:rPr>
          <w:rFonts w:ascii="Times New Roman" w:hAnsi="Times New Roman"/>
          <w:b/>
          <w:kern w:val="0"/>
          <w:sz w:val="20"/>
          <w:highlight w:val="none"/>
        </w:rPr>
      </w:pPr>
    </w:p>
    <w:p w14:paraId="4C446DE1">
      <w:pPr>
        <w:adjustRightInd w:val="0"/>
        <w:snapToGrid w:val="0"/>
        <w:spacing w:line="360" w:lineRule="auto"/>
        <w:ind w:firstLine="0" w:firstLineChars="0"/>
        <w:jc w:val="center"/>
        <w:rPr>
          <w:rFonts w:ascii="Times New Roman" w:hAnsi="Times New Roman"/>
          <w:b/>
          <w:kern w:val="0"/>
          <w:sz w:val="20"/>
          <w:highlight w:val="none"/>
        </w:rPr>
      </w:pPr>
    </w:p>
    <w:p w14:paraId="7FA49AB1">
      <w:pPr>
        <w:adjustRightInd w:val="0"/>
        <w:snapToGrid w:val="0"/>
        <w:spacing w:line="360" w:lineRule="auto"/>
        <w:ind w:firstLine="0" w:firstLineChars="0"/>
        <w:jc w:val="center"/>
        <w:rPr>
          <w:rFonts w:ascii="Times New Roman" w:hAnsi="Times New Roman"/>
          <w:b/>
          <w:kern w:val="0"/>
          <w:sz w:val="20"/>
          <w:highlight w:val="none"/>
        </w:rPr>
      </w:pPr>
    </w:p>
    <w:p w14:paraId="3309D81E">
      <w:pPr>
        <w:adjustRightInd w:val="0"/>
        <w:snapToGrid w:val="0"/>
        <w:spacing w:line="360" w:lineRule="auto"/>
        <w:ind w:firstLine="0" w:firstLineChars="0"/>
        <w:jc w:val="center"/>
        <w:rPr>
          <w:rFonts w:ascii="Times New Roman" w:hAnsi="Times New Roman"/>
          <w:b/>
          <w:kern w:val="0"/>
          <w:sz w:val="20"/>
          <w:highlight w:val="none"/>
        </w:rPr>
      </w:pPr>
    </w:p>
    <w:p w14:paraId="07F8B3DA">
      <w:pPr>
        <w:adjustRightInd w:val="0"/>
        <w:snapToGrid w:val="0"/>
        <w:spacing w:line="360" w:lineRule="auto"/>
        <w:ind w:firstLine="0" w:firstLineChars="0"/>
        <w:jc w:val="center"/>
        <w:rPr>
          <w:rFonts w:ascii="Times New Roman" w:hAnsi="Times New Roman"/>
          <w:b/>
          <w:kern w:val="0"/>
          <w:sz w:val="20"/>
          <w:highlight w:val="none"/>
        </w:rPr>
      </w:pPr>
    </w:p>
    <w:p w14:paraId="5B2FD68E">
      <w:pPr>
        <w:adjustRightInd w:val="0"/>
        <w:snapToGrid w:val="0"/>
        <w:spacing w:line="360" w:lineRule="auto"/>
        <w:ind w:firstLine="0" w:firstLineChars="0"/>
        <w:jc w:val="center"/>
        <w:rPr>
          <w:rFonts w:ascii="Times New Roman" w:hAnsi="Times New Roman"/>
          <w:b/>
          <w:kern w:val="0"/>
          <w:sz w:val="20"/>
          <w:highlight w:val="none"/>
        </w:rPr>
      </w:pPr>
    </w:p>
    <w:p w14:paraId="31395C50">
      <w:pPr>
        <w:adjustRightInd w:val="0"/>
        <w:snapToGrid w:val="0"/>
        <w:spacing w:line="360" w:lineRule="auto"/>
        <w:ind w:firstLine="0" w:firstLineChars="0"/>
        <w:jc w:val="center"/>
        <w:rPr>
          <w:rFonts w:ascii="Times New Roman" w:hAnsi="Times New Roman"/>
          <w:b/>
          <w:kern w:val="0"/>
          <w:sz w:val="20"/>
          <w:highlight w:val="none"/>
        </w:rPr>
      </w:pPr>
    </w:p>
    <w:p w14:paraId="451AE6F6">
      <w:pPr>
        <w:adjustRightInd w:val="0"/>
        <w:snapToGrid w:val="0"/>
        <w:spacing w:line="360" w:lineRule="auto"/>
        <w:ind w:firstLine="0" w:firstLineChars="0"/>
        <w:jc w:val="center"/>
        <w:rPr>
          <w:rFonts w:ascii="Times New Roman" w:hAnsi="Times New Roman"/>
          <w:b/>
          <w:kern w:val="0"/>
          <w:sz w:val="20"/>
          <w:highlight w:val="none"/>
        </w:rPr>
      </w:pPr>
    </w:p>
    <w:p w14:paraId="732ACAA4">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7761D2F2">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/委托代理人：</w:t>
      </w:r>
      <w:r>
        <w:rPr>
          <w:rFonts w:hint="eastAsia" w:ascii="Times New Roman" w:hAnsi="Times New Roman"/>
          <w:highlight w:val="none"/>
          <w:u w:val="single"/>
        </w:rPr>
        <w:t xml:space="preserve">              </w:t>
      </w:r>
      <w:r>
        <w:rPr>
          <w:rFonts w:hint="eastAsia" w:ascii="Times New Roman" w:hAnsi="Times New Roman"/>
          <w:highlight w:val="none"/>
        </w:rPr>
        <w:t>（签字</w:t>
      </w:r>
      <w:r>
        <w:rPr>
          <w:rFonts w:hint="eastAsia" w:ascii="Times New Roman" w:hAnsi="Times New Roman"/>
          <w:highlight w:val="none"/>
          <w:lang w:val="en-US" w:eastAsia="zh-CN"/>
        </w:rPr>
        <w:t>或盖章</w:t>
      </w:r>
      <w:r>
        <w:rPr>
          <w:rFonts w:hint="eastAsia" w:ascii="Times New Roman" w:hAnsi="Times New Roman"/>
          <w:highlight w:val="none"/>
        </w:rPr>
        <w:t>）</w:t>
      </w:r>
    </w:p>
    <w:p w14:paraId="7E838589">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083A7DEA">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3FFF9CC4">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5AE6B986">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2CF0B2B1">
      <w:pPr>
        <w:tabs>
          <w:tab w:val="left" w:pos="6300"/>
        </w:tabs>
        <w:snapToGrid w:val="0"/>
        <w:spacing w:line="360" w:lineRule="auto"/>
        <w:ind w:firstLine="0" w:firstLineChars="0"/>
        <w:jc w:val="center"/>
        <w:rPr>
          <w:rFonts w:ascii="Times New Roman" w:hAnsi="Times New Roman"/>
          <w:snapToGrid w:val="0"/>
          <w:kern w:val="0"/>
          <w:szCs w:val="28"/>
          <w:highlight w:val="none"/>
        </w:rPr>
        <w:sectPr>
          <w:pgSz w:w="11906" w:h="16838"/>
          <w:pgMar w:top="1440" w:right="1800" w:bottom="1440" w:left="1800" w:header="851" w:footer="992" w:gutter="0"/>
          <w:pgNumType w:start="1"/>
          <w:cols w:space="720" w:num="1"/>
          <w:docGrid w:type="lines" w:linePitch="312" w:charSpace="0"/>
        </w:sectPr>
      </w:pPr>
    </w:p>
    <w:p w14:paraId="7CAE9458">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086EE209">
      <w:pPr>
        <w:rPr>
          <w:rFonts w:ascii="Times New Roman" w:hAnsi="Times New Roman"/>
          <w:highlight w:val="none"/>
        </w:rPr>
      </w:pPr>
      <w:r>
        <w:rPr>
          <w:rFonts w:hint="eastAsia" w:ascii="Times New Roman" w:hAnsi="Times New Roman"/>
          <w:highlight w:val="none"/>
        </w:rPr>
        <w:t>一、参选函</w:t>
      </w:r>
    </w:p>
    <w:p w14:paraId="3D86FA0C">
      <w:pPr>
        <w:rPr>
          <w:rFonts w:hint="eastAsia" w:ascii="Times New Roman" w:hAnsi="Times New Roman"/>
          <w:highlight w:val="none"/>
          <w:lang w:val="en-US" w:eastAsia="zh-CN"/>
        </w:rPr>
      </w:pPr>
      <w:r>
        <w:rPr>
          <w:rFonts w:hint="eastAsia" w:ascii="Times New Roman" w:hAnsi="Times New Roman"/>
          <w:highlight w:val="none"/>
        </w:rPr>
        <w:t>二、</w:t>
      </w:r>
      <w:r>
        <w:rPr>
          <w:rFonts w:hint="eastAsia" w:ascii="Times New Roman" w:hAnsi="Times New Roman"/>
          <w:highlight w:val="none"/>
          <w:lang w:val="en-US" w:eastAsia="zh-CN"/>
        </w:rPr>
        <w:t>报价一览表</w:t>
      </w:r>
    </w:p>
    <w:p w14:paraId="782DF293">
      <w:pPr>
        <w:rPr>
          <w:rFonts w:ascii="Times New Roman" w:hAnsi="Times New Roman"/>
          <w:highlight w:val="none"/>
        </w:rPr>
      </w:pPr>
      <w:r>
        <w:rPr>
          <w:rFonts w:hint="eastAsia" w:ascii="Times New Roman" w:hAnsi="Times New Roman"/>
          <w:highlight w:val="none"/>
        </w:rPr>
        <w:t>三、资格性文件</w:t>
      </w:r>
    </w:p>
    <w:p w14:paraId="3B1FDAF3">
      <w:pPr>
        <w:rPr>
          <w:rFonts w:ascii="Times New Roman" w:hAnsi="Times New Roman"/>
          <w:highlight w:val="none"/>
        </w:rPr>
      </w:pPr>
      <w:r>
        <w:rPr>
          <w:rFonts w:ascii="Times New Roman" w:hAnsi="Times New Roman"/>
          <w:highlight w:val="none"/>
        </w:rPr>
        <w:t>（一）参选人基本情况介绍，资质证明等</w:t>
      </w:r>
    </w:p>
    <w:p w14:paraId="253CEEF2">
      <w:pPr>
        <w:rPr>
          <w:rFonts w:ascii="Times New Roman" w:hAnsi="Times New Roman"/>
          <w:highlight w:val="none"/>
        </w:rPr>
      </w:pPr>
      <w:r>
        <w:rPr>
          <w:rFonts w:ascii="Times New Roman" w:hAnsi="Times New Roman"/>
          <w:highlight w:val="none"/>
        </w:rPr>
        <w:t>（二）法定代表人身份证明及授权委托书</w:t>
      </w:r>
    </w:p>
    <w:p w14:paraId="43A769E0">
      <w:pPr>
        <w:rPr>
          <w:rFonts w:ascii="Times New Roman" w:hAnsi="Times New Roman"/>
          <w:highlight w:val="none"/>
        </w:rPr>
      </w:pPr>
      <w:r>
        <w:rPr>
          <w:rFonts w:hint="eastAsia" w:ascii="Times New Roman" w:hAnsi="Times New Roman"/>
          <w:highlight w:val="none"/>
        </w:rPr>
        <w:t>（三）书面声明</w:t>
      </w:r>
    </w:p>
    <w:p w14:paraId="4D3BC3FC">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63DFF88A">
      <w:pPr>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w:t>
      </w:r>
      <w:r>
        <w:rPr>
          <w:rFonts w:ascii="Times New Roman" w:hAnsi="Times New Roman"/>
          <w:highlight w:val="none"/>
        </w:rPr>
        <w:t>其他（如有）</w:t>
      </w:r>
    </w:p>
    <w:p w14:paraId="69C24679">
      <w:pPr>
        <w:rPr>
          <w:rFonts w:hint="eastAsia" w:ascii="Times New Roman" w:hAnsi="Times New Roman"/>
          <w:highlight w:val="none"/>
          <w:lang w:val="en-US" w:eastAsia="zh-CN"/>
        </w:rPr>
      </w:pPr>
      <w:r>
        <w:rPr>
          <w:rFonts w:hint="eastAsia" w:ascii="Times New Roman" w:hAnsi="Times New Roman"/>
          <w:highlight w:val="none"/>
        </w:rPr>
        <w:t>四、响应</w:t>
      </w:r>
      <w:r>
        <w:rPr>
          <w:rFonts w:hint="eastAsia" w:ascii="Times New Roman" w:hAnsi="Times New Roman"/>
          <w:highlight w:val="none"/>
          <w:lang w:val="en-US" w:eastAsia="zh-CN"/>
        </w:rPr>
        <w:t>性文件</w:t>
      </w:r>
    </w:p>
    <w:p w14:paraId="143665AC">
      <w:pPr>
        <w:rPr>
          <w:rFonts w:ascii="Times New Roman" w:hAnsi="Times New Roman"/>
          <w:highlight w:val="none"/>
        </w:rPr>
      </w:pPr>
      <w:r>
        <w:rPr>
          <w:rFonts w:hint="eastAsia" w:ascii="Times New Roman" w:hAnsi="Times New Roman"/>
          <w:highlight w:val="none"/>
        </w:rPr>
        <w:t>（一）响应承诺函</w:t>
      </w:r>
    </w:p>
    <w:p w14:paraId="50B5D3EC">
      <w:pPr>
        <w:rPr>
          <w:rFonts w:ascii="Times New Roman" w:hAnsi="Times New Roman" w:cs="Times New Roman"/>
          <w:highlight w:val="none"/>
        </w:rPr>
      </w:pPr>
      <w:r>
        <w:rPr>
          <w:rFonts w:ascii="Times New Roman" w:hAnsi="Times New Roman" w:cs="Times New Roman"/>
          <w:highlight w:val="none"/>
        </w:rPr>
        <w:t>（二）近半年公司为项目组成员缴纳社保的证明材料</w:t>
      </w:r>
    </w:p>
    <w:p w14:paraId="16C77205">
      <w:pPr>
        <w:rPr>
          <w:rFonts w:hint="eastAsia" w:ascii="Times New Roman" w:hAnsi="Times New Roman"/>
          <w:highlight w:val="none"/>
          <w:lang w:val="en-US" w:eastAsia="zh-CN"/>
        </w:rPr>
      </w:pPr>
      <w:r>
        <w:rPr>
          <w:rFonts w:ascii="Times New Roman" w:hAnsi="Times New Roman" w:cs="Times New Roman"/>
          <w:highlight w:val="none"/>
        </w:rPr>
        <w:t>（三）</w:t>
      </w:r>
      <w:r>
        <w:rPr>
          <w:rFonts w:hint="eastAsia" w:ascii="Times New Roman" w:hAnsi="Times New Roman"/>
          <w:highlight w:val="none"/>
          <w:lang w:val="en-US" w:eastAsia="zh-CN"/>
        </w:rPr>
        <w:t>售后服务方案</w:t>
      </w:r>
    </w:p>
    <w:p w14:paraId="1A113F54">
      <w:pPr>
        <w:ind w:firstLine="480"/>
        <w:rPr>
          <w:rFonts w:hint="eastAsia" w:ascii="Times New Roman" w:hAnsi="Times New Roman"/>
          <w:highlight w:val="none"/>
          <w:lang w:val="en-US" w:eastAsia="zh-CN"/>
        </w:rPr>
      </w:pPr>
      <w:r>
        <w:rPr>
          <w:rFonts w:hint="eastAsia" w:ascii="Times New Roman" w:hAnsi="Times New Roman"/>
          <w:highlight w:val="none"/>
          <w:lang w:val="en-US" w:eastAsia="zh-CN"/>
        </w:rPr>
        <w:t>（四）</w:t>
      </w:r>
      <w:r>
        <w:rPr>
          <w:rFonts w:hint="eastAsia" w:ascii="Times New Roman" w:hAnsi="Times New Roman"/>
          <w:highlight w:val="none"/>
        </w:rPr>
        <w:t>项目实施方案</w:t>
      </w:r>
    </w:p>
    <w:p w14:paraId="16196CA9">
      <w:pPr>
        <w:ind w:firstLine="480"/>
        <w:rPr>
          <w:rFonts w:hint="eastAsia"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五</w:t>
      </w:r>
      <w:r>
        <w:rPr>
          <w:rFonts w:hint="eastAsia" w:ascii="Times New Roman" w:hAnsi="Times New Roman"/>
          <w:highlight w:val="none"/>
          <w:lang w:eastAsia="zh-CN"/>
        </w:rPr>
        <w:t>）</w:t>
      </w:r>
      <w:r>
        <w:rPr>
          <w:rFonts w:hint="eastAsia" w:ascii="Times New Roman" w:hAnsi="Times New Roman"/>
          <w:highlight w:val="none"/>
        </w:rPr>
        <w:t>服务连续性预案</w:t>
      </w:r>
    </w:p>
    <w:p w14:paraId="172DAACB">
      <w:pPr>
        <w:ind w:firstLine="480"/>
        <w:rPr>
          <w:rFonts w:hint="default" w:ascii="Times New Roman" w:hAnsi="Times New Roman" w:eastAsia="宋体"/>
          <w:highlight w:val="none"/>
          <w:lang w:val="en-US"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六</w:t>
      </w:r>
      <w:r>
        <w:rPr>
          <w:rFonts w:hint="eastAsia" w:ascii="Times New Roman" w:hAnsi="Times New Roman"/>
          <w:highlight w:val="none"/>
          <w:lang w:eastAsia="zh-CN"/>
        </w:rPr>
        <w:t>）</w:t>
      </w:r>
      <w:r>
        <w:rPr>
          <w:rFonts w:hint="eastAsia" w:ascii="Times New Roman" w:hAnsi="Times New Roman"/>
          <w:highlight w:val="none"/>
          <w:lang w:val="en-US" w:eastAsia="zh-CN"/>
        </w:rPr>
        <w:t>服务水平协议（SLA）</w:t>
      </w:r>
    </w:p>
    <w:p w14:paraId="02956325">
      <w:pPr>
        <w:ind w:firstLine="480"/>
        <w:rPr>
          <w:rFonts w:hint="default" w:ascii="Times New Roman" w:hAnsi="Times New Roman" w:eastAsia="宋体"/>
          <w:highlight w:val="none"/>
          <w:lang w:val="en-US"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七</w:t>
      </w:r>
      <w:r>
        <w:rPr>
          <w:rFonts w:hint="eastAsia" w:ascii="Times New Roman" w:hAnsi="Times New Roman"/>
          <w:highlight w:val="none"/>
          <w:lang w:eastAsia="zh-CN"/>
        </w:rPr>
        <w:t>）</w:t>
      </w:r>
      <w:r>
        <w:rPr>
          <w:rFonts w:ascii="Times New Roman" w:hAnsi="Times New Roman"/>
          <w:highlight w:val="none"/>
        </w:rPr>
        <w:t>其他（如有）</w:t>
      </w:r>
    </w:p>
    <w:p w14:paraId="40DB753B">
      <w:pPr>
        <w:ind w:firstLine="480" w:firstLineChars="200"/>
        <w:rPr>
          <w:rFonts w:hint="eastAsia" w:ascii="Times New Roman" w:hAnsi="Times New Roman"/>
          <w:highlight w:val="none"/>
        </w:rPr>
      </w:pPr>
      <w:r>
        <w:rPr>
          <w:rFonts w:hint="eastAsia" w:ascii="Times New Roman" w:hAnsi="Times New Roman"/>
          <w:highlight w:val="none"/>
        </w:rPr>
        <w:t>五、</w:t>
      </w:r>
      <w:r>
        <w:rPr>
          <w:rFonts w:hint="eastAsia" w:ascii="Times New Roman" w:hAnsi="Times New Roman"/>
          <w:color w:val="auto"/>
          <w:highlight w:val="none"/>
        </w:rPr>
        <w:t>项目组成员</w:t>
      </w:r>
      <w:r>
        <w:rPr>
          <w:rFonts w:hint="eastAsia" w:ascii="Times New Roman" w:hAnsi="Times New Roman"/>
          <w:color w:val="auto"/>
          <w:highlight w:val="none"/>
          <w:lang w:val="en-US" w:eastAsia="zh-CN"/>
        </w:rPr>
        <w:t>个人</w:t>
      </w:r>
      <w:r>
        <w:rPr>
          <w:rFonts w:hint="eastAsia" w:ascii="Times New Roman" w:hAnsi="Times New Roman"/>
          <w:color w:val="auto"/>
          <w:highlight w:val="none"/>
        </w:rPr>
        <w:t>简历表</w:t>
      </w:r>
      <w:r>
        <w:rPr>
          <w:rFonts w:hint="eastAsia" w:ascii="Times New Roman" w:hAnsi="Times New Roman"/>
          <w:highlight w:val="none"/>
          <w:lang w:val="en-US" w:eastAsia="zh-CN"/>
        </w:rPr>
        <w:t>及相关证明材料</w:t>
      </w:r>
    </w:p>
    <w:p w14:paraId="4CB35727">
      <w:pPr>
        <w:rPr>
          <w:rFonts w:ascii="Times New Roman" w:hAnsi="Times New Roman"/>
          <w:highlight w:val="none"/>
        </w:rPr>
      </w:pPr>
      <w:r>
        <w:rPr>
          <w:rFonts w:hint="eastAsia" w:ascii="Times New Roman" w:hAnsi="Times New Roman"/>
          <w:highlight w:val="none"/>
          <w:lang w:val="en-US" w:eastAsia="zh-CN"/>
        </w:rPr>
        <w:t>六、</w:t>
      </w:r>
      <w:r>
        <w:rPr>
          <w:rFonts w:hint="eastAsia" w:ascii="Times New Roman" w:hAnsi="Times New Roman"/>
          <w:highlight w:val="none"/>
        </w:rPr>
        <w:t>参选保证金</w:t>
      </w:r>
    </w:p>
    <w:p w14:paraId="06A3F4C9">
      <w:pPr>
        <w:rPr>
          <w:rFonts w:ascii="Times New Roman" w:hAnsi="Times New Roman"/>
          <w:highlight w:val="none"/>
        </w:rPr>
      </w:pPr>
      <w:r>
        <w:rPr>
          <w:rFonts w:hint="eastAsia" w:ascii="Times New Roman" w:hAnsi="Times New Roman"/>
          <w:highlight w:val="none"/>
          <w:lang w:val="en-US" w:eastAsia="zh-CN"/>
        </w:rPr>
        <w:t>七</w:t>
      </w:r>
      <w:r>
        <w:rPr>
          <w:rFonts w:hint="eastAsia" w:ascii="Times New Roman" w:hAnsi="Times New Roman"/>
          <w:highlight w:val="none"/>
        </w:rPr>
        <w:t>、其他（如有）</w:t>
      </w:r>
    </w:p>
    <w:p w14:paraId="68AFB634">
      <w:pPr>
        <w:spacing w:line="360" w:lineRule="auto"/>
        <w:rPr>
          <w:rFonts w:ascii="Times New Roman" w:hAnsi="Times New Roman" w:cs="宋体"/>
          <w:highlight w:val="none"/>
        </w:rPr>
      </w:pPr>
    </w:p>
    <w:p w14:paraId="25D2D988">
      <w:pPr>
        <w:spacing w:line="360" w:lineRule="auto"/>
        <w:rPr>
          <w:rFonts w:ascii="Times New Roman" w:hAnsi="Times New Roman" w:cs="宋体"/>
          <w:highlight w:val="none"/>
        </w:rPr>
      </w:pPr>
    </w:p>
    <w:p w14:paraId="07610AEB">
      <w:pPr>
        <w:spacing w:line="360" w:lineRule="auto"/>
        <w:ind w:firstLine="0" w:firstLineChars="0"/>
        <w:jc w:val="center"/>
        <w:outlineLvl w:val="1"/>
        <w:rPr>
          <w:rStyle w:val="28"/>
          <w:rFonts w:ascii="Times New Roman" w:hAnsi="Times New Roman"/>
          <w:highlight w:val="none"/>
        </w:rPr>
      </w:pPr>
      <w:r>
        <w:rPr>
          <w:rFonts w:hint="eastAsia" w:ascii="Times New Roman" w:hAnsi="Times New Roman" w:cs="宋体"/>
          <w:highlight w:val="none"/>
        </w:rPr>
        <w:br w:type="page"/>
      </w:r>
      <w:r>
        <w:rPr>
          <w:rStyle w:val="28"/>
          <w:rFonts w:hint="eastAsia" w:ascii="Times New Roman" w:hAnsi="Times New Roman"/>
          <w:highlight w:val="none"/>
        </w:rPr>
        <w:t>一、参选函</w:t>
      </w:r>
    </w:p>
    <w:p w14:paraId="013E020D">
      <w:pPr>
        <w:tabs>
          <w:tab w:val="left" w:pos="6300"/>
        </w:tabs>
        <w:snapToGrid w:val="0"/>
        <w:spacing w:line="360" w:lineRule="auto"/>
        <w:ind w:right="-34" w:rightChars="-14"/>
        <w:rPr>
          <w:rFonts w:ascii="Times New Roman" w:hAnsi="Times New Roman"/>
          <w:snapToGrid w:val="0"/>
          <w:kern w:val="0"/>
          <w:szCs w:val="24"/>
          <w:highlight w:val="none"/>
          <w:u w:val="single"/>
        </w:rPr>
      </w:pPr>
    </w:p>
    <w:p w14:paraId="578C6D5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4ED5A5CE">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4E161A3B">
      <w:pPr>
        <w:tabs>
          <w:tab w:val="left" w:pos="6300"/>
        </w:tabs>
        <w:snapToGrid w:val="0"/>
        <w:spacing w:line="360" w:lineRule="auto"/>
        <w:ind w:right="-34" w:rightChars="-14" w:firstLine="573" w:firstLineChars="0"/>
        <w:rPr>
          <w:rFonts w:ascii="Times New Roman" w:hAnsi="Times New Roman"/>
          <w:snapToGrid w:val="0"/>
          <w:kern w:val="0"/>
          <w:szCs w:val="24"/>
          <w:highlight w:val="none"/>
          <w:u w:val="non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w:t>
      </w:r>
      <w:r>
        <w:rPr>
          <w:rFonts w:hint="eastAsia" w:ascii="Times New Roman" w:hAnsi="Times New Roman"/>
          <w:snapToGrid w:val="0"/>
          <w:kern w:val="0"/>
          <w:szCs w:val="24"/>
          <w:highlight w:val="none"/>
          <w:lang w:eastAsia="zh-CN"/>
        </w:rPr>
        <w:t>。</w:t>
      </w:r>
      <w:r>
        <w:rPr>
          <w:rFonts w:hint="eastAsia" w:ascii="Times New Roman" w:hAnsi="Times New Roman"/>
          <w:snapToGrid w:val="0"/>
          <w:kern w:val="0"/>
          <w:szCs w:val="24"/>
          <w:highlight w:val="none"/>
        </w:rPr>
        <w:t>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u w:val="none"/>
        </w:rPr>
        <w:t>__</w:t>
      </w:r>
      <w:r>
        <w:rPr>
          <w:rFonts w:ascii="Times New Roman" w:hAnsi="Times New Roman"/>
          <w:snapToGrid w:val="0"/>
          <w:kern w:val="0"/>
          <w:szCs w:val="24"/>
          <w:highlight w:val="none"/>
          <w:u w:val="none"/>
        </w:rPr>
        <w:t xml:space="preserve">        </w:t>
      </w:r>
      <w:r>
        <w:rPr>
          <w:rFonts w:hint="eastAsia" w:ascii="Times New Roman" w:hAnsi="Times New Roman"/>
          <w:snapToGrid w:val="0"/>
          <w:kern w:val="0"/>
          <w:szCs w:val="24"/>
          <w:highlight w:val="none"/>
          <w:u w:val="none"/>
        </w:rPr>
        <w:t>___。</w:t>
      </w:r>
    </w:p>
    <w:p w14:paraId="7E517E94">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700DCFF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4D7A260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53F36451">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74E9A8B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0DF3C213">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w:t>
      </w:r>
      <w:r>
        <w:rPr>
          <w:rFonts w:hint="eastAsia" w:ascii="Times New Roman" w:hAnsi="Times New Roman"/>
          <w:snapToGrid w:val="0"/>
          <w:kern w:val="0"/>
          <w:szCs w:val="24"/>
          <w:highlight w:val="none"/>
          <w:u w:val="single"/>
          <w:lang w:val="en-US" w:eastAsia="zh-CN"/>
        </w:rPr>
        <w:t>6</w:t>
      </w:r>
      <w:r>
        <w:rPr>
          <w:rFonts w:hint="eastAsia" w:ascii="Times New Roman" w:hAnsi="Times New Roman"/>
          <w:snapToGrid w:val="0"/>
          <w:kern w:val="0"/>
          <w:szCs w:val="24"/>
          <w:highlight w:val="none"/>
          <w:u w:val="single"/>
        </w:rPr>
        <w:t>_</w:t>
      </w:r>
      <w:r>
        <w:rPr>
          <w:rFonts w:hint="eastAsia" w:ascii="Times New Roman" w:hAnsi="Times New Roman"/>
          <w:snapToGrid w:val="0"/>
          <w:kern w:val="0"/>
          <w:szCs w:val="24"/>
          <w:highlight w:val="none"/>
        </w:rPr>
        <w:t>%的增值税专用发票。</w:t>
      </w:r>
    </w:p>
    <w:p w14:paraId="0AD9CAF6">
      <w:pPr>
        <w:tabs>
          <w:tab w:val="left" w:pos="6300"/>
        </w:tabs>
        <w:snapToGrid w:val="0"/>
        <w:spacing w:line="360" w:lineRule="auto"/>
        <w:ind w:right="-34" w:rightChars="-14"/>
        <w:rPr>
          <w:rFonts w:ascii="Times New Roman" w:hAnsi="Times New Roman"/>
          <w:snapToGrid w:val="0"/>
          <w:kern w:val="0"/>
          <w:szCs w:val="24"/>
          <w:highlight w:val="none"/>
        </w:rPr>
      </w:pPr>
    </w:p>
    <w:p w14:paraId="6CD272D9">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040AE292">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3A4D990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4D06DAA2">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5ACE3FC7">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5D0BC5D8">
      <w:pPr>
        <w:tabs>
          <w:tab w:val="left" w:pos="6300"/>
        </w:tabs>
        <w:snapToGrid w:val="0"/>
        <w:spacing w:line="360" w:lineRule="auto"/>
        <w:ind w:right="-34" w:rightChars="-14" w:firstLine="5400"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3AF30D4B">
      <w:pPr>
        <w:widowControl/>
        <w:spacing w:line="360" w:lineRule="auto"/>
        <w:jc w:val="left"/>
        <w:rPr>
          <w:rFonts w:ascii="Times New Roman" w:hAnsi="Times New Roman"/>
          <w:snapToGrid w:val="0"/>
          <w:kern w:val="0"/>
          <w:szCs w:val="24"/>
          <w:highlight w:val="none"/>
        </w:rPr>
      </w:pPr>
    </w:p>
    <w:p w14:paraId="5C074C94">
      <w:pPr>
        <w:tabs>
          <w:tab w:val="left" w:pos="6300"/>
        </w:tabs>
        <w:snapToGrid w:val="0"/>
        <w:spacing w:line="360" w:lineRule="auto"/>
        <w:rPr>
          <w:rFonts w:ascii="Times New Roman" w:hAnsi="Times New Roman"/>
          <w:snapToGrid w:val="0"/>
          <w:kern w:val="0"/>
          <w:szCs w:val="24"/>
          <w:highlight w:val="none"/>
        </w:rPr>
      </w:pPr>
    </w:p>
    <w:p w14:paraId="5248CC24">
      <w:pPr>
        <w:widowControl/>
        <w:spacing w:line="360" w:lineRule="auto"/>
        <w:jc w:val="left"/>
        <w:rPr>
          <w:rFonts w:ascii="Times New Roman" w:hAnsi="Times New Roman"/>
          <w:snapToGrid w:val="0"/>
          <w:kern w:val="0"/>
          <w:szCs w:val="24"/>
          <w:highlight w:val="none"/>
        </w:rPr>
      </w:pPr>
    </w:p>
    <w:p w14:paraId="31C2846F">
      <w:pPr>
        <w:widowControl/>
        <w:spacing w:line="360" w:lineRule="auto"/>
        <w:jc w:val="left"/>
        <w:rPr>
          <w:rFonts w:ascii="Times New Roman" w:hAnsi="Times New Roman"/>
          <w:snapToGrid w:val="0"/>
          <w:kern w:val="0"/>
          <w:szCs w:val="24"/>
          <w:highlight w:val="none"/>
        </w:rPr>
      </w:pPr>
    </w:p>
    <w:p w14:paraId="1FA927FC">
      <w:pPr>
        <w:widowControl/>
        <w:spacing w:line="360" w:lineRule="auto"/>
        <w:jc w:val="left"/>
        <w:rPr>
          <w:rFonts w:ascii="Times New Roman" w:hAnsi="Times New Roman"/>
          <w:snapToGrid w:val="0"/>
          <w:kern w:val="0"/>
          <w:szCs w:val="24"/>
          <w:highlight w:val="none"/>
        </w:rPr>
      </w:pPr>
    </w:p>
    <w:p w14:paraId="0438B45D">
      <w:pPr>
        <w:widowControl/>
        <w:spacing w:line="360" w:lineRule="auto"/>
        <w:jc w:val="left"/>
        <w:rPr>
          <w:rFonts w:ascii="Times New Roman" w:hAnsi="Times New Roman"/>
          <w:snapToGrid w:val="0"/>
          <w:kern w:val="0"/>
          <w:szCs w:val="24"/>
          <w:highlight w:val="none"/>
        </w:rPr>
      </w:pPr>
    </w:p>
    <w:p w14:paraId="052B2CD4">
      <w:pPr>
        <w:snapToGrid w:val="0"/>
        <w:spacing w:line="360" w:lineRule="auto"/>
        <w:rPr>
          <w:rFonts w:ascii="Times New Roman" w:hAnsi="Times New Roman"/>
          <w:snapToGrid w:val="0"/>
          <w:kern w:val="0"/>
          <w:szCs w:val="24"/>
          <w:highlight w:val="none"/>
        </w:rPr>
      </w:pPr>
      <w:r>
        <w:rPr>
          <w:rFonts w:hint="eastAsia" w:ascii="Times New Roman" w:hAnsi="Times New Roman"/>
          <w:kern w:val="0"/>
          <w:highlight w:val="none"/>
        </w:rPr>
        <w:br w:type="page"/>
      </w:r>
    </w:p>
    <w:p w14:paraId="5061A379">
      <w:pPr>
        <w:jc w:val="center"/>
        <w:outlineLvl w:val="1"/>
        <w:rPr>
          <w:rFonts w:hint="eastAsia" w:ascii="Times New Roman" w:hAnsi="Times New Roman"/>
          <w:highlight w:val="none"/>
          <w:lang w:val="en-US" w:eastAsia="zh-CN"/>
        </w:rPr>
      </w:pPr>
      <w:r>
        <w:rPr>
          <w:rFonts w:hint="eastAsia" w:ascii="Times New Roman" w:hAnsi="Times New Roman"/>
          <w:highlight w:val="none"/>
        </w:rPr>
        <w:t>二、</w:t>
      </w:r>
      <w:r>
        <w:rPr>
          <w:rFonts w:hint="eastAsia" w:ascii="Times New Roman" w:hAnsi="Times New Roman"/>
          <w:highlight w:val="none"/>
          <w:lang w:val="en-US" w:eastAsia="zh-CN"/>
        </w:rPr>
        <w:t>报价一览表</w:t>
      </w:r>
    </w:p>
    <w:p w14:paraId="01BB64C8">
      <w:pPr>
        <w:tabs>
          <w:tab w:val="left" w:pos="6300"/>
        </w:tabs>
        <w:snapToGrid w:val="0"/>
        <w:spacing w:line="360" w:lineRule="auto"/>
        <w:jc w:val="center"/>
        <w:rPr>
          <w:rFonts w:ascii="Times New Roman" w:hAnsi="Times New Roman" w:cs="Times New Roman"/>
          <w:b/>
          <w:snapToGrid w:val="0"/>
          <w:kern w:val="0"/>
          <w:sz w:val="36"/>
          <w:szCs w:val="28"/>
          <w:highlight w:val="none"/>
        </w:rPr>
      </w:pPr>
    </w:p>
    <w:tbl>
      <w:tblPr>
        <w:tblStyle w:val="2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6437"/>
      </w:tblGrid>
      <w:tr w14:paraId="5A44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B388990">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参选人全称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219C7236">
            <w:pPr>
              <w:spacing w:line="360" w:lineRule="auto"/>
              <w:jc w:val="center"/>
              <w:rPr>
                <w:rFonts w:ascii="Times New Roman" w:hAnsi="Times New Roman" w:cs="Times New Roman"/>
                <w:szCs w:val="24"/>
                <w:highlight w:val="none"/>
              </w:rPr>
            </w:pPr>
          </w:p>
        </w:tc>
      </w:tr>
      <w:tr w14:paraId="2875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E8CC771">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7777E99A">
            <w:pPr>
              <w:spacing w:line="360" w:lineRule="auto"/>
              <w:jc w:val="center"/>
              <w:rPr>
                <w:rFonts w:ascii="Times New Roman" w:hAnsi="Times New Roman" w:cs="Times New Roman"/>
                <w:snapToGrid w:val="0"/>
                <w:szCs w:val="24"/>
                <w:highlight w:val="none"/>
              </w:rPr>
            </w:pPr>
          </w:p>
        </w:tc>
      </w:tr>
      <w:tr w14:paraId="77A5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247258A">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szCs w:val="24"/>
                <w:highlight w:val="none"/>
              </w:rPr>
              <w:t>参选</w:t>
            </w:r>
            <w:r>
              <w:rPr>
                <w:rFonts w:ascii="Times New Roman" w:hAnsi="Times New Roman" w:cs="Times New Roman"/>
                <w:szCs w:val="24"/>
                <w:highlight w:val="none"/>
              </w:rPr>
              <w:t>总价（含税）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72CDBA18">
            <w:pPr>
              <w:spacing w:line="360" w:lineRule="auto"/>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小写</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人民币</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w:t>
            </w:r>
            <w:r>
              <w:rPr>
                <w:rFonts w:hint="eastAsia" w:ascii="Times New Roman" w:hAnsi="Times New Roman" w:cs="Times New Roman"/>
                <w:snapToGrid w:val="0"/>
                <w:kern w:val="0"/>
                <w:szCs w:val="24"/>
                <w:highlight w:val="none"/>
              </w:rPr>
              <w:t xml:space="preserve">     </w:t>
            </w:r>
            <w:r>
              <w:rPr>
                <w:rFonts w:hint="eastAsia" w:ascii="Times New Roman" w:hAnsi="Times New Roman" w:cs="Times New Roman"/>
                <w:snapToGrid w:val="0"/>
                <w:kern w:val="0"/>
                <w:szCs w:val="24"/>
                <w:highlight w:val="none"/>
                <w:lang w:val="en-US" w:eastAsia="zh-CN"/>
              </w:rPr>
              <w:t>元</w:t>
            </w:r>
            <w:r>
              <w:rPr>
                <w:rFonts w:hint="eastAsia" w:ascii="Times New Roman" w:hAnsi="Times New Roman" w:cs="Times New Roman"/>
                <w:snapToGrid w:val="0"/>
                <w:kern w:val="0"/>
                <w:szCs w:val="24"/>
                <w:highlight w:val="none"/>
              </w:rPr>
              <w:t xml:space="preserve">       </w:t>
            </w:r>
          </w:p>
          <w:p w14:paraId="7793A43D">
            <w:pPr>
              <w:spacing w:line="360" w:lineRule="auto"/>
              <w:jc w:val="both"/>
              <w:rPr>
                <w:rFonts w:ascii="Times New Roman" w:hAnsi="Times New Roman" w:cs="Times New Roman"/>
                <w:snapToGrid w:val="0"/>
                <w:szCs w:val="24"/>
                <w:highlight w:val="none"/>
              </w:rPr>
            </w:pPr>
            <w:r>
              <w:rPr>
                <w:rFonts w:ascii="Times New Roman" w:hAnsi="Times New Roman" w:cs="Times New Roman"/>
                <w:snapToGrid w:val="0"/>
                <w:kern w:val="0"/>
                <w:szCs w:val="24"/>
                <w:highlight w:val="none"/>
              </w:rPr>
              <w:t>大写</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人民币</w:t>
            </w:r>
            <w:r>
              <w:rPr>
                <w:rFonts w:hint="eastAsia" w:ascii="Times New Roman" w:hAnsi="Times New Roman" w:cs="Times New Roman"/>
                <w:snapToGrid w:val="0"/>
                <w:kern w:val="0"/>
                <w:szCs w:val="24"/>
                <w:highlight w:val="none"/>
              </w:rPr>
              <w:t>）</w:t>
            </w:r>
            <w:r>
              <w:rPr>
                <w:rFonts w:ascii="Times New Roman" w:hAnsi="Times New Roman" w:cs="Times New Roman"/>
                <w:snapToGrid w:val="0"/>
                <w:kern w:val="0"/>
                <w:szCs w:val="24"/>
                <w:highlight w:val="none"/>
              </w:rPr>
              <w:t>：</w:t>
            </w:r>
            <w:r>
              <w:rPr>
                <w:rFonts w:hint="eastAsia" w:ascii="Times New Roman" w:hAnsi="Times New Roman" w:cs="Times New Roman"/>
                <w:snapToGrid w:val="0"/>
                <w:kern w:val="0"/>
                <w:szCs w:val="24"/>
                <w:highlight w:val="none"/>
              </w:rPr>
              <w:t xml:space="preserve">     </w:t>
            </w:r>
            <w:r>
              <w:rPr>
                <w:rFonts w:hint="eastAsia" w:ascii="Times New Roman" w:hAnsi="Times New Roman" w:cs="Times New Roman"/>
                <w:snapToGrid w:val="0"/>
                <w:kern w:val="0"/>
                <w:szCs w:val="24"/>
                <w:highlight w:val="none"/>
                <w:lang w:val="en-US" w:eastAsia="zh-CN"/>
              </w:rPr>
              <w:t>元</w:t>
            </w:r>
            <w:r>
              <w:rPr>
                <w:rFonts w:hint="eastAsia" w:ascii="Times New Roman" w:hAnsi="Times New Roman" w:cs="Times New Roman"/>
                <w:snapToGrid w:val="0"/>
                <w:kern w:val="0"/>
                <w:szCs w:val="24"/>
                <w:highlight w:val="none"/>
              </w:rPr>
              <w:t xml:space="preserve">      </w:t>
            </w:r>
          </w:p>
        </w:tc>
      </w:tr>
      <w:tr w14:paraId="05DA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F8D14E4">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维护期</w:t>
            </w:r>
          </w:p>
        </w:tc>
        <w:tc>
          <w:tcPr>
            <w:tcW w:w="6437" w:type="dxa"/>
            <w:tcBorders>
              <w:top w:val="single" w:color="auto" w:sz="4" w:space="0"/>
              <w:left w:val="single" w:color="auto" w:sz="4" w:space="0"/>
              <w:bottom w:val="single" w:color="auto" w:sz="4" w:space="0"/>
              <w:right w:val="single" w:color="auto" w:sz="4" w:space="0"/>
            </w:tcBorders>
            <w:noWrap/>
            <w:vAlign w:val="center"/>
          </w:tcPr>
          <w:p w14:paraId="79F3732B">
            <w:pPr>
              <w:spacing w:line="360" w:lineRule="auto"/>
              <w:jc w:val="center"/>
              <w:rPr>
                <w:rFonts w:ascii="Times New Roman" w:hAnsi="Times New Roman" w:cs="Times New Roman"/>
                <w:szCs w:val="24"/>
                <w:highlight w:val="none"/>
              </w:rPr>
            </w:pPr>
          </w:p>
        </w:tc>
      </w:tr>
      <w:tr w14:paraId="2B6B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ECC5BA3">
            <w:pPr>
              <w:spacing w:line="360" w:lineRule="auto"/>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5E0A7D4B">
            <w:pPr>
              <w:spacing w:line="360" w:lineRule="auto"/>
              <w:jc w:val="center"/>
              <w:rPr>
                <w:rFonts w:ascii="Times New Roman" w:hAnsi="Times New Roman" w:cs="Times New Roman"/>
                <w:szCs w:val="24"/>
                <w:highlight w:val="none"/>
              </w:rPr>
            </w:pPr>
            <w:bookmarkStart w:id="148" w:name="突出显示"/>
            <w:r>
              <w:rPr>
                <w:rFonts w:hint="eastAsia" w:ascii="宋体"/>
                <w:color w:val="auto"/>
                <w:szCs w:val="24"/>
                <w:highlight w:val="none"/>
              </w:rPr>
              <w:t>税率</w:t>
            </w:r>
            <w:bookmarkEnd w:id="148"/>
            <w:r>
              <w:rPr>
                <w:rFonts w:hint="eastAsia" w:ascii="宋体"/>
                <w:color w:val="auto"/>
                <w:szCs w:val="24"/>
                <w:highlight w:val="none"/>
              </w:rPr>
              <w:t>为</w:t>
            </w:r>
            <w:r>
              <w:rPr>
                <w:rFonts w:hint="eastAsia" w:ascii="宋体"/>
                <w:color w:val="auto"/>
                <w:szCs w:val="24"/>
                <w:highlight w:val="none"/>
                <w:u w:val="single"/>
              </w:rPr>
              <w:t xml:space="preserve"> </w:t>
            </w:r>
            <w:r>
              <w:rPr>
                <w:rFonts w:ascii="宋体"/>
                <w:color w:val="auto"/>
                <w:szCs w:val="24"/>
                <w:highlight w:val="none"/>
                <w:u w:val="single"/>
              </w:rPr>
              <w:t>6</w:t>
            </w:r>
            <w:r>
              <w:rPr>
                <w:rFonts w:hint="eastAsia" w:ascii="宋体"/>
                <w:color w:val="auto"/>
                <w:szCs w:val="24"/>
                <w:highlight w:val="none"/>
                <w:u w:val="single"/>
              </w:rPr>
              <w:t xml:space="preserve"> </w:t>
            </w:r>
            <w:r>
              <w:rPr>
                <w:rFonts w:hint="eastAsia" w:ascii="宋体"/>
                <w:color w:val="auto"/>
                <w:szCs w:val="24"/>
                <w:highlight w:val="none"/>
              </w:rPr>
              <w:t>%的</w:t>
            </w:r>
            <w:r>
              <w:rPr>
                <w:rFonts w:ascii="Times New Roman" w:hAnsi="Times New Roman" w:cs="Times New Roman"/>
                <w:szCs w:val="24"/>
                <w:highlight w:val="none"/>
              </w:rPr>
              <w:t>增值税专用发票</w:t>
            </w:r>
          </w:p>
        </w:tc>
      </w:tr>
      <w:tr w14:paraId="2E08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2"/>
            <w:tcBorders>
              <w:top w:val="single" w:color="auto" w:sz="4" w:space="0"/>
              <w:left w:val="single" w:color="auto" w:sz="4" w:space="0"/>
              <w:bottom w:val="single" w:color="auto" w:sz="4" w:space="0"/>
              <w:right w:val="single" w:color="auto" w:sz="4" w:space="0"/>
            </w:tcBorders>
            <w:noWrap/>
          </w:tcPr>
          <w:p w14:paraId="782645AC">
            <w:pPr>
              <w:pStyle w:val="12"/>
              <w:spacing w:line="360" w:lineRule="auto"/>
              <w:rPr>
                <w:rFonts w:ascii="Times New Roman" w:hAnsi="Times New Roman" w:cs="Times New Roman"/>
                <w:snapToGrid w:val="0"/>
                <w:szCs w:val="24"/>
                <w:highlight w:val="none"/>
              </w:rPr>
            </w:pPr>
          </w:p>
          <w:p w14:paraId="4ADD6A81">
            <w:pPr>
              <w:pStyle w:val="12"/>
              <w:spacing w:line="360" w:lineRule="auto"/>
              <w:ind w:left="0" w:leftChars="0" w:firstLine="0" w:firstLineChars="0"/>
              <w:rPr>
                <w:rFonts w:ascii="Times New Roman" w:hAnsi="Times New Roman" w:cs="Times New Roman"/>
                <w:snapToGrid w:val="0"/>
                <w:szCs w:val="24"/>
                <w:highlight w:val="none"/>
              </w:rPr>
            </w:pPr>
            <w:r>
              <w:rPr>
                <w:rFonts w:ascii="Times New Roman" w:hAnsi="Times New Roman" w:cs="Times New Roman"/>
                <w:snapToGrid w:val="0"/>
                <w:szCs w:val="24"/>
                <w:highlight w:val="none"/>
              </w:rPr>
              <w:t>备注：</w:t>
            </w:r>
          </w:p>
        </w:tc>
      </w:tr>
    </w:tbl>
    <w:p w14:paraId="07335AF2">
      <w:pPr>
        <w:spacing w:line="360" w:lineRule="auto"/>
        <w:ind w:right="-34" w:rightChars="-14" w:firstLine="0" w:firstLineChars="0"/>
        <w:rPr>
          <w:rFonts w:ascii="Times New Roman" w:hAnsi="Times New Roman" w:cs="Times New Roman"/>
          <w:szCs w:val="28"/>
          <w:highlight w:val="none"/>
        </w:rPr>
      </w:pPr>
      <w:bookmarkStart w:id="149" w:name="_Hlk59456849"/>
      <w:r>
        <w:rPr>
          <w:rFonts w:ascii="Times New Roman" w:hAnsi="Times New Roman" w:cs="Times New Roman"/>
          <w:szCs w:val="28"/>
          <w:highlight w:val="none"/>
        </w:rPr>
        <w:t>注：上述税率为推荐税率，因国家政策产生的特殊情况除外，若有税收优惠请附相关凭证。若遇国家税率调整，则保持不含税价不变，重新计算含税价格。</w:t>
      </w:r>
    </w:p>
    <w:bookmarkEnd w:id="149"/>
    <w:p w14:paraId="2EE55718">
      <w:pPr>
        <w:spacing w:line="360" w:lineRule="auto"/>
        <w:ind w:right="-34" w:rightChars="-14"/>
        <w:rPr>
          <w:rFonts w:ascii="Times New Roman" w:hAnsi="Times New Roman" w:cs="Times New Roman"/>
          <w:szCs w:val="28"/>
          <w:highlight w:val="none"/>
        </w:rPr>
      </w:pPr>
    </w:p>
    <w:p w14:paraId="335A377B">
      <w:pPr>
        <w:spacing w:line="360" w:lineRule="auto"/>
        <w:ind w:right="-34" w:rightChars="-14"/>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参选人：                                    法人授权代表：</w:t>
      </w:r>
    </w:p>
    <w:p w14:paraId="10A9F760">
      <w:pPr>
        <w:spacing w:line="360" w:lineRule="auto"/>
        <w:ind w:right="-34" w:rightChars="-14"/>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（公章）                                    （签</w:t>
      </w:r>
      <w:r>
        <w:rPr>
          <w:rFonts w:hint="eastAsia" w:ascii="Times New Roman" w:hAnsi="Times New Roman" w:cs="Times New Roman"/>
          <w:snapToGrid w:val="0"/>
          <w:kern w:val="0"/>
          <w:szCs w:val="24"/>
          <w:highlight w:val="none"/>
          <w:lang w:val="en-US" w:eastAsia="zh-CN"/>
        </w:rPr>
        <w:t>字或盖</w:t>
      </w:r>
      <w:r>
        <w:rPr>
          <w:rFonts w:ascii="Times New Roman" w:hAnsi="Times New Roman" w:cs="Times New Roman"/>
          <w:snapToGrid w:val="0"/>
          <w:kern w:val="0"/>
          <w:szCs w:val="24"/>
          <w:highlight w:val="none"/>
        </w:rPr>
        <w:t>章）</w:t>
      </w:r>
    </w:p>
    <w:p w14:paraId="07ED29A7">
      <w:pPr>
        <w:spacing w:line="360" w:lineRule="auto"/>
        <w:ind w:right="-34" w:rightChars="-14"/>
        <w:jc w:val="center"/>
        <w:outlineLvl w:val="9"/>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                                       年  月   日</w:t>
      </w:r>
    </w:p>
    <w:p w14:paraId="58A58228">
      <w:pPr>
        <w:snapToGrid w:val="0"/>
        <w:spacing w:line="360" w:lineRule="auto"/>
        <w:ind w:firstLine="0" w:firstLineChars="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有关说明：</w:t>
      </w:r>
    </w:p>
    <w:p w14:paraId="29DFEA0D">
      <w:pPr>
        <w:snapToGrid w:val="0"/>
        <w:spacing w:line="360" w:lineRule="auto"/>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报价一览表在开标大会上当众宣读，务必填写清楚，准确无误。表格可扩展。本次报价包含上述维护期，比选人不再另行支付该维护期内维护费用。</w:t>
      </w:r>
    </w:p>
    <w:p w14:paraId="2B8485CF">
      <w:pPr>
        <w:rPr>
          <w:rStyle w:val="27"/>
          <w:rFonts w:ascii="Times New Roman" w:hAnsi="Times New Roman"/>
          <w:b/>
          <w:highlight w:val="none"/>
        </w:rPr>
      </w:pPr>
      <w:r>
        <w:rPr>
          <w:rStyle w:val="27"/>
          <w:rFonts w:hint="eastAsia" w:ascii="Times New Roman" w:hAnsi="Times New Roman"/>
          <w:b/>
          <w:highlight w:val="none"/>
        </w:rPr>
        <w:br w:type="page"/>
      </w:r>
    </w:p>
    <w:p w14:paraId="3CB8D916">
      <w:pPr>
        <w:pStyle w:val="29"/>
        <w:rPr>
          <w:rFonts w:ascii="Times New Roman" w:hAnsi="Times New Roman"/>
          <w:highlight w:val="none"/>
        </w:rPr>
      </w:pPr>
      <w:r>
        <w:rPr>
          <w:rFonts w:ascii="Times New Roman" w:hAnsi="Times New Roman"/>
          <w:highlight w:val="none"/>
        </w:rPr>
        <w:t>三、资格性文件</w:t>
      </w:r>
    </w:p>
    <w:p w14:paraId="58432D28">
      <w:pPr>
        <w:pStyle w:val="17"/>
        <w:rPr>
          <w:rFonts w:ascii="Times New Roman" w:hAnsi="Times New Roman"/>
          <w:highlight w:val="none"/>
        </w:rPr>
      </w:pPr>
      <w:r>
        <w:rPr>
          <w:rFonts w:ascii="Times New Roman" w:hAnsi="Times New Roman"/>
          <w:highlight w:val="none"/>
        </w:rP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A87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1980" w:type="dxa"/>
            <w:vAlign w:val="center"/>
          </w:tcPr>
          <w:p w14:paraId="28A4C5A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44EA19C3">
            <w:pPr>
              <w:spacing w:line="360" w:lineRule="auto"/>
              <w:ind w:firstLine="0" w:firstLineChars="0"/>
              <w:jc w:val="center"/>
              <w:rPr>
                <w:rFonts w:ascii="Times New Roman" w:hAnsi="Times New Roman"/>
                <w:sz w:val="22"/>
                <w:szCs w:val="24"/>
                <w:highlight w:val="none"/>
              </w:rPr>
            </w:pPr>
          </w:p>
        </w:tc>
      </w:tr>
      <w:tr w14:paraId="7575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E671AB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3425A6D4">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5D90C1C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30A4E844">
            <w:pPr>
              <w:spacing w:line="360" w:lineRule="auto"/>
              <w:ind w:firstLine="0" w:firstLineChars="0"/>
              <w:jc w:val="center"/>
              <w:rPr>
                <w:rFonts w:ascii="Times New Roman" w:hAnsi="Times New Roman"/>
                <w:sz w:val="22"/>
                <w:szCs w:val="24"/>
                <w:highlight w:val="none"/>
              </w:rPr>
            </w:pPr>
          </w:p>
        </w:tc>
      </w:tr>
      <w:tr w14:paraId="7881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625592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03D3C7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5109954B">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62EA1C8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5D2E3908">
            <w:pPr>
              <w:spacing w:line="360" w:lineRule="auto"/>
              <w:ind w:firstLine="0" w:firstLineChars="0"/>
              <w:jc w:val="center"/>
              <w:rPr>
                <w:rFonts w:ascii="Times New Roman" w:hAnsi="Times New Roman"/>
                <w:sz w:val="22"/>
                <w:szCs w:val="24"/>
                <w:highlight w:val="none"/>
              </w:rPr>
            </w:pPr>
          </w:p>
        </w:tc>
      </w:tr>
      <w:tr w14:paraId="7B96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243F3DD">
            <w:pPr>
              <w:rPr>
                <w:highlight w:val="none"/>
              </w:rPr>
            </w:pPr>
          </w:p>
        </w:tc>
        <w:tc>
          <w:tcPr>
            <w:tcW w:w="1077" w:type="dxa"/>
            <w:tcBorders>
              <w:top w:val="single" w:color="auto" w:sz="4" w:space="0"/>
              <w:left w:val="single" w:color="auto" w:sz="4" w:space="0"/>
              <w:right w:val="single" w:color="auto" w:sz="4" w:space="0"/>
            </w:tcBorders>
            <w:vAlign w:val="center"/>
          </w:tcPr>
          <w:p w14:paraId="4F2C8EA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746C53E2">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24E8349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4A0E6D49">
            <w:pPr>
              <w:spacing w:line="360" w:lineRule="auto"/>
              <w:ind w:firstLine="0" w:firstLineChars="0"/>
              <w:jc w:val="center"/>
              <w:rPr>
                <w:rFonts w:ascii="Times New Roman" w:hAnsi="Times New Roman"/>
                <w:sz w:val="22"/>
                <w:szCs w:val="24"/>
                <w:highlight w:val="none"/>
              </w:rPr>
            </w:pPr>
          </w:p>
        </w:tc>
      </w:tr>
      <w:tr w14:paraId="29FB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543F523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52ED267A">
            <w:pPr>
              <w:spacing w:line="360" w:lineRule="auto"/>
              <w:ind w:firstLine="0" w:firstLineChars="0"/>
              <w:jc w:val="center"/>
              <w:rPr>
                <w:rFonts w:ascii="Times New Roman" w:hAnsi="Times New Roman"/>
                <w:sz w:val="22"/>
                <w:szCs w:val="24"/>
                <w:highlight w:val="none"/>
              </w:rPr>
            </w:pPr>
          </w:p>
        </w:tc>
      </w:tr>
      <w:tr w14:paraId="54B6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4E2930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08E84DC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6AC64310">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39D8CE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4963366">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30B61B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70B2CAB6">
            <w:pPr>
              <w:spacing w:line="360" w:lineRule="auto"/>
              <w:ind w:firstLine="0" w:firstLineChars="0"/>
              <w:jc w:val="center"/>
              <w:rPr>
                <w:rFonts w:ascii="Times New Roman" w:hAnsi="Times New Roman"/>
                <w:sz w:val="22"/>
                <w:szCs w:val="24"/>
                <w:highlight w:val="none"/>
              </w:rPr>
            </w:pPr>
          </w:p>
        </w:tc>
      </w:tr>
      <w:tr w14:paraId="1BF1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CDA797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AB9C10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3403F45B">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4CBCAA7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0ACB682C">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504A1BF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16F134F9">
            <w:pPr>
              <w:spacing w:line="360" w:lineRule="auto"/>
              <w:ind w:firstLine="0" w:firstLineChars="0"/>
              <w:jc w:val="center"/>
              <w:rPr>
                <w:rFonts w:ascii="Times New Roman" w:hAnsi="Times New Roman"/>
                <w:sz w:val="22"/>
                <w:szCs w:val="24"/>
                <w:highlight w:val="none"/>
              </w:rPr>
            </w:pPr>
          </w:p>
        </w:tc>
      </w:tr>
      <w:tr w14:paraId="3F55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976BFA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37784684">
            <w:pPr>
              <w:spacing w:line="360" w:lineRule="auto"/>
              <w:ind w:firstLine="0" w:firstLineChars="0"/>
              <w:jc w:val="center"/>
              <w:rPr>
                <w:rFonts w:ascii="Times New Roman" w:hAnsi="Times New Roman"/>
                <w:sz w:val="22"/>
                <w:szCs w:val="24"/>
                <w:highlight w:val="none"/>
              </w:rPr>
            </w:pPr>
          </w:p>
        </w:tc>
        <w:tc>
          <w:tcPr>
            <w:tcW w:w="4234" w:type="dxa"/>
            <w:gridSpan w:val="6"/>
          </w:tcPr>
          <w:p w14:paraId="4CB2AD9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2F93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829E59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422E2B13">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2E4B8F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368446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03D6A251">
            <w:pPr>
              <w:spacing w:line="360" w:lineRule="auto"/>
              <w:ind w:firstLine="0" w:firstLineChars="0"/>
              <w:jc w:val="center"/>
              <w:rPr>
                <w:rFonts w:ascii="Times New Roman" w:hAnsi="Times New Roman"/>
                <w:sz w:val="22"/>
                <w:szCs w:val="24"/>
                <w:highlight w:val="none"/>
              </w:rPr>
            </w:pPr>
          </w:p>
        </w:tc>
      </w:tr>
      <w:tr w14:paraId="193C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803E16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5C4D2AA">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720085BE">
            <w:pPr>
              <w:rPr>
                <w:highlight w:val="none"/>
              </w:rPr>
            </w:pPr>
          </w:p>
        </w:tc>
        <w:tc>
          <w:tcPr>
            <w:tcW w:w="2039" w:type="dxa"/>
            <w:gridSpan w:val="3"/>
            <w:tcBorders>
              <w:top w:val="single" w:color="auto" w:sz="4" w:space="0"/>
              <w:left w:val="single" w:color="auto" w:sz="4" w:space="0"/>
              <w:right w:val="single" w:color="auto" w:sz="4" w:space="0"/>
            </w:tcBorders>
            <w:vAlign w:val="center"/>
          </w:tcPr>
          <w:p w14:paraId="13CCE6A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4E1AC436">
            <w:pPr>
              <w:spacing w:line="360" w:lineRule="auto"/>
              <w:ind w:firstLine="0" w:firstLineChars="0"/>
              <w:jc w:val="center"/>
              <w:rPr>
                <w:rFonts w:ascii="Times New Roman" w:hAnsi="Times New Roman"/>
                <w:sz w:val="22"/>
                <w:szCs w:val="24"/>
                <w:highlight w:val="none"/>
              </w:rPr>
            </w:pPr>
          </w:p>
        </w:tc>
      </w:tr>
      <w:tr w14:paraId="02EE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498B55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07818B22">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6ABD36A3">
            <w:pPr>
              <w:rPr>
                <w:highlight w:val="none"/>
              </w:rPr>
            </w:pPr>
          </w:p>
        </w:tc>
        <w:tc>
          <w:tcPr>
            <w:tcW w:w="2039" w:type="dxa"/>
            <w:gridSpan w:val="3"/>
            <w:tcBorders>
              <w:top w:val="single" w:color="auto" w:sz="4" w:space="0"/>
              <w:left w:val="single" w:color="auto" w:sz="4" w:space="0"/>
              <w:right w:val="single" w:color="auto" w:sz="4" w:space="0"/>
            </w:tcBorders>
            <w:vAlign w:val="center"/>
          </w:tcPr>
          <w:p w14:paraId="4392D95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5AF4D619">
            <w:pPr>
              <w:spacing w:line="360" w:lineRule="auto"/>
              <w:ind w:firstLine="0" w:firstLineChars="0"/>
              <w:jc w:val="center"/>
              <w:rPr>
                <w:rFonts w:ascii="Times New Roman" w:hAnsi="Times New Roman"/>
                <w:sz w:val="22"/>
                <w:szCs w:val="24"/>
                <w:highlight w:val="none"/>
              </w:rPr>
            </w:pPr>
          </w:p>
        </w:tc>
      </w:tr>
      <w:tr w14:paraId="720E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F95609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41DDF947">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7FDDF9DA">
            <w:pPr>
              <w:rPr>
                <w:highlight w:val="none"/>
              </w:rPr>
            </w:pPr>
          </w:p>
        </w:tc>
        <w:tc>
          <w:tcPr>
            <w:tcW w:w="2039" w:type="dxa"/>
            <w:gridSpan w:val="3"/>
            <w:tcBorders>
              <w:top w:val="single" w:color="auto" w:sz="4" w:space="0"/>
              <w:left w:val="single" w:color="auto" w:sz="4" w:space="0"/>
              <w:right w:val="single" w:color="auto" w:sz="4" w:space="0"/>
            </w:tcBorders>
            <w:vAlign w:val="center"/>
          </w:tcPr>
          <w:p w14:paraId="320DAA4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177E55A5">
            <w:pPr>
              <w:spacing w:line="360" w:lineRule="auto"/>
              <w:ind w:firstLine="0" w:firstLineChars="0"/>
              <w:jc w:val="center"/>
              <w:rPr>
                <w:rFonts w:ascii="Times New Roman" w:hAnsi="Times New Roman"/>
                <w:sz w:val="22"/>
                <w:szCs w:val="24"/>
                <w:highlight w:val="none"/>
              </w:rPr>
            </w:pPr>
          </w:p>
        </w:tc>
      </w:tr>
      <w:tr w14:paraId="3EA1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B25A06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347C0492">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52919DAB">
            <w:pPr>
              <w:rPr>
                <w:highlight w:val="none"/>
              </w:rPr>
            </w:pPr>
          </w:p>
        </w:tc>
        <w:tc>
          <w:tcPr>
            <w:tcW w:w="2039" w:type="dxa"/>
            <w:gridSpan w:val="3"/>
            <w:tcBorders>
              <w:top w:val="single" w:color="auto" w:sz="4" w:space="0"/>
              <w:left w:val="single" w:color="auto" w:sz="4" w:space="0"/>
              <w:right w:val="single" w:color="auto" w:sz="4" w:space="0"/>
            </w:tcBorders>
            <w:vAlign w:val="center"/>
          </w:tcPr>
          <w:p w14:paraId="20DD2AB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0CC91285">
            <w:pPr>
              <w:spacing w:line="360" w:lineRule="auto"/>
              <w:ind w:firstLine="0" w:firstLineChars="0"/>
              <w:jc w:val="center"/>
              <w:rPr>
                <w:rFonts w:ascii="Times New Roman" w:hAnsi="Times New Roman"/>
                <w:sz w:val="22"/>
                <w:szCs w:val="24"/>
                <w:highlight w:val="none"/>
              </w:rPr>
            </w:pPr>
          </w:p>
        </w:tc>
      </w:tr>
      <w:tr w14:paraId="67FC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70C3286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70F2C874">
            <w:pPr>
              <w:spacing w:line="360" w:lineRule="auto"/>
              <w:ind w:firstLine="0" w:firstLineChars="0"/>
              <w:jc w:val="center"/>
              <w:rPr>
                <w:rFonts w:ascii="Times New Roman" w:hAnsi="Times New Roman"/>
                <w:sz w:val="22"/>
                <w:szCs w:val="24"/>
                <w:highlight w:val="none"/>
              </w:rPr>
            </w:pPr>
          </w:p>
        </w:tc>
      </w:tr>
      <w:tr w14:paraId="5ECC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1E0194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71A8012C">
            <w:pPr>
              <w:spacing w:line="360" w:lineRule="auto"/>
              <w:ind w:firstLine="0" w:firstLineChars="0"/>
              <w:jc w:val="center"/>
              <w:rPr>
                <w:rFonts w:ascii="Times New Roman" w:hAnsi="Times New Roman"/>
                <w:sz w:val="22"/>
                <w:szCs w:val="24"/>
                <w:highlight w:val="none"/>
              </w:rPr>
            </w:pPr>
          </w:p>
        </w:tc>
      </w:tr>
    </w:tbl>
    <w:p w14:paraId="0EDF98BB">
      <w:pPr>
        <w:widowControl/>
        <w:spacing w:line="360" w:lineRule="auto"/>
        <w:jc w:val="left"/>
        <w:rPr>
          <w:rFonts w:ascii="Times New Roman" w:hAnsi="Times New Roman"/>
          <w:sz w:val="20"/>
          <w:szCs w:val="21"/>
          <w:highlight w:val="none"/>
        </w:rPr>
        <w:sectPr>
          <w:footerReference r:id="rId10" w:type="default"/>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2FDFEF0A">
      <w:pPr>
        <w:pStyle w:val="17"/>
        <w:jc w:val="center"/>
        <w:rPr>
          <w:rFonts w:ascii="Times New Roman" w:hAnsi="Times New Roman"/>
          <w:highlight w:val="none"/>
        </w:rPr>
      </w:pPr>
      <w:bookmarkStart w:id="150" w:name="_Toc478054435"/>
      <w:bookmarkStart w:id="151" w:name="_Toc472780356"/>
      <w:bookmarkStart w:id="152" w:name="_Toc478053903"/>
      <w:bookmarkStart w:id="153" w:name="_Toc378234584"/>
      <w:bookmarkStart w:id="154" w:name="_Toc378234770"/>
      <w:r>
        <w:rPr>
          <w:rFonts w:ascii="Times New Roman" w:hAnsi="Times New Roman"/>
          <w:highlight w:val="none"/>
        </w:rPr>
        <w:t>（二）法定代表人身份证明及授权委托书</w:t>
      </w:r>
      <w:bookmarkEnd w:id="150"/>
      <w:bookmarkEnd w:id="151"/>
      <w:bookmarkEnd w:id="152"/>
      <w:bookmarkEnd w:id="153"/>
      <w:bookmarkEnd w:id="154"/>
    </w:p>
    <w:p w14:paraId="246B7160">
      <w:pPr>
        <w:pStyle w:val="31"/>
        <w:rPr>
          <w:rFonts w:ascii="Times New Roman" w:hAnsi="Times New Roman"/>
          <w:highlight w:val="none"/>
        </w:rPr>
      </w:pPr>
      <w:r>
        <w:rPr>
          <w:rFonts w:ascii="Times New Roman" w:hAnsi="Times New Roman"/>
          <w:highlight w:val="none"/>
        </w:rPr>
        <w:t>法定代表人身份证明书</w:t>
      </w:r>
    </w:p>
    <w:p w14:paraId="7A9148FE">
      <w:pPr>
        <w:tabs>
          <w:tab w:val="left" w:pos="6300"/>
        </w:tabs>
        <w:snapToGrid w:val="0"/>
        <w:spacing w:line="360" w:lineRule="auto"/>
        <w:rPr>
          <w:rFonts w:ascii="Times New Roman" w:hAnsi="Times New Roman"/>
          <w:snapToGrid w:val="0"/>
          <w:kern w:val="0"/>
          <w:highlight w:val="none"/>
        </w:rPr>
      </w:pPr>
    </w:p>
    <w:p w14:paraId="06984AD6">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3BA5DD68">
      <w:pPr>
        <w:tabs>
          <w:tab w:val="left" w:pos="6300"/>
        </w:tabs>
        <w:snapToGrid w:val="0"/>
        <w:spacing w:line="360" w:lineRule="auto"/>
        <w:rPr>
          <w:rFonts w:ascii="Times New Roman" w:hAnsi="Times New Roman"/>
          <w:snapToGrid w:val="0"/>
          <w:kern w:val="0"/>
          <w:highlight w:val="none"/>
        </w:rPr>
      </w:pPr>
    </w:p>
    <w:p w14:paraId="48358012">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51871049">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p>
    <w:p w14:paraId="18506966">
      <w:pPr>
        <w:tabs>
          <w:tab w:val="left" w:pos="6300"/>
        </w:tabs>
        <w:snapToGrid w:val="0"/>
        <w:spacing w:line="360" w:lineRule="auto"/>
        <w:rPr>
          <w:rFonts w:ascii="Times New Roman" w:hAnsi="Times New Roman"/>
          <w:snapToGrid w:val="0"/>
          <w:kern w:val="0"/>
          <w:highlight w:val="none"/>
        </w:rPr>
      </w:pPr>
    </w:p>
    <w:p w14:paraId="4577A2B1">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58F9A042">
      <w:pPr>
        <w:tabs>
          <w:tab w:val="left" w:pos="6300"/>
        </w:tabs>
        <w:snapToGrid w:val="0"/>
        <w:spacing w:line="360" w:lineRule="auto"/>
        <w:rPr>
          <w:rFonts w:ascii="Times New Roman" w:hAnsi="Times New Roman"/>
          <w:snapToGrid w:val="0"/>
          <w:kern w:val="0"/>
          <w:highlight w:val="none"/>
        </w:rPr>
      </w:pPr>
    </w:p>
    <w:p w14:paraId="1116E5FA">
      <w:pPr>
        <w:tabs>
          <w:tab w:val="left" w:pos="6300"/>
        </w:tabs>
        <w:snapToGrid w:val="0"/>
        <w:spacing w:line="360" w:lineRule="auto"/>
        <w:rPr>
          <w:rFonts w:ascii="Times New Roman" w:hAnsi="Times New Roman"/>
          <w:snapToGrid w:val="0"/>
          <w:kern w:val="0"/>
          <w:highlight w:val="none"/>
        </w:rPr>
      </w:pPr>
    </w:p>
    <w:p w14:paraId="6375ED7F">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6060C833">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602B5CEA">
      <w:pPr>
        <w:tabs>
          <w:tab w:val="left" w:pos="6300"/>
        </w:tabs>
        <w:snapToGrid w:val="0"/>
        <w:spacing w:line="360" w:lineRule="auto"/>
        <w:rPr>
          <w:rFonts w:ascii="Times New Roman" w:hAnsi="Times New Roman"/>
          <w:snapToGrid w:val="0"/>
          <w:kern w:val="0"/>
          <w:highlight w:val="none"/>
        </w:rPr>
      </w:pPr>
    </w:p>
    <w:p w14:paraId="1409A9E2">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337AED27">
      <w:pPr>
        <w:tabs>
          <w:tab w:val="left" w:pos="6300"/>
        </w:tabs>
        <w:snapToGrid w:val="0"/>
        <w:spacing w:line="360" w:lineRule="auto"/>
        <w:rPr>
          <w:rFonts w:ascii="Times New Roman" w:hAnsi="Times New Roman"/>
          <w:snapToGrid w:val="0"/>
          <w:kern w:val="0"/>
          <w:highlight w:val="none"/>
        </w:rPr>
      </w:pPr>
    </w:p>
    <w:p w14:paraId="1F2EA7A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（附：法定代表人身份证正反面复印件）</w:t>
      </w:r>
    </w:p>
    <w:p w14:paraId="375C8757">
      <w:pPr>
        <w:tabs>
          <w:tab w:val="left" w:pos="6300"/>
        </w:tabs>
        <w:snapToGrid w:val="0"/>
        <w:spacing w:line="360" w:lineRule="auto"/>
        <w:rPr>
          <w:rFonts w:ascii="Times New Roman" w:hAnsi="Times New Roman"/>
          <w:snapToGrid w:val="0"/>
          <w:kern w:val="0"/>
          <w:highlight w:val="none"/>
        </w:rPr>
      </w:pPr>
    </w:p>
    <w:p w14:paraId="158C3342">
      <w:pPr>
        <w:tabs>
          <w:tab w:val="left" w:pos="6300"/>
        </w:tabs>
        <w:snapToGrid w:val="0"/>
        <w:spacing w:line="360" w:lineRule="auto"/>
        <w:rPr>
          <w:rFonts w:ascii="Times New Roman" w:hAnsi="Times New Roman"/>
          <w:snapToGrid w:val="0"/>
          <w:kern w:val="0"/>
          <w:highlight w:val="none"/>
        </w:rPr>
      </w:pPr>
    </w:p>
    <w:p w14:paraId="08B6B451">
      <w:pPr>
        <w:tabs>
          <w:tab w:val="left" w:pos="6300"/>
        </w:tabs>
        <w:snapToGrid w:val="0"/>
        <w:spacing w:line="360" w:lineRule="auto"/>
        <w:rPr>
          <w:rFonts w:ascii="Times New Roman" w:hAnsi="Times New Roman"/>
          <w:snapToGrid w:val="0"/>
          <w:kern w:val="0"/>
          <w:highlight w:val="none"/>
        </w:rPr>
      </w:pPr>
    </w:p>
    <w:p w14:paraId="266DEF92">
      <w:pPr>
        <w:jc w:val="center"/>
        <w:rPr>
          <w:rStyle w:val="32"/>
          <w:rFonts w:ascii="Times New Roman" w:hAnsi="Times New Roman"/>
          <w:highlight w:val="none"/>
        </w:rPr>
      </w:pPr>
      <w:r>
        <w:rPr>
          <w:rFonts w:hint="eastAsia" w:ascii="Times New Roman" w:hAnsi="Times New Roman"/>
          <w:snapToGrid w:val="0"/>
          <w:kern w:val="0"/>
          <w:highlight w:val="none"/>
        </w:rPr>
        <w:br w:type="column"/>
      </w:r>
      <w:r>
        <w:rPr>
          <w:rStyle w:val="32"/>
          <w:rFonts w:ascii="Times New Roman" w:hAnsi="Times New Roman"/>
          <w:highlight w:val="none"/>
        </w:rPr>
        <w:t>法定代表人授权委托书</w:t>
      </w:r>
    </w:p>
    <w:p w14:paraId="3EA983A4">
      <w:pPr>
        <w:tabs>
          <w:tab w:val="left" w:pos="6300"/>
        </w:tabs>
        <w:snapToGrid w:val="0"/>
        <w:spacing w:line="360" w:lineRule="auto"/>
        <w:rPr>
          <w:rFonts w:ascii="Times New Roman" w:hAnsi="Times New Roman"/>
          <w:snapToGrid w:val="0"/>
          <w:kern w:val="0"/>
          <w:highlight w:val="none"/>
        </w:rPr>
      </w:pPr>
    </w:p>
    <w:p w14:paraId="5160C71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7BEA9F22">
      <w:pPr>
        <w:tabs>
          <w:tab w:val="left" w:pos="6300"/>
        </w:tabs>
        <w:snapToGrid w:val="0"/>
        <w:spacing w:line="360" w:lineRule="auto"/>
        <w:rPr>
          <w:rFonts w:ascii="Times New Roman" w:hAnsi="Times New Roman"/>
          <w:snapToGrid w:val="0"/>
          <w:kern w:val="0"/>
          <w:highlight w:val="none"/>
        </w:rPr>
      </w:pPr>
    </w:p>
    <w:p w14:paraId="17FA85BA">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79E49E2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500A756A">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6FDA2A5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在撤消授权的书面通知以前，本授权书一直有效。委托代理人在授权书有效期内签署的所有文件不因授权的撤消而失效。</w:t>
      </w:r>
    </w:p>
    <w:p w14:paraId="01C44432">
      <w:pPr>
        <w:tabs>
          <w:tab w:val="left" w:pos="6300"/>
        </w:tabs>
        <w:snapToGrid w:val="0"/>
        <w:spacing w:line="360" w:lineRule="auto"/>
        <w:rPr>
          <w:rFonts w:ascii="Times New Roman" w:hAnsi="Times New Roman"/>
          <w:snapToGrid w:val="0"/>
          <w:kern w:val="0"/>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4E4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850CCD3">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69D9D8D9">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人法定代表人名称：</w:t>
            </w:r>
          </w:p>
        </w:tc>
      </w:tr>
      <w:tr w14:paraId="444F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4794767">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501C45FC">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4EF22C45">
      <w:pPr>
        <w:tabs>
          <w:tab w:val="left" w:pos="6300"/>
        </w:tabs>
        <w:snapToGrid w:val="0"/>
        <w:spacing w:line="360" w:lineRule="auto"/>
        <w:rPr>
          <w:rFonts w:ascii="Times New Roman" w:hAnsi="Times New Roman"/>
          <w:snapToGrid w:val="0"/>
          <w:kern w:val="0"/>
          <w:highlight w:val="none"/>
        </w:rPr>
      </w:pPr>
    </w:p>
    <w:p w14:paraId="78B7C83B">
      <w:pPr>
        <w:tabs>
          <w:tab w:val="left" w:pos="6300"/>
        </w:tabs>
        <w:snapToGrid w:val="0"/>
        <w:spacing w:line="360" w:lineRule="auto"/>
        <w:rPr>
          <w:rFonts w:ascii="Times New Roman" w:hAnsi="Times New Roman"/>
          <w:snapToGrid w:val="0"/>
          <w:kern w:val="0"/>
          <w:szCs w:val="28"/>
          <w:highlight w:val="none"/>
        </w:rPr>
      </w:pPr>
    </w:p>
    <w:p w14:paraId="5BAA2910">
      <w:pPr>
        <w:tabs>
          <w:tab w:val="left" w:pos="6300"/>
        </w:tabs>
        <w:snapToGrid w:val="0"/>
        <w:spacing w:line="360" w:lineRule="auto"/>
        <w:rPr>
          <w:rFonts w:ascii="Times New Roman" w:hAnsi="Times New Roman"/>
          <w:snapToGrid w:val="0"/>
          <w:kern w:val="0"/>
          <w:highlight w:val="none"/>
        </w:rPr>
      </w:pPr>
    </w:p>
    <w:p w14:paraId="4B01511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4DDCAA7D">
      <w:pPr>
        <w:tabs>
          <w:tab w:val="left" w:pos="6300"/>
        </w:tabs>
        <w:snapToGrid w:val="0"/>
        <w:spacing w:line="360" w:lineRule="auto"/>
        <w:rPr>
          <w:rFonts w:ascii="Times New Roman" w:hAnsi="Times New Roman"/>
          <w:snapToGrid w:val="0"/>
          <w:kern w:val="0"/>
          <w:highlight w:val="none"/>
        </w:rPr>
      </w:pPr>
    </w:p>
    <w:p w14:paraId="6CB7F03D">
      <w:pPr>
        <w:tabs>
          <w:tab w:val="left" w:pos="6300"/>
        </w:tabs>
        <w:snapToGrid w:val="0"/>
        <w:spacing w:line="360" w:lineRule="auto"/>
        <w:rPr>
          <w:rFonts w:ascii="Times New Roman" w:hAnsi="Times New Roman"/>
          <w:snapToGrid w:val="0"/>
          <w:kern w:val="0"/>
          <w:highlight w:val="none"/>
        </w:rPr>
      </w:pPr>
    </w:p>
    <w:p w14:paraId="5262A2C0">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486CCC7B">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1CD80999">
      <w:pPr>
        <w:tabs>
          <w:tab w:val="left" w:pos="6300"/>
        </w:tabs>
        <w:snapToGrid w:val="0"/>
        <w:spacing w:line="360" w:lineRule="auto"/>
        <w:rPr>
          <w:rFonts w:ascii="Times New Roman" w:hAnsi="Times New Roman"/>
          <w:snapToGrid w:val="0"/>
          <w:kern w:val="0"/>
          <w:highlight w:val="none"/>
        </w:rPr>
      </w:pPr>
    </w:p>
    <w:p w14:paraId="7C4B3C9A">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注：1.若为法定代表人办理并签署参选文件的，不提供此文件。</w:t>
      </w:r>
    </w:p>
    <w:p w14:paraId="68D789FD">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2.若为联合体参选的，法定代表人授权委托书由联合体主办方（主体）出具。</w:t>
      </w:r>
    </w:p>
    <w:p w14:paraId="31F1B451">
      <w:pPr>
        <w:rPr>
          <w:rFonts w:ascii="Times New Roman" w:hAnsi="Times New Roman"/>
          <w:highlight w:val="none"/>
        </w:rPr>
      </w:pPr>
    </w:p>
    <w:p w14:paraId="30A748E6">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02E574FD">
      <w:pPr>
        <w:pStyle w:val="17"/>
        <w:rPr>
          <w:rFonts w:ascii="Times New Roman" w:hAnsi="Times New Roman"/>
          <w:highlight w:val="none"/>
        </w:rPr>
      </w:pPr>
      <w:r>
        <w:rPr>
          <w:rFonts w:hint="eastAsia" w:ascii="Times New Roman" w:hAnsi="Times New Roman"/>
          <w:highlight w:val="none"/>
        </w:rPr>
        <w:t>（三）书面声明</w:t>
      </w:r>
    </w:p>
    <w:p w14:paraId="0D49612C">
      <w:pPr>
        <w:tabs>
          <w:tab w:val="left" w:pos="6300"/>
        </w:tabs>
        <w:snapToGrid w:val="0"/>
        <w:spacing w:line="360" w:lineRule="auto"/>
        <w:rPr>
          <w:rFonts w:ascii="Times New Roman" w:hAnsi="Times New Roman"/>
          <w:highlight w:val="none"/>
        </w:rPr>
      </w:pPr>
    </w:p>
    <w:p w14:paraId="3903A9FD">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12BB1B06">
      <w:pPr>
        <w:tabs>
          <w:tab w:val="left" w:pos="6300"/>
        </w:tabs>
        <w:snapToGrid w:val="0"/>
        <w:spacing w:line="360" w:lineRule="auto"/>
        <w:rPr>
          <w:rFonts w:ascii="Times New Roman" w:hAnsi="Times New Roman"/>
          <w:highlight w:val="none"/>
        </w:rPr>
      </w:pPr>
    </w:p>
    <w:p w14:paraId="08EBBAD8">
      <w:pPr>
        <w:tabs>
          <w:tab w:val="left" w:pos="6300"/>
        </w:tabs>
        <w:snapToGrid w:val="0"/>
        <w:spacing w:line="360" w:lineRule="auto"/>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03B096C8">
      <w:pPr>
        <w:tabs>
          <w:tab w:val="left" w:pos="6300"/>
        </w:tabs>
        <w:snapToGrid w:val="0"/>
        <w:spacing w:line="360" w:lineRule="auto"/>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w:t>
      </w:r>
      <w:r>
        <w:rPr>
          <w:rFonts w:ascii="Times New Roman" w:hAnsi="Times New Roman" w:cs="Times New Roman"/>
          <w:color w:val="000000"/>
          <w:highlight w:val="none"/>
        </w:rPr>
        <w:t>且近3年财务状况稳定</w:t>
      </w:r>
      <w:r>
        <w:rPr>
          <w:rFonts w:hint="eastAsia" w:ascii="Times New Roman" w:hAnsi="Times New Roman"/>
          <w:highlight w:val="none"/>
        </w:rPr>
        <w:t>，符合法律法规规定的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07CA0447">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37035B51">
      <w:pPr>
        <w:tabs>
          <w:tab w:val="left" w:pos="6300"/>
        </w:tabs>
        <w:snapToGrid w:val="0"/>
        <w:spacing w:line="360" w:lineRule="auto"/>
        <w:rPr>
          <w:rFonts w:ascii="Times New Roman" w:hAnsi="Times New Roman"/>
          <w:highlight w:val="none"/>
        </w:rPr>
      </w:pPr>
    </w:p>
    <w:p w14:paraId="43340511">
      <w:pPr>
        <w:tabs>
          <w:tab w:val="left" w:pos="6300"/>
        </w:tabs>
        <w:snapToGrid w:val="0"/>
        <w:spacing w:line="360" w:lineRule="auto"/>
        <w:rPr>
          <w:rFonts w:ascii="Times New Roman" w:hAnsi="Times New Roman"/>
          <w:highlight w:val="none"/>
        </w:rPr>
      </w:pPr>
    </w:p>
    <w:p w14:paraId="1F2FFB2C">
      <w:pPr>
        <w:tabs>
          <w:tab w:val="left" w:pos="6300"/>
        </w:tabs>
        <w:snapToGrid w:val="0"/>
        <w:spacing w:line="360" w:lineRule="auto"/>
        <w:rPr>
          <w:rFonts w:ascii="Times New Roman" w:hAnsi="Times New Roman"/>
          <w:highlight w:val="none"/>
        </w:rPr>
      </w:pPr>
    </w:p>
    <w:p w14:paraId="390B52F6">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2F1857B4">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7C78AA40">
      <w:pPr>
        <w:spacing w:line="360" w:lineRule="auto"/>
        <w:jc w:val="left"/>
        <w:rPr>
          <w:rFonts w:ascii="Times New Roman" w:hAnsi="Times New Roman" w:cs="等线 Light"/>
          <w:snapToGrid w:val="0"/>
          <w:kern w:val="0"/>
          <w:szCs w:val="24"/>
          <w:highlight w:val="none"/>
        </w:rPr>
      </w:pPr>
    </w:p>
    <w:p w14:paraId="40120CD9">
      <w:pPr>
        <w:spacing w:line="360" w:lineRule="auto"/>
        <w:jc w:val="left"/>
        <w:rPr>
          <w:rFonts w:ascii="Times New Roman" w:hAnsi="Times New Roman" w:cs="等线 Light"/>
          <w:snapToGrid w:val="0"/>
          <w:kern w:val="0"/>
          <w:szCs w:val="24"/>
          <w:highlight w:val="none"/>
        </w:rPr>
      </w:pPr>
    </w:p>
    <w:p w14:paraId="771F3024">
      <w:pPr>
        <w:spacing w:line="360" w:lineRule="auto"/>
        <w:jc w:val="left"/>
        <w:rPr>
          <w:rFonts w:ascii="Times New Roman" w:hAnsi="Times New Roman" w:cs="等线 Light"/>
          <w:snapToGrid w:val="0"/>
          <w:kern w:val="0"/>
          <w:szCs w:val="24"/>
          <w:highlight w:val="none"/>
        </w:rPr>
      </w:pPr>
    </w:p>
    <w:p w14:paraId="6C8E3328">
      <w:pPr>
        <w:spacing w:line="360" w:lineRule="auto"/>
        <w:jc w:val="left"/>
        <w:rPr>
          <w:rFonts w:ascii="Times New Roman" w:hAnsi="Times New Roman" w:cs="等线 Light"/>
          <w:snapToGrid w:val="0"/>
          <w:kern w:val="0"/>
          <w:szCs w:val="24"/>
          <w:highlight w:val="none"/>
        </w:rPr>
      </w:pPr>
    </w:p>
    <w:p w14:paraId="24D71BF0">
      <w:pPr>
        <w:spacing w:line="360" w:lineRule="auto"/>
        <w:jc w:val="left"/>
        <w:rPr>
          <w:rFonts w:ascii="Times New Roman" w:hAnsi="Times New Roman" w:cs="等线 Light"/>
          <w:snapToGrid w:val="0"/>
          <w:kern w:val="0"/>
          <w:szCs w:val="24"/>
          <w:highlight w:val="none"/>
        </w:rPr>
      </w:pPr>
    </w:p>
    <w:p w14:paraId="0BB8764E">
      <w:pPr>
        <w:spacing w:line="360" w:lineRule="auto"/>
        <w:jc w:val="left"/>
        <w:rPr>
          <w:rFonts w:ascii="Times New Roman" w:hAnsi="Times New Roman" w:cs="等线 Light"/>
          <w:snapToGrid w:val="0"/>
          <w:kern w:val="0"/>
          <w:szCs w:val="24"/>
          <w:highlight w:val="none"/>
        </w:rPr>
      </w:pPr>
    </w:p>
    <w:p w14:paraId="74FC61B6">
      <w:pPr>
        <w:spacing w:line="360" w:lineRule="auto"/>
        <w:jc w:val="left"/>
        <w:rPr>
          <w:rFonts w:ascii="Times New Roman" w:hAnsi="Times New Roman" w:cs="等线 Light"/>
          <w:snapToGrid w:val="0"/>
          <w:kern w:val="0"/>
          <w:szCs w:val="24"/>
          <w:highlight w:val="none"/>
        </w:rPr>
      </w:pPr>
    </w:p>
    <w:p w14:paraId="24C5551F">
      <w:pPr>
        <w:rPr>
          <w:rFonts w:ascii="Times New Roman" w:hAnsi="Times New Roman"/>
          <w:b/>
          <w:bCs/>
          <w:highlight w:val="none"/>
        </w:rPr>
      </w:pPr>
      <w:r>
        <w:rPr>
          <w:rFonts w:hint="eastAsia" w:ascii="Times New Roman" w:hAnsi="Times New Roman"/>
          <w:kern w:val="0"/>
          <w:highlight w:val="none"/>
        </w:rPr>
        <w:br w:type="page"/>
      </w:r>
    </w:p>
    <w:p w14:paraId="121AE120">
      <w:pPr>
        <w:pStyle w:val="17"/>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65F61A70">
      <w:pPr>
        <w:numPr>
          <w:ilvl w:val="-1"/>
          <w:numId w:val="0"/>
        </w:numPr>
        <w:ind w:firstLine="0" w:firstLineChars="0"/>
        <w:jc w:val="center"/>
        <w:outlineLvl w:val="9"/>
        <w:rPr>
          <w:rFonts w:ascii="Times New Roman" w:hAnsi="Times New Roman"/>
          <w:color w:val="auto"/>
          <w:highlight w:val="none"/>
        </w:rPr>
      </w:pPr>
      <w:r>
        <w:rPr>
          <w:rFonts w:ascii="Times New Roman" w:hAnsi="Times New Roman"/>
          <w:color w:val="auto"/>
          <w:highlight w:val="none"/>
        </w:rPr>
        <w:t>（法人及法定代表人中国执行信息公开网截图）</w:t>
      </w:r>
    </w:p>
    <w:p w14:paraId="113E587E">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1.法人</w:t>
      </w:r>
      <w:r>
        <w:rPr>
          <w:rFonts w:hint="default" w:ascii="Times New Roman" w:hAnsi="Times New Roman" w:cs="Times New Roman"/>
          <w:color w:val="auto"/>
          <w:highlight w:val="none"/>
        </w:rPr>
        <w:t>中国执行信息公开网截图</w:t>
      </w:r>
    </w:p>
    <w:p w14:paraId="2B62C6FA">
      <w:pPr>
        <w:ind w:firstLine="48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2.法定代表人</w:t>
      </w:r>
      <w:r>
        <w:rPr>
          <w:rFonts w:hint="default" w:ascii="Times New Roman" w:hAnsi="Times New Roman" w:cs="Times New Roman"/>
          <w:color w:val="auto"/>
          <w:highlight w:val="none"/>
        </w:rPr>
        <w:t>中国执行信息公开网截图</w:t>
      </w:r>
    </w:p>
    <w:p w14:paraId="46F9369C">
      <w:pPr>
        <w:ind w:firstLine="480"/>
        <w:rPr>
          <w:rFonts w:ascii="Times New Roman" w:hAnsi="Times New Roman"/>
          <w:highlight w:val="none"/>
        </w:rPr>
      </w:pPr>
    </w:p>
    <w:p w14:paraId="20058BCD">
      <w:pPr>
        <w:rPr>
          <w:rFonts w:ascii="Times New Roman" w:hAnsi="Times New Roman"/>
          <w:highlight w:val="none"/>
        </w:rPr>
      </w:pPr>
      <w:r>
        <w:rPr>
          <w:rFonts w:hint="eastAsia" w:ascii="Times New Roman" w:hAnsi="Times New Roman"/>
          <w:highlight w:val="none"/>
        </w:rPr>
        <w:br w:type="page"/>
      </w:r>
    </w:p>
    <w:p w14:paraId="64B955B8">
      <w:pPr>
        <w:pStyle w:val="17"/>
        <w:rPr>
          <w:rFonts w:hint="eastAsia" w:ascii="Times New Roman" w:hAnsi="Times New Roman"/>
          <w:color w:val="auto"/>
          <w:highlight w:val="none"/>
          <w:shd w:val="clear" w:color="auto" w:fill="auto"/>
          <w:lang w:val="zh-CN"/>
        </w:rPr>
      </w:pPr>
      <w:r>
        <w:rPr>
          <w:rFonts w:hint="eastAsia" w:ascii="Times New Roman" w:hAnsi="Times New Roman"/>
          <w:color w:val="auto"/>
          <w:highlight w:val="none"/>
          <w:shd w:val="clear" w:color="auto" w:fill="auto"/>
          <w:lang w:val="zh-CN"/>
        </w:rPr>
        <w:t>（</w:t>
      </w:r>
      <w:r>
        <w:rPr>
          <w:rFonts w:hint="eastAsia" w:ascii="Times New Roman" w:hAnsi="Times New Roman"/>
          <w:color w:val="auto"/>
          <w:highlight w:val="none"/>
          <w:shd w:val="clear" w:color="auto" w:fill="auto"/>
          <w:lang w:val="en-US" w:eastAsia="zh-CN"/>
        </w:rPr>
        <w:t>五</w:t>
      </w:r>
      <w:r>
        <w:rPr>
          <w:rFonts w:hint="eastAsia" w:ascii="Times New Roman" w:hAnsi="Times New Roman"/>
          <w:color w:val="auto"/>
          <w:highlight w:val="none"/>
          <w:shd w:val="clear" w:color="auto" w:fill="auto"/>
          <w:lang w:val="zh-CN"/>
        </w:rPr>
        <w:t>）其他（如有）</w:t>
      </w:r>
    </w:p>
    <w:p w14:paraId="7EA5B8B8">
      <w:pPr>
        <w:rPr>
          <w:rFonts w:ascii="Times New Roman" w:hAnsi="Times New Roman"/>
          <w:highlight w:val="none"/>
          <w:lang w:val="zh-CN"/>
        </w:rPr>
      </w:pPr>
    </w:p>
    <w:p w14:paraId="0C9200CF">
      <w:pPr>
        <w:rPr>
          <w:rFonts w:ascii="Times New Roman" w:hAnsi="Times New Roman"/>
          <w:highlight w:val="none"/>
          <w:lang w:val="zh-CN"/>
        </w:rPr>
      </w:pPr>
    </w:p>
    <w:p w14:paraId="40912D4F">
      <w:pPr>
        <w:rPr>
          <w:rFonts w:ascii="Times New Roman" w:hAnsi="Times New Roman"/>
          <w:highlight w:val="none"/>
          <w:lang w:val="zh-CN"/>
        </w:rPr>
      </w:pPr>
    </w:p>
    <w:p w14:paraId="7AC8C9D9">
      <w:pPr>
        <w:rPr>
          <w:rFonts w:ascii="Times New Roman" w:hAnsi="Times New Roman"/>
          <w:highlight w:val="none"/>
          <w:lang w:val="zh-CN"/>
        </w:rPr>
      </w:pPr>
      <w:r>
        <w:rPr>
          <w:rFonts w:hint="eastAsia" w:ascii="Times New Roman" w:hAnsi="Times New Roman"/>
          <w:highlight w:val="none"/>
          <w:lang w:val="zh-CN"/>
        </w:rPr>
        <w:br w:type="page"/>
      </w:r>
    </w:p>
    <w:p w14:paraId="1C8A8D48">
      <w:pPr>
        <w:pStyle w:val="29"/>
        <w:rPr>
          <w:rFonts w:hint="default" w:ascii="Times New Roman" w:hAnsi="Times New Roman" w:eastAsia="宋体"/>
          <w:highlight w:val="none"/>
          <w:lang w:val="en-US" w:eastAsia="zh-CN"/>
        </w:rPr>
      </w:pPr>
      <w:r>
        <w:rPr>
          <w:rFonts w:ascii="Times New Roman" w:hAnsi="Times New Roman"/>
          <w:highlight w:val="none"/>
        </w:rPr>
        <w:t>四、响应</w:t>
      </w:r>
      <w:r>
        <w:rPr>
          <w:rFonts w:hint="eastAsia" w:ascii="Times New Roman" w:hAnsi="Times New Roman"/>
          <w:highlight w:val="none"/>
          <w:lang w:val="en-US" w:eastAsia="zh-CN"/>
        </w:rPr>
        <w:t>性文件</w:t>
      </w:r>
    </w:p>
    <w:p w14:paraId="6F00B257">
      <w:pPr>
        <w:pStyle w:val="17"/>
        <w:outlineLvl w:val="2"/>
        <w:rPr>
          <w:rFonts w:ascii="Times New Roman" w:hAnsi="Times New Roman"/>
          <w:highlight w:val="none"/>
        </w:rPr>
      </w:pPr>
      <w:r>
        <w:rPr>
          <w:rFonts w:hint="eastAsia" w:ascii="Times New Roman" w:hAnsi="Times New Roman"/>
          <w:highlight w:val="none"/>
        </w:rPr>
        <w:t>（一）响应承诺函</w:t>
      </w:r>
    </w:p>
    <w:p w14:paraId="580C0D31">
      <w:pPr>
        <w:rPr>
          <w:color w:val="000000"/>
          <w:highlight w:val="none"/>
        </w:rPr>
      </w:pPr>
      <w:r>
        <w:rPr>
          <w:rFonts w:hint="eastAsia" w:ascii="宋体"/>
          <w:color w:val="000000"/>
          <w:szCs w:val="28"/>
          <w:highlight w:val="none"/>
        </w:rPr>
        <w:t>项目名称</w:t>
      </w:r>
      <w:r>
        <w:rPr>
          <w:rFonts w:hint="eastAsia" w:ascii="宋体"/>
          <w:color w:val="000000"/>
          <w:highlight w:val="none"/>
        </w:rPr>
        <w:t>：</w:t>
      </w:r>
    </w:p>
    <w:p w14:paraId="27A743EB">
      <w:pPr>
        <w:rPr>
          <w:color w:val="000000"/>
          <w:highlight w:val="none"/>
        </w:rPr>
      </w:pPr>
    </w:p>
    <w:p w14:paraId="6EDB91DE">
      <w:pPr>
        <w:spacing w:line="480" w:lineRule="exact"/>
        <w:ind w:firstLine="0" w:firstLineChars="0"/>
        <w:rPr>
          <w:color w:val="000000"/>
          <w:highlight w:val="none"/>
        </w:rPr>
      </w:pPr>
      <w:r>
        <w:rPr>
          <w:rFonts w:hint="eastAsia"/>
          <w:color w:val="000000"/>
          <w:highlight w:val="none"/>
        </w:rPr>
        <w:t>致：重庆三峡银行股份有限公司：</w:t>
      </w:r>
    </w:p>
    <w:p w14:paraId="30C83C35">
      <w:pPr>
        <w:rPr>
          <w:color w:val="000000"/>
          <w:highlight w:val="none"/>
        </w:rPr>
      </w:pPr>
    </w:p>
    <w:p w14:paraId="7FBFF816">
      <w:pPr>
        <w:rPr>
          <w:color w:val="000000"/>
          <w:highlight w:val="none"/>
        </w:rPr>
      </w:pPr>
      <w:r>
        <w:rPr>
          <w:rFonts w:hint="eastAsia"/>
          <w:color w:val="000000"/>
          <w:highlight w:val="none"/>
        </w:rPr>
        <w:t>我公司郑重承诺，完全满足第三章“项目要求”所有内容。</w:t>
      </w:r>
    </w:p>
    <w:p w14:paraId="20EDDEAE">
      <w:pPr>
        <w:rPr>
          <w:rFonts w:ascii="Times New Roman" w:hAnsi="Times New Roman" w:cs="Times New Roman"/>
          <w:highlight w:val="none"/>
        </w:rPr>
      </w:pPr>
      <w:r>
        <w:rPr>
          <w:rFonts w:hint="eastAsia"/>
          <w:color w:val="000000"/>
          <w:highlight w:val="none"/>
          <w:lang w:val="en-US" w:eastAsia="zh-CN"/>
        </w:rPr>
        <w:t>我公司中选后，</w:t>
      </w:r>
      <w:r>
        <w:rPr>
          <w:rFonts w:ascii="Times New Roman" w:hAnsi="Times New Roman" w:cs="Times New Roman"/>
          <w:highlight w:val="none"/>
        </w:rPr>
        <w:t>未征得比选人书面同意的情况下不得更换项目成员</w:t>
      </w:r>
      <w:r>
        <w:rPr>
          <w:rFonts w:hint="eastAsia" w:ascii="Times New Roman" w:hAnsi="Times New Roman" w:cs="Times New Roman"/>
          <w:highlight w:val="none"/>
        </w:rPr>
        <w:t>。</w:t>
      </w:r>
    </w:p>
    <w:p w14:paraId="5E5EB32D">
      <w:pPr>
        <w:rPr>
          <w:color w:val="000000"/>
          <w:highlight w:val="none"/>
        </w:rPr>
      </w:pPr>
      <w:r>
        <w:rPr>
          <w:rFonts w:hint="eastAsia"/>
          <w:color w:val="000000"/>
          <w:highlight w:val="none"/>
          <w:lang w:val="en-US" w:eastAsia="zh-CN"/>
        </w:rPr>
        <w:t>我公司中选后，</w:t>
      </w:r>
      <w:r>
        <w:rPr>
          <w:rFonts w:hint="eastAsia"/>
          <w:color w:val="000000"/>
          <w:highlight w:val="none"/>
        </w:rPr>
        <w:t>将根据</w:t>
      </w:r>
      <w:r>
        <w:rPr>
          <w:rFonts w:hint="eastAsia" w:ascii="Times New Roman" w:hAnsi="Times New Roman" w:cs="Times New Roman"/>
          <w:highlight w:val="none"/>
        </w:rPr>
        <w:t>提我公司</w:t>
      </w:r>
      <w:r>
        <w:rPr>
          <w:rFonts w:hint="eastAsia" w:ascii="Times New Roman" w:hAnsi="Times New Roman" w:cs="Times New Roman"/>
          <w:highlight w:val="none"/>
          <w:lang w:val="en-US" w:eastAsia="zh-CN"/>
        </w:rPr>
        <w:t>提</w:t>
      </w:r>
      <w:r>
        <w:rPr>
          <w:rFonts w:hint="eastAsia" w:ascii="Times New Roman" w:hAnsi="Times New Roman" w:cs="Times New Roman"/>
          <w:highlight w:val="none"/>
        </w:rPr>
        <w:t>供的</w:t>
      </w:r>
      <w:r>
        <w:rPr>
          <w:rFonts w:ascii="Times New Roman" w:hAnsi="Times New Roman" w:cs="Times New Roman"/>
          <w:highlight w:val="none"/>
        </w:rPr>
        <w:t>售后服务和培训方案</w:t>
      </w:r>
      <w:r>
        <w:rPr>
          <w:rFonts w:hint="eastAsia" w:ascii="Times New Roman" w:hAnsi="Times New Roman" w:cs="Times New Roman"/>
          <w:highlight w:val="none"/>
        </w:rPr>
        <w:t>进行售后服务和培训。</w:t>
      </w:r>
    </w:p>
    <w:p w14:paraId="1FD6F004">
      <w:pPr>
        <w:rPr>
          <w:color w:val="000000"/>
          <w:highlight w:val="none"/>
        </w:rPr>
      </w:pPr>
    </w:p>
    <w:p w14:paraId="39336192">
      <w:pPr>
        <w:spacing w:line="480" w:lineRule="exact"/>
        <w:ind w:firstLine="0" w:firstLineChars="0"/>
        <w:rPr>
          <w:color w:val="000000"/>
          <w:highlight w:val="none"/>
        </w:rPr>
      </w:pPr>
      <w:r>
        <w:rPr>
          <w:rFonts w:hint="eastAsia"/>
          <w:color w:val="000000"/>
          <w:highlight w:val="none"/>
        </w:rPr>
        <w:t>特此承诺。</w:t>
      </w:r>
    </w:p>
    <w:p w14:paraId="038BFC06">
      <w:pPr>
        <w:tabs>
          <w:tab w:val="left" w:pos="6300"/>
        </w:tabs>
        <w:snapToGrid w:val="0"/>
        <w:spacing w:line="480" w:lineRule="exact"/>
        <w:rPr>
          <w:rFonts w:ascii="宋体"/>
          <w:color w:val="000000"/>
          <w:highlight w:val="none"/>
        </w:rPr>
      </w:pPr>
    </w:p>
    <w:p w14:paraId="7B327F26">
      <w:pPr>
        <w:tabs>
          <w:tab w:val="left" w:pos="6300"/>
        </w:tabs>
        <w:snapToGrid w:val="0"/>
        <w:spacing w:line="480" w:lineRule="exact"/>
        <w:rPr>
          <w:rFonts w:ascii="宋体"/>
          <w:color w:val="000000"/>
          <w:highlight w:val="none"/>
        </w:rPr>
      </w:pPr>
    </w:p>
    <w:p w14:paraId="6217721C">
      <w:pPr>
        <w:tabs>
          <w:tab w:val="left" w:pos="6300"/>
        </w:tabs>
        <w:snapToGrid w:val="0"/>
        <w:spacing w:line="480" w:lineRule="exact"/>
        <w:ind w:right="424"/>
        <w:jc w:val="right"/>
        <w:rPr>
          <w:rFonts w:ascii="宋体"/>
          <w:color w:val="000000"/>
          <w:highlight w:val="none"/>
        </w:rPr>
      </w:pPr>
      <w:r>
        <w:rPr>
          <w:rFonts w:hint="eastAsia" w:ascii="宋体"/>
          <w:color w:val="000000"/>
          <w:highlight w:val="none"/>
        </w:rPr>
        <w:t>（</w:t>
      </w:r>
      <w:r>
        <w:rPr>
          <w:rFonts w:hint="eastAsia" w:ascii="宋体" w:cs="等线 Light"/>
          <w:snapToGrid w:val="0"/>
          <w:color w:val="000000"/>
          <w:kern w:val="0"/>
          <w:szCs w:val="24"/>
          <w:highlight w:val="none"/>
        </w:rPr>
        <w:t>参选</w:t>
      </w:r>
      <w:r>
        <w:rPr>
          <w:rFonts w:hint="eastAsia" w:ascii="宋体"/>
          <w:color w:val="000000"/>
          <w:highlight w:val="none"/>
        </w:rPr>
        <w:t>人公章）</w:t>
      </w:r>
    </w:p>
    <w:p w14:paraId="163B33F4">
      <w:pPr>
        <w:tabs>
          <w:tab w:val="left" w:pos="6300"/>
        </w:tabs>
        <w:snapToGrid w:val="0"/>
        <w:spacing w:line="480" w:lineRule="exact"/>
        <w:ind w:right="480"/>
        <w:jc w:val="right"/>
        <w:rPr>
          <w:rFonts w:hint="eastAsia" w:ascii="宋体" w:eastAsia="宋体"/>
          <w:color w:val="000000"/>
          <w:highlight w:val="none"/>
          <w:lang w:val="en-US" w:eastAsia="zh-CN"/>
        </w:rPr>
      </w:pPr>
      <w:r>
        <w:rPr>
          <w:rFonts w:hint="eastAsia" w:ascii="宋体"/>
          <w:color w:val="000000"/>
          <w:highlight w:val="none"/>
        </w:rPr>
        <w:t>年   月</w:t>
      </w:r>
      <w:r>
        <w:rPr>
          <w:rFonts w:hint="eastAsia" w:ascii="宋体"/>
          <w:color w:val="000000"/>
          <w:highlight w:val="none"/>
          <w:lang w:val="en-US" w:eastAsia="zh-CN"/>
        </w:rPr>
        <w:t xml:space="preserve"> </w:t>
      </w:r>
      <w:r>
        <w:rPr>
          <w:rFonts w:hint="eastAsia" w:ascii="宋体"/>
          <w:color w:val="000000"/>
          <w:highlight w:val="none"/>
        </w:rPr>
        <w:t xml:space="preserve"> </w:t>
      </w:r>
      <w:r>
        <w:rPr>
          <w:rFonts w:hint="eastAsia" w:ascii="宋体"/>
          <w:color w:val="000000"/>
          <w:highlight w:val="none"/>
          <w:lang w:val="en-US" w:eastAsia="zh-CN"/>
        </w:rPr>
        <w:t>日</w:t>
      </w:r>
    </w:p>
    <w:p w14:paraId="34153242">
      <w:pPr>
        <w:ind w:firstLine="0" w:firstLineChars="0"/>
        <w:rPr>
          <w:rFonts w:ascii="Times New Roman" w:hAnsi="Times New Roman"/>
          <w:highlight w:val="none"/>
        </w:rPr>
      </w:pPr>
      <w:r>
        <w:rPr>
          <w:rFonts w:hint="eastAsia" w:ascii="宋体"/>
          <w:color w:val="000000"/>
          <w:highlight w:val="none"/>
        </w:rPr>
        <w:br w:type="page"/>
      </w:r>
    </w:p>
    <w:p w14:paraId="082E796F">
      <w:pPr>
        <w:pStyle w:val="17"/>
        <w:rPr>
          <w:rFonts w:ascii="Times New Roman" w:hAnsi="Times New Roman"/>
          <w:highlight w:val="none"/>
        </w:rPr>
      </w:pPr>
      <w:r>
        <w:rPr>
          <w:rFonts w:hint="eastAsia" w:ascii="Times New Roman" w:hAnsi="Times New Roman"/>
          <w:highlight w:val="none"/>
        </w:rPr>
        <w:t>（二）</w:t>
      </w:r>
      <w:r>
        <w:rPr>
          <w:rFonts w:ascii="Times New Roman" w:hAnsi="Times New Roman"/>
          <w:highlight w:val="none"/>
        </w:rPr>
        <w:t>近半年公司为项目组成员缴纳社保的证明材料</w:t>
      </w:r>
    </w:p>
    <w:p w14:paraId="3AB43C4C">
      <w:pPr>
        <w:rPr>
          <w:highlight w:val="none"/>
        </w:rPr>
      </w:pPr>
    </w:p>
    <w:p w14:paraId="0E89799C">
      <w:pPr>
        <w:rPr>
          <w:highlight w:val="none"/>
        </w:rPr>
      </w:pPr>
    </w:p>
    <w:p w14:paraId="23E767E7">
      <w:pPr>
        <w:rPr>
          <w:highlight w:val="none"/>
        </w:rPr>
      </w:pPr>
    </w:p>
    <w:p w14:paraId="4AE47823">
      <w:pPr>
        <w:rPr>
          <w:highlight w:val="none"/>
        </w:rPr>
      </w:pPr>
    </w:p>
    <w:p w14:paraId="34105A58">
      <w:pPr>
        <w:rPr>
          <w:highlight w:val="none"/>
        </w:rPr>
      </w:pPr>
    </w:p>
    <w:p w14:paraId="6A21953A">
      <w:pPr>
        <w:rPr>
          <w:highlight w:val="none"/>
        </w:rPr>
      </w:pPr>
    </w:p>
    <w:p w14:paraId="75D7A305">
      <w:pPr>
        <w:rPr>
          <w:highlight w:val="none"/>
        </w:rPr>
      </w:pPr>
    </w:p>
    <w:p w14:paraId="58F873F3">
      <w:pPr>
        <w:rPr>
          <w:highlight w:val="none"/>
        </w:rPr>
      </w:pPr>
    </w:p>
    <w:p w14:paraId="3777279C">
      <w:pPr>
        <w:rPr>
          <w:highlight w:val="none"/>
        </w:rPr>
      </w:pPr>
    </w:p>
    <w:p w14:paraId="50F0758B">
      <w:pPr>
        <w:rPr>
          <w:highlight w:val="none"/>
        </w:rPr>
      </w:pPr>
    </w:p>
    <w:p w14:paraId="25F9B0D9">
      <w:pPr>
        <w:rPr>
          <w:highlight w:val="none"/>
        </w:rPr>
      </w:pPr>
    </w:p>
    <w:p w14:paraId="5A4AB3CC">
      <w:pPr>
        <w:rPr>
          <w:highlight w:val="none"/>
        </w:rPr>
      </w:pPr>
    </w:p>
    <w:p w14:paraId="63095F6F">
      <w:pPr>
        <w:rPr>
          <w:highlight w:val="none"/>
        </w:rPr>
      </w:pPr>
    </w:p>
    <w:p w14:paraId="4B2B204F">
      <w:pPr>
        <w:rPr>
          <w:highlight w:val="none"/>
        </w:rPr>
      </w:pPr>
    </w:p>
    <w:p w14:paraId="5AA3F9FB">
      <w:pPr>
        <w:rPr>
          <w:highlight w:val="none"/>
        </w:rPr>
      </w:pPr>
    </w:p>
    <w:p w14:paraId="258C1658">
      <w:pPr>
        <w:rPr>
          <w:highlight w:val="none"/>
        </w:rPr>
      </w:pPr>
    </w:p>
    <w:p w14:paraId="4D24DD6E">
      <w:pPr>
        <w:rPr>
          <w:highlight w:val="none"/>
        </w:rPr>
      </w:pPr>
    </w:p>
    <w:p w14:paraId="10E216D3">
      <w:pPr>
        <w:rPr>
          <w:highlight w:val="none"/>
        </w:rPr>
      </w:pPr>
    </w:p>
    <w:p w14:paraId="0D5AF9A9">
      <w:pPr>
        <w:rPr>
          <w:highlight w:val="none"/>
        </w:rPr>
      </w:pPr>
    </w:p>
    <w:p w14:paraId="5CA7774F">
      <w:pPr>
        <w:rPr>
          <w:highlight w:val="none"/>
        </w:rPr>
      </w:pPr>
    </w:p>
    <w:p w14:paraId="3030554C">
      <w:pPr>
        <w:ind w:left="0" w:firstLine="0" w:firstLineChars="0"/>
        <w:rPr>
          <w:highlight w:val="none"/>
        </w:rPr>
      </w:pPr>
    </w:p>
    <w:p w14:paraId="5DEEEBB6">
      <w:pPr>
        <w:pStyle w:val="17"/>
        <w:rPr>
          <w:rFonts w:hint="eastAsia" w:ascii="Times New Roman" w:hAnsi="Times New Roman"/>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highlight w:val="none"/>
          <w:lang w:val="en-US" w:eastAsia="zh-CN"/>
        </w:rPr>
        <w:t>（三）售后服务方案</w:t>
      </w:r>
    </w:p>
    <w:p w14:paraId="610CBDC1">
      <w:pPr>
        <w:pStyle w:val="17"/>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四</w:t>
      </w:r>
      <w:r>
        <w:rPr>
          <w:rFonts w:hint="eastAsia" w:ascii="Times New Roman" w:hAnsi="Times New Roman"/>
          <w:highlight w:val="none"/>
          <w:lang w:eastAsia="zh-CN"/>
        </w:rPr>
        <w:t>）</w:t>
      </w:r>
      <w:r>
        <w:rPr>
          <w:rFonts w:hint="eastAsia" w:ascii="Times New Roman" w:hAnsi="Times New Roman"/>
          <w:highlight w:val="none"/>
        </w:rPr>
        <w:t>项目实施方案</w:t>
      </w:r>
    </w:p>
    <w:p w14:paraId="0BDAEACC">
      <w:pPr>
        <w:rPr>
          <w:rFonts w:hint="eastAsia" w:ascii="Times New Roman" w:hAnsi="Times New Roman"/>
          <w:highlight w:val="none"/>
          <w:lang w:val="en-US" w:eastAsia="zh-CN"/>
        </w:rPr>
      </w:pPr>
    </w:p>
    <w:p w14:paraId="54B88783">
      <w:pPr>
        <w:tabs>
          <w:tab w:val="left" w:pos="6300"/>
        </w:tabs>
        <w:snapToGrid w:val="0"/>
        <w:spacing w:line="360" w:lineRule="auto"/>
        <w:jc w:val="center"/>
        <w:rPr>
          <w:rFonts w:ascii="Times New Roman" w:hAnsi="Times New Roman"/>
          <w:snapToGrid w:val="0"/>
          <w:kern w:val="0"/>
          <w:szCs w:val="24"/>
          <w:highlight w:val="none"/>
        </w:rPr>
      </w:pPr>
      <w:r>
        <w:rPr>
          <w:rFonts w:hint="eastAsia" w:ascii="Times New Roman" w:hAnsi="Times New Roman"/>
          <w:snapToGrid w:val="0"/>
          <w:kern w:val="0"/>
          <w:szCs w:val="24"/>
          <w:highlight w:val="none"/>
        </w:rPr>
        <w:t>（实施方案包括履行合同的时间计划、提交资料、人员安排等）</w:t>
      </w:r>
    </w:p>
    <w:p w14:paraId="4C9FA601">
      <w:pPr>
        <w:rPr>
          <w:rFonts w:hint="eastAsia" w:ascii="Times New Roman" w:hAnsi="Times New Roman"/>
          <w:highlight w:val="none"/>
          <w:lang w:val="en-US" w:eastAsia="zh-CN"/>
        </w:rPr>
        <w:sectPr>
          <w:pgSz w:w="11906" w:h="16838"/>
          <w:pgMar w:top="1440" w:right="1800" w:bottom="1440" w:left="1800" w:header="851" w:footer="992" w:gutter="0"/>
          <w:cols w:space="720" w:num="1"/>
          <w:docGrid w:type="lines" w:linePitch="312" w:charSpace="0"/>
        </w:sectPr>
      </w:pPr>
    </w:p>
    <w:p w14:paraId="26D8D652">
      <w:pPr>
        <w:pStyle w:val="17"/>
        <w:ind w:firstLineChars="200"/>
        <w:rPr>
          <w:rFonts w:hint="default" w:ascii="Times New Roman" w:hAnsi="Times New Roman"/>
          <w:highlight w:val="none"/>
          <w:lang w:val="en-US"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五</w:t>
      </w:r>
      <w:r>
        <w:rPr>
          <w:rFonts w:hint="eastAsia" w:ascii="Times New Roman" w:hAnsi="Times New Roman"/>
          <w:highlight w:val="none"/>
          <w:lang w:eastAsia="zh-CN"/>
        </w:rPr>
        <w:t>）</w:t>
      </w:r>
      <w:r>
        <w:rPr>
          <w:rFonts w:hint="eastAsia" w:ascii="Times New Roman" w:hAnsi="Times New Roman"/>
          <w:highlight w:val="none"/>
        </w:rPr>
        <w:t>服务连续性预案</w:t>
      </w:r>
    </w:p>
    <w:p w14:paraId="2EC81F92">
      <w:pPr>
        <w:rPr>
          <w:highlight w:val="none"/>
        </w:rPr>
      </w:pPr>
    </w:p>
    <w:p w14:paraId="3FDED73D">
      <w:pPr>
        <w:ind w:firstLine="0" w:firstLineChars="0"/>
        <w:jc w:val="center"/>
        <w:outlineLvl w:val="9"/>
        <w:rPr>
          <w:rFonts w:ascii="Times New Roman" w:hAnsi="Times New Roman"/>
          <w:highlight w:val="none"/>
        </w:rPr>
      </w:pPr>
      <w:r>
        <w:rPr>
          <w:rFonts w:hint="eastAsia" w:ascii="Times New Roman" w:hAnsi="Times New Roman"/>
          <w:highlight w:val="none"/>
        </w:rPr>
        <w:t>（应考虑供应链风险产生的影响）</w:t>
      </w:r>
    </w:p>
    <w:p w14:paraId="401C6AD5">
      <w:pPr>
        <w:rPr>
          <w:highlight w:val="none"/>
        </w:rPr>
        <w:sectPr>
          <w:pgSz w:w="11906" w:h="16838"/>
          <w:pgMar w:top="1440" w:right="1800" w:bottom="1440" w:left="1800" w:header="851" w:footer="992" w:gutter="0"/>
          <w:cols w:space="720" w:num="1"/>
          <w:docGrid w:type="lines" w:linePitch="312" w:charSpace="0"/>
        </w:sectPr>
      </w:pPr>
    </w:p>
    <w:p w14:paraId="6348BDBC">
      <w:pPr>
        <w:rPr>
          <w:rFonts w:hint="eastAsia" w:ascii="Times New Roman" w:hAnsi="Times New Roman"/>
          <w:highlight w:val="none"/>
          <w:lang w:val="en-US" w:eastAsia="zh-CN"/>
        </w:rPr>
      </w:pPr>
    </w:p>
    <w:p w14:paraId="70039845">
      <w:pPr>
        <w:pStyle w:val="29"/>
        <w:outlineLvl w:val="2"/>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六</w:t>
      </w:r>
      <w:r>
        <w:rPr>
          <w:rFonts w:hint="eastAsia" w:ascii="Times New Roman" w:hAnsi="Times New Roman"/>
          <w:highlight w:val="none"/>
          <w:lang w:eastAsia="zh-CN"/>
        </w:rPr>
        <w:t>）</w:t>
      </w:r>
      <w:r>
        <w:rPr>
          <w:rFonts w:ascii="Times New Roman" w:hAnsi="Times New Roman"/>
          <w:highlight w:val="none"/>
        </w:rPr>
        <w:t>服务水平协议（SLA）</w:t>
      </w:r>
    </w:p>
    <w:tbl>
      <w:tblPr>
        <w:tblStyle w:val="21"/>
        <w:tblW w:w="11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2268"/>
        <w:gridCol w:w="3686"/>
        <w:gridCol w:w="2410"/>
      </w:tblGrid>
      <w:tr w14:paraId="66AC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886D6E">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序号</w:t>
            </w:r>
          </w:p>
        </w:tc>
        <w:tc>
          <w:tcPr>
            <w:tcW w:w="1134" w:type="dxa"/>
            <w:vAlign w:val="center"/>
          </w:tcPr>
          <w:p w14:paraId="609BBE26">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评价维度</w:t>
            </w:r>
          </w:p>
        </w:tc>
        <w:tc>
          <w:tcPr>
            <w:tcW w:w="1559" w:type="dxa"/>
            <w:vAlign w:val="center"/>
          </w:tcPr>
          <w:p w14:paraId="4108CF9A">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评价指标</w:t>
            </w:r>
          </w:p>
        </w:tc>
        <w:tc>
          <w:tcPr>
            <w:tcW w:w="2268" w:type="dxa"/>
            <w:vAlign w:val="center"/>
          </w:tcPr>
          <w:p w14:paraId="57EBF2C3">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指标定义</w:t>
            </w:r>
          </w:p>
        </w:tc>
        <w:tc>
          <w:tcPr>
            <w:tcW w:w="3686" w:type="dxa"/>
            <w:vAlign w:val="center"/>
          </w:tcPr>
          <w:p w14:paraId="59B96AA5">
            <w:pPr>
              <w:spacing w:line="240" w:lineRule="auto"/>
              <w:ind w:firstLine="0" w:firstLineChars="0"/>
              <w:jc w:val="center"/>
              <w:rPr>
                <w:rFonts w:ascii="宋体" w:hAnsi="宋体" w:eastAsia="宋体"/>
                <w:b/>
                <w:szCs w:val="24"/>
                <w:highlight w:val="none"/>
              </w:rPr>
            </w:pPr>
            <w:r>
              <w:rPr>
                <w:rFonts w:ascii="宋体" w:hAnsi="宋体" w:eastAsia="宋体"/>
                <w:b/>
                <w:szCs w:val="24"/>
                <w:highlight w:val="none"/>
              </w:rPr>
              <w:t>评分</w:t>
            </w:r>
            <w:r>
              <w:rPr>
                <w:rFonts w:hint="eastAsia" w:ascii="宋体" w:hAnsi="宋体" w:eastAsia="宋体"/>
                <w:b/>
                <w:szCs w:val="24"/>
                <w:highlight w:val="none"/>
              </w:rPr>
              <w:t>/价</w:t>
            </w:r>
            <w:r>
              <w:rPr>
                <w:rFonts w:ascii="宋体" w:hAnsi="宋体" w:eastAsia="宋体"/>
                <w:b/>
                <w:szCs w:val="24"/>
                <w:highlight w:val="none"/>
              </w:rPr>
              <w:t>标准</w:t>
            </w:r>
          </w:p>
        </w:tc>
        <w:tc>
          <w:tcPr>
            <w:tcW w:w="2410" w:type="dxa"/>
            <w:vAlign w:val="center"/>
          </w:tcPr>
          <w:p w14:paraId="464D3A74">
            <w:pPr>
              <w:spacing w:line="240" w:lineRule="auto"/>
              <w:ind w:firstLine="0" w:firstLineChars="0"/>
              <w:jc w:val="center"/>
              <w:rPr>
                <w:rFonts w:ascii="宋体" w:hAnsi="宋体" w:eastAsia="宋体"/>
                <w:b/>
                <w:szCs w:val="24"/>
                <w:highlight w:val="none"/>
              </w:rPr>
            </w:pPr>
            <w:r>
              <w:rPr>
                <w:rFonts w:hint="eastAsia" w:ascii="宋体" w:hAnsi="宋体" w:eastAsia="宋体"/>
                <w:b/>
                <w:szCs w:val="24"/>
                <w:highlight w:val="none"/>
              </w:rPr>
              <w:t>违约金标准</w:t>
            </w:r>
          </w:p>
        </w:tc>
      </w:tr>
      <w:tr w14:paraId="77AB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04A8F18">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w:t>
            </w:r>
          </w:p>
        </w:tc>
        <w:tc>
          <w:tcPr>
            <w:tcW w:w="1134" w:type="dxa"/>
            <w:vMerge w:val="restart"/>
            <w:tcBorders>
              <w:top w:val="single" w:color="auto" w:sz="4" w:space="0"/>
              <w:left w:val="single" w:color="auto" w:sz="4" w:space="0"/>
              <w:right w:val="single" w:color="auto" w:sz="4" w:space="0"/>
            </w:tcBorders>
            <w:vAlign w:val="center"/>
          </w:tcPr>
          <w:p w14:paraId="65C13F21">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服务质量</w:t>
            </w:r>
          </w:p>
        </w:tc>
        <w:tc>
          <w:tcPr>
            <w:tcW w:w="1559" w:type="dxa"/>
            <w:tcBorders>
              <w:top w:val="single" w:color="auto" w:sz="4" w:space="0"/>
              <w:left w:val="single" w:color="auto" w:sz="4" w:space="0"/>
              <w:right w:val="single" w:color="auto" w:sz="4" w:space="0"/>
            </w:tcBorders>
            <w:vAlign w:val="center"/>
          </w:tcPr>
          <w:p w14:paraId="7824EDE4">
            <w:pPr>
              <w:spacing w:line="240" w:lineRule="auto"/>
              <w:ind w:firstLine="0" w:firstLineChars="0"/>
              <w:rPr>
                <w:rFonts w:ascii="宋体" w:hAnsi="宋体" w:eastAsia="宋体"/>
                <w:szCs w:val="24"/>
                <w:highlight w:val="none"/>
              </w:rPr>
            </w:pPr>
            <w:r>
              <w:rPr>
                <w:rFonts w:ascii="宋体" w:hAnsi="宋体" w:eastAsia="宋体"/>
                <w:szCs w:val="24"/>
                <w:highlight w:val="none"/>
              </w:rPr>
              <w:t>交付成果质量</w:t>
            </w:r>
          </w:p>
        </w:tc>
        <w:tc>
          <w:tcPr>
            <w:tcW w:w="2268" w:type="dxa"/>
            <w:tcBorders>
              <w:top w:val="single" w:color="auto" w:sz="4" w:space="0"/>
              <w:left w:val="single" w:color="auto" w:sz="4" w:space="0"/>
              <w:right w:val="single" w:color="auto" w:sz="4" w:space="0"/>
            </w:tcBorders>
            <w:vAlign w:val="center"/>
          </w:tcPr>
          <w:p w14:paraId="349F368F">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乙方</w:t>
            </w:r>
            <w:r>
              <w:rPr>
                <w:rFonts w:ascii="宋体" w:hAnsi="宋体" w:eastAsia="宋体"/>
                <w:szCs w:val="24"/>
                <w:highlight w:val="none"/>
              </w:rPr>
              <w:t>所提交的项目交付成果与</w:t>
            </w:r>
            <w:r>
              <w:rPr>
                <w:rFonts w:hint="eastAsia" w:ascii="宋体" w:hAnsi="宋体" w:eastAsia="宋体"/>
                <w:szCs w:val="24"/>
                <w:highlight w:val="none"/>
              </w:rPr>
              <w:t>甲方</w:t>
            </w:r>
            <w:r>
              <w:rPr>
                <w:rFonts w:ascii="宋体" w:hAnsi="宋体" w:eastAsia="宋体"/>
                <w:szCs w:val="24"/>
                <w:highlight w:val="none"/>
              </w:rPr>
              <w:t>要求的项目交付成果的契合度或交付成果质量与合同所约定要求的项目交付成果质量的满足程度</w:t>
            </w:r>
          </w:p>
        </w:tc>
        <w:tc>
          <w:tcPr>
            <w:tcW w:w="3686" w:type="dxa"/>
            <w:tcBorders>
              <w:top w:val="single" w:color="auto" w:sz="4" w:space="0"/>
              <w:left w:val="single" w:color="auto" w:sz="4" w:space="0"/>
              <w:right w:val="single" w:color="auto" w:sz="4" w:space="0"/>
            </w:tcBorders>
            <w:vAlign w:val="center"/>
          </w:tcPr>
          <w:p w14:paraId="3B1EBF4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能够主动快速与</w:t>
            </w:r>
            <w:r>
              <w:rPr>
                <w:rFonts w:hint="eastAsia" w:ascii="宋体" w:hAnsi="宋体" w:eastAsia="宋体"/>
                <w:szCs w:val="24"/>
                <w:highlight w:val="none"/>
              </w:rPr>
              <w:t>甲方</w:t>
            </w:r>
            <w:r>
              <w:rPr>
                <w:rFonts w:ascii="宋体" w:hAnsi="宋体" w:eastAsia="宋体"/>
                <w:szCs w:val="24"/>
                <w:highlight w:val="none"/>
              </w:rPr>
              <w:t>进行有效的沟通，交付成果高度契合需求，完全满足并超出合同约定的预期目标，给</w:t>
            </w:r>
            <w:r>
              <w:rPr>
                <w:rFonts w:hint="eastAsia" w:ascii="宋体" w:hAnsi="宋体" w:eastAsia="宋体"/>
                <w:szCs w:val="24"/>
                <w:highlight w:val="none"/>
              </w:rPr>
              <w:t>甲方</w:t>
            </w:r>
            <w:r>
              <w:rPr>
                <w:rFonts w:ascii="宋体" w:hAnsi="宋体" w:eastAsia="宋体"/>
                <w:szCs w:val="24"/>
                <w:highlight w:val="none"/>
              </w:rPr>
              <w:t>带来显著的附加价值</w:t>
            </w:r>
            <w:r>
              <w:rPr>
                <w:rFonts w:hint="eastAsia" w:ascii="宋体" w:hAnsi="宋体" w:eastAsia="宋体"/>
                <w:szCs w:val="24"/>
                <w:highlight w:val="none"/>
              </w:rPr>
              <w:t>；</w:t>
            </w:r>
          </w:p>
          <w:p w14:paraId="76B62F35">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能够快速响应需求，交付成果达到合同约定的预期目标，基本契合需求，满足合同约定的预期目标</w:t>
            </w:r>
            <w:r>
              <w:rPr>
                <w:rFonts w:hint="eastAsia" w:ascii="宋体" w:hAnsi="宋体" w:eastAsia="宋体"/>
                <w:szCs w:val="24"/>
                <w:highlight w:val="none"/>
              </w:rPr>
              <w:t>；</w:t>
            </w:r>
          </w:p>
          <w:p w14:paraId="5E8F6D49">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能够按要求响应需求，交付成果</w:t>
            </w:r>
            <w:r>
              <w:rPr>
                <w:rFonts w:hint="eastAsia" w:ascii="宋体" w:hAnsi="宋体" w:eastAsia="宋体"/>
                <w:szCs w:val="24"/>
                <w:highlight w:val="none"/>
              </w:rPr>
              <w:t>基本满足</w:t>
            </w:r>
            <w:r>
              <w:rPr>
                <w:rFonts w:ascii="宋体" w:hAnsi="宋体" w:eastAsia="宋体"/>
                <w:szCs w:val="24"/>
                <w:highlight w:val="none"/>
              </w:rPr>
              <w:t>需求，但是总体可满足合同约定的预期目标</w:t>
            </w:r>
            <w:r>
              <w:rPr>
                <w:rFonts w:hint="eastAsia" w:ascii="宋体" w:hAnsi="宋体" w:eastAsia="宋体"/>
                <w:szCs w:val="24"/>
                <w:highlight w:val="none"/>
              </w:rPr>
              <w:t>；</w:t>
            </w:r>
          </w:p>
          <w:p w14:paraId="50A93A5C">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乙方未</w:t>
            </w:r>
            <w:r>
              <w:rPr>
                <w:rFonts w:ascii="宋体" w:hAnsi="宋体" w:eastAsia="宋体"/>
                <w:szCs w:val="24"/>
                <w:highlight w:val="none"/>
              </w:rPr>
              <w:t>能够按要求响应需求，</w:t>
            </w:r>
            <w:r>
              <w:rPr>
                <w:rFonts w:hint="eastAsia" w:ascii="宋体" w:hAnsi="宋体" w:eastAsia="宋体"/>
                <w:szCs w:val="24"/>
                <w:highlight w:val="none"/>
              </w:rPr>
              <w:t>或</w:t>
            </w:r>
            <w:r>
              <w:rPr>
                <w:rFonts w:ascii="宋体" w:hAnsi="宋体" w:eastAsia="宋体"/>
                <w:szCs w:val="24"/>
                <w:highlight w:val="none"/>
              </w:rPr>
              <w:t>交付成果与需求</w:t>
            </w:r>
            <w:r>
              <w:rPr>
                <w:rFonts w:hint="eastAsia" w:ascii="宋体" w:hAnsi="宋体" w:eastAsia="宋体"/>
                <w:szCs w:val="24"/>
                <w:highlight w:val="none"/>
              </w:rPr>
              <w:t>契合度</w:t>
            </w:r>
            <w:r>
              <w:rPr>
                <w:rFonts w:ascii="宋体" w:hAnsi="宋体" w:eastAsia="宋体"/>
                <w:szCs w:val="24"/>
                <w:highlight w:val="none"/>
              </w:rPr>
              <w:t>差距较大，无法达到合同约定的预期目标</w:t>
            </w:r>
            <w:r>
              <w:rPr>
                <w:rFonts w:hint="eastAsia" w:ascii="宋体" w:hAnsi="宋体" w:eastAsia="宋体"/>
                <w:szCs w:val="24"/>
                <w:highlight w:val="none"/>
              </w:rPr>
              <w:t>。</w:t>
            </w:r>
          </w:p>
        </w:tc>
        <w:tc>
          <w:tcPr>
            <w:tcW w:w="2410" w:type="dxa"/>
            <w:tcBorders>
              <w:top w:val="single" w:color="auto" w:sz="4" w:space="0"/>
              <w:left w:val="single" w:color="auto" w:sz="4" w:space="0"/>
              <w:right w:val="single" w:color="auto" w:sz="4" w:space="0"/>
            </w:tcBorders>
            <w:vAlign w:val="center"/>
          </w:tcPr>
          <w:p w14:paraId="58459DD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交付成果每缺少一项扣除乙方金额人民币2</w:t>
            </w:r>
            <w:r>
              <w:rPr>
                <w:rFonts w:ascii="宋体" w:hAnsi="宋体" w:eastAsia="宋体"/>
                <w:szCs w:val="24"/>
                <w:highlight w:val="none"/>
              </w:rPr>
              <w:t>000</w:t>
            </w:r>
            <w:r>
              <w:rPr>
                <w:rFonts w:hint="eastAsia" w:ascii="宋体" w:hAnsi="宋体" w:eastAsia="宋体"/>
                <w:szCs w:val="24"/>
                <w:highlight w:val="none"/>
              </w:rPr>
              <w:t>元；每有一项交付成果质量不合格扣除乙方金额人民币2</w:t>
            </w:r>
            <w:r>
              <w:rPr>
                <w:rFonts w:ascii="宋体" w:hAnsi="宋体" w:eastAsia="宋体"/>
                <w:szCs w:val="24"/>
                <w:highlight w:val="none"/>
              </w:rPr>
              <w:t>000</w:t>
            </w:r>
            <w:r>
              <w:rPr>
                <w:rFonts w:hint="eastAsia" w:ascii="宋体" w:hAnsi="宋体" w:eastAsia="宋体"/>
                <w:szCs w:val="24"/>
                <w:highlight w:val="none"/>
              </w:rPr>
              <w:t>元。</w:t>
            </w:r>
          </w:p>
        </w:tc>
      </w:tr>
      <w:tr w14:paraId="2B49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DE82A0">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2</w:t>
            </w:r>
          </w:p>
        </w:tc>
        <w:tc>
          <w:tcPr>
            <w:tcW w:w="1134" w:type="dxa"/>
            <w:vMerge w:val="continue"/>
            <w:tcBorders>
              <w:top w:val="single" w:color="auto" w:sz="4" w:space="0"/>
              <w:left w:val="single" w:color="auto" w:sz="4" w:space="0"/>
              <w:right w:val="single" w:color="auto" w:sz="4" w:space="0"/>
            </w:tcBorders>
          </w:tcPr>
          <w:p w14:paraId="60C9F93A">
            <w:pPr>
              <w:rPr>
                <w:highlight w:val="none"/>
              </w:rPr>
            </w:pPr>
          </w:p>
        </w:tc>
        <w:tc>
          <w:tcPr>
            <w:tcW w:w="1559" w:type="dxa"/>
            <w:tcBorders>
              <w:top w:val="single" w:color="auto" w:sz="4" w:space="0"/>
              <w:left w:val="single" w:color="auto" w:sz="4" w:space="0"/>
              <w:right w:val="single" w:color="auto" w:sz="4" w:space="0"/>
            </w:tcBorders>
            <w:vAlign w:val="center"/>
          </w:tcPr>
          <w:p w14:paraId="78E2B0E0">
            <w:pPr>
              <w:spacing w:line="240" w:lineRule="auto"/>
              <w:ind w:firstLine="0" w:firstLineChars="0"/>
              <w:rPr>
                <w:rFonts w:ascii="宋体" w:hAnsi="宋体" w:eastAsia="宋体"/>
                <w:szCs w:val="24"/>
                <w:highlight w:val="none"/>
              </w:rPr>
            </w:pPr>
            <w:r>
              <w:rPr>
                <w:rFonts w:ascii="宋体" w:hAnsi="宋体" w:eastAsia="宋体"/>
                <w:szCs w:val="24"/>
                <w:highlight w:val="none"/>
              </w:rPr>
              <w:t>成果交付延期情况</w:t>
            </w:r>
          </w:p>
        </w:tc>
        <w:tc>
          <w:tcPr>
            <w:tcW w:w="2268" w:type="dxa"/>
            <w:tcBorders>
              <w:top w:val="single" w:color="auto" w:sz="4" w:space="0"/>
              <w:left w:val="single" w:color="auto" w:sz="4" w:space="0"/>
              <w:right w:val="single" w:color="auto" w:sz="4" w:space="0"/>
            </w:tcBorders>
            <w:vAlign w:val="center"/>
          </w:tcPr>
          <w:p w14:paraId="6EF9B23B">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因乙方原因导致</w:t>
            </w:r>
            <w:r>
              <w:rPr>
                <w:rFonts w:ascii="宋体" w:hAnsi="宋体" w:eastAsia="宋体"/>
                <w:szCs w:val="24"/>
                <w:highlight w:val="none"/>
              </w:rPr>
              <w:t>项目交付成果时间与合同规定时间之间的差距</w:t>
            </w:r>
          </w:p>
        </w:tc>
        <w:tc>
          <w:tcPr>
            <w:tcW w:w="3686" w:type="dxa"/>
            <w:tcBorders>
              <w:top w:val="single" w:color="auto" w:sz="4" w:space="0"/>
              <w:left w:val="single" w:color="auto" w:sz="4" w:space="0"/>
              <w:right w:val="single" w:color="auto" w:sz="4" w:space="0"/>
            </w:tcBorders>
            <w:vAlign w:val="center"/>
          </w:tcPr>
          <w:p w14:paraId="12803EB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实</w:t>
            </w:r>
            <w:r>
              <w:rPr>
                <w:rFonts w:ascii="宋体" w:hAnsi="宋体" w:eastAsia="宋体"/>
                <w:szCs w:val="24"/>
                <w:highlight w:val="none"/>
              </w:rPr>
              <w:t>际交付成果日期与合同约定交付日期之差</w:t>
            </w:r>
            <w:r>
              <w:rPr>
                <w:rFonts w:hint="eastAsia" w:ascii="宋体" w:hAnsi="宋体" w:eastAsia="宋体"/>
                <w:b/>
                <w:bCs/>
                <w:szCs w:val="24"/>
                <w:highlight w:val="none"/>
              </w:rPr>
              <w:t>【得分上限5分】</w:t>
            </w:r>
          </w:p>
          <w:p w14:paraId="6FAFAFBF">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无延期：</w:t>
            </w:r>
            <w:r>
              <w:rPr>
                <w:rFonts w:hint="eastAsia" w:ascii="宋体" w:hAnsi="宋体" w:eastAsia="宋体"/>
                <w:szCs w:val="24"/>
                <w:highlight w:val="none"/>
              </w:rPr>
              <w:t>指未出现延期，该项指标满分；</w:t>
            </w:r>
          </w:p>
          <w:p w14:paraId="368150F3">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0＜延期≤3个月：</w:t>
            </w:r>
            <w:r>
              <w:rPr>
                <w:rFonts w:hint="eastAsia" w:ascii="宋体" w:hAnsi="宋体" w:eastAsia="宋体"/>
                <w:szCs w:val="24"/>
                <w:highlight w:val="none"/>
              </w:rPr>
              <w:t>扣2分，指出现延期3个月</w:t>
            </w:r>
            <w:r>
              <w:rPr>
                <w:rFonts w:ascii="宋体" w:hAnsi="宋体" w:eastAsia="宋体"/>
                <w:szCs w:val="24"/>
                <w:highlight w:val="none"/>
              </w:rPr>
              <w:t>（含）</w:t>
            </w:r>
            <w:r>
              <w:rPr>
                <w:rFonts w:hint="eastAsia" w:ascii="宋体" w:hAnsi="宋体" w:eastAsia="宋体"/>
                <w:szCs w:val="24"/>
                <w:highlight w:val="none"/>
              </w:rPr>
              <w:t>以内；</w:t>
            </w:r>
          </w:p>
          <w:p w14:paraId="37711160">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3＜延期≤6个月：</w:t>
            </w:r>
            <w:r>
              <w:rPr>
                <w:rFonts w:hint="eastAsia" w:ascii="宋体" w:hAnsi="宋体" w:eastAsia="宋体"/>
                <w:szCs w:val="24"/>
                <w:highlight w:val="none"/>
              </w:rPr>
              <w:t>扣3分，指出现延期大于3个月且小于等于6个月；</w:t>
            </w:r>
          </w:p>
          <w:p w14:paraId="5EEAA53E">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延期6个月以上：</w:t>
            </w:r>
            <w:r>
              <w:rPr>
                <w:rFonts w:hint="eastAsia" w:ascii="宋体" w:hAnsi="宋体" w:eastAsia="宋体"/>
                <w:szCs w:val="24"/>
                <w:highlight w:val="none"/>
              </w:rPr>
              <w:t>扣5分，指出现延期6个月以上。</w:t>
            </w:r>
          </w:p>
        </w:tc>
        <w:tc>
          <w:tcPr>
            <w:tcW w:w="2410" w:type="dxa"/>
            <w:tcBorders>
              <w:top w:val="single" w:color="auto" w:sz="4" w:space="0"/>
              <w:left w:val="single" w:color="auto" w:sz="4" w:space="0"/>
              <w:right w:val="single" w:color="auto" w:sz="4" w:space="0"/>
            </w:tcBorders>
            <w:vAlign w:val="center"/>
          </w:tcPr>
          <w:p w14:paraId="7F37BA9A">
            <w:pPr>
              <w:spacing w:line="240" w:lineRule="auto"/>
              <w:ind w:firstLine="0" w:firstLineChars="0"/>
              <w:rPr>
                <w:rFonts w:ascii="宋体" w:hAnsi="宋体" w:eastAsia="宋体"/>
                <w:b/>
                <w:bCs/>
                <w:szCs w:val="24"/>
                <w:highlight w:val="none"/>
              </w:rPr>
            </w:pPr>
            <w:r>
              <w:rPr>
                <w:rFonts w:hint="eastAsia" w:ascii="宋体" w:hAnsi="宋体" w:eastAsia="宋体"/>
                <w:szCs w:val="24"/>
                <w:highlight w:val="none"/>
              </w:rPr>
              <w:t>若延期超过1个月，每延期增加一天扣除合同总金额的0.1%（注：最多扣除不超过合同总金额的10%）</w:t>
            </w:r>
          </w:p>
        </w:tc>
      </w:tr>
      <w:tr w14:paraId="06BB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61FE33">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3</w:t>
            </w:r>
          </w:p>
        </w:tc>
        <w:tc>
          <w:tcPr>
            <w:tcW w:w="1134" w:type="dxa"/>
            <w:vMerge w:val="continue"/>
            <w:tcBorders>
              <w:top w:val="single" w:color="auto" w:sz="4" w:space="0"/>
              <w:left w:val="single" w:color="auto" w:sz="4" w:space="0"/>
              <w:right w:val="single" w:color="auto" w:sz="4" w:space="0"/>
            </w:tcBorders>
          </w:tcPr>
          <w:p w14:paraId="3199869B">
            <w:pPr>
              <w:rPr>
                <w:highlight w:val="none"/>
              </w:rPr>
            </w:pPr>
          </w:p>
        </w:tc>
        <w:tc>
          <w:tcPr>
            <w:tcW w:w="1559" w:type="dxa"/>
            <w:tcBorders>
              <w:top w:val="single" w:color="auto" w:sz="4" w:space="0"/>
              <w:left w:val="single" w:color="auto" w:sz="4" w:space="0"/>
              <w:right w:val="single" w:color="auto" w:sz="4" w:space="0"/>
            </w:tcBorders>
            <w:vAlign w:val="center"/>
          </w:tcPr>
          <w:p w14:paraId="53A44F24">
            <w:pPr>
              <w:spacing w:line="240" w:lineRule="auto"/>
              <w:ind w:firstLine="0" w:firstLineChars="0"/>
              <w:rPr>
                <w:rFonts w:ascii="宋体" w:hAnsi="宋体" w:eastAsia="宋体"/>
                <w:szCs w:val="24"/>
                <w:highlight w:val="none"/>
              </w:rPr>
            </w:pPr>
            <w:r>
              <w:rPr>
                <w:rFonts w:ascii="宋体" w:hAnsi="宋体" w:eastAsia="宋体"/>
                <w:szCs w:val="24"/>
                <w:highlight w:val="none"/>
              </w:rPr>
              <w:t>产品缺陷密度</w:t>
            </w:r>
          </w:p>
        </w:tc>
        <w:tc>
          <w:tcPr>
            <w:tcW w:w="2268" w:type="dxa"/>
            <w:tcBorders>
              <w:top w:val="single" w:color="auto" w:sz="4" w:space="0"/>
              <w:left w:val="single" w:color="auto" w:sz="4" w:space="0"/>
              <w:right w:val="single" w:color="auto" w:sz="4" w:space="0"/>
            </w:tcBorders>
            <w:vAlign w:val="center"/>
          </w:tcPr>
          <w:p w14:paraId="639EEC09">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用于记录统计周期内单位功能</w:t>
            </w:r>
            <w:r>
              <w:rPr>
                <w:rFonts w:hint="eastAsia" w:ascii="宋体" w:hAnsi="宋体" w:eastAsia="宋体"/>
                <w:szCs w:val="24"/>
                <w:highlight w:val="none"/>
              </w:rPr>
              <w:t>（案例）</w:t>
            </w:r>
            <w:r>
              <w:rPr>
                <w:rFonts w:ascii="宋体" w:hAnsi="宋体" w:eastAsia="宋体"/>
                <w:szCs w:val="24"/>
                <w:highlight w:val="none"/>
              </w:rPr>
              <w:t>点发现的缺陷数量</w:t>
            </w:r>
          </w:p>
        </w:tc>
        <w:tc>
          <w:tcPr>
            <w:tcW w:w="3686" w:type="dxa"/>
            <w:tcBorders>
              <w:top w:val="single" w:color="auto" w:sz="4" w:space="0"/>
              <w:left w:val="single" w:color="auto" w:sz="4" w:space="0"/>
              <w:right w:val="single" w:color="auto" w:sz="4" w:space="0"/>
            </w:tcBorders>
            <w:vAlign w:val="center"/>
          </w:tcPr>
          <w:p w14:paraId="5AE6A9F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产</w:t>
            </w:r>
            <w:r>
              <w:rPr>
                <w:rFonts w:ascii="宋体" w:hAnsi="宋体" w:eastAsia="宋体"/>
                <w:szCs w:val="24"/>
                <w:highlight w:val="none"/>
              </w:rPr>
              <w:t>品缺陷密度=统计周期内发现的该系统有效缺陷数/统计周期内该系统功能点总数</w:t>
            </w:r>
            <w:r>
              <w:rPr>
                <w:rFonts w:hint="eastAsia" w:ascii="宋体" w:hAnsi="宋体" w:eastAsia="宋体"/>
                <w:szCs w:val="24"/>
                <w:highlight w:val="none"/>
              </w:rPr>
              <w:t>（案例数）</w:t>
            </w:r>
          </w:p>
          <w:p w14:paraId="6F995665">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10分【0-5%】</w:t>
            </w:r>
          </w:p>
          <w:p w14:paraId="72AD5F1E">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5分【5%-20%】</w:t>
            </w:r>
          </w:p>
          <w:p w14:paraId="6F62829B">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0分【超过20%】</w:t>
            </w:r>
          </w:p>
        </w:tc>
        <w:tc>
          <w:tcPr>
            <w:tcW w:w="2410" w:type="dxa"/>
            <w:tcBorders>
              <w:top w:val="single" w:color="auto" w:sz="4" w:space="0"/>
              <w:left w:val="single" w:color="auto" w:sz="4" w:space="0"/>
              <w:right w:val="single" w:color="auto" w:sz="4" w:space="0"/>
            </w:tcBorders>
            <w:vAlign w:val="center"/>
          </w:tcPr>
          <w:p w14:paraId="48E8BED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产</w:t>
            </w:r>
            <w:r>
              <w:rPr>
                <w:rFonts w:ascii="宋体" w:hAnsi="宋体" w:eastAsia="宋体"/>
                <w:szCs w:val="24"/>
                <w:highlight w:val="none"/>
              </w:rPr>
              <w:t>品缺</w:t>
            </w:r>
            <w:r>
              <w:rPr>
                <w:rFonts w:hint="eastAsia" w:ascii="宋体" w:hAnsi="宋体" w:eastAsia="宋体"/>
                <w:szCs w:val="24"/>
                <w:highlight w:val="none"/>
              </w:rPr>
              <w:t>陷</w:t>
            </w:r>
            <w:r>
              <w:rPr>
                <w:rFonts w:ascii="宋体" w:hAnsi="宋体" w:eastAsia="宋体"/>
                <w:szCs w:val="24"/>
                <w:highlight w:val="none"/>
              </w:rPr>
              <w:t>密度</w:t>
            </w:r>
            <w:r>
              <w:rPr>
                <w:rFonts w:hint="eastAsia" w:ascii="宋体" w:hAnsi="宋体" w:eastAsia="宋体"/>
                <w:szCs w:val="24"/>
                <w:highlight w:val="none"/>
              </w:rPr>
              <w:t>超过20%，缺陷密度每增加1%扣除合同总金额的0.1%。</w:t>
            </w:r>
          </w:p>
        </w:tc>
      </w:tr>
      <w:tr w14:paraId="4061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CAB725">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4</w:t>
            </w:r>
          </w:p>
        </w:tc>
        <w:tc>
          <w:tcPr>
            <w:tcW w:w="1134" w:type="dxa"/>
            <w:vMerge w:val="continue"/>
            <w:tcBorders>
              <w:top w:val="single" w:color="auto" w:sz="4" w:space="0"/>
              <w:left w:val="single" w:color="auto" w:sz="4" w:space="0"/>
              <w:right w:val="single" w:color="auto" w:sz="4" w:space="0"/>
            </w:tcBorders>
          </w:tcPr>
          <w:p w14:paraId="59455353">
            <w:pPr>
              <w:rPr>
                <w:highlight w:val="none"/>
              </w:rPr>
            </w:pPr>
          </w:p>
        </w:tc>
        <w:tc>
          <w:tcPr>
            <w:tcW w:w="1559" w:type="dxa"/>
            <w:tcBorders>
              <w:top w:val="single" w:color="auto" w:sz="4" w:space="0"/>
              <w:left w:val="single" w:color="auto" w:sz="4" w:space="0"/>
              <w:right w:val="single" w:color="auto" w:sz="4" w:space="0"/>
            </w:tcBorders>
            <w:vAlign w:val="center"/>
          </w:tcPr>
          <w:p w14:paraId="33219ACE">
            <w:pPr>
              <w:spacing w:line="240" w:lineRule="auto"/>
              <w:ind w:firstLine="0" w:firstLineChars="0"/>
              <w:rPr>
                <w:rFonts w:ascii="宋体" w:hAnsi="宋体" w:eastAsia="宋体"/>
                <w:szCs w:val="24"/>
                <w:highlight w:val="none"/>
              </w:rPr>
            </w:pPr>
            <w:r>
              <w:rPr>
                <w:rFonts w:ascii="宋体" w:hAnsi="宋体" w:eastAsia="宋体"/>
                <w:szCs w:val="24"/>
                <w:highlight w:val="none"/>
              </w:rPr>
              <w:t>缺陷</w:t>
            </w:r>
            <w:r>
              <w:rPr>
                <w:rFonts w:hint="eastAsia" w:ascii="宋体" w:hAnsi="宋体" w:eastAsia="宋体"/>
                <w:szCs w:val="24"/>
                <w:highlight w:val="none"/>
              </w:rPr>
              <w:t>解决率</w:t>
            </w:r>
          </w:p>
        </w:tc>
        <w:tc>
          <w:tcPr>
            <w:tcW w:w="2268" w:type="dxa"/>
            <w:tcBorders>
              <w:top w:val="single" w:color="auto" w:sz="4" w:space="0"/>
              <w:left w:val="single" w:color="auto" w:sz="4" w:space="0"/>
              <w:right w:val="single" w:color="auto" w:sz="4" w:space="0"/>
            </w:tcBorders>
            <w:vAlign w:val="center"/>
          </w:tcPr>
          <w:p w14:paraId="03DAADD8">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用于记录统计周期内测试发现的缺陷中已解决缺陷的比例</w:t>
            </w:r>
          </w:p>
        </w:tc>
        <w:tc>
          <w:tcPr>
            <w:tcW w:w="3686" w:type="dxa"/>
            <w:tcBorders>
              <w:top w:val="single" w:color="auto" w:sz="4" w:space="0"/>
              <w:left w:val="single" w:color="auto" w:sz="4" w:space="0"/>
              <w:right w:val="single" w:color="auto" w:sz="4" w:space="0"/>
            </w:tcBorders>
            <w:vAlign w:val="center"/>
          </w:tcPr>
          <w:p w14:paraId="73E1A4F9">
            <w:pPr>
              <w:spacing w:line="240" w:lineRule="auto"/>
              <w:ind w:firstLine="0" w:firstLineChars="0"/>
              <w:rPr>
                <w:rFonts w:ascii="宋体" w:hAnsi="宋体" w:eastAsia="宋体"/>
                <w:szCs w:val="24"/>
                <w:highlight w:val="none"/>
              </w:rPr>
            </w:pPr>
            <w:r>
              <w:rPr>
                <w:rFonts w:ascii="宋体" w:hAnsi="宋体" w:eastAsia="宋体"/>
                <w:szCs w:val="24"/>
                <w:highlight w:val="none"/>
              </w:rPr>
              <w:t>缺陷解决率=统计周期内测试发现的有效缺陷中已解决的数量/统计周期内测试发现的有效缺陷总数量</w:t>
            </w:r>
          </w:p>
          <w:p w14:paraId="79A91C45">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10分【98%-100%】</w:t>
            </w:r>
          </w:p>
          <w:p w14:paraId="223A2967">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5分【95%-97%】</w:t>
            </w:r>
          </w:p>
          <w:p w14:paraId="67423CC4">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583103F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w:t>
            </w:r>
            <w:r>
              <w:rPr>
                <w:rFonts w:ascii="宋体" w:hAnsi="宋体" w:eastAsia="宋体"/>
                <w:szCs w:val="24"/>
                <w:highlight w:val="none"/>
              </w:rPr>
              <w:t>缺陷解决率</w:t>
            </w:r>
            <w:r>
              <w:rPr>
                <w:rFonts w:hint="eastAsia" w:ascii="宋体" w:hAnsi="宋体" w:eastAsia="宋体"/>
                <w:bCs/>
                <w:szCs w:val="24"/>
                <w:highlight w:val="none"/>
              </w:rPr>
              <w:t>低于95</w:t>
            </w:r>
            <w:r>
              <w:rPr>
                <w:rFonts w:hint="eastAsia" w:ascii="宋体" w:hAnsi="宋体" w:eastAsia="宋体"/>
                <w:szCs w:val="24"/>
                <w:highlight w:val="none"/>
              </w:rPr>
              <w:t>%，</w:t>
            </w:r>
            <w:r>
              <w:rPr>
                <w:rFonts w:ascii="宋体" w:hAnsi="宋体" w:eastAsia="宋体"/>
                <w:szCs w:val="24"/>
                <w:highlight w:val="none"/>
              </w:rPr>
              <w:t>缺陷</w:t>
            </w:r>
            <w:r>
              <w:rPr>
                <w:rFonts w:hint="eastAsia" w:ascii="宋体" w:hAnsi="宋体" w:eastAsia="宋体"/>
                <w:szCs w:val="24"/>
                <w:highlight w:val="none"/>
              </w:rPr>
              <w:t>解决率每低1%扣除合同总金额的0.1%。</w:t>
            </w:r>
          </w:p>
        </w:tc>
      </w:tr>
      <w:tr w14:paraId="0A9F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D0BE693">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5</w:t>
            </w:r>
          </w:p>
        </w:tc>
        <w:tc>
          <w:tcPr>
            <w:tcW w:w="1134" w:type="dxa"/>
            <w:vMerge w:val="restart"/>
            <w:tcBorders>
              <w:top w:val="single" w:color="auto" w:sz="4" w:space="0"/>
              <w:left w:val="single" w:color="auto" w:sz="4" w:space="0"/>
              <w:right w:val="single" w:color="auto" w:sz="4" w:space="0"/>
            </w:tcBorders>
            <w:vAlign w:val="center"/>
          </w:tcPr>
          <w:p w14:paraId="1CE04E40">
            <w:pPr>
              <w:spacing w:line="240" w:lineRule="auto"/>
              <w:ind w:firstLine="0" w:firstLineChars="0"/>
              <w:jc w:val="left"/>
              <w:rPr>
                <w:rFonts w:ascii="宋体" w:hAnsi="宋体" w:eastAsia="宋体"/>
                <w:szCs w:val="24"/>
                <w:highlight w:val="none"/>
              </w:rPr>
            </w:pPr>
            <w:r>
              <w:rPr>
                <w:rFonts w:hint="eastAsia" w:ascii="宋体" w:hAnsi="宋体" w:eastAsia="宋体"/>
                <w:szCs w:val="24"/>
                <w:highlight w:val="none"/>
              </w:rPr>
              <w:t>协议履行</w:t>
            </w:r>
          </w:p>
        </w:tc>
        <w:tc>
          <w:tcPr>
            <w:tcW w:w="1559" w:type="dxa"/>
            <w:tcBorders>
              <w:top w:val="single" w:color="auto" w:sz="4" w:space="0"/>
              <w:left w:val="single" w:color="auto" w:sz="4" w:space="0"/>
              <w:right w:val="single" w:color="auto" w:sz="4" w:space="0"/>
            </w:tcBorders>
            <w:vAlign w:val="center"/>
          </w:tcPr>
          <w:p w14:paraId="7E49E9A9">
            <w:pPr>
              <w:spacing w:line="240" w:lineRule="auto"/>
              <w:ind w:firstLine="0" w:firstLineChars="0"/>
              <w:rPr>
                <w:rFonts w:ascii="宋体" w:hAnsi="宋体" w:eastAsia="宋体"/>
                <w:szCs w:val="24"/>
                <w:highlight w:val="none"/>
              </w:rPr>
            </w:pPr>
            <w:r>
              <w:rPr>
                <w:rFonts w:ascii="宋体" w:hAnsi="宋体" w:eastAsia="宋体"/>
                <w:szCs w:val="24"/>
                <w:highlight w:val="none"/>
              </w:rPr>
              <w:t>重大事项报告</w:t>
            </w:r>
          </w:p>
        </w:tc>
        <w:tc>
          <w:tcPr>
            <w:tcW w:w="2268" w:type="dxa"/>
            <w:tcBorders>
              <w:top w:val="single" w:color="auto" w:sz="4" w:space="0"/>
              <w:left w:val="single" w:color="auto" w:sz="4" w:space="0"/>
              <w:right w:val="single" w:color="auto" w:sz="4" w:space="0"/>
            </w:tcBorders>
            <w:vAlign w:val="center"/>
          </w:tcPr>
          <w:p w14:paraId="695D825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top w:val="single" w:color="auto" w:sz="4" w:space="0"/>
              <w:left w:val="single" w:color="auto" w:sz="4" w:space="0"/>
              <w:right w:val="single" w:color="auto" w:sz="4" w:space="0"/>
            </w:tcBorders>
            <w:vAlign w:val="center"/>
          </w:tcPr>
          <w:p w14:paraId="1C5D370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指无重大事项或当发生重大事项时，能够于24小时内</w:t>
            </w:r>
            <w:r>
              <w:rPr>
                <w:rFonts w:hint="eastAsia" w:ascii="宋体" w:hAnsi="宋体" w:eastAsia="宋体"/>
                <w:szCs w:val="24"/>
                <w:highlight w:val="none"/>
              </w:rPr>
              <w:t>告知甲方；</w:t>
            </w:r>
          </w:p>
          <w:p w14:paraId="35EF18A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指当发生重大事项时，能够于一周内告知</w:t>
            </w:r>
            <w:r>
              <w:rPr>
                <w:rFonts w:hint="eastAsia" w:ascii="宋体" w:hAnsi="宋体" w:eastAsia="宋体"/>
                <w:szCs w:val="24"/>
                <w:highlight w:val="none"/>
              </w:rPr>
              <w:t>甲方；</w:t>
            </w:r>
          </w:p>
          <w:p w14:paraId="4422B7BD">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指当发生重大事项时，能够于一</w:t>
            </w:r>
            <w:r>
              <w:rPr>
                <w:rFonts w:hint="eastAsia" w:ascii="宋体" w:hAnsi="宋体" w:eastAsia="宋体"/>
                <w:szCs w:val="24"/>
                <w:highlight w:val="none"/>
              </w:rPr>
              <w:t>月</w:t>
            </w:r>
            <w:r>
              <w:rPr>
                <w:rFonts w:ascii="宋体" w:hAnsi="宋体" w:eastAsia="宋体"/>
                <w:szCs w:val="24"/>
                <w:highlight w:val="none"/>
              </w:rPr>
              <w:t>内告知</w:t>
            </w:r>
            <w:r>
              <w:rPr>
                <w:rFonts w:hint="eastAsia" w:ascii="宋体" w:hAnsi="宋体" w:eastAsia="宋体"/>
                <w:szCs w:val="24"/>
                <w:highlight w:val="none"/>
              </w:rPr>
              <w:t>甲方；</w:t>
            </w:r>
          </w:p>
          <w:p w14:paraId="35BFDBA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指当发生重大事项时，</w:t>
            </w:r>
            <w:r>
              <w:rPr>
                <w:rFonts w:hint="eastAsia" w:ascii="宋体" w:hAnsi="宋体" w:eastAsia="宋体"/>
                <w:szCs w:val="24"/>
                <w:highlight w:val="none"/>
              </w:rPr>
              <w:t>未</w:t>
            </w:r>
            <w:r>
              <w:rPr>
                <w:rFonts w:ascii="宋体" w:hAnsi="宋体" w:eastAsia="宋体"/>
                <w:szCs w:val="24"/>
                <w:highlight w:val="none"/>
              </w:rPr>
              <w:t>告知</w:t>
            </w:r>
            <w:r>
              <w:rPr>
                <w:rFonts w:hint="eastAsia" w:ascii="宋体" w:hAnsi="宋体" w:eastAsia="宋体"/>
                <w:szCs w:val="24"/>
                <w:highlight w:val="none"/>
              </w:rPr>
              <w:t>甲方。</w:t>
            </w:r>
          </w:p>
        </w:tc>
        <w:tc>
          <w:tcPr>
            <w:tcW w:w="2410" w:type="dxa"/>
            <w:tcBorders>
              <w:top w:val="single" w:color="auto" w:sz="4" w:space="0"/>
              <w:left w:val="single" w:color="auto" w:sz="4" w:space="0"/>
              <w:right w:val="single" w:color="auto" w:sz="4" w:space="0"/>
            </w:tcBorders>
            <w:vAlign w:val="center"/>
          </w:tcPr>
          <w:p w14:paraId="3A235A7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评价为较差/差时，甲方根据实际情况有权终止合同，并要求乙方赔偿实际损失。</w:t>
            </w:r>
          </w:p>
        </w:tc>
      </w:tr>
      <w:tr w14:paraId="0232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69262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6</w:t>
            </w:r>
          </w:p>
        </w:tc>
        <w:tc>
          <w:tcPr>
            <w:tcW w:w="1134" w:type="dxa"/>
            <w:vMerge w:val="continue"/>
            <w:tcBorders>
              <w:top w:val="single" w:color="auto" w:sz="4" w:space="0"/>
              <w:left w:val="single" w:color="auto" w:sz="4" w:space="0"/>
              <w:right w:val="single" w:color="auto" w:sz="4" w:space="0"/>
            </w:tcBorders>
          </w:tcPr>
          <w:p w14:paraId="74561EC5">
            <w:pPr>
              <w:rPr>
                <w:highlight w:val="none"/>
              </w:rPr>
            </w:pPr>
          </w:p>
        </w:tc>
        <w:tc>
          <w:tcPr>
            <w:tcW w:w="1559" w:type="dxa"/>
            <w:tcBorders>
              <w:top w:val="single" w:color="auto" w:sz="4" w:space="0"/>
              <w:left w:val="single" w:color="auto" w:sz="4" w:space="0"/>
              <w:right w:val="single" w:color="auto" w:sz="4" w:space="0"/>
            </w:tcBorders>
            <w:vAlign w:val="center"/>
          </w:tcPr>
          <w:p w14:paraId="5FB5D942">
            <w:pPr>
              <w:spacing w:line="240" w:lineRule="auto"/>
              <w:ind w:firstLine="0" w:firstLineChars="0"/>
              <w:rPr>
                <w:rFonts w:ascii="宋体" w:hAnsi="宋体" w:eastAsia="宋体"/>
                <w:szCs w:val="24"/>
                <w:highlight w:val="none"/>
              </w:rPr>
            </w:pPr>
            <w:r>
              <w:rPr>
                <w:rFonts w:ascii="宋体" w:hAnsi="宋体" w:eastAsia="宋体"/>
                <w:szCs w:val="24"/>
                <w:highlight w:val="none"/>
              </w:rPr>
              <w:t>重大</w:t>
            </w:r>
            <w:r>
              <w:rPr>
                <w:rFonts w:hint="eastAsia" w:ascii="宋体" w:hAnsi="宋体" w:eastAsia="宋体"/>
                <w:szCs w:val="24"/>
                <w:highlight w:val="none"/>
              </w:rPr>
              <w:t>事件及质量缺陷</w:t>
            </w:r>
          </w:p>
        </w:tc>
        <w:tc>
          <w:tcPr>
            <w:tcW w:w="2268" w:type="dxa"/>
            <w:tcBorders>
              <w:top w:val="single" w:color="auto" w:sz="4" w:space="0"/>
              <w:left w:val="single" w:color="auto" w:sz="4" w:space="0"/>
              <w:right w:val="single" w:color="auto" w:sz="4" w:space="0"/>
            </w:tcBorders>
            <w:vAlign w:val="center"/>
          </w:tcPr>
          <w:p w14:paraId="31652EE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w:t>
            </w:r>
            <w:r>
              <w:rPr>
                <w:rFonts w:hint="eastAsia" w:ascii="宋体" w:hAnsi="宋体" w:eastAsia="宋体"/>
                <w:szCs w:val="24"/>
                <w:highlight w:val="none"/>
              </w:rPr>
              <w:t>乙方在服务</w:t>
            </w:r>
            <w:r>
              <w:rPr>
                <w:rFonts w:ascii="宋体" w:hAnsi="宋体" w:eastAsia="宋体"/>
                <w:szCs w:val="24"/>
                <w:highlight w:val="none"/>
              </w:rPr>
              <w:t>期内出现</w:t>
            </w:r>
            <w:r>
              <w:rPr>
                <w:rFonts w:hint="eastAsia" w:ascii="宋体" w:hAnsi="宋体" w:eastAsia="宋体"/>
                <w:szCs w:val="24"/>
                <w:highlight w:val="none"/>
              </w:rPr>
              <w:t>以下重大事件及质量缺陷次数：</w:t>
            </w:r>
          </w:p>
          <w:p w14:paraId="4A6DD2BD">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a.应用软件出现I</w:t>
            </w:r>
            <w:r>
              <w:rPr>
                <w:rFonts w:ascii="宋体" w:hAnsi="宋体" w:eastAsia="宋体"/>
                <w:szCs w:val="24"/>
                <w:highlight w:val="none"/>
              </w:rPr>
              <w:t>II</w:t>
            </w:r>
            <w:r>
              <w:rPr>
                <w:rFonts w:hint="eastAsia" w:ascii="宋体" w:hAnsi="宋体" w:eastAsia="宋体"/>
                <w:szCs w:val="24"/>
                <w:highlight w:val="none"/>
              </w:rPr>
              <w:t>级（含）以上的运营中断事件；</w:t>
            </w:r>
          </w:p>
          <w:p w14:paraId="3873BC7A">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b.因乙方原因（含乙方合作的第三方）导致甲方发生网络安全事件；</w:t>
            </w:r>
          </w:p>
          <w:p w14:paraId="3976176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c.应用软件出现严重缺陷和致命缺陷。</w:t>
            </w:r>
          </w:p>
        </w:tc>
        <w:tc>
          <w:tcPr>
            <w:tcW w:w="3686" w:type="dxa"/>
            <w:tcBorders>
              <w:top w:val="single" w:color="auto" w:sz="4" w:space="0"/>
              <w:left w:val="single" w:color="auto" w:sz="4" w:space="0"/>
              <w:right w:val="single" w:color="auto" w:sz="4" w:space="0"/>
            </w:tcBorders>
            <w:vAlign w:val="center"/>
          </w:tcPr>
          <w:p w14:paraId="06F08F7E">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【得分上限10分】</w:t>
            </w:r>
          </w:p>
          <w:p w14:paraId="251DD59C">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指未出现</w:t>
            </w:r>
            <w:r>
              <w:rPr>
                <w:rFonts w:ascii="宋体" w:hAnsi="宋体" w:eastAsia="宋体"/>
                <w:szCs w:val="24"/>
                <w:highlight w:val="none"/>
              </w:rPr>
              <w:t>重大事件</w:t>
            </w:r>
            <w:r>
              <w:rPr>
                <w:rFonts w:hint="eastAsia" w:ascii="宋体" w:hAnsi="宋体" w:eastAsia="宋体"/>
                <w:szCs w:val="24"/>
                <w:highlight w:val="none"/>
              </w:rPr>
              <w:t>及质量缺陷，该项指标满分；</w:t>
            </w:r>
          </w:p>
          <w:p w14:paraId="650C4BD6">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0分，指出现1次及以上任意一项</w:t>
            </w:r>
            <w:r>
              <w:rPr>
                <w:rFonts w:ascii="宋体" w:hAnsi="宋体" w:eastAsia="宋体"/>
                <w:szCs w:val="24"/>
                <w:highlight w:val="none"/>
              </w:rPr>
              <w:t>重大事件</w:t>
            </w:r>
            <w:r>
              <w:rPr>
                <w:rFonts w:hint="eastAsia" w:ascii="宋体" w:hAnsi="宋体" w:eastAsia="宋体"/>
                <w:szCs w:val="24"/>
                <w:highlight w:val="none"/>
              </w:rPr>
              <w:t>或质量缺陷。</w:t>
            </w:r>
          </w:p>
        </w:tc>
        <w:tc>
          <w:tcPr>
            <w:tcW w:w="2410" w:type="dxa"/>
            <w:tcBorders>
              <w:top w:val="single" w:color="auto" w:sz="4" w:space="0"/>
              <w:left w:val="single" w:color="auto" w:sz="4" w:space="0"/>
              <w:right w:val="single" w:color="auto" w:sz="4" w:space="0"/>
            </w:tcBorders>
            <w:vAlign w:val="center"/>
          </w:tcPr>
          <w:p w14:paraId="1A6F1C71">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每出现一次</w:t>
            </w:r>
            <w:r>
              <w:rPr>
                <w:rFonts w:ascii="宋体" w:hAnsi="宋体" w:eastAsia="宋体"/>
                <w:szCs w:val="24"/>
                <w:highlight w:val="none"/>
              </w:rPr>
              <w:t>重大事件</w:t>
            </w:r>
            <w:r>
              <w:rPr>
                <w:rFonts w:hint="eastAsia" w:ascii="宋体" w:hAnsi="宋体" w:eastAsia="宋体"/>
                <w:szCs w:val="24"/>
                <w:highlight w:val="none"/>
              </w:rPr>
              <w:t>或质量缺陷，扣除乙方合同总金额不低于5%（不低于2万元），并要求乙方赔偿实际损失。</w:t>
            </w:r>
          </w:p>
        </w:tc>
      </w:tr>
      <w:tr w14:paraId="7204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BB1BF87">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7</w:t>
            </w:r>
          </w:p>
        </w:tc>
        <w:tc>
          <w:tcPr>
            <w:tcW w:w="1134" w:type="dxa"/>
            <w:vMerge w:val="continue"/>
            <w:tcBorders>
              <w:top w:val="single" w:color="auto" w:sz="4" w:space="0"/>
              <w:left w:val="single" w:color="auto" w:sz="4" w:space="0"/>
              <w:right w:val="single" w:color="auto" w:sz="4" w:space="0"/>
            </w:tcBorders>
          </w:tcPr>
          <w:p w14:paraId="3226BF07">
            <w:pPr>
              <w:rPr>
                <w:highlight w:val="none"/>
              </w:rPr>
            </w:pPr>
          </w:p>
        </w:tc>
        <w:tc>
          <w:tcPr>
            <w:tcW w:w="1559" w:type="dxa"/>
            <w:tcBorders>
              <w:top w:val="single" w:color="auto" w:sz="4" w:space="0"/>
              <w:left w:val="single" w:color="auto" w:sz="4" w:space="0"/>
              <w:right w:val="single" w:color="auto" w:sz="4" w:space="0"/>
            </w:tcBorders>
            <w:vAlign w:val="center"/>
          </w:tcPr>
          <w:p w14:paraId="01B4544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信息安全管理</w:t>
            </w:r>
          </w:p>
        </w:tc>
        <w:tc>
          <w:tcPr>
            <w:tcW w:w="2268" w:type="dxa"/>
            <w:tcBorders>
              <w:top w:val="single" w:color="auto" w:sz="4" w:space="0"/>
              <w:left w:val="single" w:color="auto" w:sz="4" w:space="0"/>
              <w:right w:val="single" w:color="auto" w:sz="4" w:space="0"/>
            </w:tcBorders>
            <w:vAlign w:val="center"/>
          </w:tcPr>
          <w:p w14:paraId="57A3393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w:t>
            </w:r>
            <w:r>
              <w:rPr>
                <w:rFonts w:hint="eastAsia" w:ascii="宋体" w:hAnsi="宋体" w:eastAsia="宋体"/>
                <w:szCs w:val="24"/>
                <w:highlight w:val="none"/>
              </w:rPr>
              <w:t>乙方在服务</w:t>
            </w:r>
            <w:r>
              <w:rPr>
                <w:rFonts w:ascii="宋体" w:hAnsi="宋体" w:eastAsia="宋体"/>
                <w:szCs w:val="24"/>
                <w:highlight w:val="none"/>
              </w:rPr>
              <w:t>期内</w:t>
            </w:r>
            <w:r>
              <w:rPr>
                <w:rFonts w:hint="eastAsia" w:ascii="宋体" w:hAnsi="宋体" w:eastAsia="宋体"/>
                <w:szCs w:val="24"/>
                <w:highlight w:val="none"/>
              </w:rPr>
              <w:t>网络和信息安全服务的管理能力，针对发现的安全漏洞及安全缺陷（包括源代码、第三方SDK或第三方小程序、第三方软件产品及开源组件等），须按甲方要求完成整改</w:t>
            </w:r>
          </w:p>
        </w:tc>
        <w:tc>
          <w:tcPr>
            <w:tcW w:w="3686" w:type="dxa"/>
            <w:tcBorders>
              <w:top w:val="single" w:color="auto" w:sz="4" w:space="0"/>
              <w:left w:val="single" w:color="auto" w:sz="4" w:space="0"/>
              <w:right w:val="single" w:color="auto" w:sz="4" w:space="0"/>
            </w:tcBorders>
            <w:vAlign w:val="center"/>
          </w:tcPr>
          <w:p w14:paraId="6EE0A722">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互联网或电子银行类系统：</w:t>
            </w:r>
          </w:p>
          <w:p w14:paraId="7B0C35E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1.安全漏洞及安全缺陷整改及时率=100%</w:t>
            </w:r>
          </w:p>
          <w:p w14:paraId="76C6194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2.安全漏洞及安全缺陷整改通过率=100%</w:t>
            </w:r>
          </w:p>
          <w:p w14:paraId="73BB87F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非互联网或电子银行类系统：</w:t>
            </w:r>
          </w:p>
          <w:p w14:paraId="64285DF7">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1.中高危安全漏洞及安全缺陷整改及时率=100%</w:t>
            </w:r>
          </w:p>
          <w:p w14:paraId="6C0B577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2.中高危安全漏洞及安全缺陷整改通过率=100%</w:t>
            </w:r>
          </w:p>
          <w:p w14:paraId="004998EB">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5分，指未出现安全漏洞及安全缺陷，该项指标满分；</w:t>
            </w:r>
          </w:p>
          <w:p w14:paraId="0283E30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3分，指出现安全漏洞或安全缺陷，但整改及时率、通过率均为100%；</w:t>
            </w:r>
          </w:p>
          <w:p w14:paraId="361D9434">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0分，指出现安全漏洞及安全缺陷，但整改及时率或通过率未达到100%。</w:t>
            </w:r>
          </w:p>
        </w:tc>
        <w:tc>
          <w:tcPr>
            <w:tcW w:w="2410" w:type="dxa"/>
            <w:tcBorders>
              <w:top w:val="single" w:color="auto" w:sz="4" w:space="0"/>
              <w:left w:val="single" w:color="auto" w:sz="4" w:space="0"/>
              <w:right w:val="single" w:color="auto" w:sz="4" w:space="0"/>
            </w:tcBorders>
            <w:vAlign w:val="center"/>
          </w:tcPr>
          <w:p w14:paraId="377658F6">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若出现的安全漏洞或安全缺陷被上级或监管单位通报的，扣除乙方金额人民币不低于2万元；</w:t>
            </w:r>
          </w:p>
          <w:p w14:paraId="7B109EBA">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若评价为较差/差时，扣除乙方金额人民币不低于2万元，并要求乙方赔偿实际损失。</w:t>
            </w:r>
          </w:p>
        </w:tc>
      </w:tr>
      <w:tr w14:paraId="5531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41982A1">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8</w:t>
            </w:r>
          </w:p>
        </w:tc>
        <w:tc>
          <w:tcPr>
            <w:tcW w:w="1134" w:type="dxa"/>
            <w:vMerge w:val="continue"/>
            <w:tcBorders>
              <w:top w:val="single" w:color="auto" w:sz="4" w:space="0"/>
              <w:left w:val="single" w:color="auto" w:sz="4" w:space="0"/>
              <w:right w:val="single" w:color="auto" w:sz="4" w:space="0"/>
            </w:tcBorders>
          </w:tcPr>
          <w:p w14:paraId="51962062">
            <w:pPr>
              <w:rPr>
                <w:highlight w:val="none"/>
              </w:rPr>
            </w:pPr>
          </w:p>
        </w:tc>
        <w:tc>
          <w:tcPr>
            <w:tcW w:w="1559" w:type="dxa"/>
            <w:tcBorders>
              <w:top w:val="single" w:color="auto" w:sz="4" w:space="0"/>
              <w:left w:val="single" w:color="auto" w:sz="4" w:space="0"/>
              <w:right w:val="single" w:color="auto" w:sz="4" w:space="0"/>
            </w:tcBorders>
            <w:vAlign w:val="center"/>
          </w:tcPr>
          <w:p w14:paraId="688CC20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外包安全行为</w:t>
            </w:r>
          </w:p>
        </w:tc>
        <w:tc>
          <w:tcPr>
            <w:tcW w:w="2268" w:type="dxa"/>
            <w:tcBorders>
              <w:top w:val="single" w:color="auto" w:sz="4" w:space="0"/>
              <w:left w:val="single" w:color="auto" w:sz="4" w:space="0"/>
              <w:right w:val="single" w:color="auto" w:sz="4" w:space="0"/>
            </w:tcBorders>
            <w:vAlign w:val="center"/>
          </w:tcPr>
          <w:p w14:paraId="558A800D">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tcBorders>
              <w:top w:val="single" w:color="auto" w:sz="4" w:space="0"/>
              <w:left w:val="single" w:color="auto" w:sz="4" w:space="0"/>
              <w:right w:val="single" w:color="auto" w:sz="4" w:space="0"/>
            </w:tcBorders>
            <w:vAlign w:val="center"/>
          </w:tcPr>
          <w:p w14:paraId="53EB115F">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【得分上限10分】</w:t>
            </w:r>
          </w:p>
          <w:p w14:paraId="7B620E6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指乙方服务未出现外包安全行为风险，该项指标满分；</w:t>
            </w:r>
          </w:p>
          <w:p w14:paraId="3BA2E6E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指乙方出现1次及以上外包安全行为风险（每次扣5分，最高扣除10分）。</w:t>
            </w:r>
          </w:p>
        </w:tc>
        <w:tc>
          <w:tcPr>
            <w:tcW w:w="2410" w:type="dxa"/>
            <w:tcBorders>
              <w:top w:val="single" w:color="auto" w:sz="4" w:space="0"/>
              <w:left w:val="single" w:color="auto" w:sz="4" w:space="0"/>
              <w:right w:val="single" w:color="auto" w:sz="4" w:space="0"/>
            </w:tcBorders>
            <w:vAlign w:val="center"/>
          </w:tcPr>
          <w:p w14:paraId="6224024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每发生一次外包</w:t>
            </w:r>
            <w:r>
              <w:rPr>
                <w:rFonts w:ascii="宋体" w:hAnsi="宋体" w:eastAsia="宋体"/>
                <w:szCs w:val="24"/>
                <w:highlight w:val="none"/>
              </w:rPr>
              <w:t>安全</w:t>
            </w:r>
            <w:r>
              <w:rPr>
                <w:rFonts w:hint="eastAsia" w:ascii="宋体" w:hAnsi="宋体" w:eastAsia="宋体"/>
                <w:szCs w:val="24"/>
                <w:highlight w:val="none"/>
              </w:rPr>
              <w:t>行为风险，扣除乙方金额人民币不低于</w:t>
            </w:r>
            <w:r>
              <w:rPr>
                <w:rFonts w:ascii="宋体" w:hAnsi="宋体" w:eastAsia="宋体"/>
                <w:szCs w:val="24"/>
                <w:highlight w:val="none"/>
              </w:rPr>
              <w:t>1000</w:t>
            </w:r>
            <w:r>
              <w:rPr>
                <w:rFonts w:hint="eastAsia" w:ascii="宋体" w:hAnsi="宋体" w:eastAsia="宋体"/>
                <w:szCs w:val="24"/>
                <w:highlight w:val="none"/>
              </w:rPr>
              <w:t>元，并要求乙方赔偿实际损失。</w:t>
            </w:r>
          </w:p>
        </w:tc>
      </w:tr>
      <w:tr w14:paraId="39AB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5F31BD2">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9</w:t>
            </w:r>
          </w:p>
        </w:tc>
        <w:tc>
          <w:tcPr>
            <w:tcW w:w="1134" w:type="dxa"/>
            <w:vMerge w:val="continue"/>
            <w:tcBorders>
              <w:top w:val="single" w:color="auto" w:sz="4" w:space="0"/>
              <w:left w:val="single" w:color="auto" w:sz="4" w:space="0"/>
              <w:right w:val="single" w:color="auto" w:sz="4" w:space="0"/>
            </w:tcBorders>
          </w:tcPr>
          <w:p w14:paraId="3D790EAA">
            <w:pPr>
              <w:rPr>
                <w:highlight w:val="none"/>
              </w:rPr>
            </w:pPr>
          </w:p>
        </w:tc>
        <w:tc>
          <w:tcPr>
            <w:tcW w:w="1559" w:type="dxa"/>
            <w:tcBorders>
              <w:top w:val="single" w:color="auto" w:sz="4" w:space="0"/>
              <w:left w:val="single" w:color="auto" w:sz="4" w:space="0"/>
              <w:right w:val="single" w:color="auto" w:sz="4" w:space="0"/>
            </w:tcBorders>
            <w:vAlign w:val="center"/>
          </w:tcPr>
          <w:p w14:paraId="6CBE4445">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响应与解决及时性</w:t>
            </w:r>
          </w:p>
        </w:tc>
        <w:tc>
          <w:tcPr>
            <w:tcW w:w="2268" w:type="dxa"/>
            <w:tcBorders>
              <w:top w:val="single" w:color="auto" w:sz="4" w:space="0"/>
              <w:left w:val="single" w:color="auto" w:sz="4" w:space="0"/>
              <w:right w:val="single" w:color="auto" w:sz="4" w:space="0"/>
            </w:tcBorders>
            <w:vAlign w:val="center"/>
          </w:tcPr>
          <w:p w14:paraId="66FFAD24">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w:t>
            </w:r>
            <w:r>
              <w:rPr>
                <w:rFonts w:hint="eastAsia" w:ascii="宋体" w:hAnsi="宋体" w:eastAsia="宋体"/>
                <w:szCs w:val="24"/>
                <w:highlight w:val="none"/>
              </w:rPr>
              <w:t>乙方</w:t>
            </w:r>
            <w:r>
              <w:rPr>
                <w:rFonts w:ascii="宋体" w:hAnsi="宋体" w:eastAsia="宋体"/>
                <w:szCs w:val="24"/>
                <w:highlight w:val="none"/>
              </w:rPr>
              <w:t>或服务项目对</w:t>
            </w:r>
            <w:r>
              <w:rPr>
                <w:rFonts w:hint="eastAsia" w:ascii="宋体" w:hAnsi="宋体" w:eastAsia="宋体"/>
                <w:szCs w:val="24"/>
                <w:highlight w:val="none"/>
              </w:rPr>
              <w:t>甲方</w:t>
            </w:r>
            <w:r>
              <w:rPr>
                <w:rFonts w:ascii="宋体" w:hAnsi="宋体" w:eastAsia="宋体"/>
                <w:szCs w:val="24"/>
                <w:highlight w:val="none"/>
              </w:rPr>
              <w:t>的响应与解决的及时性</w:t>
            </w:r>
          </w:p>
        </w:tc>
        <w:tc>
          <w:tcPr>
            <w:tcW w:w="3686" w:type="dxa"/>
            <w:tcBorders>
              <w:top w:val="single" w:color="auto" w:sz="4" w:space="0"/>
              <w:left w:val="single" w:color="auto" w:sz="4" w:space="0"/>
              <w:right w:val="single" w:color="auto" w:sz="4" w:space="0"/>
            </w:tcBorders>
            <w:vAlign w:val="center"/>
          </w:tcPr>
          <w:p w14:paraId="3960A08A">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或服务项目能够迅速响应需求，主动快速与</w:t>
            </w:r>
            <w:r>
              <w:rPr>
                <w:rFonts w:hint="eastAsia" w:ascii="宋体" w:hAnsi="宋体" w:eastAsia="宋体"/>
                <w:szCs w:val="24"/>
                <w:highlight w:val="none"/>
              </w:rPr>
              <w:t>甲方</w:t>
            </w:r>
            <w:r>
              <w:rPr>
                <w:rFonts w:ascii="宋体" w:hAnsi="宋体" w:eastAsia="宋体"/>
                <w:szCs w:val="24"/>
                <w:highlight w:val="none"/>
              </w:rPr>
              <w:t>进行有效的沟通，第一时间从专业角度给出解决方案并解决问题</w:t>
            </w:r>
            <w:r>
              <w:rPr>
                <w:rFonts w:hint="eastAsia" w:ascii="宋体" w:hAnsi="宋体" w:eastAsia="宋体"/>
                <w:szCs w:val="24"/>
                <w:highlight w:val="none"/>
              </w:rPr>
              <w:t>；</w:t>
            </w:r>
          </w:p>
          <w:p w14:paraId="02E7720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或服务项目能够按要求响应需求，及时与</w:t>
            </w:r>
            <w:r>
              <w:rPr>
                <w:rFonts w:hint="eastAsia" w:ascii="宋体" w:hAnsi="宋体" w:eastAsia="宋体"/>
                <w:szCs w:val="24"/>
                <w:highlight w:val="none"/>
              </w:rPr>
              <w:t>甲方</w:t>
            </w:r>
            <w:r>
              <w:rPr>
                <w:rFonts w:ascii="宋体" w:hAnsi="宋体" w:eastAsia="宋体"/>
                <w:szCs w:val="24"/>
                <w:highlight w:val="none"/>
              </w:rPr>
              <w:t>进行有效的沟通，快速给出处理方案并解决问题</w:t>
            </w:r>
            <w:r>
              <w:rPr>
                <w:rFonts w:hint="eastAsia" w:ascii="宋体" w:hAnsi="宋体" w:eastAsia="宋体"/>
                <w:szCs w:val="24"/>
                <w:highlight w:val="none"/>
              </w:rPr>
              <w:t>；</w:t>
            </w:r>
          </w:p>
          <w:p w14:paraId="25AD1C5B">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或服务项目能够基本按要求响应需求</w:t>
            </w:r>
            <w:r>
              <w:rPr>
                <w:rFonts w:hint="eastAsia" w:ascii="宋体" w:hAnsi="宋体" w:eastAsia="宋体"/>
                <w:szCs w:val="24"/>
                <w:highlight w:val="none"/>
              </w:rPr>
              <w:t>，</w:t>
            </w:r>
            <w:r>
              <w:rPr>
                <w:rFonts w:ascii="宋体" w:hAnsi="宋体" w:eastAsia="宋体"/>
                <w:szCs w:val="24"/>
                <w:highlight w:val="none"/>
              </w:rPr>
              <w:t>保持与</w:t>
            </w:r>
            <w:r>
              <w:rPr>
                <w:rFonts w:hint="eastAsia" w:ascii="宋体" w:hAnsi="宋体" w:eastAsia="宋体"/>
                <w:szCs w:val="24"/>
                <w:highlight w:val="none"/>
              </w:rPr>
              <w:t>甲方</w:t>
            </w:r>
            <w:r>
              <w:rPr>
                <w:rFonts w:ascii="宋体" w:hAnsi="宋体" w:eastAsia="宋体"/>
                <w:szCs w:val="24"/>
                <w:highlight w:val="none"/>
              </w:rPr>
              <w:t>的沟通，按时解决问题</w:t>
            </w:r>
            <w:r>
              <w:rPr>
                <w:rFonts w:hint="eastAsia" w:ascii="宋体" w:hAnsi="宋体" w:eastAsia="宋体"/>
                <w:szCs w:val="24"/>
                <w:highlight w:val="none"/>
              </w:rPr>
              <w:t>；</w:t>
            </w:r>
          </w:p>
          <w:p w14:paraId="0A0A5C30">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乙方</w:t>
            </w:r>
            <w:r>
              <w:rPr>
                <w:rFonts w:ascii="宋体" w:hAnsi="宋体" w:eastAsia="宋体"/>
                <w:szCs w:val="24"/>
                <w:highlight w:val="none"/>
              </w:rPr>
              <w:t>或服务项目未及时响应需求，或响应需求后无法</w:t>
            </w:r>
            <w:r>
              <w:rPr>
                <w:rFonts w:hint="eastAsia" w:ascii="宋体" w:hAnsi="宋体" w:eastAsia="宋体"/>
                <w:szCs w:val="24"/>
                <w:highlight w:val="none"/>
              </w:rPr>
              <w:t>及时</w:t>
            </w:r>
            <w:r>
              <w:rPr>
                <w:rFonts w:ascii="宋体" w:hAnsi="宋体" w:eastAsia="宋体"/>
                <w:szCs w:val="24"/>
                <w:highlight w:val="none"/>
              </w:rPr>
              <w:t>解决问题</w:t>
            </w:r>
            <w:r>
              <w:rPr>
                <w:rFonts w:hint="eastAsia" w:ascii="宋体" w:hAnsi="宋体" w:eastAsia="宋体"/>
                <w:szCs w:val="24"/>
                <w:highlight w:val="none"/>
              </w:rPr>
              <w:t>。</w:t>
            </w:r>
          </w:p>
        </w:tc>
        <w:tc>
          <w:tcPr>
            <w:tcW w:w="2410" w:type="dxa"/>
            <w:tcBorders>
              <w:top w:val="single" w:color="auto" w:sz="4" w:space="0"/>
              <w:left w:val="single" w:color="auto" w:sz="4" w:space="0"/>
              <w:right w:val="single" w:color="auto" w:sz="4" w:space="0"/>
            </w:tcBorders>
            <w:vAlign w:val="center"/>
          </w:tcPr>
          <w:p w14:paraId="2B0DA508">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评价为较差/差，即乙方</w:t>
            </w:r>
            <w:r>
              <w:rPr>
                <w:rFonts w:ascii="宋体" w:hAnsi="宋体" w:eastAsia="宋体"/>
                <w:szCs w:val="24"/>
                <w:highlight w:val="none"/>
              </w:rPr>
              <w:t>或服务项目未及时响应需求，或响应需求后无法</w:t>
            </w:r>
            <w:r>
              <w:rPr>
                <w:rFonts w:hint="eastAsia" w:ascii="宋体" w:hAnsi="宋体" w:eastAsia="宋体"/>
                <w:szCs w:val="24"/>
                <w:highlight w:val="none"/>
              </w:rPr>
              <w:t>及时</w:t>
            </w:r>
            <w:r>
              <w:rPr>
                <w:rFonts w:ascii="宋体" w:hAnsi="宋体" w:eastAsia="宋体"/>
                <w:szCs w:val="24"/>
                <w:highlight w:val="none"/>
              </w:rPr>
              <w:t>解决问题</w:t>
            </w:r>
            <w:r>
              <w:rPr>
                <w:rFonts w:hint="eastAsia" w:ascii="宋体" w:hAnsi="宋体" w:eastAsia="宋体"/>
                <w:szCs w:val="24"/>
                <w:highlight w:val="none"/>
              </w:rPr>
              <w:t>，扣除乙方金额人民币不低于1000元。</w:t>
            </w:r>
          </w:p>
        </w:tc>
      </w:tr>
      <w:tr w14:paraId="0779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53CD6C">
            <w:pPr>
              <w:spacing w:line="240" w:lineRule="auto"/>
              <w:ind w:firstLine="0" w:firstLineChars="0"/>
              <w:jc w:val="center"/>
              <w:rPr>
                <w:rFonts w:ascii="宋体" w:hAnsi="宋体" w:eastAsia="宋体"/>
                <w:szCs w:val="24"/>
                <w:highlight w:val="none"/>
              </w:rPr>
            </w:pPr>
            <w:r>
              <w:rPr>
                <w:rFonts w:ascii="宋体" w:hAnsi="宋体" w:eastAsia="宋体"/>
                <w:szCs w:val="24"/>
                <w:highlight w:val="none"/>
              </w:rPr>
              <w:t>1</w:t>
            </w:r>
            <w:r>
              <w:rPr>
                <w:rFonts w:hint="eastAsia" w:ascii="宋体" w:hAnsi="宋体" w:eastAsia="宋体"/>
                <w:szCs w:val="24"/>
                <w:highlight w:val="none"/>
              </w:rPr>
              <w:t>0</w:t>
            </w:r>
          </w:p>
        </w:tc>
        <w:tc>
          <w:tcPr>
            <w:tcW w:w="1134" w:type="dxa"/>
            <w:vMerge w:val="continue"/>
            <w:tcBorders>
              <w:top w:val="single" w:color="auto" w:sz="4" w:space="0"/>
              <w:left w:val="single" w:color="auto" w:sz="4" w:space="0"/>
              <w:right w:val="single" w:color="auto" w:sz="4" w:space="0"/>
            </w:tcBorders>
          </w:tcPr>
          <w:p w14:paraId="2BA71983">
            <w:pPr>
              <w:rPr>
                <w:highlight w:val="none"/>
              </w:rPr>
            </w:pPr>
          </w:p>
        </w:tc>
        <w:tc>
          <w:tcPr>
            <w:tcW w:w="1559" w:type="dxa"/>
            <w:tcBorders>
              <w:top w:val="single" w:color="auto" w:sz="4" w:space="0"/>
              <w:left w:val="single" w:color="auto" w:sz="4" w:space="0"/>
              <w:right w:val="single" w:color="auto" w:sz="4" w:space="0"/>
            </w:tcBorders>
            <w:vAlign w:val="center"/>
          </w:tcPr>
          <w:p w14:paraId="61B66E1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需求排期率</w:t>
            </w:r>
          </w:p>
        </w:tc>
        <w:tc>
          <w:tcPr>
            <w:tcW w:w="2268" w:type="dxa"/>
            <w:tcBorders>
              <w:top w:val="single" w:color="auto" w:sz="4" w:space="0"/>
              <w:left w:val="single" w:color="auto" w:sz="4" w:space="0"/>
              <w:right w:val="single" w:color="auto" w:sz="4" w:space="0"/>
            </w:tcBorders>
            <w:vAlign w:val="center"/>
          </w:tcPr>
          <w:p w14:paraId="3CD58366">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用于记录统计周期内对</w:t>
            </w:r>
            <w:r>
              <w:rPr>
                <w:rFonts w:hint="eastAsia" w:ascii="宋体" w:hAnsi="宋体" w:eastAsia="宋体"/>
                <w:szCs w:val="24"/>
                <w:highlight w:val="none"/>
              </w:rPr>
              <w:t>甲方</w:t>
            </w:r>
            <w:r>
              <w:rPr>
                <w:rFonts w:ascii="宋体" w:hAnsi="宋体" w:eastAsia="宋体"/>
                <w:szCs w:val="24"/>
                <w:highlight w:val="none"/>
              </w:rPr>
              <w:t>需求进行投产计划安排的比例</w:t>
            </w:r>
          </w:p>
        </w:tc>
        <w:tc>
          <w:tcPr>
            <w:tcW w:w="3686" w:type="dxa"/>
            <w:tcBorders>
              <w:top w:val="single" w:color="auto" w:sz="4" w:space="0"/>
              <w:left w:val="single" w:color="auto" w:sz="4" w:space="0"/>
              <w:right w:val="single" w:color="auto" w:sz="4" w:space="0"/>
            </w:tcBorders>
            <w:vAlign w:val="center"/>
          </w:tcPr>
          <w:p w14:paraId="1E32FD56">
            <w:pPr>
              <w:spacing w:line="240" w:lineRule="auto"/>
              <w:ind w:firstLine="0" w:firstLineChars="0"/>
              <w:rPr>
                <w:rFonts w:ascii="宋体" w:hAnsi="宋体" w:eastAsia="宋体"/>
                <w:szCs w:val="24"/>
                <w:highlight w:val="none"/>
              </w:rPr>
            </w:pPr>
            <w:r>
              <w:rPr>
                <w:rFonts w:ascii="宋体" w:hAnsi="宋体" w:eastAsia="宋体"/>
                <w:szCs w:val="24"/>
                <w:highlight w:val="none"/>
              </w:rPr>
              <w:t>需求排期率=已排期需求数/总需求数</w:t>
            </w:r>
          </w:p>
          <w:p w14:paraId="4FCCA3FD">
            <w:pPr>
              <w:spacing w:line="240" w:lineRule="auto"/>
              <w:ind w:firstLine="0" w:firstLineChars="0"/>
              <w:rPr>
                <w:rFonts w:ascii="宋体" w:hAnsi="宋体" w:eastAsia="宋体"/>
                <w:szCs w:val="24"/>
                <w:highlight w:val="none"/>
              </w:rPr>
            </w:pPr>
            <w:r>
              <w:rPr>
                <w:rFonts w:ascii="宋体" w:hAnsi="宋体" w:eastAsia="宋体"/>
                <w:szCs w:val="24"/>
                <w:highlight w:val="none"/>
              </w:rPr>
              <w:t>注：已排期需求数指统计周期内已经纳入投产计划的需求个数。总需求数指统计周期内由</w:t>
            </w:r>
            <w:r>
              <w:rPr>
                <w:rFonts w:hint="eastAsia" w:ascii="宋体" w:hAnsi="宋体" w:eastAsia="宋体"/>
                <w:szCs w:val="24"/>
                <w:highlight w:val="none"/>
              </w:rPr>
              <w:t>甲方</w:t>
            </w:r>
            <w:r>
              <w:rPr>
                <w:rFonts w:ascii="宋体" w:hAnsi="宋体" w:eastAsia="宋体"/>
                <w:szCs w:val="24"/>
                <w:highlight w:val="none"/>
              </w:rPr>
              <w:t>提出到达服务商项目组的需求数。</w:t>
            </w:r>
          </w:p>
          <w:p w14:paraId="66C662B0">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5分【98%-100%】</w:t>
            </w:r>
          </w:p>
          <w:p w14:paraId="0ADE614D">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3分【95%-97%】</w:t>
            </w:r>
          </w:p>
          <w:p w14:paraId="37667C8A">
            <w:pPr>
              <w:spacing w:line="240" w:lineRule="auto"/>
              <w:ind w:firstLine="0" w:firstLineChars="0"/>
              <w:rPr>
                <w:rFonts w:ascii="宋体" w:hAnsi="宋体" w:eastAsia="宋体"/>
                <w:b/>
                <w:bCs/>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38AA9497">
            <w:pPr>
              <w:spacing w:line="240" w:lineRule="auto"/>
              <w:ind w:firstLine="0" w:firstLineChars="0"/>
              <w:rPr>
                <w:rFonts w:ascii="宋体" w:hAnsi="宋体" w:eastAsia="宋体"/>
                <w:szCs w:val="24"/>
                <w:highlight w:val="none"/>
              </w:rPr>
            </w:pPr>
          </w:p>
        </w:tc>
      </w:tr>
      <w:tr w14:paraId="218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259DD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11</w:t>
            </w:r>
          </w:p>
        </w:tc>
        <w:tc>
          <w:tcPr>
            <w:tcW w:w="1134" w:type="dxa"/>
            <w:vMerge w:val="continue"/>
            <w:tcBorders>
              <w:top w:val="single" w:color="auto" w:sz="4" w:space="0"/>
              <w:left w:val="single" w:color="auto" w:sz="4" w:space="0"/>
              <w:right w:val="single" w:color="auto" w:sz="4" w:space="0"/>
            </w:tcBorders>
          </w:tcPr>
          <w:p w14:paraId="6CB7F5DE">
            <w:pPr>
              <w:rPr>
                <w:highlight w:val="none"/>
              </w:rPr>
            </w:pPr>
          </w:p>
        </w:tc>
        <w:tc>
          <w:tcPr>
            <w:tcW w:w="1559" w:type="dxa"/>
            <w:tcBorders>
              <w:top w:val="single" w:color="auto" w:sz="4" w:space="0"/>
              <w:left w:val="single" w:color="auto" w:sz="4" w:space="0"/>
              <w:right w:val="single" w:color="auto" w:sz="4" w:space="0"/>
            </w:tcBorders>
            <w:vAlign w:val="center"/>
          </w:tcPr>
          <w:p w14:paraId="7E48C9D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需求完成率</w:t>
            </w:r>
          </w:p>
        </w:tc>
        <w:tc>
          <w:tcPr>
            <w:tcW w:w="2268" w:type="dxa"/>
            <w:tcBorders>
              <w:top w:val="single" w:color="auto" w:sz="4" w:space="0"/>
              <w:left w:val="single" w:color="auto" w:sz="4" w:space="0"/>
              <w:right w:val="single" w:color="auto" w:sz="4" w:space="0"/>
            </w:tcBorders>
            <w:vAlign w:val="center"/>
          </w:tcPr>
          <w:p w14:paraId="4787124C">
            <w:pPr>
              <w:spacing w:line="240" w:lineRule="auto"/>
              <w:ind w:firstLine="0" w:firstLineChars="0"/>
              <w:rPr>
                <w:rFonts w:ascii="宋体" w:hAnsi="宋体" w:eastAsia="宋体"/>
                <w:szCs w:val="24"/>
                <w:highlight w:val="none"/>
              </w:rPr>
            </w:pPr>
            <w:r>
              <w:rPr>
                <w:rFonts w:ascii="宋体" w:hAnsi="宋体" w:eastAsia="宋体"/>
                <w:szCs w:val="24"/>
                <w:highlight w:val="none"/>
              </w:rPr>
              <w:t>用于记录统计周期内</w:t>
            </w:r>
            <w:r>
              <w:rPr>
                <w:rFonts w:hint="eastAsia" w:ascii="宋体" w:hAnsi="宋体" w:eastAsia="宋体"/>
                <w:szCs w:val="24"/>
                <w:highlight w:val="none"/>
              </w:rPr>
              <w:t>甲方</w:t>
            </w:r>
            <w:r>
              <w:rPr>
                <w:rFonts w:ascii="宋体" w:hAnsi="宋体" w:eastAsia="宋体"/>
                <w:szCs w:val="24"/>
                <w:highlight w:val="none"/>
              </w:rPr>
              <w:t>需求完成投产的比例</w:t>
            </w:r>
          </w:p>
        </w:tc>
        <w:tc>
          <w:tcPr>
            <w:tcW w:w="3686" w:type="dxa"/>
            <w:tcBorders>
              <w:top w:val="single" w:color="auto" w:sz="4" w:space="0"/>
              <w:left w:val="single" w:color="auto" w:sz="4" w:space="0"/>
              <w:right w:val="single" w:color="auto" w:sz="4" w:space="0"/>
            </w:tcBorders>
            <w:vAlign w:val="center"/>
          </w:tcPr>
          <w:p w14:paraId="4E60673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需</w:t>
            </w:r>
            <w:r>
              <w:rPr>
                <w:rFonts w:ascii="宋体" w:hAnsi="宋体" w:eastAsia="宋体"/>
                <w:szCs w:val="24"/>
                <w:highlight w:val="none"/>
              </w:rPr>
              <w:t>求完成率=流程完结需求数/总需求数</w:t>
            </w:r>
          </w:p>
          <w:p w14:paraId="5CB7E233">
            <w:pPr>
              <w:spacing w:line="240" w:lineRule="auto"/>
              <w:ind w:firstLine="0" w:firstLineChars="0"/>
              <w:rPr>
                <w:rFonts w:ascii="宋体" w:hAnsi="宋体" w:eastAsia="宋体"/>
                <w:szCs w:val="24"/>
                <w:highlight w:val="none"/>
              </w:rPr>
            </w:pPr>
            <w:r>
              <w:rPr>
                <w:rFonts w:ascii="宋体" w:hAnsi="宋体" w:eastAsia="宋体"/>
                <w:szCs w:val="24"/>
                <w:highlight w:val="none"/>
              </w:rPr>
              <w:t>注：流程完结需求数指统计周期内已完成投产的需求个数</w:t>
            </w:r>
            <w:r>
              <w:rPr>
                <w:rFonts w:hint="eastAsia" w:ascii="宋体" w:hAnsi="宋体" w:eastAsia="宋体"/>
                <w:szCs w:val="24"/>
                <w:highlight w:val="none"/>
              </w:rPr>
              <w:t>；</w:t>
            </w:r>
            <w:r>
              <w:rPr>
                <w:rFonts w:ascii="宋体" w:hAnsi="宋体" w:eastAsia="宋体"/>
                <w:szCs w:val="24"/>
                <w:highlight w:val="none"/>
              </w:rPr>
              <w:t>总需求数指统计周期内由</w:t>
            </w:r>
            <w:r>
              <w:rPr>
                <w:rFonts w:hint="eastAsia" w:ascii="宋体" w:hAnsi="宋体" w:eastAsia="宋体"/>
                <w:szCs w:val="24"/>
                <w:highlight w:val="none"/>
              </w:rPr>
              <w:t>甲方</w:t>
            </w:r>
            <w:r>
              <w:rPr>
                <w:rFonts w:ascii="宋体" w:hAnsi="宋体" w:eastAsia="宋体"/>
                <w:szCs w:val="24"/>
                <w:highlight w:val="none"/>
              </w:rPr>
              <w:t>提出到达服务商项目组的需求个数。</w:t>
            </w:r>
          </w:p>
          <w:p w14:paraId="3304F0A7">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5分【98%-100%】</w:t>
            </w:r>
          </w:p>
          <w:p w14:paraId="67CB4F19">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3分【95%-97%】</w:t>
            </w:r>
          </w:p>
          <w:p w14:paraId="092468AD">
            <w:pPr>
              <w:spacing w:line="240" w:lineRule="auto"/>
              <w:ind w:firstLine="0" w:firstLineChars="0"/>
              <w:rPr>
                <w:rFonts w:ascii="宋体" w:hAnsi="宋体" w:eastAsia="宋体"/>
                <w:b/>
                <w:bCs/>
                <w:szCs w:val="24"/>
                <w:highlight w:val="none"/>
              </w:rPr>
            </w:pPr>
            <w:r>
              <w:rPr>
                <w:rFonts w:hint="eastAsia" w:ascii="宋体" w:hAnsi="宋体" w:eastAsia="宋体"/>
                <w:b/>
                <w:szCs w:val="24"/>
                <w:highlight w:val="none"/>
              </w:rPr>
              <w:t>0分【低于95%】</w:t>
            </w:r>
          </w:p>
        </w:tc>
        <w:tc>
          <w:tcPr>
            <w:tcW w:w="2410" w:type="dxa"/>
            <w:tcBorders>
              <w:top w:val="single" w:color="auto" w:sz="4" w:space="0"/>
              <w:left w:val="single" w:color="auto" w:sz="4" w:space="0"/>
              <w:right w:val="single" w:color="auto" w:sz="4" w:space="0"/>
            </w:tcBorders>
            <w:vAlign w:val="center"/>
          </w:tcPr>
          <w:p w14:paraId="2B488C5F">
            <w:pPr>
              <w:spacing w:line="240" w:lineRule="auto"/>
              <w:ind w:firstLine="0" w:firstLineChars="0"/>
              <w:rPr>
                <w:rFonts w:ascii="宋体" w:hAnsi="宋体" w:eastAsia="宋体"/>
                <w:szCs w:val="24"/>
                <w:highlight w:val="none"/>
              </w:rPr>
            </w:pPr>
          </w:p>
        </w:tc>
      </w:tr>
      <w:tr w14:paraId="7645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28CEE3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12</w:t>
            </w:r>
          </w:p>
        </w:tc>
        <w:tc>
          <w:tcPr>
            <w:tcW w:w="1134" w:type="dxa"/>
            <w:vMerge w:val="continue"/>
            <w:tcBorders>
              <w:top w:val="single" w:color="auto" w:sz="4" w:space="0"/>
              <w:left w:val="single" w:color="auto" w:sz="4" w:space="0"/>
              <w:right w:val="single" w:color="auto" w:sz="4" w:space="0"/>
            </w:tcBorders>
          </w:tcPr>
          <w:p w14:paraId="51E1BA7B">
            <w:pPr>
              <w:rPr>
                <w:highlight w:val="none"/>
              </w:rPr>
            </w:pPr>
          </w:p>
        </w:tc>
        <w:tc>
          <w:tcPr>
            <w:tcW w:w="1559" w:type="dxa"/>
            <w:tcBorders>
              <w:top w:val="single" w:color="auto" w:sz="4" w:space="0"/>
              <w:left w:val="single" w:color="auto" w:sz="4" w:space="0"/>
              <w:right w:val="single" w:color="auto" w:sz="4" w:space="0"/>
            </w:tcBorders>
            <w:vAlign w:val="center"/>
          </w:tcPr>
          <w:p w14:paraId="4AC91D9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人员行为规范性</w:t>
            </w:r>
          </w:p>
        </w:tc>
        <w:tc>
          <w:tcPr>
            <w:tcW w:w="2268" w:type="dxa"/>
            <w:tcBorders>
              <w:top w:val="single" w:color="auto" w:sz="4" w:space="0"/>
              <w:left w:val="single" w:color="auto" w:sz="4" w:space="0"/>
              <w:right w:val="single" w:color="auto" w:sz="4" w:space="0"/>
            </w:tcBorders>
            <w:vAlign w:val="center"/>
          </w:tcPr>
          <w:p w14:paraId="188CCB4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于记录外包场地日常管理或</w:t>
            </w:r>
            <w:r>
              <w:rPr>
                <w:rFonts w:hint="eastAsia" w:ascii="宋体" w:hAnsi="宋体" w:eastAsia="宋体"/>
                <w:szCs w:val="24"/>
                <w:highlight w:val="none"/>
              </w:rPr>
              <w:t>检查</w:t>
            </w:r>
            <w:r>
              <w:rPr>
                <w:rFonts w:ascii="宋体" w:hAnsi="宋体" w:eastAsia="宋体"/>
                <w:szCs w:val="24"/>
                <w:highlight w:val="none"/>
              </w:rPr>
              <w:t>过程中发现外包人员</w:t>
            </w:r>
            <w:r>
              <w:rPr>
                <w:rFonts w:hint="eastAsia" w:ascii="宋体" w:hAnsi="宋体" w:eastAsia="宋体"/>
                <w:szCs w:val="24"/>
                <w:highlight w:val="none"/>
              </w:rPr>
              <w:t>行为</w:t>
            </w:r>
            <w:r>
              <w:rPr>
                <w:rFonts w:ascii="宋体" w:hAnsi="宋体" w:eastAsia="宋体"/>
                <w:szCs w:val="24"/>
                <w:highlight w:val="none"/>
              </w:rPr>
              <w:t>违</w:t>
            </w:r>
            <w:r>
              <w:rPr>
                <w:rFonts w:hint="eastAsia" w:ascii="宋体" w:hAnsi="宋体" w:eastAsia="宋体"/>
                <w:szCs w:val="24"/>
                <w:highlight w:val="none"/>
              </w:rPr>
              <w:t>规（包括但不限于办公纪律、造成办公环境物理安全隐患等）</w:t>
            </w:r>
            <w:r>
              <w:rPr>
                <w:rFonts w:ascii="宋体" w:hAnsi="宋体" w:eastAsia="宋体"/>
                <w:szCs w:val="24"/>
                <w:highlight w:val="none"/>
              </w:rPr>
              <w:t>的次数</w:t>
            </w:r>
          </w:p>
        </w:tc>
        <w:tc>
          <w:tcPr>
            <w:tcW w:w="3686" w:type="dxa"/>
            <w:tcBorders>
              <w:top w:val="single" w:color="auto" w:sz="4" w:space="0"/>
              <w:left w:val="single" w:color="auto" w:sz="4" w:space="0"/>
              <w:right w:val="single" w:color="auto" w:sz="4" w:space="0"/>
            </w:tcBorders>
            <w:vAlign w:val="center"/>
          </w:tcPr>
          <w:p w14:paraId="6CBA766A">
            <w:pPr>
              <w:spacing w:line="240" w:lineRule="auto"/>
              <w:ind w:firstLine="0" w:firstLineChars="0"/>
              <w:rPr>
                <w:rFonts w:ascii="宋体" w:hAnsi="宋体" w:eastAsia="宋体"/>
                <w:b/>
                <w:bCs/>
                <w:szCs w:val="24"/>
                <w:highlight w:val="none"/>
              </w:rPr>
            </w:pPr>
            <w:r>
              <w:rPr>
                <w:rFonts w:hint="eastAsia" w:ascii="宋体" w:hAnsi="宋体" w:eastAsia="宋体"/>
                <w:b/>
                <w:bCs/>
                <w:szCs w:val="24"/>
                <w:highlight w:val="none"/>
              </w:rPr>
              <w:t>【得分上限1</w:t>
            </w:r>
            <w:r>
              <w:rPr>
                <w:rFonts w:ascii="宋体" w:hAnsi="宋体" w:eastAsia="宋体"/>
                <w:b/>
                <w:bCs/>
                <w:szCs w:val="24"/>
                <w:highlight w:val="none"/>
              </w:rPr>
              <w:t>0</w:t>
            </w:r>
            <w:r>
              <w:rPr>
                <w:rFonts w:hint="eastAsia" w:ascii="宋体" w:hAnsi="宋体" w:eastAsia="宋体"/>
                <w:b/>
                <w:bCs/>
                <w:szCs w:val="24"/>
                <w:highlight w:val="none"/>
              </w:rPr>
              <w:t>分】</w:t>
            </w:r>
          </w:p>
          <w:p w14:paraId="687FE3D7">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0次：</w:t>
            </w:r>
            <w:r>
              <w:rPr>
                <w:rFonts w:hint="eastAsia" w:ascii="宋体" w:hAnsi="宋体" w:eastAsia="宋体"/>
                <w:szCs w:val="24"/>
                <w:highlight w:val="none"/>
              </w:rPr>
              <w:t>指未出现外包人员行为违规，该项指标满分；</w:t>
            </w:r>
          </w:p>
          <w:p w14:paraId="6A62837B">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1次及以上：</w:t>
            </w:r>
            <w:r>
              <w:rPr>
                <w:rFonts w:hint="eastAsia" w:ascii="宋体" w:hAnsi="宋体" w:eastAsia="宋体"/>
                <w:szCs w:val="24"/>
                <w:highlight w:val="none"/>
              </w:rPr>
              <w:t>指检查发现外包人员行为违规1次及以上（每人次扣5分，最高扣除1</w:t>
            </w:r>
            <w:r>
              <w:rPr>
                <w:rFonts w:ascii="宋体" w:hAnsi="宋体" w:eastAsia="宋体"/>
                <w:szCs w:val="24"/>
                <w:highlight w:val="none"/>
              </w:rPr>
              <w:t>0</w:t>
            </w:r>
            <w:r>
              <w:rPr>
                <w:rFonts w:hint="eastAsia" w:ascii="宋体" w:hAnsi="宋体" w:eastAsia="宋体"/>
                <w:szCs w:val="24"/>
                <w:highlight w:val="none"/>
              </w:rPr>
              <w:t>分）</w:t>
            </w:r>
          </w:p>
        </w:tc>
        <w:tc>
          <w:tcPr>
            <w:tcW w:w="2410" w:type="dxa"/>
            <w:tcBorders>
              <w:top w:val="single" w:color="auto" w:sz="4" w:space="0"/>
              <w:left w:val="single" w:color="auto" w:sz="4" w:space="0"/>
              <w:right w:val="single" w:color="auto" w:sz="4" w:space="0"/>
            </w:tcBorders>
            <w:vAlign w:val="center"/>
          </w:tcPr>
          <w:p w14:paraId="3944C6E0">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每出现一次人员行为</w:t>
            </w:r>
            <w:r>
              <w:rPr>
                <w:rFonts w:ascii="宋体" w:hAnsi="宋体" w:eastAsia="宋体"/>
                <w:szCs w:val="24"/>
                <w:highlight w:val="none"/>
              </w:rPr>
              <w:t>违规</w:t>
            </w:r>
            <w:r>
              <w:rPr>
                <w:rFonts w:hint="eastAsia" w:ascii="宋体" w:hAnsi="宋体" w:eastAsia="宋体"/>
                <w:szCs w:val="24"/>
                <w:highlight w:val="none"/>
              </w:rPr>
              <w:t>，扣除乙方金额人民币不低于500元。</w:t>
            </w:r>
          </w:p>
        </w:tc>
      </w:tr>
      <w:tr w14:paraId="1B22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973206">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13</w:t>
            </w:r>
          </w:p>
        </w:tc>
        <w:tc>
          <w:tcPr>
            <w:tcW w:w="1134" w:type="dxa"/>
            <w:vMerge w:val="continue"/>
            <w:tcBorders>
              <w:top w:val="single" w:color="auto" w:sz="4" w:space="0"/>
              <w:left w:val="single" w:color="auto" w:sz="4" w:space="0"/>
              <w:right w:val="single" w:color="auto" w:sz="4" w:space="0"/>
            </w:tcBorders>
          </w:tcPr>
          <w:p w14:paraId="756521F1">
            <w:pPr>
              <w:rPr>
                <w:highlight w:val="none"/>
              </w:rPr>
            </w:pPr>
          </w:p>
        </w:tc>
        <w:tc>
          <w:tcPr>
            <w:tcW w:w="1559" w:type="dxa"/>
            <w:tcBorders>
              <w:top w:val="single" w:color="auto" w:sz="4" w:space="0"/>
              <w:left w:val="single" w:color="auto" w:sz="4" w:space="0"/>
              <w:right w:val="single" w:color="auto" w:sz="4" w:space="0"/>
            </w:tcBorders>
            <w:vAlign w:val="center"/>
          </w:tcPr>
          <w:p w14:paraId="7170DE24">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人员变动率</w:t>
            </w:r>
          </w:p>
        </w:tc>
        <w:tc>
          <w:tcPr>
            <w:tcW w:w="2268" w:type="dxa"/>
            <w:tcBorders>
              <w:top w:val="single" w:color="auto" w:sz="4" w:space="0"/>
              <w:left w:val="single" w:color="auto" w:sz="4" w:space="0"/>
              <w:right w:val="single" w:color="auto" w:sz="4" w:space="0"/>
            </w:tcBorders>
            <w:vAlign w:val="center"/>
          </w:tcPr>
          <w:p w14:paraId="491E9449">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用</w:t>
            </w:r>
            <w:r>
              <w:rPr>
                <w:rFonts w:ascii="宋体" w:hAnsi="宋体" w:eastAsia="宋体"/>
                <w:szCs w:val="24"/>
                <w:highlight w:val="none"/>
              </w:rPr>
              <w:t>于记录统计周期内</w:t>
            </w:r>
            <w:r>
              <w:rPr>
                <w:rFonts w:hint="eastAsia" w:ascii="宋体" w:hAnsi="宋体" w:eastAsia="宋体"/>
                <w:szCs w:val="24"/>
                <w:highlight w:val="none"/>
              </w:rPr>
              <w:t>乙方未经甲方同意</w:t>
            </w:r>
            <w:r>
              <w:rPr>
                <w:rFonts w:ascii="宋体" w:hAnsi="宋体" w:eastAsia="宋体"/>
                <w:szCs w:val="24"/>
                <w:highlight w:val="none"/>
              </w:rPr>
              <w:t>更换外包人员数量占</w:t>
            </w:r>
            <w:r>
              <w:rPr>
                <w:rFonts w:hint="eastAsia" w:ascii="宋体" w:hAnsi="宋体" w:eastAsia="宋体"/>
                <w:szCs w:val="24"/>
                <w:highlight w:val="none"/>
              </w:rPr>
              <w:t>乙方</w:t>
            </w:r>
            <w:r>
              <w:rPr>
                <w:rFonts w:ascii="宋体" w:hAnsi="宋体" w:eastAsia="宋体"/>
                <w:szCs w:val="24"/>
                <w:highlight w:val="none"/>
              </w:rPr>
              <w:t>驻场外包人员总数量的比率</w:t>
            </w:r>
          </w:p>
        </w:tc>
        <w:tc>
          <w:tcPr>
            <w:tcW w:w="3686" w:type="dxa"/>
            <w:tcBorders>
              <w:top w:val="single" w:color="auto" w:sz="4" w:space="0"/>
              <w:left w:val="single" w:color="auto" w:sz="4" w:space="0"/>
              <w:right w:val="single" w:color="auto" w:sz="4" w:space="0"/>
            </w:tcBorders>
            <w:vAlign w:val="center"/>
          </w:tcPr>
          <w:p w14:paraId="741B0A2A">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w:t>
            </w:r>
            <w:r>
              <w:rPr>
                <w:rFonts w:ascii="宋体" w:hAnsi="宋体" w:eastAsia="宋体"/>
                <w:szCs w:val="24"/>
                <w:highlight w:val="none"/>
              </w:rPr>
              <w:t>员变动率=</w:t>
            </w:r>
            <w:r>
              <w:rPr>
                <w:rFonts w:hint="eastAsia" w:ascii="宋体" w:hAnsi="宋体" w:eastAsia="宋体"/>
                <w:szCs w:val="24"/>
                <w:highlight w:val="none"/>
              </w:rPr>
              <w:t>乙方未经甲方同意</w:t>
            </w:r>
            <w:r>
              <w:rPr>
                <w:rFonts w:ascii="宋体" w:hAnsi="宋体" w:eastAsia="宋体"/>
                <w:szCs w:val="24"/>
                <w:highlight w:val="none"/>
              </w:rPr>
              <w:t>更换外包人员数量/</w:t>
            </w:r>
            <w:r>
              <w:rPr>
                <w:rFonts w:hint="eastAsia" w:ascii="宋体" w:hAnsi="宋体" w:eastAsia="宋体"/>
                <w:szCs w:val="24"/>
                <w:highlight w:val="none"/>
              </w:rPr>
              <w:t>乙方</w:t>
            </w:r>
            <w:r>
              <w:rPr>
                <w:rFonts w:ascii="宋体" w:hAnsi="宋体" w:eastAsia="宋体"/>
                <w:szCs w:val="24"/>
                <w:highlight w:val="none"/>
              </w:rPr>
              <w:t>驻场外包人员总数量</w:t>
            </w:r>
          </w:p>
          <w:p w14:paraId="359C9422">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10分【0-20%】</w:t>
            </w:r>
          </w:p>
          <w:p w14:paraId="385133CE">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5分【20%-40%】</w:t>
            </w:r>
          </w:p>
          <w:p w14:paraId="366A8B84">
            <w:pPr>
              <w:spacing w:line="240" w:lineRule="auto"/>
              <w:ind w:firstLine="0" w:firstLineChars="0"/>
              <w:rPr>
                <w:rFonts w:ascii="宋体" w:hAnsi="宋体" w:eastAsia="宋体"/>
                <w:b/>
                <w:szCs w:val="24"/>
                <w:highlight w:val="none"/>
              </w:rPr>
            </w:pPr>
            <w:r>
              <w:rPr>
                <w:rFonts w:hint="eastAsia" w:ascii="宋体" w:hAnsi="宋体" w:eastAsia="宋体"/>
                <w:b/>
                <w:szCs w:val="24"/>
                <w:highlight w:val="none"/>
              </w:rPr>
              <w:t>0分【超过40%】</w:t>
            </w:r>
          </w:p>
        </w:tc>
        <w:tc>
          <w:tcPr>
            <w:tcW w:w="2410" w:type="dxa"/>
            <w:tcBorders>
              <w:top w:val="single" w:color="auto" w:sz="4" w:space="0"/>
              <w:left w:val="single" w:color="auto" w:sz="4" w:space="0"/>
              <w:right w:val="single" w:color="auto" w:sz="4" w:space="0"/>
            </w:tcBorders>
            <w:vAlign w:val="center"/>
          </w:tcPr>
          <w:p w14:paraId="02C2BA2C">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技术骨干或项目经理未经甲方同意变动，扣除乙方金额人民币不低于3万元；其余人员变动率超过40</w:t>
            </w:r>
            <w:r>
              <w:rPr>
                <w:rFonts w:ascii="宋体" w:hAnsi="宋体" w:eastAsia="宋体"/>
                <w:szCs w:val="24"/>
                <w:highlight w:val="none"/>
              </w:rPr>
              <w:t>%</w:t>
            </w:r>
            <w:r>
              <w:rPr>
                <w:rFonts w:hint="eastAsia" w:ascii="宋体" w:hAnsi="宋体" w:eastAsia="宋体"/>
                <w:szCs w:val="24"/>
                <w:highlight w:val="none"/>
              </w:rPr>
              <w:t>，扣除不低于合同总金额的1%。</w:t>
            </w:r>
          </w:p>
        </w:tc>
      </w:tr>
      <w:tr w14:paraId="1C4E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13138E">
            <w:pPr>
              <w:spacing w:line="240" w:lineRule="auto"/>
              <w:ind w:firstLine="0" w:firstLineChars="0"/>
              <w:jc w:val="center"/>
              <w:rPr>
                <w:rFonts w:ascii="宋体" w:hAnsi="宋体" w:eastAsia="宋体"/>
                <w:szCs w:val="24"/>
                <w:highlight w:val="none"/>
              </w:rPr>
            </w:pPr>
            <w:r>
              <w:rPr>
                <w:rFonts w:hint="eastAsia" w:ascii="宋体" w:hAnsi="宋体" w:eastAsia="宋体"/>
                <w:szCs w:val="24"/>
                <w:highlight w:val="none"/>
              </w:rPr>
              <w:t>14</w:t>
            </w:r>
          </w:p>
        </w:tc>
        <w:tc>
          <w:tcPr>
            <w:tcW w:w="1134" w:type="dxa"/>
            <w:vMerge w:val="continue"/>
            <w:tcBorders>
              <w:top w:val="single" w:color="auto" w:sz="4" w:space="0"/>
              <w:left w:val="single" w:color="auto" w:sz="4" w:space="0"/>
              <w:right w:val="single" w:color="auto" w:sz="4" w:space="0"/>
            </w:tcBorders>
          </w:tcPr>
          <w:p w14:paraId="366F0F4D">
            <w:pPr>
              <w:rPr>
                <w:highlight w:val="none"/>
              </w:rPr>
            </w:pPr>
          </w:p>
        </w:tc>
        <w:tc>
          <w:tcPr>
            <w:tcW w:w="1559" w:type="dxa"/>
            <w:tcBorders>
              <w:top w:val="single" w:color="auto" w:sz="4" w:space="0"/>
              <w:left w:val="single" w:color="auto" w:sz="4" w:space="0"/>
              <w:right w:val="single" w:color="auto" w:sz="4" w:space="0"/>
            </w:tcBorders>
            <w:vAlign w:val="center"/>
          </w:tcPr>
          <w:p w14:paraId="6C667B23">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人员满意度评价</w:t>
            </w:r>
          </w:p>
        </w:tc>
        <w:tc>
          <w:tcPr>
            <w:tcW w:w="2268" w:type="dxa"/>
            <w:tcBorders>
              <w:top w:val="single" w:color="auto" w:sz="4" w:space="0"/>
              <w:left w:val="single" w:color="auto" w:sz="4" w:space="0"/>
              <w:right w:val="single" w:color="auto" w:sz="4" w:space="0"/>
            </w:tcBorders>
            <w:vAlign w:val="center"/>
          </w:tcPr>
          <w:p w14:paraId="3A271B07">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甲方</w:t>
            </w:r>
            <w:r>
              <w:rPr>
                <w:rFonts w:ascii="宋体" w:hAnsi="宋体" w:eastAsia="宋体"/>
                <w:szCs w:val="24"/>
                <w:highlight w:val="none"/>
              </w:rPr>
              <w:t>对</w:t>
            </w:r>
            <w:r>
              <w:rPr>
                <w:rFonts w:hint="eastAsia" w:ascii="宋体" w:hAnsi="宋体" w:eastAsia="宋体"/>
                <w:szCs w:val="24"/>
                <w:highlight w:val="none"/>
              </w:rPr>
              <w:t>乙方</w:t>
            </w:r>
            <w:r>
              <w:rPr>
                <w:rFonts w:ascii="宋体" w:hAnsi="宋体" w:eastAsia="宋体"/>
                <w:szCs w:val="24"/>
                <w:highlight w:val="none"/>
              </w:rPr>
              <w:t>外包人员表现的满意度评价</w:t>
            </w:r>
          </w:p>
        </w:tc>
        <w:tc>
          <w:tcPr>
            <w:tcW w:w="3686" w:type="dxa"/>
            <w:tcBorders>
              <w:top w:val="single" w:color="auto" w:sz="4" w:space="0"/>
              <w:left w:val="single" w:color="auto" w:sz="4" w:space="0"/>
              <w:right w:val="single" w:color="auto" w:sz="4" w:space="0"/>
            </w:tcBorders>
            <w:vAlign w:val="center"/>
          </w:tcPr>
          <w:p w14:paraId="791BD7C3">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优秀：</w:t>
            </w:r>
            <w:r>
              <w:rPr>
                <w:rFonts w:hint="eastAsia" w:ascii="宋体" w:hAnsi="宋体" w:eastAsia="宋体"/>
                <w:szCs w:val="24"/>
                <w:highlight w:val="none"/>
              </w:rPr>
              <w:t>5分，</w:t>
            </w:r>
            <w:r>
              <w:rPr>
                <w:rFonts w:ascii="宋体" w:hAnsi="宋体" w:eastAsia="宋体"/>
                <w:szCs w:val="24"/>
                <w:highlight w:val="none"/>
              </w:rPr>
              <w:t>指</w:t>
            </w:r>
            <w:r>
              <w:rPr>
                <w:rFonts w:hint="eastAsia" w:ascii="宋体" w:hAnsi="宋体" w:eastAsia="宋体"/>
                <w:szCs w:val="24"/>
                <w:highlight w:val="none"/>
              </w:rPr>
              <w:t>工作效率高，态度积极主动，</w:t>
            </w:r>
            <w:r>
              <w:rPr>
                <w:rFonts w:ascii="宋体" w:hAnsi="宋体" w:eastAsia="宋体"/>
                <w:szCs w:val="24"/>
                <w:highlight w:val="none"/>
              </w:rPr>
              <w:t>保质保量完成工作任务</w:t>
            </w:r>
            <w:r>
              <w:rPr>
                <w:rFonts w:hint="eastAsia" w:ascii="宋体" w:hAnsi="宋体" w:eastAsia="宋体"/>
                <w:szCs w:val="24"/>
                <w:highlight w:val="none"/>
              </w:rPr>
              <w:t>，</w:t>
            </w:r>
            <w:r>
              <w:rPr>
                <w:rFonts w:ascii="宋体" w:hAnsi="宋体" w:eastAsia="宋体"/>
                <w:szCs w:val="24"/>
                <w:highlight w:val="none"/>
              </w:rPr>
              <w:t>对团队有突出贡献，日常行为能起到模范带头作用</w:t>
            </w:r>
            <w:r>
              <w:rPr>
                <w:rFonts w:hint="eastAsia" w:ascii="宋体" w:hAnsi="宋体" w:eastAsia="宋体"/>
                <w:szCs w:val="24"/>
                <w:highlight w:val="none"/>
              </w:rPr>
              <w:t>的；</w:t>
            </w:r>
          </w:p>
          <w:p w14:paraId="215DD0BF">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良好：</w:t>
            </w:r>
            <w:r>
              <w:rPr>
                <w:rFonts w:hint="eastAsia" w:ascii="宋体" w:hAnsi="宋体" w:eastAsia="宋体"/>
                <w:szCs w:val="24"/>
                <w:highlight w:val="none"/>
              </w:rPr>
              <w:t>4分，</w:t>
            </w:r>
            <w:r>
              <w:rPr>
                <w:rFonts w:ascii="宋体" w:hAnsi="宋体" w:eastAsia="宋体"/>
                <w:szCs w:val="24"/>
                <w:highlight w:val="none"/>
              </w:rPr>
              <w:t>指</w:t>
            </w:r>
            <w:r>
              <w:rPr>
                <w:rFonts w:hint="eastAsia" w:ascii="宋体" w:hAnsi="宋体" w:eastAsia="宋体"/>
                <w:szCs w:val="24"/>
                <w:highlight w:val="none"/>
              </w:rPr>
              <w:t>工作效率较高，态度比较主动，较好</w:t>
            </w:r>
            <w:r>
              <w:rPr>
                <w:rFonts w:ascii="宋体" w:hAnsi="宋体" w:eastAsia="宋体"/>
                <w:szCs w:val="24"/>
                <w:highlight w:val="none"/>
              </w:rPr>
              <w:t>完成工作任务</w:t>
            </w:r>
            <w:r>
              <w:rPr>
                <w:rFonts w:hint="eastAsia" w:ascii="宋体" w:hAnsi="宋体" w:eastAsia="宋体"/>
                <w:szCs w:val="24"/>
                <w:highlight w:val="none"/>
              </w:rPr>
              <w:t>，</w:t>
            </w:r>
            <w:r>
              <w:rPr>
                <w:rFonts w:ascii="宋体" w:hAnsi="宋体" w:eastAsia="宋体"/>
                <w:szCs w:val="24"/>
                <w:highlight w:val="none"/>
              </w:rPr>
              <w:t>对团队有</w:t>
            </w:r>
            <w:r>
              <w:rPr>
                <w:rFonts w:hint="eastAsia" w:ascii="宋体" w:hAnsi="宋体" w:eastAsia="宋体"/>
                <w:szCs w:val="24"/>
                <w:highlight w:val="none"/>
              </w:rPr>
              <w:t>一定</w:t>
            </w:r>
            <w:r>
              <w:rPr>
                <w:rFonts w:ascii="宋体" w:hAnsi="宋体" w:eastAsia="宋体"/>
                <w:szCs w:val="24"/>
                <w:highlight w:val="none"/>
              </w:rPr>
              <w:t>贡献，日常行为</w:t>
            </w:r>
            <w:r>
              <w:rPr>
                <w:rFonts w:hint="eastAsia" w:ascii="宋体" w:hAnsi="宋体" w:eastAsia="宋体"/>
                <w:szCs w:val="24"/>
                <w:highlight w:val="none"/>
              </w:rPr>
              <w:t>表现较好的；</w:t>
            </w:r>
          </w:p>
          <w:p w14:paraId="45391381">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合格：</w:t>
            </w:r>
            <w:r>
              <w:rPr>
                <w:rFonts w:hint="eastAsia" w:ascii="宋体" w:hAnsi="宋体" w:eastAsia="宋体"/>
                <w:szCs w:val="24"/>
                <w:highlight w:val="none"/>
              </w:rPr>
              <w:t>3分，</w:t>
            </w:r>
            <w:r>
              <w:rPr>
                <w:rFonts w:ascii="宋体" w:hAnsi="宋体" w:eastAsia="宋体"/>
                <w:szCs w:val="24"/>
                <w:highlight w:val="none"/>
              </w:rPr>
              <w:t>指</w:t>
            </w:r>
            <w:r>
              <w:rPr>
                <w:rFonts w:hint="eastAsia" w:ascii="宋体" w:hAnsi="宋体" w:eastAsia="宋体"/>
                <w:szCs w:val="24"/>
                <w:highlight w:val="none"/>
              </w:rPr>
              <w:t>工作效率一般，态度合格，能够按时</w:t>
            </w:r>
            <w:r>
              <w:rPr>
                <w:rFonts w:ascii="宋体" w:hAnsi="宋体" w:eastAsia="宋体"/>
                <w:szCs w:val="24"/>
                <w:highlight w:val="none"/>
              </w:rPr>
              <w:t>完成工作任务</w:t>
            </w:r>
            <w:r>
              <w:rPr>
                <w:rFonts w:hint="eastAsia" w:ascii="宋体" w:hAnsi="宋体" w:eastAsia="宋体"/>
                <w:szCs w:val="24"/>
                <w:highlight w:val="none"/>
              </w:rPr>
              <w:t>的；</w:t>
            </w:r>
          </w:p>
          <w:p w14:paraId="67FECBB2">
            <w:pPr>
              <w:spacing w:line="240" w:lineRule="auto"/>
              <w:ind w:firstLine="0" w:firstLineChars="0"/>
              <w:rPr>
                <w:rFonts w:ascii="宋体" w:hAnsi="宋体" w:eastAsia="宋体"/>
                <w:szCs w:val="24"/>
                <w:highlight w:val="none"/>
              </w:rPr>
            </w:pPr>
            <w:r>
              <w:rPr>
                <w:rFonts w:hint="eastAsia" w:ascii="宋体" w:hAnsi="宋体" w:eastAsia="宋体"/>
                <w:b/>
                <w:bCs/>
                <w:szCs w:val="24"/>
                <w:highlight w:val="none"/>
              </w:rPr>
              <w:t>较差/差：</w:t>
            </w:r>
            <w:r>
              <w:rPr>
                <w:rFonts w:hint="eastAsia" w:ascii="宋体" w:hAnsi="宋体" w:eastAsia="宋体"/>
                <w:szCs w:val="24"/>
                <w:highlight w:val="none"/>
              </w:rPr>
              <w:t>0分，</w:t>
            </w:r>
            <w:r>
              <w:rPr>
                <w:rFonts w:ascii="宋体" w:hAnsi="宋体" w:eastAsia="宋体"/>
                <w:szCs w:val="24"/>
                <w:highlight w:val="none"/>
              </w:rPr>
              <w:t>指</w:t>
            </w:r>
            <w:r>
              <w:rPr>
                <w:rFonts w:hint="eastAsia" w:ascii="宋体" w:hAnsi="宋体" w:eastAsia="宋体"/>
                <w:szCs w:val="24"/>
                <w:highlight w:val="none"/>
              </w:rPr>
              <w:t>工作效率低下，态度懈怠散漫，不能按时</w:t>
            </w:r>
            <w:r>
              <w:rPr>
                <w:rFonts w:ascii="宋体" w:hAnsi="宋体" w:eastAsia="宋体"/>
                <w:szCs w:val="24"/>
                <w:highlight w:val="none"/>
              </w:rPr>
              <w:t>完成工作任务</w:t>
            </w:r>
            <w:r>
              <w:rPr>
                <w:rFonts w:hint="eastAsia" w:ascii="宋体" w:hAnsi="宋体" w:eastAsia="宋体"/>
                <w:szCs w:val="24"/>
                <w:highlight w:val="none"/>
              </w:rPr>
              <w:t>的。</w:t>
            </w:r>
          </w:p>
        </w:tc>
        <w:tc>
          <w:tcPr>
            <w:tcW w:w="2410" w:type="dxa"/>
            <w:tcBorders>
              <w:top w:val="single" w:color="auto" w:sz="4" w:space="0"/>
              <w:left w:val="single" w:color="auto" w:sz="4" w:space="0"/>
              <w:right w:val="single" w:color="auto" w:sz="4" w:space="0"/>
            </w:tcBorders>
            <w:vAlign w:val="center"/>
          </w:tcPr>
          <w:p w14:paraId="7A616D5B">
            <w:pPr>
              <w:spacing w:line="240" w:lineRule="auto"/>
              <w:ind w:firstLine="0" w:firstLineChars="0"/>
              <w:rPr>
                <w:rFonts w:ascii="宋体" w:hAnsi="宋体" w:eastAsia="宋体"/>
                <w:szCs w:val="24"/>
                <w:highlight w:val="none"/>
              </w:rPr>
            </w:pPr>
            <w:r>
              <w:rPr>
                <w:rFonts w:hint="eastAsia" w:ascii="宋体" w:hAnsi="宋体" w:eastAsia="宋体"/>
                <w:szCs w:val="24"/>
                <w:highlight w:val="none"/>
              </w:rPr>
              <w:t>评价为较差/差时，甲方有权要求乙方更换人员并赔偿实际损失。</w:t>
            </w:r>
          </w:p>
        </w:tc>
      </w:tr>
    </w:tbl>
    <w:p w14:paraId="1C5B6109">
      <w:pPr>
        <w:spacing w:line="360" w:lineRule="auto"/>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2553EB22">
      <w:pPr>
        <w:spacing w:line="360" w:lineRule="auto"/>
        <w:rPr>
          <w:rFonts w:ascii="宋体" w:eastAsia="宋体"/>
          <w:spacing w:val="0"/>
          <w:szCs w:val="24"/>
          <w:highlight w:val="none"/>
        </w:rPr>
      </w:pPr>
      <w:r>
        <w:rPr>
          <w:rFonts w:hint="eastAsia" w:ascii="宋体" w:eastAsia="宋体"/>
          <w:spacing w:val="0"/>
          <w:szCs w:val="24"/>
          <w:highlight w:val="none"/>
        </w:rPr>
        <w:t>优秀：评价得分达90分以上；</w:t>
      </w:r>
    </w:p>
    <w:p w14:paraId="4EB04954">
      <w:pPr>
        <w:spacing w:line="360" w:lineRule="auto"/>
        <w:rPr>
          <w:rFonts w:ascii="宋体" w:eastAsia="宋体"/>
          <w:spacing w:val="0"/>
          <w:szCs w:val="24"/>
          <w:highlight w:val="none"/>
        </w:rPr>
      </w:pPr>
      <w:r>
        <w:rPr>
          <w:rFonts w:hint="eastAsia" w:ascii="宋体" w:eastAsia="宋体"/>
          <w:spacing w:val="0"/>
          <w:szCs w:val="24"/>
          <w:highlight w:val="none"/>
        </w:rPr>
        <w:t>良好：评价得分达75-90分；</w:t>
      </w:r>
    </w:p>
    <w:p w14:paraId="1D5A3280">
      <w:pPr>
        <w:spacing w:line="360" w:lineRule="auto"/>
        <w:rPr>
          <w:rFonts w:ascii="宋体" w:eastAsia="宋体"/>
          <w:spacing w:val="0"/>
          <w:szCs w:val="24"/>
          <w:highlight w:val="none"/>
        </w:rPr>
      </w:pPr>
      <w:r>
        <w:rPr>
          <w:rFonts w:hint="eastAsia" w:ascii="宋体" w:eastAsia="宋体"/>
          <w:spacing w:val="0"/>
          <w:szCs w:val="24"/>
          <w:highlight w:val="none"/>
        </w:rPr>
        <w:t>合格：评价得分达60-75分；</w:t>
      </w:r>
    </w:p>
    <w:p w14:paraId="39B44D5A">
      <w:pPr>
        <w:spacing w:line="360" w:lineRule="auto"/>
        <w:ind w:firstLine="720" w:firstLineChars="300"/>
        <w:rPr>
          <w:rFonts w:hint="eastAsia" w:ascii="宋体" w:eastAsia="宋体"/>
          <w:spacing w:val="0"/>
          <w:szCs w:val="24"/>
          <w:highlight w:val="none"/>
        </w:rPr>
      </w:pPr>
      <w:r>
        <w:rPr>
          <w:rFonts w:hint="eastAsia" w:ascii="宋体" w:eastAsia="宋体"/>
          <w:spacing w:val="0"/>
          <w:szCs w:val="24"/>
          <w:highlight w:val="none"/>
        </w:rPr>
        <w:t>差：评价得分在60分以下</w:t>
      </w:r>
    </w:p>
    <w:p w14:paraId="4CAF5DFC">
      <w:pPr>
        <w:spacing w:line="240" w:lineRule="auto"/>
        <w:ind w:firstLine="0" w:firstLineChars="0"/>
        <w:rPr>
          <w:rFonts w:hint="eastAsia" w:ascii="宋体" w:eastAsia="宋体"/>
          <w:spacing w:val="0"/>
          <w:szCs w:val="24"/>
          <w:highlight w:val="none"/>
        </w:rPr>
      </w:pPr>
      <w:r>
        <w:rPr>
          <w:rFonts w:hint="eastAsia" w:ascii="宋体" w:eastAsia="宋体"/>
          <w:spacing w:val="0"/>
          <w:szCs w:val="24"/>
          <w:highlight w:val="none"/>
        </w:rPr>
        <w:br w:type="page"/>
      </w:r>
    </w:p>
    <w:p w14:paraId="03632FDA">
      <w:pPr>
        <w:spacing w:line="360" w:lineRule="auto"/>
        <w:ind w:firstLine="720" w:firstLineChars="300"/>
        <w:rPr>
          <w:rFonts w:hint="eastAsia" w:ascii="宋体" w:eastAsia="宋体"/>
          <w:spacing w:val="0"/>
          <w:szCs w:val="24"/>
          <w:highlight w:val="none"/>
        </w:rPr>
        <w:sectPr>
          <w:pgSz w:w="11906" w:h="16838"/>
          <w:pgMar w:top="1440" w:right="1800" w:bottom="1440" w:left="1800" w:header="851" w:footer="992" w:gutter="0"/>
          <w:cols w:space="720" w:num="1"/>
          <w:docGrid w:type="lines" w:linePitch="312" w:charSpace="0"/>
        </w:sectPr>
      </w:pPr>
    </w:p>
    <w:p w14:paraId="7C291C89">
      <w:pPr>
        <w:spacing w:line="360" w:lineRule="auto"/>
        <w:ind w:firstLine="0" w:firstLineChars="0"/>
        <w:jc w:val="center"/>
        <w:outlineLvl w:val="2"/>
        <w:rPr>
          <w:rFonts w:hint="default" w:ascii="宋体" w:eastAsia="宋体"/>
          <w:spacing w:val="0"/>
          <w:szCs w:val="24"/>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spacing w:val="0"/>
          <w:szCs w:val="24"/>
          <w:highlight w:val="none"/>
          <w:lang w:val="en-US" w:eastAsia="zh-CN"/>
        </w:rPr>
        <w:t>（七）其他（如有）</w:t>
      </w:r>
    </w:p>
    <w:p w14:paraId="4A514D80">
      <w:pPr>
        <w:pStyle w:val="29"/>
        <w:rPr>
          <w:rFonts w:hint="eastAsia" w:ascii="Times New Roman" w:hAnsi="Times New Roman"/>
          <w:highlight w:val="none"/>
        </w:rPr>
      </w:pPr>
      <w:r>
        <w:rPr>
          <w:rFonts w:hint="eastAsia" w:ascii="Times New Roman" w:hAnsi="Times New Roman"/>
          <w:color w:val="auto"/>
          <w:highlight w:val="none"/>
          <w:lang w:val="en-US" w:eastAsia="zh-CN"/>
        </w:rPr>
        <w:t>五、</w:t>
      </w:r>
      <w:r>
        <w:rPr>
          <w:rFonts w:hint="eastAsia" w:ascii="Times New Roman" w:hAnsi="Times New Roman"/>
          <w:color w:val="auto"/>
          <w:highlight w:val="none"/>
        </w:rPr>
        <w:t>项目组成员</w:t>
      </w:r>
      <w:r>
        <w:rPr>
          <w:rFonts w:hint="eastAsia" w:ascii="Times New Roman" w:hAnsi="Times New Roman"/>
          <w:color w:val="auto"/>
          <w:highlight w:val="none"/>
          <w:lang w:val="en-US" w:eastAsia="zh-CN"/>
        </w:rPr>
        <w:t>个人</w:t>
      </w:r>
      <w:r>
        <w:rPr>
          <w:rFonts w:hint="eastAsia" w:ascii="Times New Roman" w:hAnsi="Times New Roman"/>
          <w:color w:val="auto"/>
          <w:highlight w:val="none"/>
        </w:rPr>
        <w:t>简历表</w:t>
      </w:r>
      <w:r>
        <w:rPr>
          <w:rFonts w:hint="eastAsia" w:ascii="Times New Roman" w:hAnsi="Times New Roman"/>
          <w:highlight w:val="none"/>
          <w:lang w:val="en-US" w:eastAsia="zh-CN"/>
        </w:rPr>
        <w:t>及相关证明材料</w:t>
      </w:r>
    </w:p>
    <w:p w14:paraId="2897D3C0">
      <w:pPr>
        <w:spacing w:line="360" w:lineRule="auto"/>
        <w:ind w:firstLine="720" w:firstLineChars="300"/>
        <w:rPr>
          <w:rFonts w:hint="eastAsia" w:ascii="宋体" w:eastAsia="宋体"/>
          <w:spacing w:val="0"/>
          <w:szCs w:val="24"/>
          <w:highlight w:val="none"/>
        </w:rPr>
      </w:pPr>
    </w:p>
    <w:p w14:paraId="59541A4A">
      <w:pPr>
        <w:rPr>
          <w:rFonts w:hint="default" w:eastAsia="宋体"/>
          <w:highlight w:val="none"/>
          <w:lang w:val="en-US" w:eastAsia="zh-CN"/>
        </w:rPr>
      </w:pPr>
      <w:r>
        <w:rPr>
          <w:rFonts w:hint="eastAsia"/>
          <w:highlight w:val="none"/>
        </w:rPr>
        <w:t>项目组成员</w:t>
      </w:r>
      <w:r>
        <w:rPr>
          <w:rFonts w:hint="eastAsia"/>
          <w:highlight w:val="none"/>
          <w:lang w:val="en-US" w:eastAsia="zh-CN"/>
        </w:rPr>
        <w:t>个人简历表</w:t>
      </w:r>
      <w:r>
        <w:rPr>
          <w:rFonts w:hint="eastAsia"/>
          <w:highlight w:val="none"/>
        </w:rPr>
        <w:t>包含第一章“比选公告”中“实施团队”相关要求，以及第三章“项目要求”中的相关的人员要求，简历格式见下表</w:t>
      </w:r>
      <w:r>
        <w:rPr>
          <w:rFonts w:hint="eastAsia"/>
          <w:highlight w:val="none"/>
          <w:lang w:eastAsia="zh-CN"/>
        </w:rPr>
        <w:t>，</w:t>
      </w:r>
      <w:r>
        <w:rPr>
          <w:rFonts w:hint="eastAsia"/>
          <w:highlight w:val="none"/>
          <w:lang w:val="en-US" w:eastAsia="zh-CN"/>
        </w:rPr>
        <w:t>相关证明材料可另附后，格式自拟。</w:t>
      </w:r>
    </w:p>
    <w:tbl>
      <w:tblPr>
        <w:tblStyle w:val="21"/>
        <w:tblW w:w="4996"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671"/>
        <w:gridCol w:w="1603"/>
        <w:gridCol w:w="65"/>
        <w:gridCol w:w="1031"/>
        <w:gridCol w:w="1134"/>
        <w:gridCol w:w="581"/>
        <w:gridCol w:w="688"/>
        <w:gridCol w:w="1742"/>
      </w:tblGrid>
      <w:tr w14:paraId="2EA75B2E">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tcBorders>
              <w:right w:val="single" w:color="auto" w:sz="4" w:space="0"/>
            </w:tcBorders>
            <w:shd w:val="clear" w:color="auto" w:fill="auto"/>
            <w:vAlign w:val="center"/>
          </w:tcPr>
          <w:p w14:paraId="5F87CC46">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姓    名</w:t>
            </w:r>
          </w:p>
        </w:tc>
        <w:tc>
          <w:tcPr>
            <w:tcW w:w="1603" w:type="dxa"/>
            <w:tcBorders>
              <w:left w:val="single" w:color="auto" w:sz="4" w:space="0"/>
            </w:tcBorders>
            <w:shd w:val="clear" w:color="auto" w:fill="auto"/>
            <w:vAlign w:val="center"/>
          </w:tcPr>
          <w:p w14:paraId="77DE4277">
            <w:pPr>
              <w:autoSpaceDE/>
              <w:autoSpaceDN/>
              <w:spacing w:line="480" w:lineRule="auto"/>
              <w:ind w:firstLine="0" w:firstLineChars="0"/>
              <w:jc w:val="center"/>
              <w:rPr>
                <w:rFonts w:ascii="Times New Roman" w:hAnsi="Times New Roman" w:cs="Times New Roman"/>
                <w:sz w:val="21"/>
                <w:szCs w:val="24"/>
                <w:highlight w:val="none"/>
              </w:rPr>
            </w:pPr>
          </w:p>
        </w:tc>
        <w:tc>
          <w:tcPr>
            <w:tcW w:w="1096" w:type="dxa"/>
            <w:gridSpan w:val="2"/>
            <w:tcBorders>
              <w:left w:val="single" w:color="auto" w:sz="4" w:space="0"/>
            </w:tcBorders>
            <w:shd w:val="clear" w:color="auto" w:fill="auto"/>
            <w:vAlign w:val="center"/>
          </w:tcPr>
          <w:p w14:paraId="30D816B7">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性  别</w:t>
            </w:r>
          </w:p>
        </w:tc>
        <w:tc>
          <w:tcPr>
            <w:tcW w:w="1134" w:type="dxa"/>
            <w:shd w:val="clear" w:color="auto" w:fill="auto"/>
            <w:vAlign w:val="center"/>
          </w:tcPr>
          <w:p w14:paraId="337D9261">
            <w:pPr>
              <w:autoSpaceDE/>
              <w:autoSpaceDN/>
              <w:spacing w:line="480" w:lineRule="auto"/>
              <w:ind w:firstLine="0" w:firstLineChars="0"/>
              <w:jc w:val="center"/>
              <w:rPr>
                <w:rFonts w:ascii="Times New Roman" w:hAnsi="Times New Roman" w:cs="Times New Roman"/>
                <w:sz w:val="21"/>
                <w:szCs w:val="24"/>
                <w:highlight w:val="none"/>
              </w:rPr>
            </w:pPr>
          </w:p>
        </w:tc>
        <w:tc>
          <w:tcPr>
            <w:tcW w:w="1269" w:type="dxa"/>
            <w:gridSpan w:val="2"/>
            <w:shd w:val="clear" w:color="auto" w:fill="auto"/>
            <w:vAlign w:val="center"/>
          </w:tcPr>
          <w:p w14:paraId="0DBAC348">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年  龄</w:t>
            </w:r>
          </w:p>
        </w:tc>
        <w:tc>
          <w:tcPr>
            <w:tcW w:w="1743" w:type="dxa"/>
            <w:shd w:val="clear" w:color="auto" w:fill="auto"/>
            <w:vAlign w:val="center"/>
          </w:tcPr>
          <w:p w14:paraId="564E5B62">
            <w:pPr>
              <w:autoSpaceDE/>
              <w:autoSpaceDN/>
              <w:spacing w:line="480" w:lineRule="auto"/>
              <w:ind w:firstLine="0" w:firstLineChars="0"/>
              <w:jc w:val="center"/>
              <w:rPr>
                <w:rFonts w:ascii="Times New Roman" w:hAnsi="Times New Roman" w:cs="Times New Roman"/>
                <w:sz w:val="21"/>
                <w:szCs w:val="24"/>
                <w:highlight w:val="none"/>
              </w:rPr>
            </w:pPr>
          </w:p>
        </w:tc>
      </w:tr>
      <w:tr w14:paraId="058DBE5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tcBorders>
              <w:right w:val="single" w:color="auto" w:sz="4" w:space="0"/>
            </w:tcBorders>
            <w:shd w:val="clear" w:color="auto" w:fill="auto"/>
            <w:vAlign w:val="center"/>
          </w:tcPr>
          <w:p w14:paraId="2C8D36A9">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公司名称</w:t>
            </w:r>
          </w:p>
        </w:tc>
        <w:tc>
          <w:tcPr>
            <w:tcW w:w="2698" w:type="dxa"/>
            <w:gridSpan w:val="3"/>
            <w:tcBorders>
              <w:left w:val="single" w:color="auto" w:sz="4" w:space="0"/>
            </w:tcBorders>
            <w:shd w:val="clear" w:color="auto" w:fill="auto"/>
            <w:vAlign w:val="center"/>
          </w:tcPr>
          <w:p w14:paraId="2E182DDE">
            <w:pPr>
              <w:autoSpaceDE/>
              <w:autoSpaceDN/>
              <w:spacing w:line="480" w:lineRule="auto"/>
              <w:ind w:firstLine="0" w:firstLineChars="0"/>
              <w:jc w:val="center"/>
              <w:rPr>
                <w:rFonts w:ascii="Times New Roman" w:hAnsi="Times New Roman" w:cs="Times New Roman"/>
                <w:b/>
                <w:sz w:val="21"/>
                <w:szCs w:val="24"/>
                <w:highlight w:val="none"/>
              </w:rPr>
            </w:pPr>
          </w:p>
        </w:tc>
        <w:tc>
          <w:tcPr>
            <w:tcW w:w="1134" w:type="dxa"/>
            <w:tcBorders>
              <w:top w:val="single" w:color="auto" w:sz="8" w:space="0"/>
              <w:left w:val="single" w:color="auto" w:sz="8" w:space="0"/>
              <w:right w:val="single" w:color="auto" w:sz="8" w:space="0"/>
            </w:tcBorders>
            <w:shd w:val="clear" w:color="auto" w:fill="auto"/>
            <w:vAlign w:val="center"/>
          </w:tcPr>
          <w:p w14:paraId="6F664AFA">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岗   位</w:t>
            </w:r>
          </w:p>
        </w:tc>
        <w:tc>
          <w:tcPr>
            <w:tcW w:w="3012" w:type="dxa"/>
            <w:gridSpan w:val="3"/>
            <w:shd w:val="clear" w:color="auto" w:fill="auto"/>
            <w:vAlign w:val="center"/>
          </w:tcPr>
          <w:p w14:paraId="6AD980DB">
            <w:pPr>
              <w:autoSpaceDE/>
              <w:autoSpaceDN/>
              <w:spacing w:line="480" w:lineRule="auto"/>
              <w:ind w:firstLine="0" w:firstLineChars="0"/>
              <w:jc w:val="center"/>
              <w:rPr>
                <w:rFonts w:ascii="Times New Roman" w:hAnsi="Times New Roman" w:cs="Times New Roman"/>
                <w:sz w:val="21"/>
                <w:szCs w:val="24"/>
                <w:highlight w:val="none"/>
              </w:rPr>
            </w:pPr>
          </w:p>
        </w:tc>
      </w:tr>
      <w:tr w14:paraId="7EB585EC">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PrEx>
        <w:trPr>
          <w:jc w:val="center"/>
        </w:trPr>
        <w:tc>
          <w:tcPr>
            <w:tcW w:w="1672" w:type="dxa"/>
            <w:tcBorders>
              <w:right w:val="single" w:color="auto" w:sz="4" w:space="0"/>
            </w:tcBorders>
            <w:shd w:val="clear" w:color="auto" w:fill="auto"/>
            <w:vAlign w:val="center"/>
          </w:tcPr>
          <w:p w14:paraId="14B99208">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毕业院校</w:t>
            </w:r>
          </w:p>
        </w:tc>
        <w:tc>
          <w:tcPr>
            <w:tcW w:w="2698" w:type="dxa"/>
            <w:gridSpan w:val="3"/>
            <w:tcBorders>
              <w:left w:val="single" w:color="auto" w:sz="4" w:space="0"/>
              <w:right w:val="single" w:color="auto" w:sz="4" w:space="0"/>
            </w:tcBorders>
            <w:shd w:val="clear" w:color="auto" w:fill="auto"/>
            <w:vAlign w:val="center"/>
          </w:tcPr>
          <w:p w14:paraId="009D68AE">
            <w:pPr>
              <w:autoSpaceDE/>
              <w:autoSpaceDN/>
              <w:spacing w:line="480" w:lineRule="auto"/>
              <w:ind w:firstLine="0" w:firstLineChars="0"/>
              <w:jc w:val="both"/>
              <w:rPr>
                <w:rFonts w:ascii="Times New Roman" w:hAnsi="Times New Roman" w:cs="Times New Roman"/>
                <w:sz w:val="21"/>
                <w:szCs w:val="24"/>
                <w:highlight w:val="none"/>
              </w:rPr>
            </w:pPr>
          </w:p>
        </w:tc>
        <w:tc>
          <w:tcPr>
            <w:tcW w:w="1134" w:type="dxa"/>
            <w:tcBorders>
              <w:left w:val="single" w:color="auto" w:sz="4" w:space="0"/>
              <w:right w:val="single" w:color="auto" w:sz="4" w:space="0"/>
            </w:tcBorders>
            <w:shd w:val="clear" w:color="auto" w:fill="auto"/>
            <w:vAlign w:val="center"/>
          </w:tcPr>
          <w:p w14:paraId="19D059A9">
            <w:pPr>
              <w:autoSpaceDE/>
              <w:autoSpaceDN/>
              <w:spacing w:line="480" w:lineRule="auto"/>
              <w:ind w:left="0" w:firstLine="0" w:firstLineChars="0"/>
              <w:jc w:val="both"/>
              <w:rPr>
                <w:rFonts w:ascii="Times New Roman" w:hAnsi="Times New Roman" w:cs="Times New Roman"/>
                <w:sz w:val="21"/>
                <w:szCs w:val="24"/>
                <w:highlight w:val="none"/>
              </w:rPr>
            </w:pPr>
            <w:r>
              <w:rPr>
                <w:rFonts w:hint="eastAsia" w:ascii="Times New Roman" w:hAnsi="Times New Roman" w:cs="Times New Roman"/>
                <w:b/>
                <w:sz w:val="21"/>
                <w:szCs w:val="24"/>
                <w:highlight w:val="none"/>
              </w:rPr>
              <w:t>专   业</w:t>
            </w:r>
          </w:p>
        </w:tc>
        <w:tc>
          <w:tcPr>
            <w:tcW w:w="3012" w:type="dxa"/>
            <w:gridSpan w:val="3"/>
            <w:tcBorders>
              <w:left w:val="single" w:color="auto" w:sz="4" w:space="0"/>
            </w:tcBorders>
            <w:shd w:val="clear" w:color="auto" w:fill="auto"/>
            <w:vAlign w:val="center"/>
          </w:tcPr>
          <w:p w14:paraId="74EB9227">
            <w:pPr>
              <w:autoSpaceDE/>
              <w:autoSpaceDN/>
              <w:spacing w:line="480" w:lineRule="auto"/>
              <w:ind w:firstLine="0" w:firstLineChars="0"/>
              <w:jc w:val="both"/>
              <w:rPr>
                <w:rFonts w:ascii="Times New Roman" w:hAnsi="Times New Roman" w:cs="Times New Roman"/>
                <w:sz w:val="21"/>
                <w:szCs w:val="24"/>
                <w:highlight w:val="none"/>
              </w:rPr>
            </w:pPr>
          </w:p>
        </w:tc>
      </w:tr>
      <w:tr w14:paraId="3FC44FB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7D216BB0">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学  位</w:t>
            </w:r>
          </w:p>
        </w:tc>
        <w:tc>
          <w:tcPr>
            <w:tcW w:w="2698" w:type="dxa"/>
            <w:gridSpan w:val="3"/>
            <w:tcBorders>
              <w:top w:val="single" w:color="auto" w:sz="8" w:space="0"/>
              <w:left w:val="single" w:color="auto" w:sz="8" w:space="0"/>
              <w:right w:val="single" w:color="auto" w:sz="8" w:space="0"/>
            </w:tcBorders>
            <w:shd w:val="clear" w:color="auto" w:fill="auto"/>
            <w:vAlign w:val="center"/>
          </w:tcPr>
          <w:p w14:paraId="06C526A1">
            <w:pPr>
              <w:autoSpaceDE/>
              <w:autoSpaceDN/>
              <w:spacing w:line="480" w:lineRule="auto"/>
              <w:ind w:firstLine="0" w:firstLineChars="0"/>
              <w:jc w:val="center"/>
              <w:rPr>
                <w:rFonts w:ascii="Times New Roman" w:hAnsi="Times New Roman" w:cs="Times New Roman"/>
                <w:sz w:val="21"/>
                <w:szCs w:val="24"/>
                <w:highlight w:val="none"/>
              </w:rPr>
            </w:pPr>
          </w:p>
        </w:tc>
        <w:tc>
          <w:tcPr>
            <w:tcW w:w="1715" w:type="dxa"/>
            <w:gridSpan w:val="2"/>
            <w:tcBorders>
              <w:top w:val="single" w:color="auto" w:sz="8" w:space="0"/>
              <w:left w:val="single" w:color="auto" w:sz="8" w:space="0"/>
              <w:right w:val="single" w:color="auto" w:sz="8" w:space="0"/>
            </w:tcBorders>
            <w:shd w:val="clear" w:color="auto" w:fill="auto"/>
            <w:vAlign w:val="center"/>
          </w:tcPr>
          <w:p w14:paraId="1618BAD4">
            <w:pPr>
              <w:autoSpaceDE/>
              <w:autoSpaceDN/>
              <w:spacing w:line="480" w:lineRule="auto"/>
              <w:ind w:firstLine="0" w:firstLineChars="0"/>
              <w:jc w:val="center"/>
              <w:rPr>
                <w:rFonts w:ascii="Times New Roman" w:hAnsi="Times New Roman" w:cs="Times New Roman"/>
                <w:b/>
                <w:color w:val="FF0000"/>
                <w:sz w:val="21"/>
                <w:szCs w:val="24"/>
                <w:highlight w:val="none"/>
              </w:rPr>
            </w:pPr>
            <w:r>
              <w:rPr>
                <w:rFonts w:hint="eastAsia" w:ascii="Times New Roman" w:hAnsi="Times New Roman" w:cs="Times New Roman"/>
                <w:b/>
                <w:sz w:val="21"/>
                <w:szCs w:val="24"/>
                <w:highlight w:val="none"/>
              </w:rPr>
              <w:t>联系电话</w:t>
            </w:r>
          </w:p>
        </w:tc>
        <w:tc>
          <w:tcPr>
            <w:tcW w:w="2431" w:type="dxa"/>
            <w:gridSpan w:val="2"/>
            <w:shd w:val="clear" w:color="auto" w:fill="auto"/>
            <w:vAlign w:val="center"/>
          </w:tcPr>
          <w:p w14:paraId="1ABA3954">
            <w:pPr>
              <w:autoSpaceDE/>
              <w:autoSpaceDN/>
              <w:spacing w:line="480" w:lineRule="auto"/>
              <w:ind w:firstLine="0" w:firstLineChars="0"/>
              <w:jc w:val="center"/>
              <w:rPr>
                <w:rFonts w:ascii="Times New Roman" w:hAnsi="Times New Roman" w:cs="Times New Roman"/>
                <w:sz w:val="21"/>
                <w:szCs w:val="24"/>
                <w:highlight w:val="none"/>
              </w:rPr>
            </w:pPr>
          </w:p>
        </w:tc>
      </w:tr>
      <w:tr w14:paraId="22957EA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60112C36">
            <w:pPr>
              <w:autoSpaceDE/>
              <w:autoSpaceDN/>
              <w:spacing w:line="48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从业年限</w:t>
            </w:r>
          </w:p>
        </w:tc>
        <w:tc>
          <w:tcPr>
            <w:tcW w:w="6845" w:type="dxa"/>
            <w:gridSpan w:val="7"/>
            <w:tcBorders>
              <w:top w:val="single" w:color="auto" w:sz="8" w:space="0"/>
              <w:left w:val="single" w:color="auto" w:sz="8" w:space="0"/>
            </w:tcBorders>
            <w:shd w:val="clear" w:color="auto" w:fill="auto"/>
            <w:vAlign w:val="center"/>
          </w:tcPr>
          <w:p w14:paraId="13BCEA0D">
            <w:pPr>
              <w:autoSpaceDE/>
              <w:autoSpaceDN/>
              <w:spacing w:line="240" w:lineRule="auto"/>
              <w:ind w:firstLine="0" w:firstLineChars="0"/>
              <w:jc w:val="center"/>
              <w:rPr>
                <w:rFonts w:ascii="Times New Roman" w:hAnsi="Times New Roman" w:cs="Times New Roman"/>
                <w:b/>
                <w:sz w:val="21"/>
                <w:szCs w:val="24"/>
                <w:highlight w:val="none"/>
              </w:rPr>
            </w:pPr>
          </w:p>
        </w:tc>
      </w:tr>
      <w:tr w14:paraId="077C59F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0730C696">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长亮核心系统V7版</w:t>
            </w:r>
            <w:r>
              <w:rPr>
                <w:rFonts w:hint="eastAsia" w:ascii="Times New Roman" w:hAnsi="Times New Roman" w:cs="Times New Roman"/>
                <w:b/>
                <w:sz w:val="21"/>
                <w:szCs w:val="24"/>
                <w:highlight w:val="none"/>
              </w:rPr>
              <w:t>项目实施经验（月）</w:t>
            </w:r>
          </w:p>
        </w:tc>
        <w:tc>
          <w:tcPr>
            <w:tcW w:w="2698" w:type="dxa"/>
            <w:gridSpan w:val="3"/>
            <w:tcBorders>
              <w:top w:val="single" w:color="auto" w:sz="8" w:space="0"/>
              <w:left w:val="single" w:color="auto" w:sz="8" w:space="0"/>
              <w:right w:val="single" w:color="auto" w:sz="8" w:space="0"/>
            </w:tcBorders>
            <w:shd w:val="clear" w:color="auto" w:fill="auto"/>
            <w:vAlign w:val="center"/>
          </w:tcPr>
          <w:p w14:paraId="29A03F07">
            <w:pPr>
              <w:autoSpaceDE/>
              <w:autoSpaceDN/>
              <w:spacing w:line="480" w:lineRule="auto"/>
              <w:ind w:firstLine="0" w:firstLineChars="0"/>
              <w:jc w:val="center"/>
              <w:rPr>
                <w:rFonts w:ascii="Times New Roman" w:hAnsi="Times New Roman" w:cs="Times New Roman"/>
                <w:sz w:val="21"/>
                <w:szCs w:val="24"/>
                <w:highlight w:val="none"/>
              </w:rPr>
            </w:pPr>
          </w:p>
        </w:tc>
        <w:tc>
          <w:tcPr>
            <w:tcW w:w="1715" w:type="dxa"/>
            <w:gridSpan w:val="2"/>
            <w:tcBorders>
              <w:top w:val="single" w:color="auto" w:sz="8" w:space="0"/>
              <w:left w:val="single" w:color="auto" w:sz="8" w:space="0"/>
              <w:right w:val="single" w:color="auto" w:sz="8" w:space="0"/>
            </w:tcBorders>
            <w:shd w:val="clear" w:color="auto" w:fill="auto"/>
            <w:vAlign w:val="center"/>
          </w:tcPr>
          <w:p w14:paraId="1D030955">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长亮核心系统V8版</w:t>
            </w:r>
            <w:r>
              <w:rPr>
                <w:rFonts w:hint="eastAsia" w:ascii="Times New Roman" w:hAnsi="Times New Roman" w:cs="Times New Roman"/>
                <w:b/>
                <w:sz w:val="21"/>
                <w:szCs w:val="24"/>
                <w:highlight w:val="none"/>
              </w:rPr>
              <w:t>项目实施经验（月）</w:t>
            </w:r>
          </w:p>
        </w:tc>
        <w:tc>
          <w:tcPr>
            <w:tcW w:w="2431" w:type="dxa"/>
            <w:gridSpan w:val="2"/>
            <w:shd w:val="clear" w:color="auto" w:fill="auto"/>
            <w:vAlign w:val="center"/>
          </w:tcPr>
          <w:p w14:paraId="0D042BD9">
            <w:pPr>
              <w:autoSpaceDE/>
              <w:autoSpaceDN/>
              <w:spacing w:line="480" w:lineRule="auto"/>
              <w:ind w:firstLine="0" w:firstLineChars="0"/>
              <w:jc w:val="center"/>
              <w:rPr>
                <w:rFonts w:ascii="Times New Roman" w:hAnsi="Times New Roman" w:cs="Times New Roman"/>
                <w:sz w:val="21"/>
                <w:szCs w:val="24"/>
                <w:highlight w:val="none"/>
              </w:rPr>
            </w:pPr>
          </w:p>
        </w:tc>
      </w:tr>
      <w:tr w14:paraId="3960C9F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PrEx>
        <w:trPr>
          <w:jc w:val="center"/>
        </w:trPr>
        <w:tc>
          <w:tcPr>
            <w:tcW w:w="1672" w:type="dxa"/>
            <w:shd w:val="clear" w:color="auto" w:fill="auto"/>
            <w:vAlign w:val="center"/>
          </w:tcPr>
          <w:p w14:paraId="79D72AF9">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起止时间</w:t>
            </w:r>
          </w:p>
        </w:tc>
        <w:tc>
          <w:tcPr>
            <w:tcW w:w="1668" w:type="dxa"/>
            <w:gridSpan w:val="2"/>
            <w:tcBorders>
              <w:top w:val="single" w:color="auto" w:sz="8" w:space="0"/>
              <w:left w:val="single" w:color="auto" w:sz="8" w:space="0"/>
              <w:right w:val="single" w:color="auto" w:sz="8" w:space="0"/>
            </w:tcBorders>
            <w:shd w:val="clear" w:color="auto" w:fill="auto"/>
            <w:vAlign w:val="center"/>
          </w:tcPr>
          <w:p w14:paraId="138248F9">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参与同类</w:t>
            </w:r>
          </w:p>
          <w:p w14:paraId="50F72991">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项目名称</w:t>
            </w:r>
          </w:p>
        </w:tc>
        <w:tc>
          <w:tcPr>
            <w:tcW w:w="2745" w:type="dxa"/>
            <w:gridSpan w:val="3"/>
            <w:tcBorders>
              <w:top w:val="single" w:color="auto" w:sz="8" w:space="0"/>
              <w:left w:val="single" w:color="auto" w:sz="8" w:space="0"/>
              <w:right w:val="single" w:color="auto" w:sz="8" w:space="0"/>
            </w:tcBorders>
            <w:shd w:val="clear" w:color="auto" w:fill="auto"/>
            <w:vAlign w:val="center"/>
          </w:tcPr>
          <w:p w14:paraId="432FEA56">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项目角色及项目职责</w:t>
            </w:r>
          </w:p>
        </w:tc>
        <w:tc>
          <w:tcPr>
            <w:tcW w:w="2431" w:type="dxa"/>
            <w:gridSpan w:val="2"/>
            <w:shd w:val="clear" w:color="auto" w:fill="auto"/>
            <w:vAlign w:val="center"/>
          </w:tcPr>
          <w:p w14:paraId="0EF5F7FD">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该项目单位证明人</w:t>
            </w:r>
          </w:p>
          <w:p w14:paraId="7D1619D9">
            <w:pPr>
              <w:autoSpaceDE/>
              <w:autoSpaceDN/>
              <w:spacing w:line="240" w:lineRule="auto"/>
              <w:ind w:firstLine="0" w:firstLineChars="0"/>
              <w:jc w:val="center"/>
              <w:rPr>
                <w:rFonts w:ascii="Times New Roman" w:hAnsi="Times New Roman" w:cs="Times New Roman"/>
                <w:b/>
                <w:sz w:val="21"/>
                <w:szCs w:val="24"/>
                <w:highlight w:val="none"/>
              </w:rPr>
            </w:pPr>
            <w:r>
              <w:rPr>
                <w:rFonts w:hint="eastAsia" w:ascii="Times New Roman" w:hAnsi="Times New Roman" w:cs="Times New Roman"/>
                <w:b/>
                <w:sz w:val="21"/>
                <w:szCs w:val="24"/>
                <w:highlight w:val="none"/>
              </w:rPr>
              <w:t>及联系电话</w:t>
            </w:r>
          </w:p>
        </w:tc>
      </w:tr>
      <w:tr w14:paraId="1A5648BE">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5D44A3F3">
            <w:pPr>
              <w:autoSpaceDE/>
              <w:autoSpaceDN/>
              <w:spacing w:line="480" w:lineRule="auto"/>
              <w:ind w:firstLine="0" w:firstLineChars="0"/>
              <w:jc w:val="both"/>
              <w:rPr>
                <w:rFonts w:ascii="Times New Roman" w:hAnsi="Times New Roman" w:cs="Times New Roman"/>
                <w:sz w:val="21"/>
                <w:szCs w:val="24"/>
                <w:highlight w:val="none"/>
              </w:rPr>
            </w:pPr>
          </w:p>
        </w:tc>
        <w:tc>
          <w:tcPr>
            <w:tcW w:w="1668" w:type="dxa"/>
            <w:gridSpan w:val="2"/>
            <w:tcBorders>
              <w:top w:val="single" w:color="auto" w:sz="8" w:space="0"/>
              <w:left w:val="single" w:color="auto" w:sz="8" w:space="0"/>
              <w:right w:val="single" w:color="auto" w:sz="8" w:space="0"/>
            </w:tcBorders>
            <w:shd w:val="clear" w:color="auto" w:fill="auto"/>
            <w:vAlign w:val="center"/>
          </w:tcPr>
          <w:p w14:paraId="487A0DD8">
            <w:pPr>
              <w:autoSpaceDE/>
              <w:autoSpaceDN/>
              <w:spacing w:line="480" w:lineRule="auto"/>
              <w:ind w:firstLine="0" w:firstLineChars="0"/>
              <w:jc w:val="center"/>
              <w:rPr>
                <w:rFonts w:ascii="Times New Roman" w:hAnsi="Times New Roman" w:cs="Times New Roman"/>
                <w:sz w:val="21"/>
                <w:szCs w:val="24"/>
                <w:highlight w:val="none"/>
              </w:rPr>
            </w:pPr>
          </w:p>
          <w:p w14:paraId="1B210339">
            <w:pPr>
              <w:autoSpaceDE/>
              <w:autoSpaceDN/>
              <w:spacing w:line="480" w:lineRule="auto"/>
              <w:ind w:firstLine="0" w:firstLineChars="0"/>
              <w:jc w:val="center"/>
              <w:rPr>
                <w:rFonts w:ascii="Times New Roman" w:hAnsi="Times New Roman" w:cs="Times New Roman"/>
                <w:sz w:val="21"/>
                <w:szCs w:val="24"/>
                <w:highlight w:val="none"/>
              </w:rPr>
            </w:pPr>
          </w:p>
          <w:p w14:paraId="4ADBF283">
            <w:pPr>
              <w:autoSpaceDE/>
              <w:autoSpaceDN/>
              <w:spacing w:line="480" w:lineRule="auto"/>
              <w:ind w:firstLine="0" w:firstLineChars="0"/>
              <w:jc w:val="center"/>
              <w:rPr>
                <w:rFonts w:ascii="Times New Roman" w:hAnsi="Times New Roman" w:cs="Times New Roman"/>
                <w:sz w:val="21"/>
                <w:szCs w:val="24"/>
                <w:highlight w:val="none"/>
              </w:rPr>
            </w:pPr>
          </w:p>
        </w:tc>
        <w:tc>
          <w:tcPr>
            <w:tcW w:w="2745" w:type="dxa"/>
            <w:gridSpan w:val="3"/>
            <w:tcBorders>
              <w:top w:val="single" w:color="auto" w:sz="8" w:space="0"/>
              <w:left w:val="single" w:color="auto" w:sz="8" w:space="0"/>
              <w:right w:val="single" w:color="auto" w:sz="8" w:space="0"/>
            </w:tcBorders>
            <w:shd w:val="clear" w:color="auto" w:fill="auto"/>
            <w:vAlign w:val="center"/>
          </w:tcPr>
          <w:p w14:paraId="76B012FB">
            <w:pPr>
              <w:autoSpaceDE/>
              <w:autoSpaceDN/>
              <w:spacing w:line="480" w:lineRule="auto"/>
              <w:ind w:firstLine="0" w:firstLineChars="0"/>
              <w:jc w:val="center"/>
              <w:rPr>
                <w:rFonts w:ascii="Times New Roman" w:hAnsi="Times New Roman" w:cs="Times New Roman"/>
                <w:sz w:val="21"/>
                <w:szCs w:val="24"/>
                <w:highlight w:val="none"/>
              </w:rPr>
            </w:pPr>
          </w:p>
        </w:tc>
        <w:tc>
          <w:tcPr>
            <w:tcW w:w="2431" w:type="dxa"/>
            <w:gridSpan w:val="2"/>
            <w:shd w:val="clear" w:color="auto" w:fill="auto"/>
            <w:vAlign w:val="center"/>
          </w:tcPr>
          <w:p w14:paraId="07079342">
            <w:pPr>
              <w:autoSpaceDE/>
              <w:autoSpaceDN/>
              <w:spacing w:line="480" w:lineRule="auto"/>
              <w:ind w:firstLine="0" w:firstLineChars="0"/>
              <w:jc w:val="center"/>
              <w:rPr>
                <w:rFonts w:ascii="Times New Roman" w:hAnsi="Times New Roman" w:cs="Times New Roman"/>
                <w:sz w:val="21"/>
                <w:szCs w:val="24"/>
                <w:highlight w:val="none"/>
              </w:rPr>
            </w:pPr>
          </w:p>
        </w:tc>
      </w:tr>
      <w:tr w14:paraId="2A84812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672" w:type="dxa"/>
            <w:shd w:val="clear" w:color="auto" w:fill="auto"/>
            <w:vAlign w:val="center"/>
          </w:tcPr>
          <w:p w14:paraId="2D8AE662">
            <w:pPr>
              <w:autoSpaceDE/>
              <w:autoSpaceDN/>
              <w:spacing w:line="480" w:lineRule="auto"/>
              <w:ind w:firstLine="0" w:firstLineChars="0"/>
              <w:jc w:val="both"/>
              <w:rPr>
                <w:rFonts w:ascii="Times New Roman" w:hAnsi="Times New Roman" w:cs="Times New Roman"/>
                <w:sz w:val="21"/>
                <w:szCs w:val="24"/>
                <w:highlight w:val="none"/>
              </w:rPr>
            </w:pPr>
          </w:p>
        </w:tc>
        <w:tc>
          <w:tcPr>
            <w:tcW w:w="1668" w:type="dxa"/>
            <w:gridSpan w:val="2"/>
            <w:tcBorders>
              <w:top w:val="single" w:color="auto" w:sz="8" w:space="0"/>
              <w:left w:val="single" w:color="auto" w:sz="8" w:space="0"/>
              <w:right w:val="single" w:color="auto" w:sz="8" w:space="0"/>
            </w:tcBorders>
            <w:shd w:val="clear" w:color="auto" w:fill="auto"/>
            <w:vAlign w:val="center"/>
          </w:tcPr>
          <w:p w14:paraId="5A428B2D">
            <w:pPr>
              <w:autoSpaceDE/>
              <w:autoSpaceDN/>
              <w:spacing w:line="480" w:lineRule="auto"/>
              <w:ind w:firstLine="0" w:firstLineChars="0"/>
              <w:jc w:val="center"/>
              <w:rPr>
                <w:rFonts w:ascii="Times New Roman" w:hAnsi="Times New Roman" w:cs="Times New Roman"/>
                <w:sz w:val="21"/>
                <w:szCs w:val="24"/>
                <w:highlight w:val="none"/>
              </w:rPr>
            </w:pPr>
          </w:p>
          <w:p w14:paraId="17E9F378">
            <w:pPr>
              <w:autoSpaceDE/>
              <w:autoSpaceDN/>
              <w:spacing w:line="480" w:lineRule="auto"/>
              <w:ind w:firstLine="0" w:firstLineChars="0"/>
              <w:jc w:val="center"/>
              <w:rPr>
                <w:rFonts w:ascii="Times New Roman" w:hAnsi="Times New Roman" w:cs="Times New Roman"/>
                <w:sz w:val="21"/>
                <w:szCs w:val="24"/>
                <w:highlight w:val="none"/>
              </w:rPr>
            </w:pPr>
          </w:p>
          <w:p w14:paraId="1BEBE11B">
            <w:pPr>
              <w:autoSpaceDE/>
              <w:autoSpaceDN/>
              <w:spacing w:line="480" w:lineRule="auto"/>
              <w:ind w:firstLine="0" w:firstLineChars="0"/>
              <w:jc w:val="center"/>
              <w:rPr>
                <w:rFonts w:ascii="Times New Roman" w:hAnsi="Times New Roman" w:cs="Times New Roman"/>
                <w:sz w:val="21"/>
                <w:szCs w:val="24"/>
                <w:highlight w:val="none"/>
              </w:rPr>
            </w:pPr>
          </w:p>
        </w:tc>
        <w:tc>
          <w:tcPr>
            <w:tcW w:w="2745" w:type="dxa"/>
            <w:gridSpan w:val="3"/>
            <w:tcBorders>
              <w:top w:val="single" w:color="auto" w:sz="8" w:space="0"/>
              <w:left w:val="single" w:color="auto" w:sz="8" w:space="0"/>
              <w:right w:val="single" w:color="auto" w:sz="8" w:space="0"/>
            </w:tcBorders>
            <w:shd w:val="clear" w:color="auto" w:fill="auto"/>
            <w:vAlign w:val="center"/>
          </w:tcPr>
          <w:p w14:paraId="7C4EE709">
            <w:pPr>
              <w:autoSpaceDE/>
              <w:autoSpaceDN/>
              <w:spacing w:line="480" w:lineRule="auto"/>
              <w:ind w:firstLine="0" w:firstLineChars="0"/>
              <w:jc w:val="center"/>
              <w:rPr>
                <w:rFonts w:ascii="Times New Roman" w:hAnsi="Times New Roman" w:cs="Times New Roman"/>
                <w:sz w:val="21"/>
                <w:szCs w:val="24"/>
                <w:highlight w:val="none"/>
              </w:rPr>
            </w:pPr>
          </w:p>
        </w:tc>
        <w:tc>
          <w:tcPr>
            <w:tcW w:w="2431" w:type="dxa"/>
            <w:gridSpan w:val="2"/>
            <w:shd w:val="clear" w:color="auto" w:fill="auto"/>
            <w:vAlign w:val="center"/>
          </w:tcPr>
          <w:p w14:paraId="71E6F951">
            <w:pPr>
              <w:autoSpaceDE/>
              <w:autoSpaceDN/>
              <w:spacing w:line="480" w:lineRule="auto"/>
              <w:ind w:firstLine="0" w:firstLineChars="0"/>
              <w:jc w:val="center"/>
              <w:rPr>
                <w:rFonts w:ascii="Times New Roman" w:hAnsi="Times New Roman" w:cs="Times New Roman"/>
                <w:sz w:val="21"/>
                <w:szCs w:val="24"/>
                <w:highlight w:val="none"/>
              </w:rPr>
            </w:pPr>
          </w:p>
        </w:tc>
      </w:tr>
      <w:tr w14:paraId="2D37CD3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1235" w:hRule="atLeast"/>
          <w:jc w:val="center"/>
        </w:trPr>
        <w:tc>
          <w:tcPr>
            <w:tcW w:w="1672" w:type="dxa"/>
            <w:shd w:val="clear" w:color="auto" w:fill="auto"/>
            <w:vAlign w:val="center"/>
          </w:tcPr>
          <w:p w14:paraId="3C99C93F">
            <w:pPr>
              <w:autoSpaceDE/>
              <w:autoSpaceDN/>
              <w:spacing w:line="480" w:lineRule="auto"/>
              <w:ind w:firstLine="0" w:firstLineChars="0"/>
              <w:jc w:val="both"/>
              <w:rPr>
                <w:rFonts w:ascii="Times New Roman" w:hAnsi="Times New Roman" w:cs="Times New Roman"/>
                <w:sz w:val="21"/>
                <w:szCs w:val="24"/>
                <w:highlight w:val="none"/>
              </w:rPr>
            </w:pPr>
          </w:p>
        </w:tc>
        <w:tc>
          <w:tcPr>
            <w:tcW w:w="1668" w:type="dxa"/>
            <w:gridSpan w:val="2"/>
            <w:tcBorders>
              <w:top w:val="single" w:color="auto" w:sz="8" w:space="0"/>
              <w:left w:val="single" w:color="auto" w:sz="8" w:space="0"/>
              <w:right w:val="single" w:color="auto" w:sz="8" w:space="0"/>
            </w:tcBorders>
            <w:shd w:val="clear" w:color="auto" w:fill="auto"/>
            <w:vAlign w:val="center"/>
          </w:tcPr>
          <w:p w14:paraId="354E0E84">
            <w:pPr>
              <w:autoSpaceDE/>
              <w:autoSpaceDN/>
              <w:spacing w:line="480" w:lineRule="auto"/>
              <w:ind w:firstLine="0" w:firstLineChars="0"/>
              <w:jc w:val="center"/>
              <w:rPr>
                <w:rFonts w:ascii="Times New Roman" w:hAnsi="Times New Roman" w:cs="Times New Roman"/>
                <w:sz w:val="21"/>
                <w:szCs w:val="24"/>
                <w:highlight w:val="none"/>
              </w:rPr>
            </w:pPr>
          </w:p>
          <w:p w14:paraId="4F9B8357">
            <w:pPr>
              <w:autoSpaceDE/>
              <w:autoSpaceDN/>
              <w:spacing w:line="480" w:lineRule="auto"/>
              <w:ind w:firstLine="0" w:firstLineChars="0"/>
              <w:jc w:val="center"/>
              <w:rPr>
                <w:rFonts w:ascii="Times New Roman" w:hAnsi="Times New Roman" w:cs="Times New Roman"/>
                <w:sz w:val="21"/>
                <w:szCs w:val="24"/>
                <w:highlight w:val="none"/>
              </w:rPr>
            </w:pPr>
          </w:p>
          <w:p w14:paraId="5A315C3E">
            <w:pPr>
              <w:autoSpaceDE/>
              <w:autoSpaceDN/>
              <w:spacing w:line="480" w:lineRule="auto"/>
              <w:ind w:firstLine="0" w:firstLineChars="0"/>
              <w:jc w:val="center"/>
              <w:rPr>
                <w:rFonts w:ascii="Times New Roman" w:hAnsi="Times New Roman" w:cs="Times New Roman"/>
                <w:sz w:val="21"/>
                <w:szCs w:val="24"/>
                <w:highlight w:val="none"/>
              </w:rPr>
            </w:pPr>
          </w:p>
        </w:tc>
        <w:tc>
          <w:tcPr>
            <w:tcW w:w="2745" w:type="dxa"/>
            <w:gridSpan w:val="3"/>
            <w:tcBorders>
              <w:top w:val="single" w:color="auto" w:sz="8" w:space="0"/>
              <w:left w:val="single" w:color="auto" w:sz="8" w:space="0"/>
              <w:right w:val="single" w:color="auto" w:sz="8" w:space="0"/>
            </w:tcBorders>
            <w:shd w:val="clear" w:color="auto" w:fill="auto"/>
            <w:vAlign w:val="center"/>
          </w:tcPr>
          <w:p w14:paraId="1D2C898A">
            <w:pPr>
              <w:autoSpaceDE/>
              <w:autoSpaceDN/>
              <w:spacing w:line="480" w:lineRule="auto"/>
              <w:ind w:firstLine="0" w:firstLineChars="0"/>
              <w:jc w:val="center"/>
              <w:rPr>
                <w:rFonts w:ascii="Times New Roman" w:hAnsi="Times New Roman" w:cs="Times New Roman"/>
                <w:sz w:val="21"/>
                <w:szCs w:val="24"/>
                <w:highlight w:val="none"/>
              </w:rPr>
            </w:pPr>
          </w:p>
        </w:tc>
        <w:tc>
          <w:tcPr>
            <w:tcW w:w="2431" w:type="dxa"/>
            <w:gridSpan w:val="2"/>
            <w:shd w:val="clear" w:color="auto" w:fill="auto"/>
            <w:vAlign w:val="center"/>
          </w:tcPr>
          <w:p w14:paraId="52F4688F">
            <w:pPr>
              <w:autoSpaceDE/>
              <w:autoSpaceDN/>
              <w:spacing w:line="480" w:lineRule="auto"/>
              <w:ind w:firstLine="0" w:firstLineChars="0"/>
              <w:jc w:val="center"/>
              <w:rPr>
                <w:rFonts w:ascii="Times New Roman" w:hAnsi="Times New Roman" w:cs="Times New Roman"/>
                <w:sz w:val="21"/>
                <w:szCs w:val="24"/>
                <w:highlight w:val="none"/>
              </w:rPr>
            </w:pPr>
          </w:p>
        </w:tc>
      </w:tr>
    </w:tbl>
    <w:p w14:paraId="60677FCF">
      <w:pPr>
        <w:spacing w:line="360" w:lineRule="auto"/>
        <w:ind w:firstLine="720" w:firstLineChars="300"/>
        <w:rPr>
          <w:rFonts w:hint="eastAsia" w:ascii="宋体" w:eastAsia="宋体"/>
          <w:spacing w:val="0"/>
          <w:szCs w:val="24"/>
          <w:highlight w:val="none"/>
        </w:rPr>
        <w:sectPr>
          <w:pgSz w:w="11906" w:h="16838"/>
          <w:pgMar w:top="1440" w:right="1800" w:bottom="1440" w:left="1800" w:header="851" w:footer="992" w:gutter="0"/>
          <w:cols w:space="720" w:num="1"/>
          <w:docGrid w:type="lines" w:linePitch="312" w:charSpace="0"/>
        </w:sectPr>
      </w:pPr>
    </w:p>
    <w:p w14:paraId="3927D172">
      <w:pPr>
        <w:pStyle w:val="29"/>
        <w:rPr>
          <w:rFonts w:ascii="Times New Roman" w:hAnsi="Times New Roman"/>
          <w:highlight w:val="none"/>
        </w:rPr>
      </w:pPr>
      <w:r>
        <w:rPr>
          <w:rFonts w:hint="eastAsia" w:ascii="Times New Roman" w:hAnsi="Times New Roman"/>
          <w:highlight w:val="none"/>
          <w:lang w:val="en-US" w:eastAsia="zh-CN"/>
        </w:rPr>
        <w:t>六</w:t>
      </w:r>
      <w:r>
        <w:rPr>
          <w:rFonts w:ascii="Times New Roman" w:hAnsi="Times New Roman"/>
          <w:highlight w:val="none"/>
        </w:rPr>
        <w:t>、参选保证金</w:t>
      </w:r>
    </w:p>
    <w:p w14:paraId="39AF8FFC">
      <w:pPr>
        <w:spacing w:line="360" w:lineRule="auto"/>
        <w:rPr>
          <w:rFonts w:ascii="Times New Roman" w:hAnsi="Times New Roman" w:cs="等线 Light"/>
          <w:highlight w:val="none"/>
        </w:rPr>
      </w:pPr>
    </w:p>
    <w:p w14:paraId="3016A568">
      <w:pPr>
        <w:spacing w:line="360" w:lineRule="auto"/>
        <w:rPr>
          <w:rFonts w:ascii="Times New Roman" w:hAnsi="Times New Roman" w:cs="等线 Light"/>
          <w:highlight w:val="none"/>
        </w:rPr>
      </w:pPr>
    </w:p>
    <w:p w14:paraId="72441C24">
      <w:pPr>
        <w:spacing w:line="360" w:lineRule="auto"/>
        <w:rPr>
          <w:rFonts w:ascii="Times New Roman" w:hAnsi="Times New Roman" w:cs="等线 Light"/>
          <w:highlight w:val="none"/>
        </w:rPr>
      </w:pPr>
    </w:p>
    <w:p w14:paraId="1A45B28E">
      <w:pPr>
        <w:spacing w:line="360" w:lineRule="auto"/>
        <w:rPr>
          <w:rFonts w:ascii="Times New Roman" w:hAnsi="Times New Roman" w:cs="等线 Light"/>
          <w:highlight w:val="none"/>
        </w:rPr>
      </w:pPr>
    </w:p>
    <w:p w14:paraId="27E5043E">
      <w:pPr>
        <w:spacing w:line="360" w:lineRule="auto"/>
        <w:rPr>
          <w:rFonts w:ascii="Times New Roman" w:hAnsi="Times New Roman" w:cs="等线 Light"/>
          <w:highlight w:val="none"/>
        </w:rPr>
      </w:pPr>
    </w:p>
    <w:p w14:paraId="09E586F8">
      <w:pPr>
        <w:spacing w:line="360" w:lineRule="auto"/>
        <w:rPr>
          <w:rFonts w:ascii="Times New Roman" w:hAnsi="Times New Roman" w:cs="等线 Light"/>
          <w:highlight w:val="none"/>
        </w:rPr>
      </w:pPr>
    </w:p>
    <w:p w14:paraId="15CB0176">
      <w:pPr>
        <w:spacing w:line="360" w:lineRule="auto"/>
        <w:rPr>
          <w:rFonts w:ascii="Times New Roman" w:hAnsi="Times New Roman" w:cs="等线 Light"/>
          <w:highlight w:val="none"/>
        </w:rPr>
      </w:pPr>
    </w:p>
    <w:p w14:paraId="02B770E6">
      <w:pPr>
        <w:spacing w:line="360" w:lineRule="auto"/>
        <w:rPr>
          <w:rFonts w:ascii="Times New Roman" w:hAnsi="Times New Roman" w:cs="等线 Light"/>
          <w:highlight w:val="none"/>
        </w:rPr>
      </w:pPr>
    </w:p>
    <w:p w14:paraId="6492F882">
      <w:pPr>
        <w:spacing w:line="360" w:lineRule="auto"/>
        <w:rPr>
          <w:rFonts w:ascii="Times New Roman" w:hAnsi="Times New Roman" w:cs="等线 Light"/>
          <w:highlight w:val="none"/>
        </w:rPr>
      </w:pPr>
    </w:p>
    <w:p w14:paraId="16B8C93F">
      <w:pPr>
        <w:spacing w:line="360" w:lineRule="auto"/>
        <w:rPr>
          <w:rFonts w:ascii="Times New Roman" w:hAnsi="Times New Roman" w:cs="等线 Light"/>
          <w:highlight w:val="none"/>
        </w:rPr>
      </w:pPr>
    </w:p>
    <w:p w14:paraId="29DE57F3">
      <w:pPr>
        <w:spacing w:line="360" w:lineRule="auto"/>
        <w:rPr>
          <w:rFonts w:ascii="Times New Roman" w:hAnsi="Times New Roman" w:cs="等线 Light"/>
          <w:highlight w:val="none"/>
        </w:rPr>
      </w:pPr>
    </w:p>
    <w:p w14:paraId="65196D3A">
      <w:pPr>
        <w:spacing w:line="360" w:lineRule="auto"/>
        <w:rPr>
          <w:rFonts w:ascii="Times New Roman" w:hAnsi="Times New Roman" w:cs="等线 Light"/>
          <w:highlight w:val="none"/>
        </w:rPr>
      </w:pPr>
    </w:p>
    <w:p w14:paraId="4310C905">
      <w:pPr>
        <w:spacing w:line="360" w:lineRule="auto"/>
        <w:rPr>
          <w:rFonts w:ascii="Times New Roman" w:hAnsi="Times New Roman" w:cs="等线 Light"/>
          <w:highlight w:val="none"/>
        </w:rPr>
      </w:pPr>
    </w:p>
    <w:p w14:paraId="3A082421">
      <w:pPr>
        <w:spacing w:line="360" w:lineRule="auto"/>
        <w:rPr>
          <w:rFonts w:ascii="Times New Roman" w:hAnsi="Times New Roman" w:cs="等线 Light"/>
          <w:highlight w:val="none"/>
        </w:rPr>
      </w:pPr>
    </w:p>
    <w:p w14:paraId="67EF20AB">
      <w:pPr>
        <w:spacing w:line="360" w:lineRule="auto"/>
        <w:rPr>
          <w:rFonts w:ascii="Times New Roman" w:hAnsi="Times New Roman" w:cs="等线 Light"/>
          <w:highlight w:val="none"/>
        </w:rPr>
      </w:pPr>
    </w:p>
    <w:p w14:paraId="54B09F14">
      <w:pPr>
        <w:spacing w:line="360" w:lineRule="auto"/>
        <w:rPr>
          <w:rFonts w:ascii="Times New Roman" w:hAnsi="Times New Roman" w:cs="等线 Light"/>
          <w:highlight w:val="none"/>
        </w:rPr>
      </w:pPr>
    </w:p>
    <w:p w14:paraId="193B4D89">
      <w:pPr>
        <w:spacing w:line="360" w:lineRule="auto"/>
        <w:rPr>
          <w:rFonts w:ascii="Times New Roman" w:hAnsi="Times New Roman" w:cs="等线 Light"/>
          <w:highlight w:val="none"/>
        </w:rPr>
      </w:pPr>
    </w:p>
    <w:p w14:paraId="4658263C">
      <w:pPr>
        <w:spacing w:line="360" w:lineRule="auto"/>
        <w:rPr>
          <w:rFonts w:ascii="Times New Roman" w:hAnsi="Times New Roman" w:cs="等线 Light"/>
          <w:highlight w:val="none"/>
        </w:rPr>
      </w:pPr>
    </w:p>
    <w:p w14:paraId="3FC816C9">
      <w:pPr>
        <w:adjustRightInd w:val="0"/>
        <w:snapToGrid w:val="0"/>
        <w:spacing w:line="360" w:lineRule="auto"/>
        <w:jc w:val="left"/>
        <w:rPr>
          <w:rFonts w:ascii="Times New Roman" w:hAnsi="Times New Roman"/>
          <w:kern w:val="0"/>
          <w:highlight w:val="none"/>
        </w:rPr>
      </w:pPr>
      <w:r>
        <w:rPr>
          <w:rFonts w:ascii="Times New Roman" w:hAnsi="Times New Roman"/>
          <w:highlight w:val="none"/>
        </w:rPr>
        <mc:AlternateContent>
          <mc:Choice Requires="wps">
            <w:drawing>
              <wp:anchor distT="0" distB="0" distL="113665" distR="113665" simplePos="0" relativeHeight="251659264" behindDoc="0" locked="0" layoutInCell="1" allowOverlap="1">
                <wp:simplePos x="0" y="0"/>
                <wp:positionH relativeFrom="column">
                  <wp:posOffset>-27940</wp:posOffset>
                </wp:positionH>
                <wp:positionV relativeFrom="paragraph">
                  <wp:posOffset>235585</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pt;margin-top:18.55pt;height:0pt;width:222.75pt;z-index:251659264;mso-width-relative:page;mso-height-relative:page;" filled="f" stroked="t" coordsize="21600,21600" o:gfxdata="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T6lhN/F&#10;stNBBz68EFaTaJRUSRM5s4LtXvmAxTD1LiVuG3sjlUr3pgzpSvp0cnmByAxnscYZQFM75ONNk2C8&#10;VbKKR+JhD81mqYDsWJyH9EV2WOKvtFhvxXzb56VQPylaBhEFwAPK4C/K0gsRrY2tDqgmPi7k0Vr4&#10;SEmHo4W9fNgyEJSolwbv7moyncZZTM704jJHB84jm/MIMxyhSorEenMZ+vndOpBNi5Umiaexz7fB&#10;1jJJdupmaBLHJ3U9jHqcz3M/ZZ2e9+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I4fTdUAAAAI&#10;AQAADwAAAAAAAAABACAAAAAiAAAAZHJzL2Rvd25yZXYueG1sUEsBAhQAFAAAAAgAh07iQPN0sUAf&#10;AgAAJgQAAA4AAAAAAAAAAQAgAAAAJAEAAGRycy9lMm9Eb2MueG1sUEsFBgAAAAAGAAYAWQEAALUF&#10;AAAAAA==&#10;">
                <v:fill on="f" focussize="0,0"/>
                <v:stroke weight="0.25pt" color="#000000" joinstyle="miter"/>
                <v:imagedata o:title=""/>
                <o:lock v:ext="edit" aspectratio="f"/>
              </v:line>
            </w:pict>
          </mc:Fallback>
        </mc:AlternateContent>
      </w:r>
    </w:p>
    <w:p w14:paraId="2F192AD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注：附</w:t>
      </w:r>
      <w:r>
        <w:rPr>
          <w:rFonts w:hint="eastAsia" w:ascii="Times New Roman" w:hAnsi="Times New Roman" w:cs="等线 Light"/>
          <w:snapToGrid w:val="0"/>
          <w:kern w:val="0"/>
          <w:szCs w:val="24"/>
          <w:highlight w:val="none"/>
        </w:rPr>
        <w:t>参选</w:t>
      </w:r>
      <w:r>
        <w:rPr>
          <w:rFonts w:hint="eastAsia" w:ascii="Times New Roman" w:hAnsi="Times New Roman"/>
          <w:snapToGrid w:val="0"/>
          <w:kern w:val="0"/>
          <w:highlight w:val="none"/>
        </w:rPr>
        <w:t>保证金交款凭据复印件</w:t>
      </w:r>
    </w:p>
    <w:p w14:paraId="47DDEA59">
      <w:pPr>
        <w:spacing w:line="360" w:lineRule="auto"/>
        <w:rPr>
          <w:rFonts w:ascii="Times New Roman" w:hAnsi="Times New Roman" w:cs="等线 Light"/>
          <w:sz w:val="21"/>
          <w:szCs w:val="21"/>
          <w:highlight w:val="none"/>
        </w:rPr>
      </w:pPr>
    </w:p>
    <w:p w14:paraId="679475C7">
      <w:pPr>
        <w:spacing w:line="360" w:lineRule="auto"/>
        <w:rPr>
          <w:rFonts w:ascii="Times New Roman" w:hAnsi="Times New Roman" w:cs="等线 Light"/>
          <w:szCs w:val="21"/>
          <w:highlight w:val="none"/>
        </w:rPr>
        <w:sectPr>
          <w:pgSz w:w="11906" w:h="16838"/>
          <w:pgMar w:top="1440" w:right="1800" w:bottom="1440" w:left="1800" w:header="851" w:footer="992" w:gutter="0"/>
          <w:cols w:space="720" w:num="1"/>
          <w:docGrid w:type="lines" w:linePitch="312" w:charSpace="0"/>
        </w:sectPr>
      </w:pPr>
    </w:p>
    <w:p w14:paraId="2FBE407E">
      <w:pPr>
        <w:jc w:val="center"/>
        <w:rPr>
          <w:rFonts w:ascii="Times New Roman" w:hAnsi="Times New Roman"/>
          <w:highlight w:val="none"/>
        </w:rPr>
      </w:pPr>
      <w:r>
        <w:rPr>
          <w:rFonts w:hint="eastAsia" w:ascii="宋体"/>
          <w:spacing w:val="0"/>
          <w:szCs w:val="24"/>
          <w:highlight w:val="none"/>
          <w:lang w:val="en-US" w:eastAsia="zh-CN"/>
        </w:rPr>
        <w:t>七、其他（如有）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AD19">
    <w:pPr>
      <w:pStyle w:val="15"/>
      <w:jc w:val="center"/>
    </w:pPr>
    <w:r>
      <w:rPr>
        <w:lang w:val="zh-CN"/>
      </w:rPr>
      <w:t xml:space="preserve"> </w:t>
    </w:r>
    <w:r>
      <w:rPr>
        <w:b/>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rPr>
      <w:fldChar w:fldCharType="begin"/>
    </w:r>
    <w:r>
      <w:rPr>
        <w:b/>
      </w:rPr>
      <w:instrText xml:space="preserve">NUMPAGES</w:instrText>
    </w:r>
    <w:r>
      <w:rPr>
        <w:b/>
        <w:sz w:val="24"/>
        <w:szCs w:val="24"/>
      </w:rPr>
      <w:fldChar w:fldCharType="separate"/>
    </w:r>
    <w:r>
      <w:rPr>
        <w:b/>
      </w:rPr>
      <w:t>106</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1ACE">
    <w:pPr>
      <w:pStyle w:val="15"/>
      <w:framePr w:wrap="around" w:vAnchor="text" w:hAnchor="margin" w:xAlign="center" w:y="1"/>
      <w:rPr>
        <w:rStyle w:val="24"/>
      </w:rPr>
    </w:pPr>
    <w:r>
      <w:rPr>
        <w:rStyle w:val="24"/>
      </w:rPr>
      <w:fldChar w:fldCharType="begin"/>
    </w:r>
    <w:r>
      <w:rPr>
        <w:rStyle w:val="24"/>
      </w:rPr>
      <w:instrText xml:space="preserve">PAGE  </w:instrText>
    </w:r>
    <w:r>
      <w:fldChar w:fldCharType="separate"/>
    </w:r>
    <w:r>
      <w:t xml:space="preserve"> </w:t>
    </w:r>
    <w:r>
      <w:fldChar w:fldCharType="end"/>
    </w:r>
  </w:p>
  <w:p w14:paraId="6D596A15">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90E6">
    <w:pPr>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0374">
    <w:pPr>
      <w:pStyle w:val="17"/>
      <w:tabs>
        <w:tab w:val="center" w:pos="4153"/>
        <w:tab w:val="right" w:pos="8306"/>
      </w:tabs>
      <w:jc w:val="left"/>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55244" cy="380999"/>
                      </a:xfrm>
                      <a:prstGeom prst="rect">
                        <a:avLst/>
                      </a:prstGeom>
                      <a:noFill/>
                      <a:ln w="6350" cap="flat" cmpd="sng">
                        <a:noFill/>
                        <a:prstDash val="solid"/>
                        <a:round/>
                      </a:ln>
                    </wps:spPr>
                    <wps:txbx>
                      <w:txbxContent>
                        <w:p w14:paraId="2F173D46">
                          <w:pPr>
                            <w:pStyle w:val="15"/>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7.95pt;mso-position-horizontal:center;mso-position-horizontal-relative:margin;mso-wrap-style:none;z-index:251659264;mso-width-relative:page;mso-height-relative:page;" filled="f" stroked="f" coordsize="21600,21600" o:gfxdata="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RPYNcAAAADAQAADwAAAAAAAAABACAAAAAiAAAAZHJz&#10;L2Rvd25yZXYueG1sUEsBAhQAFAAAAAgAh07iQPDQpZQFAgAA9AMAAA4AAAAAAAAAAQAgAAAAJgEA&#10;AGRycy9lMm9Eb2MueG1sUEsFBgAAAAAGAAYAWQEAAJ0FAAAAAA==&#10;">
              <v:fill on="f" focussize="0,0"/>
              <v:stroke on="f" weight="0.5pt" joinstyle="round"/>
              <v:imagedata o:title=""/>
              <o:lock v:ext="edit" aspectratio="f"/>
              <v:textbox inset="0mm,0mm,0mm,0mm" style="mso-fit-shape-to-text:t;">
                <w:txbxContent>
                  <w:p w14:paraId="2F173D46">
                    <w:pPr>
                      <w:pStyle w:val="15"/>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104">
    <w:pPr>
      <w:pStyle w:val="17"/>
      <w:tabs>
        <w:tab w:val="center" w:pos="4153"/>
        <w:tab w:val="right" w:pos="8306"/>
      </w:tabs>
      <w:jc w:val="left"/>
      <w:rPr>
        <w:rFonts w:ascii="Symbol" w:hAnsi="Symbol" w:cs="Times New Roman"/>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1DB12">
    <w:pPr>
      <w:pStyle w:val="16"/>
      <w:jc w:val="left"/>
    </w:pPr>
    <w:r>
      <w:rPr>
        <w:rFonts w:hint="eastAsia" w:ascii="宋体" w:eastAsia="宋体"/>
        <w:spacing w:val="0"/>
      </w:rPr>
      <w:t>重庆三峡银行XX系统（XX项目）外包开发合同</w:t>
    </w:r>
    <w:r>
      <w:rPr>
        <w:rFonts w:hint="eastAsia"/>
      </w:rPr>
      <w:t xml:space="preserve">                              </w:t>
    </w:r>
    <w:r>
      <w:rPr>
        <w:rFonts w:hint="eastAsia" w:ascii="宋体" w:eastAsia="宋体"/>
        <w:spacing w:val="0"/>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39AB7"/>
    <w:multiLevelType w:val="singleLevel"/>
    <w:tmpl w:val="D2239AB7"/>
    <w:lvl w:ilvl="0" w:tentative="0">
      <w:start w:val="7"/>
      <w:numFmt w:val="decimal"/>
      <w:suff w:val="space"/>
      <w:lvlText w:val="%1."/>
      <w:lvlJc w:val="left"/>
    </w:lvl>
  </w:abstractNum>
  <w:abstractNum w:abstractNumId="1">
    <w:nsid w:val="FFFFFFFE"/>
    <w:multiLevelType w:val="singleLevel"/>
    <w:tmpl w:val="FFFFFFFE"/>
    <w:lvl w:ilvl="0" w:tentative="0">
      <w:start w:val="0"/>
      <w:numFmt w:val="decimal"/>
      <w:lvlText w:val="*"/>
      <w:lvlJc w:val="left"/>
      <w:pPr>
        <w:tabs>
          <w:tab w:val="left" w:pos="0"/>
        </w:tabs>
        <w:ind w:left="0" w:firstLine="0"/>
      </w:pPr>
    </w:lvl>
  </w:abstractNum>
  <w:abstractNum w:abstractNumId="2">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5">
    <w:nsid w:val="0141532C"/>
    <w:multiLevelType w:val="multilevel"/>
    <w:tmpl w:val="0141532C"/>
    <w:lvl w:ilvl="0" w:tentative="0">
      <w:start w:val="1"/>
      <w:numFmt w:val="chineseCountingThousand"/>
      <w:lvlText w:val="(%1)"/>
      <w:lvlJc w:val="left"/>
      <w:pPr>
        <w:ind w:left="860" w:hanging="420"/>
      </w:pPr>
    </w:lvl>
    <w:lvl w:ilvl="1" w:tentative="0">
      <w:start w:val="1"/>
      <w:numFmt w:val="chineseCountingThousand"/>
      <w:suff w:val="space"/>
      <w:lvlText w:val="(%2)"/>
      <w:lvlJc w:val="left"/>
      <w:pPr>
        <w:ind w:left="1280" w:hanging="420"/>
      </w:pPr>
      <w:rPr>
        <w:rFonts w:hint="eastAsia"/>
        <w:b w:val="0"/>
      </w:r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8">
    <w:nsid w:val="1ADA5969"/>
    <w:multiLevelType w:val="multilevel"/>
    <w:tmpl w:val="1ADA596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space"/>
      <w:lvlText w:val="(%4)"/>
      <w:lvlJc w:val="left"/>
      <w:pPr>
        <w:ind w:left="8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10">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11">
    <w:nsid w:val="61670603"/>
    <w:multiLevelType w:val="multilevel"/>
    <w:tmpl w:val="61670603"/>
    <w:lvl w:ilvl="0" w:tentative="0">
      <w:start w:val="1"/>
      <w:numFmt w:val="chineseCountingThousand"/>
      <w:lvlText w:val="(%1)"/>
      <w:lvlJc w:val="left"/>
      <w:pPr>
        <w:ind w:left="860" w:hanging="420"/>
      </w:pPr>
    </w:lvl>
    <w:lvl w:ilvl="1" w:tentative="0">
      <w:start w:val="1"/>
      <w:numFmt w:val="chineseCountingThousand"/>
      <w:suff w:val="space"/>
      <w:lvlText w:val="(%2)"/>
      <w:lvlJc w:val="left"/>
      <w:pPr>
        <w:ind w:left="862" w:hanging="420"/>
      </w:pPr>
      <w:rPr>
        <w:rFonts w:hint="eastAsia"/>
      </w:r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6"/>
  </w:num>
  <w:num w:numId="3">
    <w:abstractNumId w:val="5"/>
  </w:num>
  <w:num w:numId="4">
    <w:abstractNumId w:val="8"/>
  </w:num>
  <w:num w:numId="5">
    <w:abstractNumId w:val="11"/>
  </w:num>
  <w:num w:numId="6">
    <w:abstractNumId w:val="7"/>
  </w:num>
  <w:num w:numId="7">
    <w:abstractNumId w:val="3"/>
  </w:num>
  <w:num w:numId="8">
    <w:abstractNumId w:val="2"/>
  </w:num>
  <w:num w:numId="9">
    <w:abstractNumId w:val="4"/>
  </w:num>
  <w:num w:numId="10">
    <w:abstractNumId w:val="10"/>
  </w:num>
  <w:num w:numId="11">
    <w:abstractNumId w:val="9"/>
  </w:num>
  <w:num w:numId="12">
    <w:abstractNumId w:val="1"/>
    <w:lvlOverride w:ilvl="0">
      <w:lvl w:ilvl="0" w:tentative="1">
        <w:start w:val="0"/>
        <w:numFmt w:val="bullet"/>
        <w:lvlText w:val=""/>
        <w:lvlJc w:val="left"/>
        <w:pPr>
          <w:tabs>
            <w:tab w:val="left" w:pos="0"/>
          </w:tabs>
          <w:ind w:left="1080" w:hanging="360"/>
        </w:pPr>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trackedChanges"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000000"/>
    <w:rsid w:val="08FC70AE"/>
    <w:rsid w:val="09630EDC"/>
    <w:rsid w:val="0BFF1094"/>
    <w:rsid w:val="0DF5231E"/>
    <w:rsid w:val="0EB602E1"/>
    <w:rsid w:val="104D01F0"/>
    <w:rsid w:val="116C0B49"/>
    <w:rsid w:val="137B0D28"/>
    <w:rsid w:val="14197409"/>
    <w:rsid w:val="1AA72BF2"/>
    <w:rsid w:val="1C5E11FE"/>
    <w:rsid w:val="1E8A6AB3"/>
    <w:rsid w:val="1FD06057"/>
    <w:rsid w:val="21F26E49"/>
    <w:rsid w:val="227308A5"/>
    <w:rsid w:val="2309444A"/>
    <w:rsid w:val="2D340315"/>
    <w:rsid w:val="2DC4321D"/>
    <w:rsid w:val="2E8157DC"/>
    <w:rsid w:val="2EED4C20"/>
    <w:rsid w:val="2F603644"/>
    <w:rsid w:val="32935ADE"/>
    <w:rsid w:val="32DF6F75"/>
    <w:rsid w:val="386817BB"/>
    <w:rsid w:val="3F20694C"/>
    <w:rsid w:val="412874F2"/>
    <w:rsid w:val="44793012"/>
    <w:rsid w:val="46C92845"/>
    <w:rsid w:val="473236C0"/>
    <w:rsid w:val="54460374"/>
    <w:rsid w:val="561752B6"/>
    <w:rsid w:val="57132A5D"/>
    <w:rsid w:val="575F7D49"/>
    <w:rsid w:val="58A261CC"/>
    <w:rsid w:val="5943175D"/>
    <w:rsid w:val="5B5C6B06"/>
    <w:rsid w:val="5B6205D5"/>
    <w:rsid w:val="5DC34C1A"/>
    <w:rsid w:val="63730E90"/>
    <w:rsid w:val="639A641D"/>
    <w:rsid w:val="64E25563"/>
    <w:rsid w:val="69C2047C"/>
    <w:rsid w:val="6B4A697B"/>
    <w:rsid w:val="6E565636"/>
    <w:rsid w:val="7016507D"/>
    <w:rsid w:val="726061C4"/>
    <w:rsid w:val="76760624"/>
    <w:rsid w:val="76933D67"/>
    <w:rsid w:val="770E2F52"/>
    <w:rsid w:val="770F3F69"/>
    <w:rsid w:val="78442652"/>
    <w:rsid w:val="7A4B0019"/>
    <w:rsid w:val="7B2745E3"/>
    <w:rsid w:val="7D625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autoSpaceDE w:val="0"/>
      <w:autoSpaceDN w:val="0"/>
      <w:spacing w:line="600" w:lineRule="exact"/>
      <w:ind w:firstLine="200" w:firstLineChars="200"/>
      <w:jc w:val="left"/>
    </w:pPr>
    <w:rPr>
      <w:rFonts w:ascii="Cambria Math" w:hAnsi="Cambria Math" w:eastAsia="宋体" w:cs="Cambria Math"/>
      <w:color w:val="000000"/>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autoRedefine/>
    <w:uiPriority w:val="0"/>
    <w:pPr>
      <w:ind w:firstLine="0" w:firstLineChars="0"/>
      <w:outlineLvl w:val="1"/>
    </w:pPr>
    <w:rPr>
      <w:rFonts w:ascii="宋体" w:hAnsi="宋体"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link w:val="27"/>
    <w:autoRedefine/>
    <w:qFormat/>
    <w:uiPriority w:val="0"/>
    <w:pPr>
      <w:outlineLvl w:val="3"/>
    </w:pPr>
    <w:rPr>
      <w:rFonts w:ascii="Calibri Light" w:hAnsi="Calibri Light" w:cs="Times New Roman"/>
      <w:bCs/>
      <w:szCs w:val="28"/>
    </w:rPr>
  </w:style>
  <w:style w:type="paragraph" w:styleId="6">
    <w:name w:val="heading 5"/>
    <w:basedOn w:val="1"/>
    <w:next w:val="1"/>
    <w:link w:val="28"/>
    <w:autoRedefine/>
    <w:qFormat/>
    <w:uiPriority w:val="0"/>
    <w:pPr>
      <w:spacing w:line="360" w:lineRule="auto"/>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22">
    <w:name w:val="Default Paragraph Font"/>
    <w:qFormat/>
    <w:uiPriority w:val="0"/>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ody Text Indent"/>
    <w:basedOn w:val="1"/>
    <w:qFormat/>
    <w:uiPriority w:val="0"/>
    <w:pPr>
      <w:spacing w:before="50" w:beforeLines="50" w:line="400" w:lineRule="exact"/>
      <w:ind w:left="150" w:leftChars="150"/>
    </w:pPr>
    <w:rPr>
      <w:rFonts w:ascii="Times New Roman" w:hAnsi="Times New Roman" w:eastAsia="楷体_GB2312" w:cs="Times New Roman"/>
      <w:spacing w:val="20"/>
    </w:rPr>
  </w:style>
  <w:style w:type="paragraph" w:styleId="11">
    <w:name w:val="Plain Text"/>
    <w:basedOn w:val="1"/>
    <w:qFormat/>
    <w:uiPriority w:val="0"/>
    <w:rPr>
      <w:rFonts w:ascii="宋体" w:hAnsi="Times New Roman" w:cs="Times New Roman"/>
      <w:sz w:val="21"/>
      <w:szCs w:val="21"/>
      <w:lang w:val="zh-CN" w:eastAsia="zh-CN"/>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before="50" w:beforeLines="50" w:line="400" w:lineRule="exact"/>
    </w:pPr>
    <w:rPr>
      <w:rFonts w:ascii="Times New Roman" w:hAnsi="Times New Roman" w:eastAsia="楷体_GB2312" w:cs="Times New Roman"/>
      <w:spacing w:val="20"/>
    </w:rPr>
  </w:style>
  <w:style w:type="paragraph" w:styleId="14">
    <w:name w:val="Balloon Text"/>
    <w:basedOn w:val="1"/>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next w:val="17"/>
    <w:autoRedefine/>
    <w:qFormat/>
    <w:uiPriority w:val="0"/>
    <w:pPr>
      <w:pBdr>
        <w:bottom w:val="single" w:color="auto" w:sz="6" w:space="1"/>
      </w:pBdr>
      <w:tabs>
        <w:tab w:val="center" w:pos="4153"/>
        <w:tab w:val="right" w:pos="8306"/>
      </w:tabs>
      <w:snapToGrid w:val="0"/>
      <w:jc w:val="center"/>
    </w:pPr>
    <w:rPr>
      <w:rFonts w:ascii="Times New Roman" w:hAnsi="Times New Roman" w:eastAsia="楷体_GB2312" w:cs="Times New Roman"/>
      <w:spacing w:val="20"/>
      <w:sz w:val="18"/>
    </w:rPr>
  </w:style>
  <w:style w:type="paragraph" w:customStyle="1" w:styleId="17">
    <w:name w:val="参选文件格式2"/>
    <w:basedOn w:val="1"/>
    <w:next w:val="1"/>
    <w:autoRedefine/>
    <w:qFormat/>
    <w:uiPriority w:val="0"/>
    <w:pPr>
      <w:ind w:firstLine="0" w:firstLineChars="0"/>
      <w:jc w:val="center"/>
      <w:outlineLvl w:val="2"/>
    </w:pPr>
    <w:rPr>
      <w:bCs/>
      <w:szCs w:val="32"/>
    </w:rPr>
  </w:style>
  <w:style w:type="paragraph" w:styleId="18">
    <w:name w:val="toc 1"/>
    <w:basedOn w:val="1"/>
    <w:next w:val="1"/>
    <w:autoRedefine/>
    <w:qFormat/>
    <w:uiPriority w:val="0"/>
  </w:style>
  <w:style w:type="paragraph" w:styleId="19">
    <w:name w:val="Subtitle"/>
    <w:basedOn w:val="1"/>
    <w:autoRedefine/>
    <w:qFormat/>
    <w:uiPriority w:val="0"/>
    <w:pPr>
      <w:spacing w:before="240" w:after="60" w:line="312" w:lineRule="auto"/>
      <w:jc w:val="center"/>
      <w:outlineLvl w:val="1"/>
    </w:pPr>
    <w:rPr>
      <w:rFonts w:ascii="Arial" w:hAnsi="Arial"/>
      <w:b/>
      <w:kern w:val="28"/>
      <w:sz w:val="32"/>
    </w:rPr>
  </w:style>
  <w:style w:type="paragraph" w:styleId="20">
    <w:name w:val="annotation subject"/>
    <w:basedOn w:val="1"/>
    <w:next w:val="8"/>
    <w:qFormat/>
    <w:uiPriority w:val="0"/>
    <w:pPr>
      <w:widowControl w:val="0"/>
      <w:autoSpaceDE w:val="0"/>
      <w:autoSpaceDN w:val="0"/>
      <w:spacing w:line="600" w:lineRule="exact"/>
      <w:ind w:firstLine="200" w:firstLineChars="200"/>
    </w:pPr>
    <w:rPr>
      <w:rFonts w:ascii="Cambria Math" w:hAnsi="Cambria Math" w:eastAsia="宋体" w:cs="Cambria Math"/>
      <w:b/>
      <w:bCs/>
      <w:kern w:val="2"/>
      <w:sz w:val="24"/>
      <w:szCs w:val="20"/>
      <w:lang w:val="en-US" w:eastAsia="zh-CN" w:bidi="ar-SA"/>
    </w:rPr>
  </w:style>
  <w:style w:type="character" w:styleId="23">
    <w:name w:val="Strong"/>
    <w:autoRedefine/>
    <w:qFormat/>
    <w:uiPriority w:val="0"/>
    <w:rPr>
      <w:b/>
      <w:bCs/>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heading 4 Char"/>
    <w:basedOn w:val="22"/>
    <w:link w:val="5"/>
    <w:autoRedefine/>
    <w:qFormat/>
    <w:uiPriority w:val="0"/>
    <w:rPr>
      <w:rFonts w:ascii="Calibri Light" w:hAnsi="Calibri Light" w:eastAsia="宋体" w:cs="Times New Roman"/>
      <w:bCs/>
      <w:color w:val="000000"/>
      <w:kern w:val="2"/>
      <w:sz w:val="24"/>
      <w:szCs w:val="28"/>
      <w:lang w:val="en-US" w:eastAsia="zh-CN" w:bidi="ar-SA"/>
    </w:rPr>
  </w:style>
  <w:style w:type="character" w:customStyle="1" w:styleId="28">
    <w:name w:val="heading 5 Char"/>
    <w:basedOn w:val="22"/>
    <w:link w:val="6"/>
    <w:autoRedefine/>
    <w:qFormat/>
    <w:uiPriority w:val="0"/>
    <w:rPr>
      <w:rFonts w:ascii="Cambria Math" w:hAnsi="Cambria Math" w:eastAsia="宋体" w:cs="Cambria Math"/>
      <w:b/>
      <w:color w:val="000000"/>
      <w:kern w:val="2"/>
      <w:sz w:val="28"/>
      <w:szCs w:val="20"/>
      <w:lang w:val="en-US" w:eastAsia="zh-CN" w:bidi="ar-SA"/>
    </w:rPr>
  </w:style>
  <w:style w:type="paragraph" w:customStyle="1" w:styleId="29">
    <w:name w:val="参选文件格式1"/>
    <w:basedOn w:val="1"/>
    <w:next w:val="1"/>
    <w:link w:val="30"/>
    <w:autoRedefine/>
    <w:qFormat/>
    <w:uiPriority w:val="0"/>
    <w:pPr>
      <w:spacing w:line="360" w:lineRule="auto"/>
      <w:ind w:firstLine="0" w:firstLineChars="0"/>
      <w:jc w:val="center"/>
      <w:outlineLvl w:val="1"/>
    </w:pPr>
    <w:rPr>
      <w:b/>
      <w:sz w:val="28"/>
    </w:rPr>
  </w:style>
  <w:style w:type="character" w:customStyle="1" w:styleId="30">
    <w:name w:val="参选文件格式1 Char"/>
    <w:basedOn w:val="22"/>
    <w:link w:val="29"/>
    <w:autoRedefine/>
    <w:qFormat/>
    <w:uiPriority w:val="0"/>
    <w:rPr>
      <w:rFonts w:ascii="Cambria Math" w:hAnsi="Cambria Math" w:eastAsia="宋体" w:cs="Cambria Math"/>
      <w:b/>
      <w:color w:val="000000"/>
      <w:kern w:val="2"/>
      <w:sz w:val="28"/>
      <w:szCs w:val="20"/>
      <w:lang w:val="en-US" w:eastAsia="zh-CN" w:bidi="ar-SA"/>
    </w:rPr>
  </w:style>
  <w:style w:type="paragraph" w:customStyle="1" w:styleId="31">
    <w:name w:val="参选文件格式3"/>
    <w:basedOn w:val="1"/>
    <w:link w:val="32"/>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2">
    <w:name w:val="参选文件格式3 Char"/>
    <w:basedOn w:val="22"/>
    <w:link w:val="31"/>
    <w:autoRedefine/>
    <w:qFormat/>
    <w:uiPriority w:val="0"/>
    <w:rPr>
      <w:rFonts w:ascii="宋体" w:hAnsi="宋体" w:eastAsia="宋体" w:cs="Cambria Math"/>
      <w:b/>
      <w:snapToGrid w:val="0"/>
      <w:color w:val="000000"/>
      <w:kern w:val="0"/>
      <w:sz w:val="24"/>
      <w:szCs w:val="20"/>
      <w:lang w:val="en-US" w:eastAsia="zh-CN" w:bidi="ar-SA"/>
    </w:rPr>
  </w:style>
  <w:style w:type="character" w:customStyle="1" w:styleId="33">
    <w:name w:val="font11"/>
    <w:basedOn w:val="22"/>
    <w:autoRedefine/>
    <w:qFormat/>
    <w:uiPriority w:val="0"/>
    <w:rPr>
      <w:rFonts w:ascii="宋体" w:hAnsi="宋体" w:eastAsia="宋体" w:cs="宋体"/>
      <w:b/>
      <w:bCs/>
      <w:color w:val="000000"/>
      <w:sz w:val="21"/>
      <w:szCs w:val="21"/>
      <w:u w:val="none"/>
    </w:rPr>
  </w:style>
  <w:style w:type="character" w:customStyle="1" w:styleId="34">
    <w:name w:val="font21"/>
    <w:basedOn w:val="22"/>
    <w:autoRedefine/>
    <w:qFormat/>
    <w:uiPriority w:val="0"/>
    <w:rPr>
      <w:rFonts w:ascii="宋体" w:hAnsi="宋体" w:eastAsia="宋体" w:cs="宋体"/>
      <w:color w:val="000000"/>
      <w:sz w:val="21"/>
      <w:szCs w:val="21"/>
      <w:u w:val="none"/>
    </w:rPr>
  </w:style>
  <w:style w:type="character" w:customStyle="1" w:styleId="35">
    <w:name w:val="font31"/>
    <w:basedOn w:val="22"/>
    <w:autoRedefine/>
    <w:qFormat/>
    <w:uiPriority w:val="0"/>
    <w:rPr>
      <w:rFonts w:ascii="宋体" w:hAnsi="宋体" w:eastAsia="宋体" w:cs="宋体"/>
      <w:color w:val="FF0000"/>
      <w:sz w:val="21"/>
      <w:szCs w:val="21"/>
      <w:u w:val="none"/>
    </w:rPr>
  </w:style>
  <w:style w:type="paragraph" w:styleId="36">
    <w:name w:val="List Paragraph"/>
    <w:basedOn w:val="1"/>
    <w:next w:val="8"/>
    <w:qFormat/>
    <w:uiPriority w:val="0"/>
    <w:rPr>
      <w:rFonts w:ascii="Times New Roman" w:hAnsi="Times New Roman" w:cs="Times New Roman"/>
      <w:sz w:val="21"/>
      <w:szCs w:val="21"/>
    </w:rPr>
  </w:style>
  <w:style w:type="character" w:customStyle="1" w:styleId="37">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103</Pages>
  <Words>12498</Words>
  <Characters>13447</Characters>
  <Lines>0</Lines>
  <Paragraphs>1211</Paragraphs>
  <TotalTime>1</TotalTime>
  <ScaleCrop>false</ScaleCrop>
  <LinksUpToDate>false</LinksUpToDate>
  <CharactersWithSpaces>13678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2024-11-08T08:07:00Z</cp:lastPrinted>
  <dcterms:modified xsi:type="dcterms:W3CDTF">2025-01-20T03:49:42Z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468420C0A2A643C1B2EDCB55CCBA1DA7_13</vt:lpwstr>
  </property>
  <property fmtid="{D5CDD505-2E9C-101B-9397-08002B2CF9AE}" pid="4" name="KSOTemplateDocerSaveRecord">
    <vt:lpwstr>eyJoZGlkIjoiYThmYmM2ZGU3Mjk4MzA4ZDkyYTRlNDQ1NGZiYzU0MzIiLCJ1c2VySWQiOiIxNjAxNzI3MDEzIn0=</vt:lpwstr>
  </property>
</Properties>
</file>