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59053">
      <w:pPr>
        <w:tabs>
          <w:tab w:val="center" w:pos="4201"/>
          <w:tab w:val="right" w:leader="dot" w:pos="9298"/>
        </w:tabs>
        <w:spacing w:line="360" w:lineRule="auto"/>
        <w:ind w:firstLine="0" w:firstLineChars="0"/>
        <w:rPr>
          <w:rFonts w:ascii="Times New Roman" w:hAnsi="Times New Roman"/>
          <w:color w:val="auto"/>
          <w:highlight w:val="none"/>
        </w:rPr>
      </w:pPr>
    </w:p>
    <w:p w14:paraId="2DA828DB">
      <w:pPr>
        <w:spacing w:line="360" w:lineRule="auto"/>
        <w:ind w:firstLine="0" w:firstLineChars="0"/>
        <w:rPr>
          <w:rFonts w:ascii="Times New Roman" w:hAnsi="Times New Roman" w:cs="Cambria"/>
          <w:b/>
          <w:snapToGrid w:val="0"/>
          <w:color w:val="auto"/>
          <w:kern w:val="0"/>
          <w:sz w:val="52"/>
          <w:szCs w:val="84"/>
          <w:highlight w:val="none"/>
        </w:rPr>
      </w:pPr>
    </w:p>
    <w:p w14:paraId="2DCD178B">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1E42CC4D">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信息安全管理体系咨询及再认证服务</w:t>
      </w:r>
    </w:p>
    <w:p w14:paraId="6DA28817">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项目</w:t>
      </w:r>
    </w:p>
    <w:p w14:paraId="5CAE02AD">
      <w:pPr>
        <w:spacing w:line="360" w:lineRule="auto"/>
        <w:ind w:firstLine="0" w:firstLineChars="0"/>
        <w:jc w:val="left"/>
        <w:rPr>
          <w:rFonts w:ascii="Times New Roman" w:hAnsi="Times New Roman" w:cs="Times New Roman"/>
          <w:snapToGrid w:val="0"/>
          <w:color w:val="auto"/>
          <w:kern w:val="0"/>
          <w:sz w:val="18"/>
          <w:highlight w:val="none"/>
        </w:rPr>
      </w:pPr>
    </w:p>
    <w:p w14:paraId="45005BEA">
      <w:pPr>
        <w:spacing w:line="360" w:lineRule="auto"/>
        <w:ind w:firstLine="0" w:firstLineChars="0"/>
        <w:jc w:val="left"/>
        <w:rPr>
          <w:rFonts w:ascii="Times New Roman" w:hAnsi="Times New Roman" w:cs="Times New Roman"/>
          <w:snapToGrid w:val="0"/>
          <w:color w:val="auto"/>
          <w:kern w:val="0"/>
          <w:sz w:val="20"/>
          <w:highlight w:val="none"/>
        </w:rPr>
      </w:pPr>
    </w:p>
    <w:p w14:paraId="53800A50">
      <w:pPr>
        <w:spacing w:line="360" w:lineRule="auto"/>
        <w:ind w:firstLine="0" w:firstLineChars="0"/>
        <w:jc w:val="left"/>
        <w:rPr>
          <w:rFonts w:ascii="Times New Roman" w:hAnsi="Times New Roman" w:cs="Times New Roman"/>
          <w:snapToGrid w:val="0"/>
          <w:color w:val="auto"/>
          <w:kern w:val="0"/>
          <w:sz w:val="20"/>
          <w:highlight w:val="none"/>
        </w:rPr>
      </w:pPr>
    </w:p>
    <w:p w14:paraId="49A4276B">
      <w:pPr>
        <w:spacing w:line="360" w:lineRule="auto"/>
        <w:ind w:firstLine="0" w:firstLineChars="0"/>
        <w:jc w:val="left"/>
        <w:rPr>
          <w:rFonts w:ascii="Times New Roman" w:hAnsi="Times New Roman" w:cs="Times New Roman"/>
          <w:snapToGrid w:val="0"/>
          <w:color w:val="auto"/>
          <w:kern w:val="0"/>
          <w:sz w:val="20"/>
          <w:highlight w:val="none"/>
        </w:rPr>
      </w:pPr>
    </w:p>
    <w:p w14:paraId="1E7D0116">
      <w:pPr>
        <w:spacing w:line="360" w:lineRule="auto"/>
        <w:ind w:firstLine="0" w:firstLineChars="0"/>
        <w:jc w:val="left"/>
        <w:rPr>
          <w:rFonts w:ascii="Times New Roman" w:hAnsi="Times New Roman" w:cs="Times New Roman"/>
          <w:snapToGrid w:val="0"/>
          <w:color w:val="auto"/>
          <w:kern w:val="0"/>
          <w:sz w:val="20"/>
          <w:highlight w:val="none"/>
        </w:rPr>
      </w:pPr>
    </w:p>
    <w:p w14:paraId="75EA4382">
      <w:pPr>
        <w:spacing w:line="360" w:lineRule="auto"/>
        <w:ind w:firstLine="0" w:firstLineChars="0"/>
        <w:jc w:val="left"/>
        <w:rPr>
          <w:rFonts w:ascii="Times New Roman" w:hAnsi="Times New Roman" w:cs="Times New Roman"/>
          <w:snapToGrid w:val="0"/>
          <w:color w:val="auto"/>
          <w:kern w:val="0"/>
          <w:sz w:val="20"/>
          <w:highlight w:val="none"/>
        </w:rPr>
      </w:pPr>
    </w:p>
    <w:p w14:paraId="2A5DB9B6">
      <w:pPr>
        <w:spacing w:line="360" w:lineRule="auto"/>
        <w:ind w:firstLine="0" w:firstLineChars="0"/>
        <w:jc w:val="left"/>
        <w:rPr>
          <w:rFonts w:ascii="Times New Roman" w:hAnsi="Times New Roman" w:cs="Times New Roman"/>
          <w:snapToGrid w:val="0"/>
          <w:color w:val="auto"/>
          <w:kern w:val="0"/>
          <w:sz w:val="20"/>
          <w:highlight w:val="none"/>
        </w:rPr>
      </w:pPr>
    </w:p>
    <w:p w14:paraId="5FC8FCEB">
      <w:pPr>
        <w:spacing w:line="360" w:lineRule="auto"/>
        <w:ind w:firstLine="0" w:firstLineChars="0"/>
        <w:jc w:val="center"/>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3A00A952">
      <w:pPr>
        <w:spacing w:line="360" w:lineRule="auto"/>
        <w:ind w:firstLine="0" w:firstLineChars="0"/>
        <w:jc w:val="center"/>
        <w:rPr>
          <w:rFonts w:ascii="Times New Roman" w:hAnsi="Times New Roman" w:cs="Times New Roman"/>
          <w:b/>
          <w:snapToGrid w:val="0"/>
          <w:color w:val="auto"/>
          <w:kern w:val="0"/>
          <w:szCs w:val="28"/>
          <w:highlight w:val="none"/>
        </w:rPr>
      </w:pPr>
    </w:p>
    <w:p w14:paraId="7C31590F">
      <w:pPr>
        <w:spacing w:line="360" w:lineRule="auto"/>
        <w:ind w:firstLine="0" w:firstLineChars="0"/>
        <w:jc w:val="center"/>
        <w:rPr>
          <w:rFonts w:ascii="Times New Roman" w:hAnsi="Times New Roman" w:cs="Times New Roman"/>
          <w:b/>
          <w:snapToGrid w:val="0"/>
          <w:color w:val="auto"/>
          <w:kern w:val="0"/>
          <w:szCs w:val="28"/>
          <w:highlight w:val="none"/>
        </w:rPr>
      </w:pPr>
    </w:p>
    <w:p w14:paraId="26CA25E1">
      <w:pPr>
        <w:spacing w:line="360" w:lineRule="auto"/>
        <w:ind w:firstLine="0" w:firstLineChars="0"/>
        <w:jc w:val="center"/>
        <w:rPr>
          <w:rFonts w:ascii="Times New Roman" w:hAnsi="Times New Roman" w:cs="Times New Roman"/>
          <w:b/>
          <w:snapToGrid w:val="0"/>
          <w:color w:val="auto"/>
          <w:kern w:val="0"/>
          <w:szCs w:val="28"/>
          <w:highlight w:val="none"/>
        </w:rPr>
      </w:pPr>
    </w:p>
    <w:p w14:paraId="677F9D2A">
      <w:pPr>
        <w:ind w:firstLine="0" w:firstLineChars="0"/>
        <w:rPr>
          <w:rFonts w:ascii="Times New Roman" w:hAnsi="Times New Roman"/>
          <w:color w:val="auto"/>
          <w:highlight w:val="none"/>
        </w:rPr>
      </w:pPr>
    </w:p>
    <w:p w14:paraId="6388EAAE">
      <w:pPr>
        <w:pStyle w:val="11"/>
        <w:rPr>
          <w:rFonts w:ascii="Times New Roman" w:hAnsi="Times New Roman"/>
          <w:color w:val="auto"/>
          <w:highlight w:val="none"/>
        </w:rPr>
      </w:pPr>
    </w:p>
    <w:p w14:paraId="1C2D02F6">
      <w:pPr>
        <w:rPr>
          <w:rFonts w:ascii="Times New Roman" w:hAnsi="Times New Roman"/>
          <w:color w:val="auto"/>
          <w:highlight w:val="none"/>
        </w:rPr>
      </w:pPr>
    </w:p>
    <w:p w14:paraId="65F8A011">
      <w:pPr>
        <w:rPr>
          <w:rFonts w:ascii="Times New Roman" w:hAnsi="Times New Roman"/>
          <w:color w:val="auto"/>
          <w:highlight w:val="none"/>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818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5D262C0">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14:paraId="42977209">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036BD995">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Cs/>
                <w:snapToGrid w:val="0"/>
                <w:color w:val="auto"/>
                <w:kern w:val="0"/>
                <w:szCs w:val="24"/>
                <w:highlight w:val="none"/>
              </w:rPr>
              <w:t>（盖单位</w:t>
            </w:r>
            <w:r>
              <w:rPr>
                <w:rFonts w:hint="eastAsia" w:ascii="Times New Roman" w:hAnsi="Times New Roman" w:cs="Times New Roman"/>
                <w:bCs/>
                <w:snapToGrid w:val="0"/>
                <w:color w:val="auto"/>
                <w:kern w:val="0"/>
                <w:szCs w:val="24"/>
                <w:highlight w:val="none"/>
                <w:lang w:val="en-US" w:eastAsia="zh-CN"/>
              </w:rPr>
              <w:t>公</w:t>
            </w:r>
            <w:r>
              <w:rPr>
                <w:rFonts w:hint="eastAsia" w:ascii="Times New Roman" w:hAnsi="Times New Roman" w:cs="Times New Roman"/>
                <w:bCs/>
                <w:snapToGrid w:val="0"/>
                <w:color w:val="auto"/>
                <w:kern w:val="0"/>
                <w:szCs w:val="24"/>
                <w:highlight w:val="none"/>
              </w:rPr>
              <w:t>章）</w:t>
            </w:r>
          </w:p>
        </w:tc>
      </w:tr>
      <w:tr w14:paraId="42AB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B20B49D">
            <w:pPr>
              <w:spacing w:line="360" w:lineRule="auto"/>
              <w:ind w:firstLine="0" w:firstLineChars="0"/>
              <w:jc w:val="distribute"/>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14:paraId="25C57B66">
            <w:pPr>
              <w:spacing w:line="360" w:lineRule="auto"/>
              <w:ind w:firstLine="0" w:firstLineChars="0"/>
              <w:jc w:val="center"/>
              <w:rPr>
                <w:rFonts w:ascii="Times New Roman" w:hAnsi="Times New Roman" w:cs="Times New Roman"/>
                <w:b/>
                <w:snapToGrid w:val="0"/>
                <w:color w:val="auto"/>
                <w:kern w:val="0"/>
                <w:sz w:val="30"/>
                <w:szCs w:val="30"/>
                <w:highlight w:val="no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12</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039E3FF5">
            <w:pPr>
              <w:rPr>
                <w:color w:val="auto"/>
                <w:highlight w:val="none"/>
              </w:rPr>
            </w:pPr>
          </w:p>
        </w:tc>
      </w:tr>
    </w:tbl>
    <w:p w14:paraId="5654950B">
      <w:pPr>
        <w:rPr>
          <w:rFonts w:ascii="Times New Roman" w:hAnsi="Times New Roman"/>
          <w:color w:val="auto"/>
          <w:highlight w:val="none"/>
        </w:rPr>
      </w:pPr>
    </w:p>
    <w:p w14:paraId="072C768B">
      <w:pPr>
        <w:rPr>
          <w:rFonts w:ascii="Times New Roman" w:hAnsi="Times New Roman"/>
          <w:color w:val="auto"/>
          <w:highlight w:val="none"/>
        </w:rPr>
        <w:sectPr>
          <w:pgSz w:w="11906" w:h="16838"/>
          <w:pgMar w:top="1440" w:right="1800" w:bottom="1440" w:left="1800" w:header="851" w:footer="992" w:gutter="0"/>
          <w:pgNumType w:start="1"/>
          <w:cols w:space="720" w:num="1"/>
          <w:docGrid w:type="lines" w:linePitch="312" w:charSpace="0"/>
        </w:sectPr>
      </w:pPr>
    </w:p>
    <w:p w14:paraId="39237952">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28B7F9A1">
      <w:pPr>
        <w:pStyle w:val="19"/>
        <w:tabs>
          <w:tab w:val="right" w:leader="dot" w:pos="8306"/>
        </w:tabs>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instrText xml:space="preserve"> </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_Toc21051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_Toc21051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5B9E3D15">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_Toc19252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_Toc19252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1FB9D44F">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_Toc17265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_Toc17265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64C28D55">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_Toc11442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_Toc11442 \h </w:instrText>
      </w:r>
      <w:r>
        <w:fldChar w:fldCharType="separate"/>
      </w:r>
      <w:r>
        <w:t>15</w:t>
      </w:r>
      <w:r>
        <w:fldChar w:fldCharType="end"/>
      </w:r>
      <w:r>
        <w:rPr>
          <w:rFonts w:ascii="Times New Roman" w:hAnsi="Times New Roman"/>
          <w:snapToGrid w:val="0"/>
          <w:color w:val="auto"/>
          <w:kern w:val="0"/>
          <w:szCs w:val="24"/>
          <w:highlight w:val="none"/>
        </w:rPr>
        <w:fldChar w:fldCharType="end"/>
      </w:r>
    </w:p>
    <w:p w14:paraId="271D756C">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_Toc18616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_Toc18616 \h </w:instrText>
      </w:r>
      <w:r>
        <w:fldChar w:fldCharType="separate"/>
      </w:r>
      <w:r>
        <w:t>20</w:t>
      </w:r>
      <w:r>
        <w:fldChar w:fldCharType="end"/>
      </w:r>
      <w:r>
        <w:rPr>
          <w:rFonts w:ascii="Times New Roman" w:hAnsi="Times New Roman"/>
          <w:snapToGrid w:val="0"/>
          <w:color w:val="auto"/>
          <w:kern w:val="0"/>
          <w:szCs w:val="24"/>
          <w:highlight w:val="none"/>
        </w:rPr>
        <w:fldChar w:fldCharType="end"/>
      </w:r>
    </w:p>
    <w:p w14:paraId="369E92FA">
      <w:pPr>
        <w:pStyle w:val="19"/>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_Toc17467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_Toc17467 \h </w:instrText>
      </w:r>
      <w:r>
        <w:fldChar w:fldCharType="separate"/>
      </w:r>
      <w:r>
        <w:t>39</w:t>
      </w:r>
      <w:r>
        <w:fldChar w:fldCharType="end"/>
      </w:r>
      <w:r>
        <w:rPr>
          <w:rFonts w:ascii="Times New Roman" w:hAnsi="Times New Roman"/>
          <w:snapToGrid w:val="0"/>
          <w:color w:val="auto"/>
          <w:kern w:val="0"/>
          <w:szCs w:val="24"/>
          <w:highlight w:val="none"/>
        </w:rPr>
        <w:fldChar w:fldCharType="end"/>
      </w:r>
    </w:p>
    <w:p w14:paraId="63844F81">
      <w:pPr>
        <w:widowControl/>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317DDEBC">
      <w:pPr>
        <w:widowControl/>
        <w:jc w:val="left"/>
        <w:rPr>
          <w:rFonts w:ascii="Times New Roman" w:hAnsi="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03BC5383">
      <w:pPr>
        <w:pStyle w:val="2"/>
        <w:rPr>
          <w:rFonts w:ascii="Times New Roman" w:hAnsi="Times New Roman"/>
          <w:color w:val="auto"/>
          <w:highlight w:val="none"/>
        </w:rPr>
      </w:pPr>
      <w:bookmarkStart w:id="0" w:name="_Toc440628903"/>
      <w:bookmarkStart w:id="1" w:name="_Toc469574661"/>
      <w:bookmarkStart w:id="2" w:name="_Toc21051"/>
      <w:bookmarkStart w:id="3" w:name="_Toc6745"/>
      <w:bookmarkStart w:id="4" w:name="_Toc678"/>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bookmarkEnd w:id="4"/>
    </w:p>
    <w:p w14:paraId="1D11C652">
      <w:pPr>
        <w:jc w:val="both"/>
        <w:rPr>
          <w:rFonts w:ascii="Times New Roman" w:hAnsi="Times New Roman"/>
          <w:color w:val="auto"/>
          <w:highlight w:val="none"/>
        </w:rPr>
      </w:pPr>
      <w:bookmarkStart w:id="5" w:name="_Toc55379218"/>
      <w:bookmarkStart w:id="6" w:name="_Toc89675127"/>
      <w:bookmarkStart w:id="7" w:name="_Toc303066033"/>
      <w:bookmarkStart w:id="8" w:name="_Toc89675159"/>
      <w:bookmarkStart w:id="9" w:name="_Toc27630"/>
      <w:r>
        <w:rPr>
          <w:rFonts w:hint="eastAsia" w:ascii="Times New Roman" w:hAnsi="Times New Roman"/>
          <w:color w:val="auto"/>
          <w:highlight w:val="none"/>
        </w:rPr>
        <w:t>信息安全管理体系标准已由ISO/IEC 27001:2013更新为ISO/IEC 27001:2022，为维持证书有效性，我行需依据新标准重新构建信息安全管理体系，完成换版及再认证工作。</w:t>
      </w:r>
      <w:r>
        <w:rPr>
          <w:rFonts w:ascii="Times New Roman" w:hAnsi="Times New Roman"/>
          <w:color w:val="auto"/>
          <w:highlight w:val="none"/>
        </w:rPr>
        <w:t>需采购信息安全管理体系咨询及再认证服务项目</w:t>
      </w:r>
      <w:r>
        <w:rPr>
          <w:rFonts w:hint="eastAsia" w:ascii="Times New Roman" w:hAnsi="Times New Roman"/>
          <w:color w:val="auto"/>
          <w:highlight w:val="none"/>
        </w:rPr>
        <w:t>。现对重庆三峡银行信息安全管理体系咨询及再认证服务项目进行公开比选，</w:t>
      </w:r>
      <w:r>
        <w:rPr>
          <w:rFonts w:ascii="Times New Roman" w:hAnsi="Times New Roman"/>
          <w:color w:val="auto"/>
          <w:highlight w:val="none"/>
        </w:rPr>
        <w:t>特邀请有</w:t>
      </w:r>
      <w:bookmarkStart w:id="10" w:name="_Hlk59455120"/>
      <w:r>
        <w:rPr>
          <w:rFonts w:ascii="Times New Roman" w:hAnsi="Times New Roman"/>
          <w:color w:val="auto"/>
          <w:highlight w:val="none"/>
        </w:rPr>
        <w:t>意向</w:t>
      </w:r>
      <w:bookmarkEnd w:id="10"/>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3C26F987">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5"/>
      <w:bookmarkEnd w:id="6"/>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7E42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2F68369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126F000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6BD69F8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7DBA8D9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3C9A938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0AF8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E69CBE3">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tcBorders>
              <w:left w:val="single" w:color="auto" w:sz="4" w:space="0"/>
            </w:tcBorders>
            <w:vAlign w:val="center"/>
          </w:tcPr>
          <w:p w14:paraId="7FC1D215">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highlight w:val="none"/>
              </w:rPr>
              <w:t>重庆三峡银行信息安全管理体系咨询及再认证服务项目</w:t>
            </w:r>
          </w:p>
        </w:tc>
        <w:tc>
          <w:tcPr>
            <w:tcW w:w="1646" w:type="dxa"/>
            <w:tcBorders>
              <w:left w:val="single" w:color="auto" w:sz="4" w:space="0"/>
            </w:tcBorders>
            <w:vAlign w:val="center"/>
          </w:tcPr>
          <w:p w14:paraId="658901AA">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27.7万元</w:t>
            </w:r>
          </w:p>
        </w:tc>
        <w:tc>
          <w:tcPr>
            <w:tcW w:w="1798" w:type="dxa"/>
            <w:tcBorders>
              <w:left w:val="single" w:color="auto" w:sz="4" w:space="0"/>
            </w:tcBorders>
            <w:vAlign w:val="center"/>
          </w:tcPr>
          <w:p w14:paraId="2751B019">
            <w:pPr>
              <w:spacing w:line="360" w:lineRule="auto"/>
              <w:ind w:firstLine="0" w:firstLineChars="0"/>
              <w:jc w:val="center"/>
              <w:rPr>
                <w:rFonts w:ascii="Times New Roman" w:hAnsi="Times New Roman" w:cs="Cambria"/>
                <w:snapToGrid w:val="0"/>
                <w:color w:val="auto"/>
                <w:kern w:val="0"/>
                <w:sz w:val="21"/>
                <w:szCs w:val="21"/>
                <w:highlight w:val="none"/>
              </w:rPr>
            </w:pPr>
            <w:r>
              <w:rPr>
                <w:rFonts w:ascii="Times New Roman" w:hAnsi="Times New Roman" w:cs="Cambria"/>
                <w:snapToGrid w:val="0"/>
                <w:color w:val="auto"/>
                <w:kern w:val="0"/>
                <w:sz w:val="21"/>
                <w:szCs w:val="21"/>
                <w:highlight w:val="none"/>
              </w:rPr>
              <w:t>1</w:t>
            </w:r>
          </w:p>
        </w:tc>
        <w:tc>
          <w:tcPr>
            <w:tcW w:w="1798" w:type="dxa"/>
            <w:tcBorders>
              <w:left w:val="single" w:color="auto" w:sz="4" w:space="0"/>
            </w:tcBorders>
            <w:vAlign w:val="center"/>
          </w:tcPr>
          <w:p w14:paraId="5D889831">
            <w:pPr>
              <w:spacing w:line="360" w:lineRule="auto"/>
              <w:ind w:firstLine="0" w:firstLineChars="0"/>
              <w:jc w:val="center"/>
              <w:rPr>
                <w:rFonts w:ascii="Times New Roman" w:hAnsi="Times New Roman" w:cs="Cambria"/>
                <w:snapToGrid w:val="0"/>
                <w:color w:val="auto"/>
                <w:kern w:val="0"/>
                <w:sz w:val="21"/>
                <w:szCs w:val="21"/>
                <w:highlight w:val="none"/>
              </w:rPr>
            </w:pPr>
          </w:p>
        </w:tc>
      </w:tr>
    </w:tbl>
    <w:p w14:paraId="198AA2CD">
      <w:pPr>
        <w:pStyle w:val="3"/>
        <w:jc w:val="both"/>
        <w:rPr>
          <w:rFonts w:ascii="Times New Roman" w:hAnsi="Times New Roman"/>
          <w:color w:val="auto"/>
          <w:highlight w:val="none"/>
        </w:rPr>
      </w:pPr>
      <w:bookmarkStart w:id="11" w:name="_Toc89675128"/>
      <w:bookmarkStart w:id="12" w:name="_Toc288224935"/>
      <w:bookmarkStart w:id="13" w:name="_Toc469574664"/>
      <w:bookmarkStart w:id="14" w:name="_Toc297817088"/>
      <w:bookmarkStart w:id="15" w:name="_Toc55379219"/>
      <w:r>
        <w:rPr>
          <w:rFonts w:hint="eastAsia" w:ascii="Times New Roman" w:hAnsi="Times New Roman"/>
          <w:color w:val="auto"/>
          <w:highlight w:val="none"/>
        </w:rPr>
        <w:t>2. 参选人资格要求</w:t>
      </w:r>
      <w:bookmarkEnd w:id="11"/>
      <w:bookmarkEnd w:id="12"/>
      <w:bookmarkEnd w:id="13"/>
      <w:bookmarkEnd w:id="14"/>
      <w:bookmarkEnd w:id="15"/>
    </w:p>
    <w:p w14:paraId="1253F723">
      <w:pPr>
        <w:bidi w:val="0"/>
        <w:rPr>
          <w:rFonts w:hint="eastAsia"/>
          <w:color w:val="auto"/>
          <w:highlight w:val="none"/>
          <w:lang w:val="en-US" w:eastAsia="zh-CN"/>
        </w:rPr>
      </w:pPr>
      <w:bookmarkStart w:id="16" w:name="_Hlk55488870"/>
      <w:r>
        <w:rPr>
          <w:rFonts w:hint="eastAsia"/>
          <w:color w:val="auto"/>
          <w:highlight w:val="none"/>
          <w:lang w:val="en-US" w:eastAsia="zh-CN"/>
        </w:rPr>
        <w:t>2.1 具有独立承担民事责任的能力</w:t>
      </w:r>
    </w:p>
    <w:p w14:paraId="119C345A">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64202B56">
      <w:pPr>
        <w:bidi w:val="0"/>
        <w:rPr>
          <w:rFonts w:hint="eastAsia"/>
          <w:color w:val="auto"/>
          <w:highlight w:val="none"/>
          <w:lang w:val="en-US" w:eastAsia="zh-CN"/>
        </w:rPr>
      </w:pPr>
      <w:r>
        <w:rPr>
          <w:rFonts w:hint="eastAsia"/>
          <w:color w:val="auto"/>
          <w:highlight w:val="none"/>
          <w:lang w:val="en-US" w:eastAsia="zh-CN"/>
        </w:rPr>
        <w:t>注：若为法定代表人办理并签署参选文件的，不提供授权委托书。</w:t>
      </w:r>
    </w:p>
    <w:p w14:paraId="19BFF101">
      <w:pPr>
        <w:jc w:val="both"/>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03DC5F3C">
      <w:pPr>
        <w:jc w:val="both"/>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5EF8CCE2">
      <w:pPr>
        <w:jc w:val="both"/>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2CF2920D">
      <w:pPr>
        <w:jc w:val="both"/>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18FA88D6">
      <w:pPr>
        <w:jc w:val="both"/>
        <w:rPr>
          <w:rFonts w:hint="eastAsia"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0C49B109">
      <w:pPr>
        <w:bidi w:val="0"/>
        <w:rPr>
          <w:rFonts w:hint="eastAsia"/>
          <w:color w:val="auto"/>
          <w:highlight w:val="none"/>
          <w:lang w:val="en-US" w:eastAsia="zh-CN"/>
        </w:rPr>
      </w:pPr>
      <w:r>
        <w:rPr>
          <w:rFonts w:hint="eastAsia"/>
          <w:color w:val="auto"/>
          <w:highlight w:val="none"/>
          <w:lang w:val="en-US" w:eastAsia="zh-CN"/>
        </w:rPr>
        <w:t>2.7 本次比选不接受联合体参选。</w:t>
      </w:r>
    </w:p>
    <w:p w14:paraId="59020EC2">
      <w:pPr>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8</w:t>
      </w:r>
      <w:r>
        <w:rPr>
          <w:rFonts w:hint="eastAsia" w:ascii="Times New Roman" w:hAnsi="Times New Roman"/>
          <w:color w:val="auto"/>
          <w:highlight w:val="none"/>
        </w:rPr>
        <w:t xml:space="preserve"> 2021年1月1日至今</w:t>
      </w:r>
      <w:r>
        <w:rPr>
          <w:rFonts w:hint="eastAsia"/>
          <w:color w:val="auto"/>
          <w:highlight w:val="none"/>
          <w:lang w:eastAsia="zh-CN"/>
        </w:rPr>
        <w:t>（</w:t>
      </w:r>
      <w:r>
        <w:rPr>
          <w:rFonts w:hint="eastAsia"/>
          <w:color w:val="auto"/>
          <w:highlight w:val="none"/>
          <w:lang w:val="en-US" w:eastAsia="zh-CN"/>
        </w:rPr>
        <w:t>以合同签订时间为准）</w:t>
      </w:r>
      <w:r>
        <w:rPr>
          <w:rFonts w:hint="eastAsia" w:ascii="Times New Roman" w:hAnsi="Times New Roman"/>
          <w:color w:val="auto"/>
          <w:highlight w:val="none"/>
        </w:rPr>
        <w:t>具有银行业金融机构信息安全管理体系咨询</w:t>
      </w:r>
      <w:r>
        <w:rPr>
          <w:rFonts w:ascii="Times New Roman" w:hAnsi="Times New Roman"/>
          <w:color w:val="auto"/>
          <w:highlight w:val="none"/>
        </w:rPr>
        <w:t>服务</w:t>
      </w:r>
      <w:r>
        <w:rPr>
          <w:rFonts w:hint="eastAsia" w:ascii="Times New Roman" w:hAnsi="Times New Roman"/>
          <w:color w:val="auto"/>
          <w:highlight w:val="none"/>
        </w:rPr>
        <w:t>相关实施案例，（需提供合同复印件和项目简介）不少于1个，低于1个案例（不含1个）取消参选资质【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color w:val="auto"/>
          <w:highlight w:val="none"/>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p>
    <w:p w14:paraId="3F3123B2">
      <w:pPr>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9</w:t>
      </w:r>
      <w:r>
        <w:rPr>
          <w:rFonts w:hint="eastAsia" w:ascii="Times New Roman" w:hAnsi="Times New Roman"/>
          <w:color w:val="auto"/>
          <w:highlight w:val="none"/>
        </w:rPr>
        <w:t xml:space="preserve"> 参选人</w:t>
      </w:r>
      <w:r>
        <w:rPr>
          <w:rFonts w:ascii="Times New Roman" w:hAnsi="Times New Roman"/>
          <w:color w:val="auto"/>
          <w:highlight w:val="none"/>
        </w:rPr>
        <w:t>须具有信息安全资质和信息安全技术服务能力，应具备中国网络安全审查与认证中心颁发的风险评估一级资质和信息安全管理体系认证证书。</w:t>
      </w:r>
      <w:r>
        <w:rPr>
          <w:rFonts w:hint="eastAsia" w:ascii="Times New Roman" w:hAnsi="Times New Roman"/>
          <w:color w:val="auto"/>
          <w:highlight w:val="none"/>
        </w:rPr>
        <w:t>【</w:t>
      </w:r>
      <w:r>
        <w:rPr>
          <w:rFonts w:ascii="Times New Roman" w:hAnsi="Times New Roman"/>
          <w:color w:val="auto"/>
          <w:highlight w:val="none"/>
        </w:rPr>
        <w:t>提供资质证明文件和证书扫描件</w:t>
      </w:r>
      <w:r>
        <w:rPr>
          <w:rFonts w:hint="eastAsia" w:ascii="Times New Roman" w:hAnsi="Times New Roman"/>
          <w:color w:val="auto"/>
          <w:highlight w:val="none"/>
        </w:rPr>
        <w:t>】</w:t>
      </w:r>
    </w:p>
    <w:p w14:paraId="4EDEE662">
      <w:pPr>
        <w:jc w:val="both"/>
        <w:rPr>
          <w:rFonts w:ascii="Times New Roman" w:hAnsi="Times New Roman"/>
          <w:color w:val="auto"/>
          <w:highlight w:val="none"/>
        </w:rPr>
      </w:pPr>
      <w:r>
        <w:rPr>
          <w:rFonts w:hint="eastAsia" w:ascii="Times New Roman" w:hAnsi="Times New Roman"/>
          <w:color w:val="auto"/>
          <w:highlight w:val="none"/>
        </w:rPr>
        <w:t>注:以上证明文件若比选人存疑，参选人需提供原件备查，参选文件中须附相关证明文件复印件并逐页加盖公章。</w:t>
      </w:r>
    </w:p>
    <w:p w14:paraId="67268F23">
      <w:pPr>
        <w:bidi w:val="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lang w:val="en-US" w:eastAsia="zh-CN"/>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p w14:paraId="406CD501">
      <w:pPr>
        <w:jc w:val="both"/>
        <w:rPr>
          <w:rFonts w:ascii="Times New Roman" w:hAnsi="Times New Roman"/>
          <w:color w:val="auto"/>
          <w:highlight w:val="none"/>
        </w:rPr>
      </w:pP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AE8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120ADBD4">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53492C57">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3081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E3B542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Borders>
              <w:left w:val="single" w:color="auto" w:sz="4" w:space="0"/>
            </w:tcBorders>
          </w:tcPr>
          <w:p w14:paraId="0F31070C">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bookmarkEnd w:id="16"/>
    </w:tbl>
    <w:p w14:paraId="0C408677">
      <w:pPr>
        <w:pStyle w:val="3"/>
        <w:jc w:val="both"/>
        <w:rPr>
          <w:rFonts w:ascii="Times New Roman" w:hAnsi="Times New Roman"/>
          <w:color w:val="auto"/>
          <w:highlight w:val="none"/>
        </w:rPr>
      </w:pPr>
      <w:bookmarkStart w:id="17" w:name="_Toc55379220"/>
      <w:bookmarkStart w:id="18" w:name="_Toc89675130"/>
      <w:bookmarkStart w:id="19" w:name="_Toc297817090"/>
      <w:bookmarkStart w:id="20" w:name="_Toc469574667"/>
      <w:r>
        <w:rPr>
          <w:rFonts w:hint="eastAsia" w:ascii="Times New Roman" w:hAnsi="Times New Roman"/>
          <w:color w:val="auto"/>
          <w:highlight w:val="none"/>
        </w:rPr>
        <w:t>3. 比选文件的获取</w:t>
      </w:r>
      <w:bookmarkEnd w:id="17"/>
    </w:p>
    <w:p w14:paraId="506AE990">
      <w:pPr>
        <w:bidi w:val="0"/>
        <w:rPr>
          <w:rFonts w:hint="default"/>
          <w:color w:val="auto"/>
          <w:highlight w:val="none"/>
          <w:lang w:val="en-US" w:eastAsia="zh-CN"/>
        </w:rPr>
      </w:pPr>
      <w:bookmarkStart w:id="21" w:name="_Toc55379221"/>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bookmarkStart w:id="279" w:name="_GoBack"/>
      <w:bookmarkEnd w:id="279"/>
    </w:p>
    <w:p w14:paraId="749D9C34">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4CB8D874">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97440CD">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0ADC651">
      <w:pPr>
        <w:pStyle w:val="3"/>
        <w:jc w:val="both"/>
        <w:rPr>
          <w:rFonts w:ascii="Times New Roman" w:hAnsi="Times New Roman"/>
          <w:color w:val="auto"/>
          <w:highlight w:val="none"/>
        </w:rPr>
      </w:pPr>
      <w:r>
        <w:rPr>
          <w:rFonts w:hint="eastAsia" w:ascii="Times New Roman" w:hAnsi="Times New Roman"/>
          <w:color w:val="auto"/>
          <w:highlight w:val="none"/>
        </w:rPr>
        <w:t>4. 参选保证金的递交</w:t>
      </w:r>
      <w:bookmarkEnd w:id="18"/>
      <w:bookmarkEnd w:id="19"/>
      <w:bookmarkEnd w:id="20"/>
      <w:bookmarkEnd w:id="21"/>
    </w:p>
    <w:p w14:paraId="5D1F6840">
      <w:pPr>
        <w:jc w:val="both"/>
        <w:rPr>
          <w:rFonts w:ascii="Times New Roman" w:hAnsi="Times New Roman"/>
          <w:color w:val="auto"/>
          <w:highlight w:val="none"/>
        </w:rPr>
      </w:pPr>
      <w:bookmarkStart w:id="22" w:name="_Toc55379222"/>
      <w:bookmarkStart w:id="23" w:name="_Toc469574668"/>
      <w:bookmarkStart w:id="24" w:name="_Toc297817091"/>
      <w:bookmarkStart w:id="25" w:name="_Toc89675131"/>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5000</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rPr>
        <w:t xml:space="preserve"> </w:t>
      </w:r>
      <w:r>
        <w:rPr>
          <w:rFonts w:ascii="Times New Roman" w:hAnsi="Times New Roman"/>
          <w:b/>
          <w:bCs/>
          <w:color w:val="auto"/>
          <w:highlight w:val="none"/>
          <w:u w:val="single"/>
        </w:rPr>
        <w:t>伍仟元整</w:t>
      </w:r>
      <w:r>
        <w:rPr>
          <w:rFonts w:hint="eastAsia" w:ascii="Times New Roman" w:hAnsi="Times New Roman"/>
          <w:b/>
          <w:bCs/>
          <w:color w:val="auto"/>
          <w:highlight w:val="none"/>
          <w:u w:val="single"/>
        </w:rPr>
        <w:t xml:space="preserve">    </w:t>
      </w:r>
      <w:r>
        <w:rPr>
          <w:rFonts w:hint="eastAsia" w:ascii="Times New Roman" w:hAnsi="Times New Roman"/>
          <w:b/>
          <w:bCs/>
          <w:color w:val="auto"/>
          <w:highlight w:val="none"/>
        </w:rPr>
        <w:t>）</w:t>
      </w:r>
      <w:r>
        <w:rPr>
          <w:rFonts w:hint="eastAsia" w:ascii="Times New Roman" w:hAnsi="Times New Roman"/>
          <w:color w:val="auto"/>
          <w:highlight w:val="none"/>
        </w:rPr>
        <w:t>。</w:t>
      </w:r>
    </w:p>
    <w:p w14:paraId="068E7B52">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07889F33">
      <w:pPr>
        <w:jc w:val="both"/>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ascii="Times New Roman" w:hAnsi="Times New Roman"/>
          <w:b/>
          <w:bCs/>
          <w:color w:val="auto"/>
          <w:highlight w:val="none"/>
          <w:u w:val="single"/>
        </w:rPr>
        <w:t>27001体系咨询及再认证服务</w:t>
      </w:r>
      <w:r>
        <w:rPr>
          <w:rFonts w:hint="eastAsia" w:ascii="Times New Roman" w:hAnsi="Times New Roman"/>
          <w:b/>
          <w:bCs/>
          <w:color w:val="auto"/>
          <w:highlight w:val="none"/>
        </w:rPr>
        <w:t>项目。</w:t>
      </w:r>
    </w:p>
    <w:bookmarkEnd w:id="22"/>
    <w:bookmarkEnd w:id="23"/>
    <w:bookmarkEnd w:id="24"/>
    <w:bookmarkEnd w:id="25"/>
    <w:p w14:paraId="7BBD9F02">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246A3D08">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28FE9CD4">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63D593BE">
      <w:pPr>
        <w:bidi w:val="0"/>
        <w:rPr>
          <w:color w:val="auto"/>
          <w:highlight w:val="none"/>
        </w:rPr>
      </w:pPr>
      <w:r>
        <w:rPr>
          <w:rFonts w:hint="eastAsia"/>
          <w:color w:val="auto"/>
          <w:highlight w:val="none"/>
        </w:rPr>
        <w:t>参选保证金以重庆市公共资源交易中心比选现场展示的保证金交纳情况为准。</w:t>
      </w:r>
    </w:p>
    <w:p w14:paraId="62CBD215">
      <w:pPr>
        <w:pStyle w:val="3"/>
        <w:jc w:val="both"/>
        <w:rPr>
          <w:rFonts w:ascii="Times New Roman" w:hAnsi="Times New Roman"/>
          <w:color w:val="auto"/>
          <w:highlight w:val="none"/>
        </w:rPr>
      </w:pPr>
      <w:r>
        <w:rPr>
          <w:rFonts w:hint="eastAsia" w:ascii="Times New Roman" w:hAnsi="Times New Roman"/>
          <w:color w:val="auto"/>
          <w:highlight w:val="none"/>
        </w:rPr>
        <w:t>5. 参选文件的递交</w:t>
      </w:r>
    </w:p>
    <w:p w14:paraId="156485B0">
      <w:pPr>
        <w:bidi w:val="0"/>
        <w:rPr>
          <w:color w:val="auto"/>
          <w:highlight w:val="none"/>
        </w:rPr>
      </w:pPr>
      <w:bookmarkStart w:id="26" w:name="_Toc89675132"/>
      <w:bookmarkStart w:id="27" w:name="_Toc55379223"/>
      <w:bookmarkStart w:id="28" w:name="_Toc469574669"/>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68D23C08">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color w:val="auto"/>
          <w:highlight w:val="none"/>
          <w:lang w:eastAsia="zh-CN"/>
        </w:rPr>
        <w:t>登录</w:t>
      </w:r>
      <w:r>
        <w:rPr>
          <w:rFonts w:hint="eastAsia"/>
          <w:color w:val="auto"/>
          <w:highlight w:val="none"/>
        </w:rPr>
        <w:t>重庆市公共资源交易网（www.cqggzy.com）查询或递交文件当日见交易中心大厅电子显示屏）。</w:t>
      </w:r>
    </w:p>
    <w:p w14:paraId="26786CC6">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349B41F4">
      <w:pPr>
        <w:pStyle w:val="3"/>
        <w:jc w:val="both"/>
        <w:rPr>
          <w:rFonts w:ascii="Times New Roman" w:hAnsi="Times New Roman"/>
          <w:color w:val="auto"/>
          <w:highlight w:val="none"/>
        </w:rPr>
      </w:pPr>
      <w:r>
        <w:rPr>
          <w:rFonts w:hint="eastAsia" w:ascii="Times New Roman" w:hAnsi="Times New Roman"/>
          <w:color w:val="auto"/>
          <w:highlight w:val="none"/>
        </w:rPr>
        <w:t>6. 发布公告的媒介</w:t>
      </w:r>
      <w:bookmarkEnd w:id="26"/>
      <w:bookmarkEnd w:id="27"/>
      <w:bookmarkEnd w:id="28"/>
    </w:p>
    <w:p w14:paraId="4DC563BE">
      <w:pPr>
        <w:bidi w:val="0"/>
        <w:rPr>
          <w:color w:val="auto"/>
          <w:highlight w:val="none"/>
        </w:rPr>
      </w:pPr>
      <w:bookmarkStart w:id="29" w:name="_Toc55379224"/>
      <w:bookmarkStart w:id="30" w:name="_Toc469574670"/>
      <w:bookmarkStart w:id="31" w:name="_Toc89675133"/>
      <w:bookmarkStart w:id="32" w:name="_Toc250565211"/>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2B88FF2D">
      <w:pPr>
        <w:pStyle w:val="3"/>
        <w:jc w:val="both"/>
        <w:rPr>
          <w:rFonts w:ascii="Times New Roman" w:hAnsi="Times New Roman"/>
          <w:color w:val="auto"/>
          <w:highlight w:val="none"/>
        </w:rPr>
      </w:pPr>
      <w:r>
        <w:rPr>
          <w:rFonts w:hint="eastAsia" w:ascii="Times New Roman" w:hAnsi="Times New Roman"/>
          <w:color w:val="auto"/>
          <w:highlight w:val="none"/>
        </w:rPr>
        <w:t>7. 联系方式</w:t>
      </w:r>
      <w:bookmarkEnd w:id="29"/>
      <w:bookmarkEnd w:id="30"/>
      <w:bookmarkEnd w:id="31"/>
      <w:bookmarkEnd w:id="32"/>
    </w:p>
    <w:tbl>
      <w:tblPr>
        <w:tblStyle w:val="2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F76F565">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2EA9217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586E3144">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6C161811">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项目联系人：朱丽娇</w:t>
            </w:r>
          </w:p>
        </w:tc>
        <w:tc>
          <w:tcPr>
            <w:tcW w:w="5333" w:type="dxa"/>
            <w:tcBorders>
              <w:top w:val="nil"/>
              <w:left w:val="nil"/>
              <w:bottom w:val="nil"/>
              <w:right w:val="single" w:color="auto" w:sz="4" w:space="0"/>
            </w:tcBorders>
            <w:vAlign w:val="top"/>
          </w:tcPr>
          <w:p w14:paraId="736C253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联系方式：023-88170832</w:t>
            </w:r>
          </w:p>
        </w:tc>
      </w:tr>
      <w:tr w14:paraId="510551D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4F00904">
            <w:pPr>
              <w:spacing w:line="360" w:lineRule="auto"/>
              <w:ind w:firstLine="0" w:firstLineChars="0"/>
              <w:jc w:val="left"/>
              <w:rPr>
                <w:rFonts w:hint="eastAsia"/>
                <w:color w:val="auto"/>
                <w:highlight w:val="none"/>
              </w:rPr>
            </w:pPr>
          </w:p>
        </w:tc>
      </w:tr>
      <w:tr w14:paraId="0FC82F9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0323CC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182F2A4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2D9AD01D">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03B69B18">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5960B251">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5333" w:type="dxa"/>
            <w:tcBorders>
              <w:top w:val="nil"/>
              <w:left w:val="nil"/>
              <w:bottom w:val="nil"/>
              <w:right w:val="single" w:color="auto" w:sz="4" w:space="0"/>
            </w:tcBorders>
            <w:vAlign w:val="top"/>
          </w:tcPr>
          <w:p w14:paraId="0132BB2F">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6C5F7D2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D8BE4DE">
            <w:pPr>
              <w:spacing w:line="360" w:lineRule="auto"/>
              <w:ind w:firstLine="0" w:firstLineChars="0"/>
              <w:jc w:val="left"/>
              <w:rPr>
                <w:rFonts w:hint="eastAsia"/>
                <w:color w:val="auto"/>
                <w:highlight w:val="none"/>
              </w:rPr>
            </w:pPr>
          </w:p>
        </w:tc>
      </w:tr>
      <w:tr w14:paraId="79976B1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CBA11BC">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283A31F2">
        <w:tblPrEx>
          <w:tblCellMar>
            <w:top w:w="0" w:type="dxa"/>
            <w:left w:w="108" w:type="dxa"/>
            <w:bottom w:w="0" w:type="dxa"/>
            <w:right w:w="108" w:type="dxa"/>
          </w:tblCellMar>
        </w:tblPrEx>
        <w:tc>
          <w:tcPr>
            <w:tcW w:w="3090" w:type="dxa"/>
            <w:tcBorders>
              <w:top w:val="nil"/>
              <w:left w:val="single" w:color="auto" w:sz="4" w:space="0"/>
              <w:bottom w:val="nil"/>
              <w:right w:val="nil"/>
            </w:tcBorders>
            <w:vAlign w:val="top"/>
          </w:tcPr>
          <w:p w14:paraId="301875FD">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vAlign w:val="top"/>
          </w:tcPr>
          <w:p w14:paraId="34C1C843">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661F250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09EF3E0">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71349EAC">
      <w:pPr>
        <w:rPr>
          <w:rFonts w:ascii="Times New Roman" w:hAnsi="Times New Roman"/>
          <w:color w:val="auto"/>
          <w:highlight w:val="none"/>
        </w:rPr>
      </w:pPr>
    </w:p>
    <w:p w14:paraId="79181197">
      <w:pPr>
        <w:spacing w:line="240" w:lineRule="auto"/>
        <w:ind w:firstLine="0" w:firstLineChars="0"/>
        <w:jc w:val="right"/>
        <w:rPr>
          <w:rFonts w:hint="eastAsia" w:ascii="Times New Roman" w:hAnsi="Times New Roman"/>
          <w:color w:val="auto"/>
          <w:highlight w:val="none"/>
        </w:rPr>
      </w:pPr>
    </w:p>
    <w:p w14:paraId="30051E3C">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7B616E14">
      <w:pPr>
        <w:jc w:val="right"/>
        <w:rPr>
          <w:rFonts w:ascii="Times New Roman" w:hAnsi="Times New Roman"/>
          <w:color w:val="auto"/>
          <w:highlight w:val="none"/>
        </w:rPr>
      </w:pPr>
      <w:r>
        <w:rPr>
          <w:rFonts w:hint="eastAsia" w:ascii="Times New Roman" w:hAnsi="Times New Roman"/>
          <w:color w:val="auto"/>
          <w:highlight w:val="none"/>
        </w:rPr>
        <w:t>202</w:t>
      </w:r>
      <w:r>
        <w:rPr>
          <w:rFonts w:hint="eastAsia"/>
          <w:color w:val="auto"/>
          <w:highlight w:val="none"/>
          <w:lang w:val="en-US" w:eastAsia="zh-CN"/>
        </w:rPr>
        <w:t>4</w:t>
      </w:r>
      <w:r>
        <w:rPr>
          <w:rFonts w:hint="eastAsia" w:ascii="Times New Roman" w:hAnsi="Times New Roman"/>
          <w:color w:val="auto"/>
          <w:highlight w:val="none"/>
        </w:rPr>
        <w:t>年</w:t>
      </w:r>
      <w:r>
        <w:rPr>
          <w:rFonts w:hint="eastAsia"/>
          <w:color w:val="auto"/>
          <w:highlight w:val="none"/>
          <w:lang w:val="en-US" w:eastAsia="zh-CN"/>
        </w:rPr>
        <w:t>12</w:t>
      </w:r>
      <w:r>
        <w:rPr>
          <w:rFonts w:hint="eastAsia" w:ascii="Times New Roman" w:hAnsi="Times New Roman"/>
          <w:color w:val="auto"/>
          <w:highlight w:val="none"/>
        </w:rPr>
        <w:t>月</w:t>
      </w:r>
      <w:r>
        <w:rPr>
          <w:rFonts w:hint="eastAsia"/>
          <w:color w:val="auto"/>
          <w:highlight w:val="none"/>
          <w:lang w:val="en-US" w:eastAsia="zh-CN"/>
        </w:rPr>
        <w:t>10</w:t>
      </w:r>
      <w:r>
        <w:rPr>
          <w:rFonts w:hint="eastAsia" w:ascii="Times New Roman" w:hAnsi="Times New Roman"/>
          <w:color w:val="auto"/>
          <w:highlight w:val="none"/>
        </w:rPr>
        <w:t>日</w:t>
      </w:r>
    </w:p>
    <w:p w14:paraId="2ED86556">
      <w:pPr>
        <w:ind w:firstLine="0" w:firstLineChars="0"/>
        <w:rPr>
          <w:rFonts w:ascii="Times New Roman" w:hAnsi="Times New Roman"/>
          <w:color w:val="auto"/>
          <w:highlight w:val="none"/>
        </w:rPr>
      </w:pPr>
    </w:p>
    <w:p w14:paraId="568A64A4">
      <w:pPr>
        <w:ind w:firstLine="0" w:firstLineChars="0"/>
        <w:rPr>
          <w:rFonts w:ascii="Times New Roman" w:hAnsi="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6560744B">
      <w:pPr>
        <w:pStyle w:val="2"/>
        <w:rPr>
          <w:rFonts w:ascii="Times New Roman" w:hAnsi="Times New Roman"/>
          <w:color w:val="auto"/>
          <w:highlight w:val="none"/>
        </w:rPr>
      </w:pPr>
      <w:bookmarkStart w:id="33" w:name="_Toc19252"/>
      <w:r>
        <w:rPr>
          <w:rFonts w:hint="eastAsia" w:ascii="Times New Roman" w:hAnsi="Times New Roman"/>
          <w:color w:val="auto"/>
          <w:highlight w:val="none"/>
        </w:rPr>
        <w:t>第二章 参选人须知</w:t>
      </w:r>
      <w:bookmarkEnd w:id="7"/>
      <w:bookmarkEnd w:id="8"/>
      <w:bookmarkEnd w:id="9"/>
      <w:bookmarkEnd w:id="33"/>
    </w:p>
    <w:p w14:paraId="420E4EBB">
      <w:pPr>
        <w:pStyle w:val="3"/>
        <w:jc w:val="both"/>
        <w:rPr>
          <w:rFonts w:ascii="Times New Roman" w:hAnsi="Times New Roman"/>
          <w:color w:val="auto"/>
          <w:highlight w:val="none"/>
        </w:rPr>
      </w:pPr>
      <w:bookmarkStart w:id="34" w:name="_Toc89675160"/>
      <w:r>
        <w:rPr>
          <w:rFonts w:hint="eastAsia" w:ascii="Times New Roman" w:hAnsi="Times New Roman"/>
          <w:color w:val="auto"/>
          <w:highlight w:val="none"/>
        </w:rPr>
        <w:t>1. 项目信息</w:t>
      </w:r>
    </w:p>
    <w:p w14:paraId="0A562602">
      <w:pPr>
        <w:pStyle w:val="4"/>
        <w:jc w:val="both"/>
        <w:rPr>
          <w:rFonts w:ascii="Times New Roman" w:hAnsi="Times New Roman"/>
          <w:color w:val="auto"/>
          <w:highlight w:val="none"/>
        </w:rPr>
      </w:pPr>
      <w:r>
        <w:rPr>
          <w:rFonts w:hint="eastAsia" w:ascii="Times New Roman" w:hAnsi="Times New Roman"/>
          <w:color w:val="auto"/>
          <w:highlight w:val="none"/>
        </w:rPr>
        <w:t>1.1 比选人</w:t>
      </w:r>
    </w:p>
    <w:p w14:paraId="7FC8CCDF">
      <w:pPr>
        <w:jc w:val="both"/>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42594769">
      <w:pPr>
        <w:pStyle w:val="4"/>
        <w:jc w:val="both"/>
        <w:rPr>
          <w:rFonts w:ascii="Times New Roman" w:hAnsi="Times New Roman"/>
          <w:color w:val="auto"/>
          <w:highlight w:val="none"/>
        </w:rPr>
      </w:pPr>
      <w:r>
        <w:rPr>
          <w:rFonts w:hint="eastAsia" w:ascii="Times New Roman" w:hAnsi="Times New Roman"/>
          <w:color w:val="auto"/>
          <w:highlight w:val="none"/>
        </w:rPr>
        <w:t>1.2 最高限价</w:t>
      </w:r>
    </w:p>
    <w:p w14:paraId="1D4E82AD">
      <w:pPr>
        <w:jc w:val="both"/>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rPr>
        <w:t xml:space="preserve">  </w:t>
      </w:r>
      <w:r>
        <w:rPr>
          <w:rFonts w:ascii="Times New Roman" w:hAnsi="Times New Roman"/>
          <w:color w:val="auto"/>
          <w:highlight w:val="none"/>
          <w:u w:val="single"/>
        </w:rPr>
        <w:t>277000元</w:t>
      </w:r>
      <w:r>
        <w:rPr>
          <w:rFonts w:hint="eastAsia" w:ascii="Times New Roman" w:hAnsi="Times New Roman"/>
          <w:color w:val="auto"/>
          <w:highlight w:val="none"/>
        </w:rPr>
        <w:t>（人民币大写：</w:t>
      </w:r>
      <w:r>
        <w:rPr>
          <w:rFonts w:hint="eastAsia" w:ascii="Times New Roman" w:hAnsi="Times New Roman"/>
          <w:color w:val="auto"/>
          <w:highlight w:val="none"/>
          <w:u w:val="single"/>
        </w:rPr>
        <w:t xml:space="preserve">  </w:t>
      </w:r>
      <w:r>
        <w:rPr>
          <w:rFonts w:ascii="Times New Roman" w:hAnsi="Times New Roman"/>
          <w:color w:val="auto"/>
          <w:highlight w:val="none"/>
          <w:u w:val="single"/>
        </w:rPr>
        <w:t>贰拾柒万柒仟元整</w:t>
      </w:r>
      <w:r>
        <w:rPr>
          <w:rFonts w:hint="eastAsia" w:ascii="Times New Roman" w:hAnsi="Times New Roman"/>
          <w:color w:val="auto"/>
          <w:highlight w:val="none"/>
          <w:u w:val="single"/>
        </w:rPr>
        <w:t xml:space="preserve">   </w:t>
      </w:r>
      <w:r>
        <w:rPr>
          <w:rFonts w:hint="eastAsia" w:ascii="Times New Roman" w:hAnsi="Times New Roman"/>
          <w:color w:val="auto"/>
          <w:highlight w:val="none"/>
        </w:rPr>
        <w:t>）。</w:t>
      </w:r>
    </w:p>
    <w:p w14:paraId="2B47C1D3">
      <w:pPr>
        <w:pStyle w:val="4"/>
        <w:jc w:val="both"/>
        <w:rPr>
          <w:rFonts w:ascii="Times New Roman" w:hAnsi="Times New Roman"/>
          <w:color w:val="auto"/>
          <w:highlight w:val="none"/>
        </w:rPr>
      </w:pPr>
      <w:r>
        <w:rPr>
          <w:rFonts w:hint="eastAsia" w:ascii="Times New Roman" w:hAnsi="Times New Roman"/>
          <w:color w:val="auto"/>
          <w:highlight w:val="none"/>
        </w:rPr>
        <w:t>1.3 项目概况</w:t>
      </w:r>
    </w:p>
    <w:bookmarkEnd w:id="34"/>
    <w:p w14:paraId="2D4CEAA3">
      <w:pPr>
        <w:jc w:val="both"/>
        <w:rPr>
          <w:rFonts w:ascii="Times New Roman" w:hAnsi="Times New Roman"/>
          <w:color w:val="auto"/>
          <w:highlight w:val="none"/>
        </w:rPr>
      </w:pPr>
      <w:bookmarkStart w:id="35" w:name="_Toc89675161"/>
      <w:r>
        <w:rPr>
          <w:rFonts w:ascii="Times New Roman" w:hAnsi="Times New Roman"/>
          <w:color w:val="auto"/>
          <w:highlight w:val="none"/>
        </w:rPr>
        <w:t>信息安全管理体系标准已由ISO/IEC 27001:2013更新为ISO/IEC 27001:2022，为维持证书有效性，比选人需依据新标准重新构建信息安全管理体系，完成换版及再认证工作，需采购信息安全管理体系咨询及再认证服务。</w:t>
      </w:r>
    </w:p>
    <w:p w14:paraId="016BD5E3">
      <w:pPr>
        <w:pStyle w:val="4"/>
        <w:bidi w:val="0"/>
        <w:rPr>
          <w:color w:val="auto"/>
          <w:highlight w:val="none"/>
        </w:rPr>
      </w:pPr>
      <w:r>
        <w:rPr>
          <w:rFonts w:hint="eastAsia"/>
          <w:color w:val="auto"/>
          <w:highlight w:val="none"/>
        </w:rPr>
        <w:t>1.4 项目目标</w:t>
      </w:r>
    </w:p>
    <w:p w14:paraId="5A6EDEC1">
      <w:pPr>
        <w:jc w:val="both"/>
        <w:rPr>
          <w:rFonts w:ascii="Times New Roman" w:hAnsi="Times New Roman"/>
          <w:color w:val="auto"/>
          <w:highlight w:val="none"/>
        </w:rPr>
      </w:pPr>
      <w:r>
        <w:rPr>
          <w:rFonts w:ascii="Times New Roman" w:hAnsi="Times New Roman"/>
          <w:color w:val="auto"/>
          <w:highlight w:val="none"/>
        </w:rPr>
        <w:t>提供信息安全管理体系咨询及再认证服务。一是协助比选人根据信息安全管理体系新标准，完成信息安全管理体系换版工作；二是顺利获得信息安全管理体系证书。</w:t>
      </w:r>
    </w:p>
    <w:bookmarkEnd w:id="35"/>
    <w:p w14:paraId="78D27E40">
      <w:pPr>
        <w:pStyle w:val="3"/>
        <w:bidi w:val="0"/>
        <w:rPr>
          <w:color w:val="auto"/>
          <w:highlight w:val="none"/>
        </w:rPr>
      </w:pPr>
      <w:bookmarkStart w:id="36" w:name="_Toc11825"/>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7" w:name="_Toc89675162"/>
      <w:r>
        <w:rPr>
          <w:rFonts w:hint="eastAsia"/>
          <w:color w:val="auto"/>
          <w:highlight w:val="none"/>
          <w:lang w:val="en-US" w:eastAsia="zh-CN"/>
        </w:rPr>
        <w:t xml:space="preserve">3. </w:t>
      </w:r>
      <w:r>
        <w:rPr>
          <w:rFonts w:hint="eastAsia"/>
          <w:color w:val="auto"/>
          <w:highlight w:val="none"/>
        </w:rPr>
        <w:t>比选文件</w:t>
      </w:r>
      <w:bookmarkEnd w:id="37"/>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38" w:name="_Toc89675163"/>
      <w:r>
        <w:rPr>
          <w:rFonts w:hint="eastAsia"/>
          <w:color w:val="auto"/>
          <w:highlight w:val="none"/>
          <w:lang w:val="en-US" w:eastAsia="zh-CN"/>
        </w:rPr>
        <w:t xml:space="preserve">4. </w:t>
      </w:r>
      <w:r>
        <w:rPr>
          <w:color w:val="auto"/>
          <w:highlight w:val="none"/>
        </w:rPr>
        <w:t>参选</w:t>
      </w:r>
      <w:bookmarkEnd w:id="38"/>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39"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9"/>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40" w:name="_Toc89675168"/>
      <w:bookmarkStart w:id="41" w:name="_Toc12245"/>
      <w:r>
        <w:rPr>
          <w:rFonts w:hint="eastAsia"/>
          <w:color w:val="auto"/>
          <w:highlight w:val="none"/>
          <w:lang w:val="en-US" w:eastAsia="zh-CN"/>
        </w:rPr>
        <w:t xml:space="preserve">8. </w:t>
      </w:r>
      <w:r>
        <w:rPr>
          <w:rFonts w:hint="eastAsia"/>
          <w:color w:val="auto"/>
          <w:highlight w:val="none"/>
        </w:rPr>
        <w:t>签订合同</w:t>
      </w:r>
      <w:bookmarkEnd w:id="40"/>
      <w:bookmarkEnd w:id="41"/>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42"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color w:val="auto"/>
          <w:highlight w:val="none"/>
        </w:rPr>
      </w:pPr>
      <w:r>
        <w:rPr>
          <w:rFonts w:hint="eastAsia"/>
          <w:color w:val="auto"/>
          <w:highlight w:val="none"/>
        </w:rPr>
        <w:t>采购质疑邮箱：</w:t>
      </w:r>
      <w:r>
        <w:rPr>
          <w:color w:val="auto"/>
          <w:highlight w:val="none"/>
        </w:rPr>
        <w:t>sx.jcb@ccqtgb.com</w:t>
      </w:r>
    </w:p>
    <w:p w14:paraId="182846CA">
      <w:pPr>
        <w:bidi w:val="0"/>
        <w:rPr>
          <w:rFonts w:hint="eastAsia"/>
          <w:color w:val="auto"/>
          <w:highlight w:val="none"/>
        </w:rPr>
      </w:pPr>
      <w:r>
        <w:rPr>
          <w:rFonts w:hint="eastAsia"/>
          <w:color w:val="auto"/>
          <w:highlight w:val="none"/>
        </w:rPr>
        <w:t>采购投诉邮箱：</w:t>
      </w:r>
      <w:bookmarkStart w:id="43" w:name="_Hlk74215856"/>
      <w:r>
        <w:rPr>
          <w:rFonts w:hint="eastAsia"/>
          <w:color w:val="auto"/>
          <w:highlight w:val="none"/>
        </w:rPr>
        <w:t>sxyhjjz@</w:t>
      </w:r>
      <w:r>
        <w:rPr>
          <w:color w:val="auto"/>
          <w:highlight w:val="none"/>
        </w:rPr>
        <w:t>ccqtgb</w:t>
      </w:r>
      <w:r>
        <w:rPr>
          <w:rFonts w:hint="eastAsia"/>
          <w:color w:val="auto"/>
          <w:highlight w:val="none"/>
        </w:rPr>
        <w:t>.com</w:t>
      </w:r>
      <w:bookmarkEnd w:id="43"/>
    </w:p>
    <w:p w14:paraId="69334E8C">
      <w:pPr>
        <w:pStyle w:val="3"/>
        <w:bidi w:val="0"/>
        <w:rPr>
          <w:rFonts w:hint="eastAsia"/>
          <w:color w:val="auto"/>
          <w:highlight w:val="none"/>
        </w:rPr>
      </w:pPr>
      <w:bookmarkStart w:id="44" w:name="_Toc275199618"/>
      <w:bookmarkStart w:id="45" w:name="_Toc89675157"/>
      <w:bookmarkStart w:id="46" w:name="_Toc15059431"/>
      <w:bookmarkStart w:id="47" w:name="_Toc11439"/>
      <w:bookmarkStart w:id="48" w:name="_Toc440628924"/>
      <w:r>
        <w:rPr>
          <w:rFonts w:hint="eastAsia"/>
          <w:color w:val="auto"/>
          <w:highlight w:val="none"/>
          <w:lang w:val="en-US" w:eastAsia="zh-CN"/>
        </w:rPr>
        <w:t xml:space="preserve">11. </w:t>
      </w:r>
      <w:r>
        <w:rPr>
          <w:rFonts w:hint="eastAsia"/>
          <w:color w:val="auto"/>
          <w:highlight w:val="none"/>
        </w:rPr>
        <w:t>无效参选条款</w:t>
      </w:r>
      <w:bookmarkEnd w:id="44"/>
      <w:bookmarkEnd w:id="45"/>
      <w:bookmarkEnd w:id="46"/>
      <w:bookmarkEnd w:id="47"/>
      <w:bookmarkEnd w:id="48"/>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42"/>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8000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7B5EE4A9">
      <w:pPr>
        <w:pStyle w:val="2"/>
        <w:rPr>
          <w:rFonts w:ascii="Times New Roman" w:hAnsi="Times New Roman"/>
          <w:color w:val="auto"/>
          <w:highlight w:val="none"/>
        </w:rPr>
      </w:pPr>
      <w:bookmarkStart w:id="49" w:name="_Toc17265"/>
      <w:r>
        <w:rPr>
          <w:rFonts w:hint="eastAsia" w:ascii="Times New Roman" w:hAnsi="Times New Roman"/>
          <w:color w:val="auto"/>
          <w:highlight w:val="none"/>
        </w:rPr>
        <w:t>第三章 项目要求</w:t>
      </w:r>
      <w:bookmarkEnd w:id="36"/>
      <w:bookmarkEnd w:id="49"/>
    </w:p>
    <w:p w14:paraId="71B9A2C3">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w:t>
      </w:r>
      <w:r>
        <w:rPr>
          <w:rFonts w:hint="eastAsia" w:ascii="Times New Roman" w:hAnsi="Times New Roman"/>
          <w:color w:val="auto"/>
          <w:highlight w:val="none"/>
        </w:rPr>
        <w:t>总体要求</w:t>
      </w:r>
    </w:p>
    <w:p w14:paraId="0CF462A4">
      <w:pPr>
        <w:jc w:val="both"/>
        <w:rPr>
          <w:color w:val="auto"/>
          <w:highlight w:val="none"/>
        </w:rPr>
      </w:pPr>
      <w:r>
        <w:rPr>
          <w:rFonts w:hint="eastAsia" w:ascii="Times New Roman" w:hAnsi="Times New Roman"/>
          <w:color w:val="auto"/>
          <w:highlight w:val="none"/>
        </w:rPr>
        <w:t>服务应满足比选人及主办方要求</w:t>
      </w:r>
      <w:r>
        <w:rPr>
          <w:rFonts w:ascii="Times New Roman" w:hAnsi="Times New Roman"/>
          <w:color w:val="auto"/>
          <w:highlight w:val="none"/>
        </w:rPr>
        <w:t>，涵盖信息安全管理体系咨询服务和信息安全管理体系再认证服务。</w:t>
      </w:r>
    </w:p>
    <w:p w14:paraId="73A6CD3E">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2.</w:t>
      </w:r>
      <w:r>
        <w:rPr>
          <w:rFonts w:ascii="Times New Roman" w:hAnsi="Times New Roman" w:cs="Times New Roman"/>
          <w:color w:val="auto"/>
          <w:kern w:val="0"/>
          <w:highlight w:val="none"/>
        </w:rPr>
        <w:t>服务内容</w:t>
      </w:r>
    </w:p>
    <w:p w14:paraId="03300494">
      <w:pPr>
        <w:pStyle w:val="4"/>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服务范围</w:t>
      </w:r>
    </w:p>
    <w:p w14:paraId="2C04EF58">
      <w:pPr>
        <w:jc w:val="both"/>
        <w:rPr>
          <w:color w:val="auto"/>
          <w:highlight w:val="none"/>
        </w:rPr>
      </w:pPr>
      <w:r>
        <w:rPr>
          <w:color w:val="auto"/>
          <w:highlight w:val="none"/>
        </w:rPr>
        <w:t>一是信息安全管理体系咨询服务，协助比选人根据信息安全管理体系新标准，完成信息安全管理体系换版工作；二是信息安全管理体系再认证服务，换版后通过再认证，顺利获得信息安全管理体系证书。</w:t>
      </w:r>
    </w:p>
    <w:p w14:paraId="079058F4">
      <w:pPr>
        <w:pStyle w:val="4"/>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.2 </w:t>
      </w:r>
      <w:r>
        <w:rPr>
          <w:rFonts w:hint="eastAsia" w:ascii="Times New Roman" w:hAnsi="Times New Roman"/>
          <w:color w:val="auto"/>
          <w:highlight w:val="none"/>
        </w:rPr>
        <w:t>服务时间</w:t>
      </w:r>
    </w:p>
    <w:p w14:paraId="23B8286F">
      <w:pPr>
        <w:spacing w:line="360" w:lineRule="auto"/>
        <w:jc w:val="both"/>
        <w:rPr>
          <w:color w:val="auto"/>
          <w:highlight w:val="none"/>
        </w:rPr>
      </w:pPr>
      <w:r>
        <w:rPr>
          <w:rFonts w:hint="eastAsia" w:ascii="Times New Roman" w:hAnsi="Times New Roman"/>
          <w:color w:val="auto"/>
          <w:highlight w:val="none"/>
        </w:rPr>
        <w:t>自合同签订之日起，服务期至</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完成信息安全管理体系换版工作及顺利获取信息安全管理体系证书</w:t>
      </w:r>
      <w:r>
        <w:rPr>
          <w:rFonts w:ascii="Times New Roman" w:hAnsi="Times New Roman"/>
          <w:color w:val="auto"/>
          <w:highlight w:val="none"/>
        </w:rPr>
        <w:t>，</w:t>
      </w:r>
      <w:r>
        <w:rPr>
          <w:rFonts w:hint="eastAsia" w:ascii="Times New Roman" w:hAnsi="Times New Roman"/>
          <w:color w:val="auto"/>
          <w:highlight w:val="none"/>
        </w:rPr>
        <w:t>协助</w:t>
      </w:r>
      <w:r>
        <w:rPr>
          <w:rFonts w:hint="eastAsia" w:ascii="Times New Roman" w:hAnsi="Times New Roman"/>
          <w:color w:val="auto"/>
          <w:highlight w:val="none"/>
          <w:lang w:val="en-US" w:eastAsia="zh-CN"/>
        </w:rPr>
        <w:t>比选人</w:t>
      </w:r>
      <w:r>
        <w:rPr>
          <w:rFonts w:hint="eastAsia" w:ascii="Times New Roman" w:hAnsi="Times New Roman"/>
          <w:color w:val="auto"/>
          <w:highlight w:val="none"/>
        </w:rPr>
        <w:t>构建的信息安全管理体系试运行三个月且</w:t>
      </w:r>
      <w:r>
        <w:rPr>
          <w:rFonts w:ascii="Times New Roman" w:hAnsi="Times New Roman"/>
          <w:color w:val="auto"/>
          <w:highlight w:val="none"/>
        </w:rPr>
        <w:t>比选人</w:t>
      </w:r>
      <w:r>
        <w:rPr>
          <w:rFonts w:hint="eastAsia" w:ascii="Times New Roman" w:hAnsi="Times New Roman"/>
          <w:color w:val="auto"/>
          <w:highlight w:val="none"/>
        </w:rPr>
        <w:t>验收通过。</w:t>
      </w:r>
    </w:p>
    <w:p w14:paraId="47806ACD">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3.</w:t>
      </w:r>
      <w:r>
        <w:rPr>
          <w:rFonts w:ascii="Times New Roman" w:hAnsi="Times New Roman" w:cs="Times New Roman"/>
          <w:color w:val="auto"/>
          <w:kern w:val="0"/>
          <w:highlight w:val="none"/>
        </w:rPr>
        <w:t>实施要求</w:t>
      </w:r>
    </w:p>
    <w:p w14:paraId="05CBBBEA">
      <w:pPr>
        <w:jc w:val="both"/>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）参选人需按照服务内容和范围，制定详细的</w:t>
      </w:r>
      <w:r>
        <w:rPr>
          <w:rFonts w:ascii="Times New Roman" w:hAnsi="Times New Roman"/>
          <w:color w:val="auto"/>
          <w:highlight w:val="none"/>
        </w:rPr>
        <w:t>实施方案</w:t>
      </w:r>
      <w:r>
        <w:rPr>
          <w:rFonts w:hint="eastAsia" w:ascii="Times New Roman" w:hAnsi="Times New Roman"/>
          <w:color w:val="auto"/>
          <w:highlight w:val="none"/>
        </w:rPr>
        <w:t>，实施方案中至少应包含</w:t>
      </w:r>
      <w:r>
        <w:rPr>
          <w:rFonts w:ascii="Times New Roman" w:hAnsi="Times New Roman"/>
          <w:color w:val="auto"/>
          <w:highlight w:val="none"/>
        </w:rPr>
        <w:t>人员组织安排计划、信息安全风险评估、信息安全管理体系设计方案、信息安全管理体系运行和优化方案、信息安全管理体系内审流程培训等</w:t>
      </w:r>
      <w:r>
        <w:rPr>
          <w:rFonts w:hint="eastAsia" w:ascii="Times New Roman" w:hAnsi="Times New Roman"/>
          <w:color w:val="auto"/>
          <w:highlight w:val="none"/>
        </w:rPr>
        <w:t>。</w:t>
      </w:r>
    </w:p>
    <w:p w14:paraId="56A3CC18">
      <w:pPr>
        <w:jc w:val="both"/>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）参选人项目组在作业现场必须严格遵守我行外包人员行为管理要求和规范。</w:t>
      </w:r>
    </w:p>
    <w:p w14:paraId="3827F560">
      <w:pPr>
        <w:jc w:val="both"/>
        <w:rPr>
          <w:rFonts w:ascii="Times New Roman" w:hAnsi="Times New Roman"/>
          <w:color w:val="auto"/>
          <w:highlight w:val="none"/>
        </w:rPr>
      </w:pPr>
      <w:r>
        <w:rPr>
          <w:rFonts w:ascii="Times New Roman" w:hAnsi="Times New Roman"/>
          <w:color w:val="auto"/>
          <w:highlight w:val="none"/>
        </w:rPr>
        <w:t>3）在本项目实施周期内，如遇到任何可能影响项目进展的事件，需要及时通告比选人，提出相应处理方案，并在比选人认可后方可执行处理方案。</w:t>
      </w:r>
    </w:p>
    <w:p w14:paraId="32939444">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4.</w:t>
      </w:r>
      <w:r>
        <w:rPr>
          <w:rFonts w:ascii="Times New Roman" w:hAnsi="Times New Roman" w:cs="Times New Roman"/>
          <w:color w:val="auto"/>
          <w:kern w:val="0"/>
          <w:highlight w:val="none"/>
        </w:rPr>
        <w:t>人员要求</w:t>
      </w:r>
    </w:p>
    <w:p w14:paraId="431DF886">
      <w:pPr>
        <w:jc w:val="both"/>
        <w:rPr>
          <w:rFonts w:ascii="Times New Roman" w:hAnsi="Times New Roman"/>
          <w:color w:val="auto"/>
          <w:highlight w:val="none"/>
        </w:rPr>
      </w:pPr>
      <w:r>
        <w:rPr>
          <w:rFonts w:hint="eastAsia" w:ascii="Times New Roman" w:hAnsi="Times New Roman"/>
          <w:color w:val="auto"/>
          <w:highlight w:val="none"/>
        </w:rPr>
        <w:t>参选人项目成员应具备如下资质，我行有权对项目人员资质进行审核，参选人应提供项目成员的相关资质材料（如专业认证证书、参与过相关项目证明材料等）。</w:t>
      </w:r>
    </w:p>
    <w:p w14:paraId="4B1668CA">
      <w:pPr>
        <w:jc w:val="both"/>
        <w:rPr>
          <w:rFonts w:hint="eastAsia"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参选人应承诺未征得我行同意的情况下不得更换项目成员。</w:t>
      </w:r>
    </w:p>
    <w:p w14:paraId="713CC80A">
      <w:pPr>
        <w:jc w:val="both"/>
        <w:rPr>
          <w:rFonts w:ascii="Times New Roman" w:hAnsi="Times New Roman"/>
          <w:color w:val="auto"/>
          <w:highlight w:val="none"/>
        </w:rPr>
      </w:pPr>
      <w:r>
        <w:rPr>
          <w:rFonts w:hint="eastAsia" w:ascii="Times New Roman" w:hAnsi="Times New Roman"/>
          <w:color w:val="auto"/>
          <w:highlight w:val="none"/>
        </w:rPr>
        <w:t>2）咨询服务人员必须为参选人单位员工，</w:t>
      </w:r>
      <w:r>
        <w:rPr>
          <w:rFonts w:ascii="Times New Roman" w:hAnsi="Times New Roman"/>
          <w:color w:val="auto"/>
          <w:highlight w:val="none"/>
        </w:rPr>
        <w:t>咨询服务人员须提供近三个月公司为其缴纳社保的证明材料，不得外包其他单位员工。（咨询服务人员参保单位为参选人或委托第三方公司代缴，均认定有效；若咨询服务人员社保委托第三方公司代缴，需提供代缴材料证明。）</w:t>
      </w:r>
    </w:p>
    <w:p w14:paraId="544CF94E">
      <w:pPr>
        <w:jc w:val="both"/>
        <w:rPr>
          <w:rFonts w:ascii="Times New Roman" w:hAnsi="Times New Roman"/>
          <w:color w:val="auto"/>
          <w:highlight w:val="none"/>
        </w:rPr>
      </w:pPr>
      <w:r>
        <w:rPr>
          <w:rFonts w:hint="eastAsia" w:ascii="Times New Roman" w:hAnsi="Times New Roman"/>
          <w:color w:val="auto"/>
          <w:highlight w:val="none"/>
        </w:rPr>
        <w:t>3）项目经理须具有</w:t>
      </w:r>
      <w:r>
        <w:rPr>
          <w:rFonts w:ascii="Times New Roman" w:hAnsi="Times New Roman"/>
          <w:color w:val="auto"/>
          <w:highlight w:val="none"/>
        </w:rPr>
        <w:t>3</w:t>
      </w:r>
      <w:r>
        <w:rPr>
          <w:rFonts w:hint="eastAsia" w:ascii="Times New Roman" w:hAnsi="Times New Roman"/>
          <w:color w:val="auto"/>
          <w:highlight w:val="none"/>
        </w:rPr>
        <w:t>年及以上相关工作经历，且担任过至少1个</w:t>
      </w:r>
      <w:r>
        <w:rPr>
          <w:rFonts w:ascii="Times New Roman" w:hAnsi="Times New Roman"/>
          <w:color w:val="auto"/>
          <w:highlight w:val="none"/>
        </w:rPr>
        <w:t>相关项目的实施经验。</w:t>
      </w:r>
    </w:p>
    <w:p w14:paraId="6C0DBCCB">
      <w:pPr>
        <w:jc w:val="both"/>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）项目组成员若有违约违规行为将由参选人承担责任。</w:t>
      </w:r>
    </w:p>
    <w:p w14:paraId="28F79F46">
      <w:pPr>
        <w:jc w:val="both"/>
        <w:rPr>
          <w:rFonts w:hint="eastAsia" w:ascii="Times New Roman" w:hAnsi="Times New Roman"/>
          <w:color w:val="auto"/>
          <w:highlight w:val="none"/>
        </w:rPr>
      </w:pPr>
      <w:r>
        <w:rPr>
          <w:rFonts w:hint="eastAsia" w:ascii="Times New Roman" w:hAnsi="Times New Roman"/>
          <w:color w:val="auto"/>
          <w:highlight w:val="none"/>
        </w:rPr>
        <w:t>5）需提供人员简历信息，同时，比选人将对所提供的人员进行审核，达不到我行要求的将要求替换。</w:t>
      </w:r>
    </w:p>
    <w:p w14:paraId="2CE38B0C">
      <w:pPr>
        <w:jc w:val="both"/>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提供：1、拟供人员简历；2、拟供人员专业认证证书及</w:t>
      </w:r>
      <w:r>
        <w:rPr>
          <w:rFonts w:hint="eastAsia" w:ascii="Times New Roman" w:hAnsi="Times New Roman"/>
          <w:color w:val="auto"/>
          <w:highlight w:val="none"/>
        </w:rPr>
        <w:t>参与过相关项目证明材料</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3、咨询服务人员的社保缴纳证明及相关材料</w:t>
      </w:r>
      <w:r>
        <w:rPr>
          <w:rFonts w:hint="eastAsia" w:ascii="Times New Roman" w:hAnsi="Times New Roman"/>
          <w:color w:val="auto"/>
          <w:highlight w:val="none"/>
          <w:lang w:eastAsia="zh-CN"/>
        </w:rPr>
        <w:t>】</w:t>
      </w:r>
    </w:p>
    <w:p w14:paraId="371C1E56">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5.</w:t>
      </w:r>
      <w:r>
        <w:rPr>
          <w:rFonts w:ascii="Times New Roman" w:hAnsi="Times New Roman"/>
          <w:color w:val="auto"/>
          <w:highlight w:val="none"/>
        </w:rPr>
        <w:t>服务</w:t>
      </w:r>
    </w:p>
    <w:p w14:paraId="283E4CBE">
      <w:pPr>
        <w:jc w:val="both"/>
        <w:rPr>
          <w:rFonts w:ascii="Times New Roman" w:hAnsi="Times New Roman"/>
          <w:color w:val="auto"/>
          <w:highlight w:val="none"/>
        </w:rPr>
      </w:pPr>
      <w:bookmarkStart w:id="50" w:name="_Toc89675146"/>
      <w:bookmarkStart w:id="51" w:name="_Toc15059420"/>
      <w:bookmarkStart w:id="52" w:name="_Toc387826347"/>
      <w:bookmarkStart w:id="53" w:name="_Toc432254881"/>
      <w:bookmarkStart w:id="54" w:name="_Toc1125"/>
      <w:bookmarkStart w:id="55" w:name="_Toc440628915"/>
      <w:r>
        <w:rPr>
          <w:rFonts w:hint="eastAsia" w:ascii="Times New Roman" w:hAnsi="Times New Roman"/>
          <w:color w:val="auto"/>
          <w:highlight w:val="none"/>
        </w:rPr>
        <w:t>以项目合同为准。</w:t>
      </w:r>
    </w:p>
    <w:p w14:paraId="7891D04C">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6.</w:t>
      </w:r>
      <w:r>
        <w:rPr>
          <w:rFonts w:hint="eastAsia" w:ascii="Times New Roman" w:hAnsi="Times New Roman"/>
          <w:color w:val="auto"/>
          <w:highlight w:val="none"/>
        </w:rPr>
        <w:t>验收</w:t>
      </w:r>
    </w:p>
    <w:p w14:paraId="39A60521">
      <w:pPr>
        <w:jc w:val="both"/>
        <w:rPr>
          <w:rFonts w:ascii="Times New Roman" w:hAnsi="Times New Roman"/>
          <w:color w:val="auto"/>
          <w:highlight w:val="none"/>
        </w:rPr>
      </w:pPr>
      <w:r>
        <w:rPr>
          <w:rFonts w:hint="eastAsia" w:ascii="Times New Roman" w:hAnsi="Times New Roman"/>
          <w:color w:val="auto"/>
          <w:highlight w:val="none"/>
        </w:rPr>
        <w:t>中选人按合同约定完成各项服务工作，向比选人提交各项交付物并通过比选人审核</w:t>
      </w:r>
      <w:r>
        <w:rPr>
          <w:rFonts w:ascii="Times New Roman" w:hAnsi="Times New Roman"/>
          <w:color w:val="auto"/>
          <w:highlight w:val="none"/>
        </w:rPr>
        <w:t>，</w:t>
      </w:r>
      <w:r>
        <w:rPr>
          <w:rFonts w:hint="eastAsia" w:ascii="Times New Roman" w:hAnsi="Times New Roman"/>
          <w:color w:val="auto"/>
          <w:highlight w:val="none"/>
        </w:rPr>
        <w:t>比选人组织开展项目验收工作。</w:t>
      </w:r>
    </w:p>
    <w:p w14:paraId="7704BE2F">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7.</w:t>
      </w:r>
      <w:r>
        <w:rPr>
          <w:rFonts w:hint="eastAsia" w:ascii="Times New Roman" w:hAnsi="Times New Roman"/>
          <w:color w:val="auto"/>
          <w:highlight w:val="none"/>
        </w:rPr>
        <w:t>服务连续性预案</w:t>
      </w:r>
    </w:p>
    <w:p w14:paraId="5F4DDC9D">
      <w:pPr>
        <w:jc w:val="both"/>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331B5D92">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8.</w:t>
      </w:r>
      <w:r>
        <w:rPr>
          <w:rFonts w:hint="eastAsia" w:ascii="Times New Roman" w:hAnsi="Times New Roman"/>
          <w:color w:val="auto"/>
          <w:highlight w:val="none"/>
        </w:rPr>
        <w:t>项目实施方案</w:t>
      </w:r>
    </w:p>
    <w:p w14:paraId="6F4CD856">
      <w:pPr>
        <w:jc w:val="both"/>
        <w:rPr>
          <w:rFonts w:ascii="Times New Roman" w:hAnsi="Times New Roman"/>
          <w:color w:val="auto"/>
          <w:highlight w:val="none"/>
        </w:rPr>
      </w:pPr>
      <w:r>
        <w:rPr>
          <w:rFonts w:hint="eastAsia" w:ascii="Times New Roman" w:hAnsi="Times New Roman"/>
          <w:color w:val="auto"/>
          <w:highlight w:val="none"/>
        </w:rPr>
        <w:t>在本次比选中，参选人应</w:t>
      </w:r>
      <w:r>
        <w:rPr>
          <w:rFonts w:hint="eastAsia" w:ascii="Times New Roman" w:hAnsi="Times New Roman"/>
          <w:color w:val="auto"/>
          <w:highlight w:val="none"/>
          <w:lang w:val="en-US" w:eastAsia="zh-CN"/>
        </w:rPr>
        <w:t>根据第三章第3条“实施要求”</w:t>
      </w:r>
      <w:r>
        <w:rPr>
          <w:rFonts w:hint="eastAsia" w:ascii="Times New Roman" w:hAnsi="Times New Roman"/>
          <w:color w:val="auto"/>
          <w:highlight w:val="none"/>
        </w:rPr>
        <w:t>在参选文件中提供项目实施方案供比选人查看，实施方案中至少应包含</w:t>
      </w:r>
      <w:r>
        <w:rPr>
          <w:rFonts w:ascii="Times New Roman" w:hAnsi="Times New Roman"/>
          <w:color w:val="auto"/>
          <w:highlight w:val="none"/>
        </w:rPr>
        <w:t>人员组织安排计划、信息安全风险评估、信息安全管理体系设计方案、信息安全管理体系运行和优化方案、信息安全管理体系内审流程培训等</w:t>
      </w:r>
      <w:r>
        <w:rPr>
          <w:rFonts w:hint="eastAsia" w:ascii="Times New Roman" w:hAnsi="Times New Roman"/>
          <w:color w:val="auto"/>
          <w:highlight w:val="none"/>
        </w:rPr>
        <w:t>。【提供项目实施方案】</w:t>
      </w:r>
    </w:p>
    <w:bookmarkEnd w:id="50"/>
    <w:bookmarkEnd w:id="51"/>
    <w:p w14:paraId="397EFDDB">
      <w:pPr>
        <w:pStyle w:val="3"/>
        <w:numPr>
          <w:ilvl w:val="0"/>
          <w:numId w:val="0"/>
        </w:numPr>
        <w:ind w:left="360" w:leftChars="0" w:hanging="360" w:firstLineChars="0"/>
        <w:jc w:val="both"/>
        <w:rPr>
          <w:rFonts w:ascii="Times New Roman" w:hAnsi="Times New Roman"/>
          <w:color w:val="auto"/>
          <w:highlight w:val="none"/>
        </w:rPr>
      </w:pPr>
      <w:bookmarkStart w:id="56" w:name="_Toc89675148"/>
      <w:bookmarkStart w:id="57" w:name="_Toc15059422"/>
      <w:r>
        <w:rPr>
          <w:rFonts w:hint="default" w:ascii="Times New Roman" w:hAnsi="Times New Roman" w:eastAsia="宋体" w:cstheme="majorBidi"/>
          <w:b/>
          <w:bCs/>
          <w:snapToGrid w:val="0"/>
          <w:color w:val="auto"/>
          <w:kern w:val="2"/>
          <w:sz w:val="21"/>
          <w:szCs w:val="24"/>
          <w:highlight w:val="none"/>
          <w:lang w:val="en-US" w:eastAsia="zh-CN" w:bidi="ar-SA"/>
        </w:rPr>
        <w:t>9.</w:t>
      </w:r>
      <w:r>
        <w:rPr>
          <w:rFonts w:hint="eastAsia" w:ascii="Times New Roman" w:hAnsi="Times New Roman"/>
          <w:color w:val="auto"/>
          <w:highlight w:val="none"/>
        </w:rPr>
        <w:t>付款方式</w:t>
      </w:r>
      <w:bookmarkEnd w:id="56"/>
      <w:bookmarkEnd w:id="57"/>
    </w:p>
    <w:p w14:paraId="2A6722B4">
      <w:pPr>
        <w:jc w:val="both"/>
        <w:rPr>
          <w:rFonts w:ascii="Times New Roman" w:hAnsi="Times New Roman"/>
          <w:color w:val="auto"/>
          <w:highlight w:val="none"/>
        </w:rPr>
      </w:pPr>
      <w:r>
        <w:rPr>
          <w:rFonts w:hint="eastAsia" w:ascii="Times New Roman" w:hAnsi="Times New Roman"/>
          <w:color w:val="auto"/>
          <w:highlight w:val="none"/>
        </w:rPr>
        <w:t>项目实施结束，且通过验收后，根据SLA服务水平考核结果参选人一次性向参选人支付本项目的全部服务费用。</w:t>
      </w:r>
    </w:p>
    <w:p w14:paraId="2D936425">
      <w:pPr>
        <w:pStyle w:val="3"/>
        <w:numPr>
          <w:ilvl w:val="0"/>
          <w:numId w:val="0"/>
        </w:numPr>
        <w:ind w:left="360" w:leftChars="0" w:hanging="360" w:firstLineChars="0"/>
        <w:jc w:val="both"/>
        <w:rPr>
          <w:rFonts w:ascii="Times New Roman" w:hAnsi="Times New Roman"/>
          <w:color w:val="auto"/>
          <w:highlight w:val="none"/>
        </w:rPr>
      </w:pPr>
      <w:bookmarkStart w:id="58" w:name="_Toc89675150"/>
      <w:bookmarkStart w:id="59" w:name="_Toc15059424"/>
      <w:r>
        <w:rPr>
          <w:rFonts w:hint="default" w:ascii="Times New Roman" w:hAnsi="Times New Roman" w:eastAsia="宋体" w:cstheme="majorBidi"/>
          <w:b/>
          <w:bCs/>
          <w:snapToGrid w:val="0"/>
          <w:color w:val="auto"/>
          <w:kern w:val="2"/>
          <w:sz w:val="21"/>
          <w:szCs w:val="24"/>
          <w:highlight w:val="none"/>
          <w:lang w:val="en-US" w:eastAsia="zh-CN" w:bidi="ar-SA"/>
        </w:rPr>
        <w:t>10.</w:t>
      </w:r>
      <w:r>
        <w:rPr>
          <w:rFonts w:hint="eastAsia" w:ascii="Times New Roman" w:hAnsi="Times New Roman"/>
          <w:color w:val="auto"/>
          <w:highlight w:val="none"/>
        </w:rPr>
        <w:t>保密条款</w:t>
      </w:r>
      <w:bookmarkEnd w:id="52"/>
      <w:bookmarkEnd w:id="53"/>
      <w:bookmarkEnd w:id="54"/>
      <w:bookmarkEnd w:id="55"/>
      <w:bookmarkEnd w:id="58"/>
      <w:bookmarkEnd w:id="59"/>
    </w:p>
    <w:p w14:paraId="77268CC7">
      <w:pPr>
        <w:pStyle w:val="4"/>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0</w:t>
      </w:r>
      <w:r>
        <w:rPr>
          <w:rFonts w:hint="eastAsia" w:ascii="Times New Roman" w:hAnsi="Times New Roman"/>
          <w:color w:val="auto"/>
          <w:highlight w:val="none"/>
        </w:rPr>
        <w:t>.1 保密范围</w:t>
      </w:r>
    </w:p>
    <w:p w14:paraId="57EB4302">
      <w:pPr>
        <w:jc w:val="both"/>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1FFED0F3">
      <w:pPr>
        <w:pStyle w:val="4"/>
        <w:jc w:val="both"/>
        <w:rPr>
          <w:rFonts w:ascii="Times New Roman" w:hAnsi="Times New Roman"/>
          <w:color w:val="auto"/>
          <w:highlight w:val="none"/>
        </w:rPr>
      </w:pPr>
      <w:r>
        <w:rPr>
          <w:rFonts w:ascii="Times New Roman" w:hAnsi="Times New Roman"/>
          <w:color w:val="auto"/>
          <w:highlight w:val="none"/>
        </w:rPr>
        <w:t>10</w:t>
      </w:r>
      <w:r>
        <w:rPr>
          <w:rFonts w:hint="eastAsia" w:ascii="Times New Roman" w:hAnsi="Times New Roman"/>
          <w:color w:val="auto"/>
          <w:highlight w:val="none"/>
        </w:rPr>
        <w:t>.2 保密责任</w:t>
      </w:r>
    </w:p>
    <w:p w14:paraId="39D4D9E9">
      <w:pPr>
        <w:jc w:val="both"/>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629D3129">
      <w:pPr>
        <w:pStyle w:val="3"/>
        <w:numPr>
          <w:ilvl w:val="0"/>
          <w:numId w:val="0"/>
        </w:numPr>
        <w:ind w:left="360" w:leftChars="0" w:hanging="360" w:firstLineChars="0"/>
        <w:jc w:val="both"/>
        <w:rPr>
          <w:rFonts w:ascii="Times New Roman" w:hAnsi="Times New Roman"/>
          <w:color w:val="auto"/>
          <w:highlight w:val="none"/>
        </w:rPr>
      </w:pPr>
      <w:r>
        <w:rPr>
          <w:rFonts w:hint="default" w:ascii="Times New Roman" w:hAnsi="Times New Roman" w:eastAsia="宋体" w:cstheme="majorBidi"/>
          <w:b/>
          <w:bCs/>
          <w:snapToGrid w:val="0"/>
          <w:color w:val="auto"/>
          <w:kern w:val="2"/>
          <w:sz w:val="21"/>
          <w:szCs w:val="24"/>
          <w:highlight w:val="none"/>
          <w:lang w:val="en-US" w:eastAsia="zh-CN" w:bidi="ar-SA"/>
        </w:rPr>
        <w:t>11.</w:t>
      </w:r>
      <w:r>
        <w:rPr>
          <w:rFonts w:hint="eastAsia" w:ascii="Times New Roman" w:hAnsi="Times New Roman"/>
          <w:color w:val="auto"/>
          <w:highlight w:val="none"/>
        </w:rPr>
        <w:t>报价要求</w:t>
      </w:r>
    </w:p>
    <w:p w14:paraId="6E7E0239">
      <w:pPr>
        <w:jc w:val="both"/>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参选人应严格按照《参选文件格式》的“报价一览表”的格式认真填写。</w:t>
      </w:r>
    </w:p>
    <w:p w14:paraId="054F0DD8">
      <w:pPr>
        <w:pStyle w:val="3"/>
        <w:numPr>
          <w:ilvl w:val="0"/>
          <w:numId w:val="0"/>
        </w:numPr>
        <w:ind w:left="360" w:leftChars="0" w:hanging="360" w:firstLineChars="0"/>
        <w:jc w:val="both"/>
        <w:rPr>
          <w:rFonts w:ascii="Times New Roman" w:hAnsi="Times New Roman"/>
          <w:color w:val="auto"/>
          <w:highlight w:val="none"/>
        </w:rPr>
      </w:pPr>
      <w:bookmarkStart w:id="60" w:name="_Toc15059426"/>
      <w:bookmarkStart w:id="61" w:name="_Toc89675152"/>
      <w:r>
        <w:rPr>
          <w:rFonts w:hint="default" w:ascii="Times New Roman" w:hAnsi="Times New Roman" w:eastAsia="宋体" w:cstheme="majorBidi"/>
          <w:b/>
          <w:bCs/>
          <w:snapToGrid w:val="0"/>
          <w:color w:val="auto"/>
          <w:kern w:val="2"/>
          <w:sz w:val="21"/>
          <w:szCs w:val="24"/>
          <w:highlight w:val="none"/>
          <w:lang w:val="en-US" w:eastAsia="zh-CN" w:bidi="ar-SA"/>
        </w:rPr>
        <w:t>12.</w:t>
      </w:r>
      <w:r>
        <w:rPr>
          <w:rFonts w:hint="eastAsia" w:ascii="Times New Roman" w:hAnsi="Times New Roman"/>
          <w:color w:val="auto"/>
          <w:highlight w:val="none"/>
        </w:rPr>
        <w:t>知识产权</w:t>
      </w:r>
      <w:bookmarkEnd w:id="60"/>
      <w:bookmarkEnd w:id="61"/>
    </w:p>
    <w:p w14:paraId="0548B8D7">
      <w:pPr>
        <w:jc w:val="both"/>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C190BCD">
      <w:pPr>
        <w:jc w:val="both"/>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7891492F">
      <w:pPr>
        <w:pStyle w:val="3"/>
        <w:numPr>
          <w:ilvl w:val="0"/>
          <w:numId w:val="0"/>
        </w:numPr>
        <w:ind w:left="360" w:leftChars="0" w:hanging="360" w:firstLineChars="0"/>
        <w:jc w:val="both"/>
        <w:rPr>
          <w:rFonts w:ascii="Times New Roman" w:hAnsi="Times New Roman"/>
          <w:color w:val="auto"/>
          <w:highlight w:val="none"/>
        </w:rPr>
      </w:pPr>
      <w:bookmarkStart w:id="62" w:name="_Toc15059427"/>
      <w:bookmarkStart w:id="63" w:name="_Toc89675153"/>
      <w:r>
        <w:rPr>
          <w:rFonts w:hint="default" w:ascii="Times New Roman" w:hAnsi="Times New Roman" w:eastAsia="宋体" w:cstheme="majorBidi"/>
          <w:b/>
          <w:bCs/>
          <w:snapToGrid w:val="0"/>
          <w:color w:val="auto"/>
          <w:kern w:val="2"/>
          <w:sz w:val="21"/>
          <w:szCs w:val="24"/>
          <w:highlight w:val="none"/>
          <w:lang w:val="en-US" w:eastAsia="zh-CN" w:bidi="ar-SA"/>
        </w:rPr>
        <w:t>13.</w:t>
      </w:r>
      <w:r>
        <w:rPr>
          <w:rFonts w:hint="eastAsia" w:ascii="Times New Roman" w:hAnsi="Times New Roman"/>
          <w:color w:val="auto"/>
          <w:highlight w:val="none"/>
        </w:rPr>
        <w:t>其他</w:t>
      </w:r>
      <w:bookmarkEnd w:id="62"/>
      <w:bookmarkEnd w:id="63"/>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533CE029">
      <w:pPr>
        <w:jc w:val="both"/>
        <w:rPr>
          <w:rFonts w:ascii="Times New Roman" w:hAnsi="Times New Roman"/>
          <w:color w:val="auto"/>
          <w:highlight w:val="none"/>
        </w:rPr>
      </w:pPr>
      <w:r>
        <w:rPr>
          <w:rFonts w:hint="eastAsia" w:ascii="Times New Roman" w:hAnsi="Times New Roman"/>
          <w:color w:val="auto"/>
          <w:highlight w:val="none"/>
          <w:lang w:val="en-US" w:eastAsia="zh-CN"/>
        </w:rPr>
        <w:t xml:space="preserve">13.3 </w:t>
      </w:r>
      <w:r>
        <w:rPr>
          <w:rFonts w:hint="eastAsia" w:ascii="Times New Roman" w:hAnsi="Times New Roman"/>
          <w:color w:val="auto"/>
          <w:highlight w:val="none"/>
        </w:rPr>
        <w:t>其他未尽事宜由供需双方在合同中详细约定。</w:t>
      </w:r>
    </w:p>
    <w:p w14:paraId="0B3C57DB">
      <w:pPr>
        <w:snapToGrid w:val="0"/>
        <w:spacing w:line="360" w:lineRule="auto"/>
        <w:jc w:val="both"/>
        <w:rPr>
          <w:rFonts w:ascii="Times New Roman" w:hAnsi="Times New Roman" w:cs="宋体"/>
          <w:snapToGrid w:val="0"/>
          <w:color w:val="auto"/>
          <w:kern w:val="0"/>
          <w:szCs w:val="24"/>
          <w:highlight w:val="none"/>
        </w:rPr>
      </w:pPr>
    </w:p>
    <w:p w14:paraId="41C7B0C7">
      <w:pPr>
        <w:snapToGrid w:val="0"/>
        <w:spacing w:line="360" w:lineRule="auto"/>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019B5EDF">
      <w:pPr>
        <w:pStyle w:val="2"/>
        <w:rPr>
          <w:rFonts w:ascii="Times New Roman" w:hAnsi="Times New Roman"/>
          <w:color w:val="auto"/>
          <w:highlight w:val="none"/>
        </w:rPr>
      </w:pPr>
      <w:bookmarkStart w:id="64" w:name="_Toc11442"/>
      <w:bookmarkStart w:id="65" w:name="_Toc29189"/>
      <w:bookmarkStart w:id="66" w:name="_Toc24542"/>
      <w:r>
        <w:rPr>
          <w:rFonts w:hint="eastAsia" w:ascii="Times New Roman" w:hAnsi="Times New Roman"/>
          <w:color w:val="auto"/>
          <w:highlight w:val="none"/>
        </w:rPr>
        <w:t>第四章 评审办法（综合评估法）</w:t>
      </w:r>
      <w:bookmarkEnd w:id="64"/>
      <w:bookmarkEnd w:id="65"/>
      <w:bookmarkEnd w:id="66"/>
    </w:p>
    <w:p w14:paraId="6BFD6C85">
      <w:pPr>
        <w:rPr>
          <w:rFonts w:ascii="Times New Roman" w:hAnsi="Times New Roman"/>
          <w:b/>
          <w:bCs/>
          <w:color w:val="auto"/>
          <w:highlight w:val="none"/>
        </w:rPr>
      </w:pPr>
      <w:bookmarkStart w:id="67" w:name="_Toc11471"/>
      <w:bookmarkStart w:id="68" w:name="_Toc27076"/>
      <w:bookmarkStart w:id="69" w:name="_Toc14810"/>
      <w:bookmarkStart w:id="70" w:name="_Toc2028"/>
      <w:r>
        <w:rPr>
          <w:rFonts w:hint="eastAsia" w:ascii="Times New Roman" w:hAnsi="Times New Roman"/>
          <w:b/>
          <w:bCs/>
          <w:color w:val="auto"/>
          <w:highlight w:val="none"/>
        </w:rPr>
        <w:t>评审办法前附表</w:t>
      </w:r>
      <w:bookmarkEnd w:id="67"/>
      <w:bookmarkEnd w:id="68"/>
      <w:bookmarkEnd w:id="69"/>
      <w:bookmarkEnd w:id="70"/>
    </w:p>
    <w:p w14:paraId="437F204F">
      <w:pPr>
        <w:spacing w:line="360" w:lineRule="auto"/>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C5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8057341">
            <w:pPr>
              <w:pStyle w:val="55"/>
              <w:bidi w:val="0"/>
            </w:pPr>
            <w:bookmarkStart w:id="71" w:name="CQZH1_07"/>
            <w:r>
              <w:rPr>
                <w:rFonts w:hint="eastAsia"/>
              </w:rPr>
              <w:t>条款号</w:t>
            </w:r>
          </w:p>
        </w:tc>
        <w:tc>
          <w:tcPr>
            <w:tcW w:w="1482" w:type="dxa"/>
            <w:vAlign w:val="center"/>
          </w:tcPr>
          <w:p w14:paraId="42450847">
            <w:pPr>
              <w:pStyle w:val="55"/>
              <w:bidi w:val="0"/>
            </w:pPr>
            <w:r>
              <w:rPr>
                <w:rFonts w:hint="eastAsia"/>
              </w:rPr>
              <w:t>评审因素</w:t>
            </w:r>
          </w:p>
        </w:tc>
        <w:tc>
          <w:tcPr>
            <w:tcW w:w="7162" w:type="dxa"/>
            <w:gridSpan w:val="3"/>
            <w:vAlign w:val="center"/>
          </w:tcPr>
          <w:p w14:paraId="52145092">
            <w:pPr>
              <w:pStyle w:val="55"/>
              <w:bidi w:val="0"/>
            </w:pPr>
            <w:r>
              <w:rPr>
                <w:rFonts w:hint="eastAsia"/>
              </w:rPr>
              <w:t>评审标准</w:t>
            </w:r>
          </w:p>
        </w:tc>
      </w:tr>
      <w:tr w14:paraId="5FB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C7F6850">
            <w:pPr>
              <w:pStyle w:val="54"/>
              <w:bidi w:val="0"/>
            </w:pPr>
            <w:r>
              <w:rPr>
                <w:rFonts w:hint="eastAsia"/>
              </w:rPr>
              <w:t>1</w:t>
            </w:r>
          </w:p>
        </w:tc>
        <w:tc>
          <w:tcPr>
            <w:tcW w:w="1482" w:type="dxa"/>
            <w:tcBorders>
              <w:left w:val="single" w:color="auto" w:sz="4" w:space="0"/>
            </w:tcBorders>
            <w:vAlign w:val="center"/>
          </w:tcPr>
          <w:p w14:paraId="0AF2C309">
            <w:pPr>
              <w:pStyle w:val="54"/>
              <w:bidi w:val="0"/>
            </w:pPr>
            <w:r>
              <w:rPr>
                <w:rFonts w:hint="eastAsia"/>
              </w:rPr>
              <w:t>评审办法</w:t>
            </w:r>
          </w:p>
        </w:tc>
        <w:tc>
          <w:tcPr>
            <w:tcW w:w="7162" w:type="dxa"/>
            <w:gridSpan w:val="3"/>
            <w:tcBorders>
              <w:left w:val="single" w:color="auto" w:sz="4" w:space="0"/>
            </w:tcBorders>
            <w:vAlign w:val="center"/>
          </w:tcPr>
          <w:p w14:paraId="34773B58">
            <w:pPr>
              <w:pStyle w:val="54"/>
              <w:bidi w:val="0"/>
            </w:pPr>
            <w:r>
              <w:rPr>
                <w:rFonts w:hint="eastAsia"/>
                <w:lang w:val="en-US" w:eastAsia="zh-CN"/>
              </w:rPr>
              <w:t>本次评审采用综合评估法。评审委员会按照评审办法前附表第2.1 条规定的标准进行初步评审，初步评审</w:t>
            </w:r>
            <w:r>
              <w:rPr>
                <w:rFonts w:hint="eastAsia"/>
              </w:rPr>
              <w:t>合格的</w:t>
            </w:r>
            <w:r>
              <w:rPr>
                <w:rFonts w:hint="eastAsia"/>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rPr>
              <w:t>由评审委员会按照</w:t>
            </w:r>
            <w:r>
              <w:t>商务部分得分从高到低</w:t>
            </w:r>
            <w:r>
              <w:rPr>
                <w:rFonts w:hint="eastAsia"/>
              </w:rPr>
              <w:t>原则排序。</w:t>
            </w:r>
          </w:p>
        </w:tc>
      </w:tr>
      <w:tr w14:paraId="7F30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2C9CCE8">
            <w:pPr>
              <w:pStyle w:val="54"/>
              <w:bidi w:val="0"/>
            </w:pPr>
            <w:r>
              <w:rPr>
                <w:rFonts w:hint="eastAsia"/>
              </w:rPr>
              <w:t>2.1</w:t>
            </w:r>
          </w:p>
        </w:tc>
        <w:tc>
          <w:tcPr>
            <w:tcW w:w="1482" w:type="dxa"/>
            <w:tcBorders>
              <w:left w:val="single" w:color="auto" w:sz="4" w:space="0"/>
            </w:tcBorders>
            <w:vAlign w:val="center"/>
          </w:tcPr>
          <w:p w14:paraId="21DAE7E9">
            <w:pPr>
              <w:pStyle w:val="54"/>
              <w:bidi w:val="0"/>
            </w:pPr>
            <w:r>
              <w:rPr>
                <w:rFonts w:hint="eastAsia"/>
              </w:rPr>
              <w:t>初步评审标准</w:t>
            </w:r>
          </w:p>
        </w:tc>
        <w:tc>
          <w:tcPr>
            <w:tcW w:w="7162" w:type="dxa"/>
            <w:gridSpan w:val="3"/>
            <w:tcBorders>
              <w:left w:val="single" w:color="auto" w:sz="4" w:space="0"/>
            </w:tcBorders>
            <w:vAlign w:val="center"/>
          </w:tcPr>
          <w:p w14:paraId="6BB64038">
            <w:pPr>
              <w:pStyle w:val="54"/>
              <w:bidi w:val="0"/>
            </w:pPr>
            <w:r>
              <w:rPr>
                <w:rFonts w:hint="eastAsia"/>
              </w:rPr>
              <w:t>所有参选单位进行初步评审。初步评审内容：资格评审、形式评审、响应性评审。</w:t>
            </w:r>
          </w:p>
        </w:tc>
      </w:tr>
      <w:tr w14:paraId="30AF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525046F">
            <w:pPr>
              <w:pStyle w:val="54"/>
              <w:bidi w:val="0"/>
            </w:pPr>
            <w:r>
              <w:rPr>
                <w:rFonts w:hint="eastAsia"/>
              </w:rPr>
              <w:t>2.1.1</w:t>
            </w:r>
          </w:p>
        </w:tc>
        <w:tc>
          <w:tcPr>
            <w:tcW w:w="1482" w:type="dxa"/>
            <w:tcBorders>
              <w:left w:val="single" w:color="auto" w:sz="4" w:space="0"/>
            </w:tcBorders>
            <w:vAlign w:val="center"/>
          </w:tcPr>
          <w:p w14:paraId="6E5B9701">
            <w:pPr>
              <w:pStyle w:val="54"/>
              <w:bidi w:val="0"/>
            </w:pPr>
            <w:r>
              <w:rPr>
                <w:rFonts w:hint="eastAsia"/>
              </w:rPr>
              <w:t>资格评审标准</w:t>
            </w:r>
          </w:p>
        </w:tc>
        <w:tc>
          <w:tcPr>
            <w:tcW w:w="1686" w:type="dxa"/>
            <w:gridSpan w:val="2"/>
            <w:tcBorders>
              <w:left w:val="single" w:color="auto" w:sz="4" w:space="0"/>
            </w:tcBorders>
            <w:vAlign w:val="center"/>
          </w:tcPr>
          <w:p w14:paraId="4840DE2B">
            <w:pPr>
              <w:pStyle w:val="54"/>
              <w:bidi w:val="0"/>
            </w:pPr>
            <w:r>
              <w:rPr>
                <w:rFonts w:hint="eastAsia"/>
              </w:rPr>
              <w:t>资格条件要求</w:t>
            </w:r>
          </w:p>
        </w:tc>
        <w:tc>
          <w:tcPr>
            <w:tcW w:w="5476" w:type="dxa"/>
            <w:tcBorders>
              <w:left w:val="single" w:color="auto" w:sz="4" w:space="0"/>
            </w:tcBorders>
            <w:vAlign w:val="center"/>
          </w:tcPr>
          <w:p w14:paraId="34793A7A">
            <w:pPr>
              <w:pStyle w:val="54"/>
              <w:bidi w:val="0"/>
            </w:pPr>
            <w:r>
              <w:rPr>
                <w:rFonts w:hint="eastAsia"/>
              </w:rPr>
              <w:t>符合第一章“2. 参选人资格要求”规定</w:t>
            </w:r>
          </w:p>
        </w:tc>
      </w:tr>
      <w:tr w14:paraId="27A2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1A2FCBE">
            <w:pPr>
              <w:pStyle w:val="54"/>
              <w:bidi w:val="0"/>
            </w:pPr>
            <w:r>
              <w:rPr>
                <w:rFonts w:hint="eastAsia"/>
              </w:rPr>
              <w:t>2.1.2</w:t>
            </w:r>
          </w:p>
        </w:tc>
        <w:tc>
          <w:tcPr>
            <w:tcW w:w="1482" w:type="dxa"/>
            <w:vMerge w:val="restart"/>
            <w:tcBorders>
              <w:left w:val="single" w:color="auto" w:sz="4" w:space="0"/>
            </w:tcBorders>
            <w:vAlign w:val="center"/>
          </w:tcPr>
          <w:p w14:paraId="3BF821DD">
            <w:pPr>
              <w:pStyle w:val="54"/>
              <w:bidi w:val="0"/>
            </w:pPr>
            <w:r>
              <w:rPr>
                <w:rFonts w:hint="eastAsia"/>
              </w:rPr>
              <w:t>形式评审标准</w:t>
            </w:r>
          </w:p>
        </w:tc>
        <w:tc>
          <w:tcPr>
            <w:tcW w:w="1686" w:type="dxa"/>
            <w:gridSpan w:val="2"/>
            <w:tcBorders>
              <w:left w:val="single" w:color="auto" w:sz="4" w:space="0"/>
            </w:tcBorders>
            <w:vAlign w:val="center"/>
          </w:tcPr>
          <w:p w14:paraId="029459DB">
            <w:pPr>
              <w:pStyle w:val="54"/>
              <w:bidi w:val="0"/>
            </w:pPr>
            <w:r>
              <w:rPr>
                <w:rFonts w:hint="eastAsia"/>
              </w:rPr>
              <w:t>参选人名称</w:t>
            </w:r>
          </w:p>
        </w:tc>
        <w:tc>
          <w:tcPr>
            <w:tcW w:w="5476" w:type="dxa"/>
            <w:tcBorders>
              <w:left w:val="single" w:color="auto" w:sz="4" w:space="0"/>
            </w:tcBorders>
            <w:vAlign w:val="center"/>
          </w:tcPr>
          <w:p w14:paraId="6E6AC4D3">
            <w:pPr>
              <w:pStyle w:val="54"/>
              <w:bidi w:val="0"/>
            </w:pPr>
            <w:r>
              <w:rPr>
                <w:rFonts w:hint="eastAsia"/>
              </w:rPr>
              <w:t>与营业执照、资格证明材料一致</w:t>
            </w:r>
          </w:p>
        </w:tc>
      </w:tr>
      <w:tr w14:paraId="0AE9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3DD294B">
            <w:pPr>
              <w:pStyle w:val="54"/>
              <w:bidi w:val="0"/>
            </w:pPr>
          </w:p>
        </w:tc>
        <w:tc>
          <w:tcPr>
            <w:tcW w:w="1482" w:type="dxa"/>
            <w:vMerge w:val="continue"/>
            <w:tcBorders>
              <w:left w:val="single" w:color="auto" w:sz="4" w:space="0"/>
            </w:tcBorders>
            <w:textDirection w:val="tbRlV"/>
            <w:vAlign w:val="center"/>
          </w:tcPr>
          <w:p w14:paraId="70B4E136">
            <w:pPr>
              <w:pStyle w:val="54"/>
              <w:bidi w:val="0"/>
            </w:pPr>
          </w:p>
        </w:tc>
        <w:tc>
          <w:tcPr>
            <w:tcW w:w="1686" w:type="dxa"/>
            <w:gridSpan w:val="2"/>
            <w:tcBorders>
              <w:left w:val="single" w:color="auto" w:sz="4" w:space="0"/>
            </w:tcBorders>
            <w:vAlign w:val="center"/>
          </w:tcPr>
          <w:p w14:paraId="3E694BD4">
            <w:pPr>
              <w:pStyle w:val="54"/>
              <w:bidi w:val="0"/>
            </w:pPr>
            <w:r>
              <w:rPr>
                <w:rFonts w:hint="eastAsia"/>
              </w:rPr>
              <w:t>参选文件的签字盖章</w:t>
            </w:r>
          </w:p>
        </w:tc>
        <w:tc>
          <w:tcPr>
            <w:tcW w:w="5476" w:type="dxa"/>
            <w:tcBorders>
              <w:left w:val="single" w:color="auto" w:sz="4" w:space="0"/>
            </w:tcBorders>
            <w:vAlign w:val="center"/>
          </w:tcPr>
          <w:p w14:paraId="35CDBAF9">
            <w:pPr>
              <w:pStyle w:val="54"/>
              <w:bidi w:val="0"/>
            </w:pPr>
            <w:r>
              <w:rPr>
                <w:rFonts w:hint="eastAsia"/>
              </w:rPr>
              <w:t>符合第二章“参选人须知”4.5 条规定</w:t>
            </w:r>
          </w:p>
        </w:tc>
      </w:tr>
      <w:tr w14:paraId="354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DC3C951">
            <w:pPr>
              <w:pStyle w:val="54"/>
              <w:bidi w:val="0"/>
            </w:pPr>
          </w:p>
        </w:tc>
        <w:tc>
          <w:tcPr>
            <w:tcW w:w="1482" w:type="dxa"/>
            <w:vMerge w:val="continue"/>
            <w:tcBorders>
              <w:left w:val="single" w:color="auto" w:sz="4" w:space="0"/>
            </w:tcBorders>
            <w:textDirection w:val="tbRlV"/>
            <w:vAlign w:val="center"/>
          </w:tcPr>
          <w:p w14:paraId="1C7075BC">
            <w:pPr>
              <w:pStyle w:val="54"/>
              <w:bidi w:val="0"/>
            </w:pPr>
          </w:p>
        </w:tc>
        <w:tc>
          <w:tcPr>
            <w:tcW w:w="1686" w:type="dxa"/>
            <w:gridSpan w:val="2"/>
            <w:tcBorders>
              <w:left w:val="single" w:color="auto" w:sz="4" w:space="0"/>
            </w:tcBorders>
            <w:vAlign w:val="center"/>
          </w:tcPr>
          <w:p w14:paraId="461F9FAE">
            <w:pPr>
              <w:pStyle w:val="54"/>
              <w:bidi w:val="0"/>
            </w:pPr>
            <w:r>
              <w:rPr>
                <w:rFonts w:hint="eastAsia"/>
              </w:rPr>
              <w:t>参选文件的密封</w:t>
            </w:r>
          </w:p>
        </w:tc>
        <w:tc>
          <w:tcPr>
            <w:tcW w:w="5476" w:type="dxa"/>
            <w:tcBorders>
              <w:left w:val="single" w:color="auto" w:sz="4" w:space="0"/>
            </w:tcBorders>
            <w:vAlign w:val="center"/>
          </w:tcPr>
          <w:p w14:paraId="575167E1">
            <w:pPr>
              <w:pStyle w:val="54"/>
              <w:bidi w:val="0"/>
            </w:pPr>
            <w:r>
              <w:rPr>
                <w:rFonts w:hint="eastAsia"/>
              </w:rPr>
              <w:t>符合第二章“参选人须知”4.6 条规定</w:t>
            </w:r>
          </w:p>
        </w:tc>
      </w:tr>
      <w:tr w14:paraId="739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atLeast"/>
          <w:jc w:val="center"/>
        </w:trPr>
        <w:tc>
          <w:tcPr>
            <w:tcW w:w="820" w:type="dxa"/>
            <w:vMerge w:val="continue"/>
            <w:vAlign w:val="center"/>
          </w:tcPr>
          <w:p w14:paraId="00599510">
            <w:pPr>
              <w:pStyle w:val="54"/>
              <w:bidi w:val="0"/>
            </w:pPr>
          </w:p>
        </w:tc>
        <w:tc>
          <w:tcPr>
            <w:tcW w:w="1482" w:type="dxa"/>
            <w:vMerge w:val="continue"/>
            <w:tcBorders>
              <w:left w:val="single" w:color="auto" w:sz="4" w:space="0"/>
            </w:tcBorders>
            <w:textDirection w:val="tbRlV"/>
            <w:vAlign w:val="center"/>
          </w:tcPr>
          <w:p w14:paraId="6BD30A40">
            <w:pPr>
              <w:pStyle w:val="54"/>
              <w:bidi w:val="0"/>
            </w:pPr>
          </w:p>
        </w:tc>
        <w:tc>
          <w:tcPr>
            <w:tcW w:w="1686" w:type="dxa"/>
            <w:gridSpan w:val="2"/>
            <w:tcBorders>
              <w:left w:val="single" w:color="auto" w:sz="4" w:space="0"/>
            </w:tcBorders>
            <w:vAlign w:val="center"/>
          </w:tcPr>
          <w:p w14:paraId="69ABD274">
            <w:pPr>
              <w:pStyle w:val="54"/>
              <w:bidi w:val="0"/>
            </w:pPr>
            <w:r>
              <w:rPr>
                <w:rFonts w:hint="eastAsia"/>
              </w:rPr>
              <w:t>参选文件格式</w:t>
            </w:r>
          </w:p>
        </w:tc>
        <w:tc>
          <w:tcPr>
            <w:tcW w:w="5476" w:type="dxa"/>
            <w:tcBorders>
              <w:left w:val="single" w:color="auto" w:sz="4" w:space="0"/>
            </w:tcBorders>
            <w:vAlign w:val="center"/>
          </w:tcPr>
          <w:p w14:paraId="08847997">
            <w:pPr>
              <w:pStyle w:val="54"/>
              <w:bidi w:val="0"/>
            </w:pPr>
            <w:r>
              <w:rPr>
                <w:rFonts w:hint="eastAsia"/>
              </w:rPr>
              <w:t>符合第六章“参选文件格式”的要求</w:t>
            </w:r>
          </w:p>
        </w:tc>
      </w:tr>
      <w:tr w14:paraId="303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35ED49A">
            <w:pPr>
              <w:pStyle w:val="54"/>
              <w:bidi w:val="0"/>
            </w:pPr>
          </w:p>
        </w:tc>
        <w:tc>
          <w:tcPr>
            <w:tcW w:w="1482" w:type="dxa"/>
            <w:vMerge w:val="continue"/>
            <w:tcBorders>
              <w:left w:val="single" w:color="auto" w:sz="4" w:space="0"/>
            </w:tcBorders>
            <w:textDirection w:val="tbRlV"/>
            <w:vAlign w:val="center"/>
          </w:tcPr>
          <w:p w14:paraId="21120915">
            <w:pPr>
              <w:pStyle w:val="54"/>
              <w:bidi w:val="0"/>
            </w:pPr>
          </w:p>
        </w:tc>
        <w:tc>
          <w:tcPr>
            <w:tcW w:w="1686" w:type="dxa"/>
            <w:gridSpan w:val="2"/>
            <w:tcBorders>
              <w:left w:val="single" w:color="auto" w:sz="4" w:space="0"/>
            </w:tcBorders>
            <w:vAlign w:val="center"/>
          </w:tcPr>
          <w:p w14:paraId="6202B441">
            <w:pPr>
              <w:pStyle w:val="54"/>
              <w:bidi w:val="0"/>
            </w:pPr>
            <w:r>
              <w:rPr>
                <w:rFonts w:hint="eastAsia"/>
              </w:rPr>
              <w:t>参选文件组成</w:t>
            </w:r>
          </w:p>
        </w:tc>
        <w:tc>
          <w:tcPr>
            <w:tcW w:w="5476" w:type="dxa"/>
            <w:tcBorders>
              <w:left w:val="single" w:color="auto" w:sz="4" w:space="0"/>
            </w:tcBorders>
            <w:vAlign w:val="center"/>
          </w:tcPr>
          <w:p w14:paraId="4162EDB5">
            <w:pPr>
              <w:pStyle w:val="54"/>
              <w:bidi w:val="0"/>
            </w:pPr>
            <w:r>
              <w:rPr>
                <w:rFonts w:hint="eastAsia"/>
              </w:rPr>
              <w:t>符合第二章“参选人须知”4.1 条规定，内容齐全、无遗漏</w:t>
            </w:r>
          </w:p>
        </w:tc>
      </w:tr>
      <w:tr w14:paraId="15C1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111C3B0">
            <w:pPr>
              <w:pStyle w:val="54"/>
              <w:bidi w:val="0"/>
            </w:pPr>
          </w:p>
        </w:tc>
        <w:tc>
          <w:tcPr>
            <w:tcW w:w="1482" w:type="dxa"/>
            <w:vMerge w:val="continue"/>
            <w:tcBorders>
              <w:left w:val="single" w:color="auto" w:sz="4" w:space="0"/>
            </w:tcBorders>
            <w:textDirection w:val="tbRlV"/>
            <w:vAlign w:val="center"/>
          </w:tcPr>
          <w:p w14:paraId="6DE12C89">
            <w:pPr>
              <w:pStyle w:val="54"/>
              <w:bidi w:val="0"/>
            </w:pPr>
          </w:p>
        </w:tc>
        <w:tc>
          <w:tcPr>
            <w:tcW w:w="1686" w:type="dxa"/>
            <w:gridSpan w:val="2"/>
            <w:tcBorders>
              <w:left w:val="single" w:color="auto" w:sz="4" w:space="0"/>
            </w:tcBorders>
            <w:vAlign w:val="center"/>
          </w:tcPr>
          <w:p w14:paraId="2BF1F8DE">
            <w:pPr>
              <w:pStyle w:val="54"/>
              <w:bidi w:val="0"/>
            </w:pPr>
            <w:r>
              <w:rPr>
                <w:rFonts w:hint="eastAsia"/>
              </w:rPr>
              <w:t>联合体参选</w:t>
            </w:r>
          </w:p>
        </w:tc>
        <w:tc>
          <w:tcPr>
            <w:tcW w:w="5476" w:type="dxa"/>
            <w:tcBorders>
              <w:left w:val="single" w:color="auto" w:sz="4" w:space="0"/>
            </w:tcBorders>
            <w:vAlign w:val="center"/>
          </w:tcPr>
          <w:p w14:paraId="383D8F78">
            <w:pPr>
              <w:pStyle w:val="54"/>
              <w:bidi w:val="0"/>
            </w:pPr>
            <w:r>
              <w:rPr>
                <w:rFonts w:hint="eastAsia"/>
              </w:rPr>
              <w:t>符合第一章“2. 参选人资格要求”2.8 条的要求</w:t>
            </w:r>
          </w:p>
        </w:tc>
      </w:tr>
      <w:tr w14:paraId="2C0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26823E6">
            <w:pPr>
              <w:pStyle w:val="54"/>
              <w:bidi w:val="0"/>
            </w:pPr>
            <w:r>
              <w:rPr>
                <w:rFonts w:hint="eastAsia"/>
              </w:rPr>
              <w:t>2.1.3</w:t>
            </w:r>
          </w:p>
        </w:tc>
        <w:tc>
          <w:tcPr>
            <w:tcW w:w="1482" w:type="dxa"/>
            <w:vMerge w:val="restart"/>
            <w:tcBorders>
              <w:left w:val="single" w:color="auto" w:sz="4" w:space="0"/>
            </w:tcBorders>
            <w:vAlign w:val="center"/>
          </w:tcPr>
          <w:p w14:paraId="714A0A40">
            <w:pPr>
              <w:pStyle w:val="54"/>
              <w:bidi w:val="0"/>
            </w:pPr>
            <w:r>
              <w:rPr>
                <w:rFonts w:hint="eastAsia"/>
              </w:rPr>
              <w:t>响应性评审标准</w:t>
            </w:r>
          </w:p>
        </w:tc>
        <w:tc>
          <w:tcPr>
            <w:tcW w:w="1686" w:type="dxa"/>
            <w:gridSpan w:val="2"/>
            <w:tcBorders>
              <w:left w:val="single" w:color="auto" w:sz="4" w:space="0"/>
            </w:tcBorders>
            <w:vAlign w:val="center"/>
          </w:tcPr>
          <w:p w14:paraId="200D5F70">
            <w:pPr>
              <w:pStyle w:val="54"/>
              <w:bidi w:val="0"/>
            </w:pPr>
            <w:r>
              <w:rPr>
                <w:rFonts w:hint="eastAsia"/>
              </w:rPr>
              <w:t>参选内容</w:t>
            </w:r>
          </w:p>
        </w:tc>
        <w:tc>
          <w:tcPr>
            <w:tcW w:w="5476" w:type="dxa"/>
            <w:tcBorders>
              <w:left w:val="single" w:color="auto" w:sz="4" w:space="0"/>
            </w:tcBorders>
            <w:vAlign w:val="center"/>
          </w:tcPr>
          <w:p w14:paraId="46BDB190">
            <w:pPr>
              <w:pStyle w:val="54"/>
              <w:bidi w:val="0"/>
            </w:pPr>
            <w:r>
              <w:rPr>
                <w:rFonts w:hint="eastAsia"/>
              </w:rPr>
              <w:t>1. 在响应承诺函中对第三章“项目要求”内容做出整体承诺；</w:t>
            </w:r>
          </w:p>
          <w:p w14:paraId="5697AF83">
            <w:pPr>
              <w:pStyle w:val="54"/>
              <w:bidi w:val="0"/>
            </w:pPr>
            <w:r>
              <w:rPr>
                <w:rFonts w:hint="eastAsia"/>
              </w:rPr>
              <w:t>2. 根据第一章“2. 参选人资格要求”和第三章“项目要求”的要求规定，提供对应</w:t>
            </w:r>
            <w:r>
              <w:rPr>
                <w:rFonts w:hint="eastAsia"/>
                <w:lang w:val="en-US" w:eastAsia="zh-CN"/>
              </w:rPr>
              <w:t>材料</w:t>
            </w:r>
            <w:r>
              <w:rPr>
                <w:rFonts w:hint="eastAsia"/>
              </w:rPr>
              <w:t>，内容齐全、无遗漏。</w:t>
            </w:r>
          </w:p>
        </w:tc>
      </w:tr>
      <w:tr w14:paraId="43F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6FEF99">
            <w:pPr>
              <w:pStyle w:val="54"/>
              <w:bidi w:val="0"/>
            </w:pPr>
          </w:p>
        </w:tc>
        <w:tc>
          <w:tcPr>
            <w:tcW w:w="1482" w:type="dxa"/>
            <w:vMerge w:val="continue"/>
            <w:tcBorders>
              <w:left w:val="single" w:color="auto" w:sz="4" w:space="0"/>
            </w:tcBorders>
          </w:tcPr>
          <w:p w14:paraId="19CF578B">
            <w:pPr>
              <w:pStyle w:val="54"/>
              <w:bidi w:val="0"/>
            </w:pPr>
          </w:p>
        </w:tc>
        <w:tc>
          <w:tcPr>
            <w:tcW w:w="1686" w:type="dxa"/>
            <w:gridSpan w:val="2"/>
            <w:tcBorders>
              <w:left w:val="single" w:color="auto" w:sz="4" w:space="0"/>
            </w:tcBorders>
            <w:vAlign w:val="center"/>
          </w:tcPr>
          <w:p w14:paraId="7E30173F">
            <w:pPr>
              <w:pStyle w:val="54"/>
              <w:bidi w:val="0"/>
            </w:pPr>
            <w:r>
              <w:rPr>
                <w:rFonts w:hint="eastAsia"/>
              </w:rPr>
              <w:t>参选文件份数</w:t>
            </w:r>
          </w:p>
        </w:tc>
        <w:tc>
          <w:tcPr>
            <w:tcW w:w="5476" w:type="dxa"/>
            <w:tcBorders>
              <w:left w:val="single" w:color="auto" w:sz="4" w:space="0"/>
            </w:tcBorders>
            <w:vAlign w:val="center"/>
          </w:tcPr>
          <w:p w14:paraId="5C3862A2">
            <w:pPr>
              <w:pStyle w:val="54"/>
              <w:bidi w:val="0"/>
            </w:pPr>
            <w:r>
              <w:rPr>
                <w:rFonts w:hint="eastAsia"/>
              </w:rPr>
              <w:t>符合第二章“参选人须知”4.5 条规定</w:t>
            </w:r>
          </w:p>
        </w:tc>
      </w:tr>
      <w:tr w14:paraId="2F3C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C9F3970">
            <w:pPr>
              <w:pStyle w:val="54"/>
              <w:bidi w:val="0"/>
            </w:pPr>
          </w:p>
        </w:tc>
        <w:tc>
          <w:tcPr>
            <w:tcW w:w="1482" w:type="dxa"/>
            <w:vMerge w:val="continue"/>
            <w:tcBorders>
              <w:left w:val="single" w:color="auto" w:sz="4" w:space="0"/>
            </w:tcBorders>
          </w:tcPr>
          <w:p w14:paraId="556899F7">
            <w:pPr>
              <w:pStyle w:val="54"/>
              <w:bidi w:val="0"/>
            </w:pPr>
          </w:p>
        </w:tc>
        <w:tc>
          <w:tcPr>
            <w:tcW w:w="1686" w:type="dxa"/>
            <w:gridSpan w:val="2"/>
            <w:tcBorders>
              <w:left w:val="single" w:color="auto" w:sz="4" w:space="0"/>
            </w:tcBorders>
            <w:vAlign w:val="center"/>
          </w:tcPr>
          <w:p w14:paraId="284BC33E">
            <w:pPr>
              <w:pStyle w:val="54"/>
              <w:bidi w:val="0"/>
            </w:pPr>
            <w:r>
              <w:rPr>
                <w:rFonts w:hint="eastAsia"/>
              </w:rPr>
              <w:t>参选方案唯一</w:t>
            </w:r>
          </w:p>
        </w:tc>
        <w:tc>
          <w:tcPr>
            <w:tcW w:w="5476" w:type="dxa"/>
            <w:tcBorders>
              <w:left w:val="single" w:color="auto" w:sz="4" w:space="0"/>
            </w:tcBorders>
            <w:vAlign w:val="center"/>
          </w:tcPr>
          <w:p w14:paraId="56079CE1">
            <w:pPr>
              <w:pStyle w:val="54"/>
              <w:bidi w:val="0"/>
            </w:pPr>
            <w:r>
              <w:rPr>
                <w:rFonts w:hint="eastAsia"/>
              </w:rPr>
              <w:t>只能有一个方案参选。</w:t>
            </w:r>
          </w:p>
        </w:tc>
      </w:tr>
      <w:tr w14:paraId="61EC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7E4AFD">
            <w:pPr>
              <w:pStyle w:val="54"/>
              <w:bidi w:val="0"/>
            </w:pPr>
          </w:p>
        </w:tc>
        <w:tc>
          <w:tcPr>
            <w:tcW w:w="1482" w:type="dxa"/>
            <w:vMerge w:val="continue"/>
            <w:tcBorders>
              <w:left w:val="single" w:color="auto" w:sz="4" w:space="0"/>
            </w:tcBorders>
          </w:tcPr>
          <w:p w14:paraId="3169762E">
            <w:pPr>
              <w:pStyle w:val="54"/>
              <w:bidi w:val="0"/>
            </w:pPr>
          </w:p>
        </w:tc>
        <w:tc>
          <w:tcPr>
            <w:tcW w:w="1686" w:type="dxa"/>
            <w:gridSpan w:val="2"/>
            <w:tcBorders>
              <w:left w:val="single" w:color="auto" w:sz="4" w:space="0"/>
            </w:tcBorders>
            <w:vAlign w:val="center"/>
          </w:tcPr>
          <w:p w14:paraId="0D074850">
            <w:pPr>
              <w:pStyle w:val="54"/>
              <w:bidi w:val="0"/>
            </w:pPr>
            <w:r>
              <w:rPr>
                <w:rFonts w:hint="eastAsia"/>
              </w:rPr>
              <w:t>参选报价</w:t>
            </w:r>
          </w:p>
        </w:tc>
        <w:tc>
          <w:tcPr>
            <w:tcW w:w="5476" w:type="dxa"/>
            <w:tcBorders>
              <w:left w:val="single" w:color="auto" w:sz="4" w:space="0"/>
            </w:tcBorders>
            <w:vAlign w:val="center"/>
          </w:tcPr>
          <w:p w14:paraId="41B7287A">
            <w:pPr>
              <w:pStyle w:val="54"/>
              <w:bidi w:val="0"/>
            </w:pPr>
            <w:r>
              <w:rPr>
                <w:rFonts w:hint="eastAsia"/>
              </w:rPr>
              <w:t>符合第二章“参选人须知”4.7 条规定</w:t>
            </w:r>
          </w:p>
        </w:tc>
      </w:tr>
      <w:tr w14:paraId="0F15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6D19E8">
            <w:pPr>
              <w:pStyle w:val="54"/>
              <w:bidi w:val="0"/>
            </w:pPr>
          </w:p>
        </w:tc>
        <w:tc>
          <w:tcPr>
            <w:tcW w:w="1482" w:type="dxa"/>
            <w:vMerge w:val="continue"/>
            <w:tcBorders>
              <w:left w:val="single" w:color="auto" w:sz="4" w:space="0"/>
            </w:tcBorders>
          </w:tcPr>
          <w:p w14:paraId="68B3453D">
            <w:pPr>
              <w:pStyle w:val="54"/>
              <w:bidi w:val="0"/>
            </w:pPr>
          </w:p>
        </w:tc>
        <w:tc>
          <w:tcPr>
            <w:tcW w:w="1686" w:type="dxa"/>
            <w:gridSpan w:val="2"/>
            <w:tcBorders>
              <w:left w:val="single" w:color="auto" w:sz="4" w:space="0"/>
            </w:tcBorders>
            <w:vAlign w:val="center"/>
          </w:tcPr>
          <w:p w14:paraId="58FB0B2A">
            <w:pPr>
              <w:pStyle w:val="54"/>
              <w:bidi w:val="0"/>
            </w:pPr>
            <w:r>
              <w:rPr>
                <w:rFonts w:hint="eastAsia"/>
              </w:rPr>
              <w:t>参选有效期</w:t>
            </w:r>
          </w:p>
        </w:tc>
        <w:tc>
          <w:tcPr>
            <w:tcW w:w="5476" w:type="dxa"/>
            <w:tcBorders>
              <w:left w:val="single" w:color="auto" w:sz="4" w:space="0"/>
            </w:tcBorders>
          </w:tcPr>
          <w:p w14:paraId="774E33B3">
            <w:pPr>
              <w:pStyle w:val="54"/>
              <w:bidi w:val="0"/>
            </w:pPr>
            <w:r>
              <w:rPr>
                <w:rFonts w:hint="eastAsia"/>
              </w:rPr>
              <w:t>符合第二章“参选人须知”4.3 条规定</w:t>
            </w:r>
          </w:p>
        </w:tc>
      </w:tr>
      <w:tr w14:paraId="2082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A95A3A5">
            <w:pPr>
              <w:pStyle w:val="54"/>
              <w:bidi w:val="0"/>
            </w:pPr>
          </w:p>
        </w:tc>
        <w:tc>
          <w:tcPr>
            <w:tcW w:w="1482" w:type="dxa"/>
            <w:vMerge w:val="continue"/>
            <w:tcBorders>
              <w:left w:val="single" w:color="auto" w:sz="4" w:space="0"/>
            </w:tcBorders>
          </w:tcPr>
          <w:p w14:paraId="53132397">
            <w:pPr>
              <w:pStyle w:val="54"/>
              <w:bidi w:val="0"/>
            </w:pPr>
          </w:p>
        </w:tc>
        <w:tc>
          <w:tcPr>
            <w:tcW w:w="1686" w:type="dxa"/>
            <w:gridSpan w:val="2"/>
            <w:tcBorders>
              <w:left w:val="single" w:color="auto" w:sz="4" w:space="0"/>
            </w:tcBorders>
            <w:vAlign w:val="center"/>
          </w:tcPr>
          <w:p w14:paraId="23C452D1">
            <w:pPr>
              <w:pStyle w:val="54"/>
              <w:bidi w:val="0"/>
            </w:pPr>
            <w:r>
              <w:rPr>
                <w:rFonts w:hint="eastAsia"/>
              </w:rPr>
              <w:t>参选保证金</w:t>
            </w:r>
          </w:p>
        </w:tc>
        <w:tc>
          <w:tcPr>
            <w:tcW w:w="5476" w:type="dxa"/>
            <w:tcBorders>
              <w:left w:val="single" w:color="auto" w:sz="4" w:space="0"/>
            </w:tcBorders>
          </w:tcPr>
          <w:p w14:paraId="6911192B">
            <w:pPr>
              <w:pStyle w:val="54"/>
              <w:bidi w:val="0"/>
            </w:pPr>
            <w:r>
              <w:rPr>
                <w:rFonts w:hint="eastAsia"/>
              </w:rPr>
              <w:t>符合第二章“参选人须知”4.4 条规定</w:t>
            </w:r>
          </w:p>
        </w:tc>
      </w:tr>
      <w:tr w14:paraId="448B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Align w:val="center"/>
          </w:tcPr>
          <w:p w14:paraId="50989CE5">
            <w:pPr>
              <w:pStyle w:val="54"/>
              <w:bidi w:val="0"/>
            </w:pPr>
            <w:r>
              <w:rPr>
                <w:rFonts w:hint="eastAsia"/>
              </w:rPr>
              <w:t>2.2</w:t>
            </w:r>
          </w:p>
        </w:tc>
        <w:tc>
          <w:tcPr>
            <w:tcW w:w="1482" w:type="dxa"/>
            <w:tcBorders>
              <w:left w:val="single" w:color="auto" w:sz="4" w:space="0"/>
            </w:tcBorders>
            <w:vAlign w:val="center"/>
          </w:tcPr>
          <w:p w14:paraId="1B3F71F3">
            <w:pPr>
              <w:pStyle w:val="54"/>
              <w:bidi w:val="0"/>
            </w:pPr>
            <w:r>
              <w:rPr>
                <w:rFonts w:hint="eastAsia"/>
              </w:rPr>
              <w:t>详细评审</w:t>
            </w:r>
          </w:p>
        </w:tc>
        <w:tc>
          <w:tcPr>
            <w:tcW w:w="1686" w:type="dxa"/>
            <w:gridSpan w:val="2"/>
            <w:tcBorders>
              <w:left w:val="single" w:color="auto" w:sz="4" w:space="0"/>
            </w:tcBorders>
            <w:vAlign w:val="center"/>
          </w:tcPr>
          <w:p w14:paraId="36B56D38">
            <w:pPr>
              <w:pStyle w:val="54"/>
              <w:bidi w:val="0"/>
            </w:pPr>
            <w:r>
              <w:rPr>
                <w:rFonts w:hint="eastAsia"/>
              </w:rPr>
              <w:t>分值构成与评分标准</w:t>
            </w:r>
          </w:p>
          <w:p w14:paraId="378AC9CE">
            <w:pPr>
              <w:pStyle w:val="54"/>
              <w:bidi w:val="0"/>
            </w:pPr>
            <w:r>
              <w:rPr>
                <w:rFonts w:hint="eastAsia"/>
              </w:rPr>
              <w:t>(总分1</w:t>
            </w:r>
            <w:r>
              <w:t>00</w:t>
            </w:r>
            <w:r>
              <w:rPr>
                <w:rFonts w:hint="eastAsia"/>
              </w:rPr>
              <w:t>分)</w:t>
            </w:r>
          </w:p>
        </w:tc>
        <w:tc>
          <w:tcPr>
            <w:tcW w:w="5476" w:type="dxa"/>
            <w:tcBorders>
              <w:left w:val="single" w:color="auto" w:sz="4" w:space="0"/>
            </w:tcBorders>
            <w:vAlign w:val="center"/>
          </w:tcPr>
          <w:p w14:paraId="4A5CE408">
            <w:pPr>
              <w:pStyle w:val="54"/>
              <w:bidi w:val="0"/>
            </w:pPr>
            <w:r>
              <w:rPr>
                <w:rFonts w:hint="eastAsia"/>
                <w:lang w:val="en-US" w:eastAsia="zh-CN"/>
              </w:rPr>
              <w:t>详见《详细评审评分标准表》</w:t>
            </w:r>
          </w:p>
        </w:tc>
      </w:tr>
      <w:tr w14:paraId="04E1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9A71DFC">
            <w:pPr>
              <w:pStyle w:val="54"/>
              <w:bidi w:val="0"/>
            </w:pPr>
            <w:r>
              <w:rPr>
                <w:rFonts w:hint="eastAsia"/>
              </w:rPr>
              <w:t>3</w:t>
            </w:r>
          </w:p>
        </w:tc>
        <w:tc>
          <w:tcPr>
            <w:tcW w:w="1482" w:type="dxa"/>
            <w:tcBorders>
              <w:left w:val="single" w:color="auto" w:sz="4" w:space="0"/>
            </w:tcBorders>
            <w:vAlign w:val="center"/>
          </w:tcPr>
          <w:p w14:paraId="558257F5">
            <w:pPr>
              <w:pStyle w:val="54"/>
              <w:bidi w:val="0"/>
            </w:pPr>
            <w:r>
              <w:rPr>
                <w:rFonts w:hint="eastAsia"/>
              </w:rPr>
              <w:t>评审程序</w:t>
            </w:r>
          </w:p>
        </w:tc>
        <w:tc>
          <w:tcPr>
            <w:tcW w:w="7162" w:type="dxa"/>
            <w:gridSpan w:val="3"/>
            <w:tcBorders>
              <w:left w:val="single" w:color="auto" w:sz="4" w:space="0"/>
            </w:tcBorders>
          </w:tcPr>
          <w:p w14:paraId="0AAAE7E5">
            <w:pPr>
              <w:pStyle w:val="54"/>
              <w:bidi w:val="0"/>
            </w:pPr>
            <w:r>
              <w:rPr>
                <w:rFonts w:hint="eastAsia"/>
              </w:rPr>
              <w:t>1.初步评审前，按本章第3.1.3项的规定对</w:t>
            </w:r>
            <w:r>
              <w:rPr>
                <w:rFonts w:hint="eastAsia"/>
                <w:lang w:eastAsia="zh-CN"/>
              </w:rPr>
              <w:t>参选</w:t>
            </w:r>
            <w:r>
              <w:rPr>
                <w:rFonts w:hint="eastAsia"/>
              </w:rPr>
              <w:t>报价有算术性错误的进行算术性错误修正。</w:t>
            </w:r>
          </w:p>
          <w:p w14:paraId="6607E882">
            <w:pPr>
              <w:pStyle w:val="54"/>
              <w:bidi w:val="0"/>
            </w:pPr>
            <w:r>
              <w:rPr>
                <w:rFonts w:hint="eastAsia"/>
              </w:rPr>
              <w:t>2.初步评审合格的</w:t>
            </w:r>
            <w:r>
              <w:rPr>
                <w:rFonts w:hint="eastAsia"/>
                <w:lang w:eastAsia="zh-CN"/>
              </w:rPr>
              <w:t>参选文件</w:t>
            </w:r>
            <w:r>
              <w:rPr>
                <w:rFonts w:hint="eastAsia"/>
              </w:rPr>
              <w:t>进行</w:t>
            </w:r>
            <w:r>
              <w:rPr>
                <w:rFonts w:hint="eastAsia"/>
                <w:lang w:val="en-US" w:eastAsia="zh-CN"/>
              </w:rPr>
              <w:t>详细评审</w:t>
            </w:r>
            <w:r>
              <w:rPr>
                <w:rFonts w:hint="eastAsia"/>
              </w:rPr>
              <w:t>。主观评审部分由各专家独立评审打分，最后取平均得分，保留2位小数。</w:t>
            </w:r>
          </w:p>
          <w:p w14:paraId="057206E2">
            <w:pPr>
              <w:pStyle w:val="54"/>
              <w:bidi w:val="0"/>
            </w:pPr>
            <w:r>
              <w:rPr>
                <w:rFonts w:hint="eastAsia"/>
              </w:rPr>
              <w:t>3.根据综合得分由高至低进行排序，推荐1-3家合格的中选候选人。并依次为第一、二、三中选候选人。</w:t>
            </w:r>
          </w:p>
        </w:tc>
      </w:tr>
      <w:tr w14:paraId="6C3E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796DCB6">
            <w:pPr>
              <w:pStyle w:val="54"/>
              <w:bidi w:val="0"/>
            </w:pPr>
            <w:r>
              <w:rPr>
                <w:rFonts w:hint="eastAsia"/>
              </w:rPr>
              <w:t>3.2.3</w:t>
            </w:r>
          </w:p>
        </w:tc>
        <w:tc>
          <w:tcPr>
            <w:tcW w:w="1511" w:type="dxa"/>
            <w:tcBorders>
              <w:left w:val="single" w:color="auto" w:sz="4" w:space="0"/>
            </w:tcBorders>
            <w:vAlign w:val="center"/>
          </w:tcPr>
          <w:p w14:paraId="53490D89">
            <w:pPr>
              <w:pStyle w:val="54"/>
              <w:bidi w:val="0"/>
            </w:pPr>
            <w:r>
              <w:rPr>
                <w:rFonts w:hint="eastAsia"/>
              </w:rPr>
              <w:t>参选人得分</w:t>
            </w:r>
          </w:p>
        </w:tc>
        <w:tc>
          <w:tcPr>
            <w:tcW w:w="5651" w:type="dxa"/>
            <w:gridSpan w:val="2"/>
            <w:tcBorders>
              <w:left w:val="single" w:color="auto" w:sz="4" w:space="0"/>
            </w:tcBorders>
            <w:vAlign w:val="center"/>
          </w:tcPr>
          <w:p w14:paraId="50BBC648">
            <w:pPr>
              <w:pStyle w:val="54"/>
              <w:bidi w:val="0"/>
            </w:pPr>
            <w:r>
              <w:rPr>
                <w:rFonts w:hint="eastAsia"/>
              </w:rPr>
              <w:t>参选人得分=参选报价得分+商务部分得分</w:t>
            </w:r>
            <w:r>
              <w:t>+技术部分得分</w:t>
            </w:r>
          </w:p>
        </w:tc>
      </w:tr>
      <w:bookmarkEnd w:id="71"/>
    </w:tbl>
    <w:p w14:paraId="28055C45">
      <w:pPr>
        <w:bidi w:val="0"/>
        <w:rPr>
          <w:rFonts w:hint="eastAsia"/>
          <w:color w:val="auto"/>
          <w:highlight w:val="none"/>
        </w:rPr>
      </w:pPr>
      <w:bookmarkStart w:id="72" w:name="_Toc27234"/>
      <w:bookmarkStart w:id="73" w:name="_Toc636"/>
      <w:bookmarkStart w:id="74" w:name="_Toc18283"/>
      <w:bookmarkStart w:id="75" w:name="_Toc21111"/>
      <w:bookmarkStart w:id="76" w:name="_Toc28684"/>
    </w:p>
    <w:p w14:paraId="689E11A8">
      <w:pPr>
        <w:bidi w:val="0"/>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6D6948DC">
      <w:pPr>
        <w:pStyle w:val="3"/>
        <w:bidi w:val="0"/>
        <w:rPr>
          <w:color w:val="auto"/>
          <w:highlight w:val="none"/>
        </w:rPr>
      </w:pPr>
      <w:r>
        <w:rPr>
          <w:rFonts w:hint="eastAsia"/>
          <w:color w:val="auto"/>
          <w:highlight w:val="none"/>
        </w:rPr>
        <w:t>详细评审评分标准表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8"/>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54"/>
              <w:bidi w:val="0"/>
              <w:rPr>
                <w:rFonts w:hint="eastAsia"/>
                <w:color w:val="auto"/>
                <w:highlight w:val="none"/>
                <w:lang w:val="en-US" w:eastAsia="zh-CN"/>
              </w:rPr>
            </w:pPr>
            <w:r>
              <w:rPr>
                <w:rFonts w:hint="eastAsia"/>
                <w:color w:val="auto"/>
                <w:highlight w:val="none"/>
                <w:lang w:val="en-US" w:eastAsia="zh-CN"/>
              </w:rPr>
              <w:t>参选报价</w:t>
            </w:r>
          </w:p>
          <w:p w14:paraId="3279D765">
            <w:pPr>
              <w:pStyle w:val="54"/>
              <w:bidi w:val="0"/>
              <w:rPr>
                <w:color w:val="auto"/>
                <w:highlight w:val="none"/>
              </w:rPr>
            </w:pPr>
            <w:r>
              <w:rPr>
                <w:rFonts w:hint="eastAsia"/>
                <w:color w:val="auto"/>
                <w:highlight w:val="none"/>
                <w:lang w:val="en-US" w:eastAsia="zh-CN"/>
              </w:rPr>
              <w:t>（65分）</w:t>
            </w:r>
          </w:p>
        </w:tc>
        <w:tc>
          <w:tcPr>
            <w:tcW w:w="1091" w:type="dxa"/>
            <w:vAlign w:val="center"/>
          </w:tcPr>
          <w:p w14:paraId="374B8858">
            <w:pPr>
              <w:pStyle w:val="54"/>
              <w:bidi w:val="0"/>
              <w:rPr>
                <w:color w:val="auto"/>
                <w:highlight w:val="none"/>
              </w:rPr>
            </w:pPr>
            <w:r>
              <w:rPr>
                <w:color w:val="auto"/>
                <w:highlight w:val="none"/>
              </w:rPr>
              <w:t>参选价格</w:t>
            </w:r>
          </w:p>
          <w:p w14:paraId="3ADA3D26">
            <w:pPr>
              <w:pStyle w:val="54"/>
              <w:bidi w:val="0"/>
              <w:rPr>
                <w:color w:val="auto"/>
                <w:highlight w:val="none"/>
              </w:rPr>
            </w:pPr>
            <w:r>
              <w:rPr>
                <w:color w:val="auto"/>
                <w:highlight w:val="none"/>
              </w:rPr>
              <w:t>（</w:t>
            </w:r>
            <w:r>
              <w:rPr>
                <w:rFonts w:hint="eastAsia"/>
                <w:color w:val="auto"/>
                <w:highlight w:val="none"/>
                <w:lang w:val="en-US" w:eastAsia="zh-CN"/>
              </w:rPr>
              <w:t>6</w:t>
            </w:r>
            <w:r>
              <w:rPr>
                <w:color w:val="auto"/>
                <w:highlight w:val="none"/>
              </w:rPr>
              <w:t>5分）</w:t>
            </w:r>
          </w:p>
        </w:tc>
        <w:tc>
          <w:tcPr>
            <w:tcW w:w="6358" w:type="dxa"/>
          </w:tcPr>
          <w:p w14:paraId="771DDFA3">
            <w:pPr>
              <w:pStyle w:val="54"/>
              <w:bidi w:val="0"/>
              <w:rPr>
                <w:color w:val="auto"/>
                <w:highlight w:val="none"/>
              </w:rPr>
            </w:pPr>
            <w:r>
              <w:rPr>
                <w:rFonts w:hint="eastAsia"/>
                <w:color w:val="auto"/>
                <w:highlight w:val="none"/>
              </w:rPr>
              <w:t>1. 以各有效报价（不含税报价）之和的平均价格作为评标基准价，基准分为</w:t>
            </w:r>
            <w:r>
              <w:rPr>
                <w:color w:val="auto"/>
                <w:highlight w:val="none"/>
              </w:rPr>
              <w:t>65</w:t>
            </w:r>
            <w:r>
              <w:rPr>
                <w:rFonts w:hint="eastAsia"/>
                <w:color w:val="auto"/>
                <w:highlight w:val="none"/>
              </w:rPr>
              <w:t>分；</w:t>
            </w:r>
          </w:p>
          <w:p w14:paraId="01F5BB06">
            <w:pPr>
              <w:pStyle w:val="54"/>
              <w:bidi w:val="0"/>
              <w:rPr>
                <w:color w:val="auto"/>
                <w:highlight w:val="none"/>
              </w:rPr>
            </w:pPr>
            <w:r>
              <w:rPr>
                <w:rFonts w:hint="eastAsia"/>
                <w:color w:val="auto"/>
                <w:highlight w:val="none"/>
              </w:rPr>
              <w:t>2.计算各有效报价与评标基准价的偏离度。偏离度=（有效报价/评标基准价-1）*100%；</w:t>
            </w:r>
          </w:p>
          <w:p w14:paraId="4B536054">
            <w:pPr>
              <w:pStyle w:val="54"/>
              <w:bidi w:val="0"/>
              <w:rPr>
                <w:rFonts w:hint="eastAsia"/>
                <w:color w:val="auto"/>
                <w:highlight w:val="none"/>
                <w:lang w:eastAsia="zh-CN"/>
              </w:rPr>
            </w:pPr>
            <w:r>
              <w:rPr>
                <w:rFonts w:hint="eastAsia"/>
                <w:color w:val="auto"/>
                <w:highlight w:val="none"/>
              </w:rPr>
              <w:t>3. 报价向上每偏离基准价的1%扣1分；向下偏离基准价10%以内的，不扣分；向下偏离基准价超过10%的，在向下偏离基准价10%的基础上，向下偏离每多超过1%扣0.5分，扣完为止</w:t>
            </w:r>
            <w:r>
              <w:rPr>
                <w:rFonts w:hint="eastAsia"/>
                <w:color w:val="auto"/>
                <w:highlight w:val="none"/>
                <w:lang w:eastAsia="zh-CN"/>
              </w:rPr>
              <w:t>。</w:t>
            </w:r>
          </w:p>
          <w:p w14:paraId="15134714">
            <w:pPr>
              <w:pStyle w:val="54"/>
              <w:bidi w:val="0"/>
              <w:rPr>
                <w:color w:val="auto"/>
                <w:highlight w:val="none"/>
              </w:rPr>
            </w:pPr>
            <w:r>
              <w:rPr>
                <w:rFonts w:hint="eastAsia"/>
                <w:color w:val="auto"/>
                <w:highlight w:val="none"/>
                <w:lang w:val="en-US" w:eastAsia="zh-CN"/>
              </w:rPr>
              <w:t xml:space="preserve">4. </w:t>
            </w:r>
            <w:r>
              <w:rPr>
                <w:rFonts w:hint="eastAsia"/>
                <w:color w:val="auto"/>
                <w:highlight w:val="none"/>
              </w:rPr>
              <w:t>不足1%的不予扣减。</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54"/>
              <w:bidi w:val="0"/>
              <w:rPr>
                <w:rFonts w:hint="eastAsia"/>
                <w:color w:val="auto"/>
                <w:highlight w:val="none"/>
                <w:lang w:eastAsia="zh-CN"/>
              </w:rPr>
            </w:pPr>
            <w:r>
              <w:rPr>
                <w:color w:val="auto"/>
                <w:highlight w:val="none"/>
              </w:rPr>
              <w:t>商务</w:t>
            </w:r>
            <w:r>
              <w:rPr>
                <w:rFonts w:hint="eastAsia"/>
                <w:color w:val="auto"/>
                <w:highlight w:val="none"/>
                <w:lang w:val="en-US" w:eastAsia="zh-CN"/>
              </w:rPr>
              <w:t>部分</w:t>
            </w:r>
          </w:p>
          <w:p w14:paraId="4E69267C">
            <w:pPr>
              <w:pStyle w:val="54"/>
              <w:bidi w:val="0"/>
              <w:rPr>
                <w:color w:val="auto"/>
                <w:highlight w:val="none"/>
              </w:rPr>
            </w:pPr>
            <w:r>
              <w:rPr>
                <w:rFonts w:hint="eastAsia"/>
                <w:color w:val="auto"/>
                <w:highlight w:val="none"/>
                <w:lang w:eastAsia="zh-CN"/>
              </w:rPr>
              <w:t>（</w:t>
            </w:r>
            <w:r>
              <w:rPr>
                <w:rFonts w:hint="eastAsia"/>
                <w:color w:val="auto"/>
                <w:highlight w:val="none"/>
                <w:lang w:val="en-US" w:eastAsia="zh-CN"/>
              </w:rPr>
              <w:t>25</w:t>
            </w:r>
            <w:r>
              <w:rPr>
                <w:color w:val="auto"/>
                <w:highlight w:val="none"/>
              </w:rPr>
              <w:t>分</w:t>
            </w:r>
            <w:r>
              <w:rPr>
                <w:rFonts w:hint="eastAsia"/>
                <w:color w:val="auto"/>
                <w:highlight w:val="none"/>
                <w:lang w:eastAsia="zh-CN"/>
              </w:rPr>
              <w:t>）</w:t>
            </w:r>
          </w:p>
        </w:tc>
        <w:tc>
          <w:tcPr>
            <w:tcW w:w="1091" w:type="dxa"/>
            <w:vAlign w:val="center"/>
          </w:tcPr>
          <w:p w14:paraId="15A9E192">
            <w:pPr>
              <w:pStyle w:val="54"/>
              <w:bidi w:val="0"/>
              <w:rPr>
                <w:color w:val="auto"/>
                <w:highlight w:val="none"/>
              </w:rPr>
            </w:pPr>
            <w:r>
              <w:rPr>
                <w:color w:val="auto"/>
                <w:highlight w:val="none"/>
              </w:rPr>
              <w:t>企业资质（8分）</w:t>
            </w:r>
          </w:p>
        </w:tc>
        <w:tc>
          <w:tcPr>
            <w:tcW w:w="6358" w:type="dxa"/>
          </w:tcPr>
          <w:p w14:paraId="6320E9F3">
            <w:pPr>
              <w:pStyle w:val="54"/>
              <w:bidi w:val="0"/>
              <w:rPr>
                <w:rFonts w:hint="eastAsia"/>
                <w:color w:val="auto"/>
                <w:highlight w:val="none"/>
              </w:rPr>
            </w:pPr>
            <w:r>
              <w:rPr>
                <w:color w:val="auto"/>
                <w:highlight w:val="none"/>
              </w:rPr>
              <w:t>参选人每提供以下任意一个资质证明文件得2分，本项最高得8分。</w:t>
            </w:r>
          </w:p>
          <w:p w14:paraId="14F4CF1F">
            <w:pPr>
              <w:pStyle w:val="54"/>
              <w:bidi w:val="0"/>
              <w:rPr>
                <w:color w:val="auto"/>
                <w:highlight w:val="none"/>
              </w:rPr>
            </w:pPr>
            <w:r>
              <w:rPr>
                <w:color w:val="auto"/>
                <w:highlight w:val="none"/>
              </w:rPr>
              <w:t>资质：具备ISO28000供应链安全管理体系证书、具备ISO22301业务连续性管理体系证书、具备ISO27701隐私信息管理体系证书、具备ISO22320应急预案管理能力证书。</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54"/>
              <w:bidi w:val="0"/>
              <w:rPr>
                <w:color w:val="auto"/>
                <w:highlight w:val="none"/>
              </w:rPr>
            </w:pPr>
          </w:p>
        </w:tc>
        <w:tc>
          <w:tcPr>
            <w:tcW w:w="1091" w:type="dxa"/>
            <w:vAlign w:val="center"/>
          </w:tcPr>
          <w:p w14:paraId="76019B25">
            <w:pPr>
              <w:pStyle w:val="54"/>
              <w:bidi w:val="0"/>
              <w:rPr>
                <w:color w:val="auto"/>
                <w:highlight w:val="none"/>
              </w:rPr>
            </w:pPr>
            <w:r>
              <w:rPr>
                <w:rFonts w:hint="eastAsia"/>
                <w:color w:val="auto"/>
                <w:highlight w:val="none"/>
              </w:rPr>
              <w:t>实施案例（</w:t>
            </w:r>
            <w:r>
              <w:rPr>
                <w:color w:val="auto"/>
                <w:highlight w:val="none"/>
              </w:rPr>
              <w:t>6</w:t>
            </w:r>
            <w:r>
              <w:rPr>
                <w:rFonts w:hint="eastAsia"/>
                <w:color w:val="auto"/>
                <w:highlight w:val="none"/>
              </w:rPr>
              <w:t>分）</w:t>
            </w:r>
          </w:p>
        </w:tc>
        <w:tc>
          <w:tcPr>
            <w:tcW w:w="6358" w:type="dxa"/>
            <w:vAlign w:val="center"/>
          </w:tcPr>
          <w:p w14:paraId="42317615">
            <w:pPr>
              <w:pStyle w:val="54"/>
              <w:bidi w:val="0"/>
              <w:rPr>
                <w:color w:val="auto"/>
                <w:highlight w:val="none"/>
              </w:rPr>
            </w:pPr>
            <w:r>
              <w:rPr>
                <w:rFonts w:hint="eastAsia"/>
                <w:color w:val="auto"/>
                <w:highlight w:val="none"/>
              </w:rPr>
              <w:t>2021年1月1日至比选截止日（以合同签订时间为准），提供参选人银行</w:t>
            </w:r>
            <w:r>
              <w:rPr>
                <w:color w:val="auto"/>
                <w:highlight w:val="none"/>
              </w:rPr>
              <w:t>业金融</w:t>
            </w:r>
            <w:r>
              <w:rPr>
                <w:rFonts w:hint="eastAsia"/>
                <w:color w:val="auto"/>
                <w:highlight w:val="none"/>
              </w:rPr>
              <w:t>机构</w:t>
            </w:r>
            <w:r>
              <w:rPr>
                <w:color w:val="auto"/>
                <w:highlight w:val="none"/>
              </w:rPr>
              <w:t>信息安全管理体系咨询服务实施案例</w:t>
            </w:r>
            <w:r>
              <w:rPr>
                <w:rFonts w:hint="eastAsia"/>
                <w:color w:val="auto"/>
                <w:highlight w:val="none"/>
              </w:rPr>
              <w:t>，每具备1个得</w:t>
            </w:r>
            <w:r>
              <w:rPr>
                <w:color w:val="auto"/>
                <w:highlight w:val="none"/>
              </w:rPr>
              <w:t>2分，累计不超过6分。同一单位案例不重复计分。</w:t>
            </w:r>
          </w:p>
          <w:p w14:paraId="00046D80">
            <w:pPr>
              <w:pStyle w:val="54"/>
              <w:bidi w:val="0"/>
              <w:rPr>
                <w:color w:val="auto"/>
                <w:highlight w:val="none"/>
              </w:rPr>
            </w:pPr>
            <w:r>
              <w:rPr>
                <w:rFonts w:hint="eastAsia"/>
                <w:color w:val="auto"/>
                <w:highlight w:val="none"/>
                <w:lang w:val="en-US" w:eastAsia="zh-CN"/>
              </w:rPr>
              <w:t>案例提供合同关键页、项目简介、</w:t>
            </w:r>
            <w:r>
              <w:rPr>
                <w:rFonts w:hint="eastAsia"/>
                <w:color w:val="auto"/>
                <w:highlight w:val="none"/>
              </w:rPr>
              <w:t>合同对应的发票之一和网上税务系统查询</w:t>
            </w:r>
            <w:r>
              <w:rPr>
                <w:color w:val="auto"/>
                <w:highlight w:val="none"/>
                <w:lang w:eastAsia="zh-CN"/>
              </w:rPr>
              <w:t>（https://inv-veri.chinatax.gov.cn/）</w:t>
            </w:r>
            <w:r>
              <w:rPr>
                <w:rFonts w:hint="eastAsia"/>
                <w:color w:val="auto"/>
                <w:highlight w:val="none"/>
              </w:rPr>
              <w:t>该发票</w:t>
            </w:r>
            <w:r>
              <w:rPr>
                <w:rFonts w:hint="eastAsia"/>
                <w:color w:val="auto"/>
                <w:highlight w:val="none"/>
                <w:lang w:eastAsia="zh-CN"/>
              </w:rPr>
              <w:t>的</w:t>
            </w:r>
            <w:r>
              <w:rPr>
                <w:rFonts w:hint="eastAsia"/>
                <w:color w:val="auto"/>
                <w:highlight w:val="none"/>
              </w:rPr>
              <w:t>截图</w:t>
            </w:r>
            <w:r>
              <w:rPr>
                <w:rFonts w:hint="eastAsia"/>
                <w:color w:val="auto"/>
                <w:highlight w:val="none"/>
                <w:lang w:val="en-US" w:eastAsia="zh-CN"/>
              </w:rPr>
              <w:t>。合同关键页</w:t>
            </w:r>
            <w:r>
              <w:rPr>
                <w:color w:val="auto"/>
                <w:highlight w:val="none"/>
              </w:rPr>
              <w:t>包含：甲乙双方名称、双方印章、项目名称、合同签订时间</w:t>
            </w:r>
            <w:r>
              <w:rPr>
                <w:rFonts w:hint="eastAsia"/>
                <w:color w:val="auto"/>
                <w:highlight w:val="none"/>
                <w:lang w:eastAsia="zh-CN"/>
              </w:rPr>
              <w:t>、</w:t>
            </w:r>
            <w:r>
              <w:rPr>
                <w:rFonts w:hint="eastAsia"/>
                <w:color w:val="auto"/>
                <w:highlight w:val="none"/>
                <w:lang w:val="en-US" w:eastAsia="zh-CN"/>
              </w:rPr>
              <w:t>服务范围</w:t>
            </w:r>
            <w:r>
              <w:rPr>
                <w:rFonts w:hint="eastAsia"/>
                <w:color w:val="auto"/>
                <w:highlight w:val="none"/>
              </w:rPr>
              <w:t>。发票开具日期须晚于合同签订日期、发票购买方须与合同买方一致、发票销售方须与合同卖方（参选人）一致</w:t>
            </w:r>
          </w:p>
        </w:tc>
      </w:tr>
      <w:tr w14:paraId="143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13816AA4">
            <w:pPr>
              <w:pStyle w:val="54"/>
              <w:bidi w:val="0"/>
              <w:rPr>
                <w:color w:val="auto"/>
                <w:highlight w:val="none"/>
              </w:rPr>
            </w:pPr>
          </w:p>
        </w:tc>
        <w:tc>
          <w:tcPr>
            <w:tcW w:w="1091" w:type="dxa"/>
            <w:vAlign w:val="center"/>
          </w:tcPr>
          <w:p w14:paraId="6D6DCBC2">
            <w:pPr>
              <w:pStyle w:val="54"/>
              <w:bidi w:val="0"/>
              <w:rPr>
                <w:color w:val="auto"/>
                <w:highlight w:val="none"/>
              </w:rPr>
            </w:pPr>
            <w:r>
              <w:rPr>
                <w:rFonts w:hint="eastAsia"/>
                <w:color w:val="auto"/>
                <w:highlight w:val="none"/>
              </w:rPr>
              <w:t>服务能力（</w:t>
            </w:r>
            <w:r>
              <w:rPr>
                <w:color w:val="auto"/>
                <w:highlight w:val="none"/>
              </w:rPr>
              <w:t>11</w:t>
            </w:r>
            <w:r>
              <w:rPr>
                <w:rFonts w:hint="eastAsia"/>
                <w:color w:val="auto"/>
                <w:highlight w:val="none"/>
              </w:rPr>
              <w:t>分）</w:t>
            </w:r>
          </w:p>
        </w:tc>
        <w:tc>
          <w:tcPr>
            <w:tcW w:w="6358" w:type="dxa"/>
            <w:vAlign w:val="center"/>
          </w:tcPr>
          <w:p w14:paraId="2AC3EA88">
            <w:pPr>
              <w:pStyle w:val="54"/>
              <w:bidi w:val="0"/>
              <w:rPr>
                <w:rFonts w:hint="default"/>
                <w:color w:val="auto"/>
                <w:highlight w:val="none"/>
                <w:lang w:val="en-US" w:eastAsia="zh-CN"/>
              </w:rPr>
            </w:pPr>
            <w:r>
              <w:rPr>
                <w:rFonts w:hint="eastAsia"/>
                <w:color w:val="auto"/>
                <w:highlight w:val="none"/>
                <w:lang w:val="en-US" w:eastAsia="zh-CN"/>
              </w:rPr>
              <w:t>根据参选人在第三章要求中提供的拟供人员简历、拟供人员专业认证证书及参与过相关项目证明材料进行评审。</w:t>
            </w:r>
          </w:p>
          <w:p w14:paraId="478DBFD7">
            <w:pPr>
              <w:pStyle w:val="54"/>
              <w:bidi w:val="0"/>
              <w:rPr>
                <w:rFonts w:hint="eastAsia"/>
                <w:color w:val="auto"/>
                <w:highlight w:val="none"/>
              </w:rPr>
            </w:pPr>
            <w:r>
              <w:rPr>
                <w:rFonts w:hint="eastAsia"/>
                <w:color w:val="auto"/>
                <w:highlight w:val="none"/>
                <w:lang w:val="en-US" w:eastAsia="zh-CN"/>
              </w:rPr>
              <w:t>1.咨询服务人员（含项目经理）具备本科及以上学</w:t>
            </w:r>
            <w:r>
              <w:rPr>
                <w:rFonts w:hint="eastAsia"/>
                <w:color w:val="auto"/>
                <w:highlight w:val="none"/>
              </w:rPr>
              <w:t>历的得1分，最高得3分。</w:t>
            </w:r>
          </w:p>
          <w:p w14:paraId="1104C290">
            <w:pPr>
              <w:pStyle w:val="54"/>
              <w:bidi w:val="0"/>
              <w:rPr>
                <w:rFonts w:hint="eastAsia"/>
                <w:color w:val="auto"/>
                <w:highlight w:val="none"/>
              </w:rPr>
            </w:pPr>
            <w:r>
              <w:rPr>
                <w:rFonts w:hint="eastAsia"/>
                <w:color w:val="auto"/>
                <w:highlight w:val="none"/>
              </w:rPr>
              <w:t>2.咨询服务人员（含项目经理）提供以下任意一个证书得1分，同一人员最多得2分，本项最高得6分。</w:t>
            </w:r>
          </w:p>
          <w:p w14:paraId="04CC1EF9">
            <w:pPr>
              <w:pStyle w:val="54"/>
              <w:bidi w:val="0"/>
              <w:rPr>
                <w:rFonts w:hint="eastAsia"/>
                <w:color w:val="auto"/>
                <w:highlight w:val="none"/>
              </w:rPr>
            </w:pPr>
            <w:r>
              <w:rPr>
                <w:rFonts w:hint="eastAsia"/>
                <w:color w:val="auto"/>
                <w:highlight w:val="none"/>
              </w:rPr>
              <w:t>证书：注册信息安全工程师（CISP）证书、国际信息系统审计师（CISA）证书、国际IT服务管理专业资格认证（ITIL）证书、ISO27001 foundation examination证书、国际数据安全认证（CDSP）证书。</w:t>
            </w:r>
          </w:p>
          <w:p w14:paraId="5C3E7056">
            <w:pPr>
              <w:pStyle w:val="54"/>
              <w:bidi w:val="0"/>
              <w:rPr>
                <w:rFonts w:hint="eastAsia"/>
                <w:color w:val="auto"/>
                <w:highlight w:val="none"/>
              </w:rPr>
            </w:pPr>
            <w:r>
              <w:rPr>
                <w:rFonts w:hint="eastAsia"/>
                <w:color w:val="auto"/>
                <w:highlight w:val="none"/>
              </w:rPr>
              <w:t>3.满足以下任意一项得2分</w:t>
            </w:r>
            <w:r>
              <w:rPr>
                <w:rFonts w:hint="eastAsia"/>
                <w:color w:val="auto"/>
                <w:highlight w:val="none"/>
                <w:lang w:eastAsia="zh-CN"/>
              </w:rPr>
              <w:t>，</w:t>
            </w:r>
            <w:r>
              <w:rPr>
                <w:rFonts w:hint="eastAsia"/>
                <w:color w:val="auto"/>
                <w:highlight w:val="none"/>
                <w:lang w:val="en-US" w:eastAsia="zh-CN"/>
              </w:rPr>
              <w:t>本项满分2分</w:t>
            </w:r>
            <w:r>
              <w:rPr>
                <w:rFonts w:hint="eastAsia"/>
                <w:color w:val="auto"/>
                <w:highlight w:val="none"/>
              </w:rPr>
              <w:t>。</w:t>
            </w:r>
          </w:p>
          <w:p w14:paraId="6C6FBC13">
            <w:pPr>
              <w:pStyle w:val="54"/>
              <w:bidi w:val="0"/>
              <w:rPr>
                <w:rFonts w:hint="eastAsia"/>
                <w:color w:val="auto"/>
                <w:highlight w:val="none"/>
              </w:rPr>
            </w:pPr>
            <w:r>
              <w:rPr>
                <w:rFonts w:hint="eastAsia"/>
                <w:color w:val="auto"/>
                <w:highlight w:val="none"/>
              </w:rPr>
              <w:t>（1）咨询服务人员获取信息系统安全专业认证（CISSP）证书。</w:t>
            </w:r>
          </w:p>
          <w:p w14:paraId="319F3855">
            <w:pPr>
              <w:pStyle w:val="54"/>
              <w:bidi w:val="0"/>
              <w:rPr>
                <w:color w:val="auto"/>
                <w:highlight w:val="none"/>
              </w:rPr>
            </w:pPr>
            <w:r>
              <w:rPr>
                <w:rFonts w:hint="eastAsia"/>
                <w:color w:val="auto"/>
                <w:highlight w:val="none"/>
              </w:rPr>
              <w:t>（2）项目经理获取项目管理专业资质（PMP）证书或信息系统项目管理师证书。</w:t>
            </w:r>
          </w:p>
        </w:tc>
      </w:tr>
      <w:tr w14:paraId="55F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0A584270">
            <w:pPr>
              <w:pStyle w:val="54"/>
              <w:bidi w:val="0"/>
              <w:rPr>
                <w:color w:val="auto"/>
                <w:highlight w:val="none"/>
              </w:rPr>
            </w:pPr>
            <w:r>
              <w:rPr>
                <w:rFonts w:hint="eastAsia"/>
                <w:color w:val="auto"/>
                <w:highlight w:val="none"/>
              </w:rPr>
              <w:t>技术部分（</w:t>
            </w:r>
            <w:r>
              <w:rPr>
                <w:color w:val="auto"/>
                <w:highlight w:val="none"/>
              </w:rPr>
              <w:t>10</w:t>
            </w:r>
            <w:r>
              <w:rPr>
                <w:rFonts w:hint="eastAsia"/>
                <w:color w:val="auto"/>
                <w:highlight w:val="none"/>
              </w:rPr>
              <w:t>分）</w:t>
            </w:r>
          </w:p>
        </w:tc>
        <w:tc>
          <w:tcPr>
            <w:tcW w:w="1091" w:type="dxa"/>
            <w:vAlign w:val="center"/>
          </w:tcPr>
          <w:p w14:paraId="7F36C705">
            <w:pPr>
              <w:pStyle w:val="54"/>
              <w:bidi w:val="0"/>
              <w:rPr>
                <w:color w:val="auto"/>
                <w:highlight w:val="none"/>
                <w:lang w:eastAsia="zh-CN"/>
              </w:rPr>
            </w:pPr>
            <w:r>
              <w:rPr>
                <w:rFonts w:hint="eastAsia"/>
                <w:color w:val="auto"/>
                <w:highlight w:val="none"/>
              </w:rPr>
              <w:t>实施方案（</w:t>
            </w:r>
            <w:r>
              <w:rPr>
                <w:color w:val="auto"/>
                <w:highlight w:val="none"/>
              </w:rPr>
              <w:t>10</w:t>
            </w:r>
            <w:r>
              <w:rPr>
                <w:rFonts w:hint="eastAsia"/>
                <w:color w:val="auto"/>
                <w:highlight w:val="none"/>
              </w:rPr>
              <w:t>分）</w:t>
            </w:r>
          </w:p>
        </w:tc>
        <w:tc>
          <w:tcPr>
            <w:tcW w:w="6358" w:type="dxa"/>
            <w:vAlign w:val="center"/>
          </w:tcPr>
          <w:p w14:paraId="267784D1">
            <w:pPr>
              <w:pStyle w:val="54"/>
              <w:bidi w:val="0"/>
              <w:rPr>
                <w:rFonts w:hint="eastAsia"/>
                <w:color w:val="auto"/>
                <w:highlight w:val="none"/>
              </w:rPr>
            </w:pPr>
            <w:r>
              <w:rPr>
                <w:rFonts w:hint="eastAsia"/>
                <w:color w:val="auto"/>
                <w:highlight w:val="none"/>
                <w:lang w:val="en-US" w:eastAsia="zh-CN"/>
              </w:rPr>
              <w:t>根据参选人</w:t>
            </w:r>
            <w:r>
              <w:rPr>
                <w:rFonts w:hint="eastAsia"/>
                <w:color w:val="auto"/>
                <w:highlight w:val="none"/>
              </w:rPr>
              <w:t>提供</w:t>
            </w:r>
            <w:r>
              <w:rPr>
                <w:rFonts w:hint="eastAsia"/>
                <w:color w:val="auto"/>
                <w:highlight w:val="none"/>
                <w:lang w:val="en-US" w:eastAsia="zh-CN"/>
              </w:rPr>
              <w:t>的</w:t>
            </w:r>
            <w:r>
              <w:rPr>
                <w:rFonts w:hint="eastAsia"/>
                <w:color w:val="auto"/>
                <w:highlight w:val="none"/>
              </w:rPr>
              <w:t>项目实施方案，方案</w:t>
            </w:r>
            <w:r>
              <w:rPr>
                <w:rFonts w:hint="eastAsia"/>
                <w:color w:val="auto"/>
                <w:highlight w:val="none"/>
                <w:lang w:val="en-US" w:eastAsia="zh-CN"/>
              </w:rPr>
              <w:t>应</w:t>
            </w:r>
            <w:r>
              <w:rPr>
                <w:rFonts w:hint="eastAsia"/>
                <w:color w:val="auto"/>
                <w:highlight w:val="none"/>
              </w:rPr>
              <w:t>涵盖人员组织安排计划、信息安全风险评估、信息安全管理体系设计方案、信息安全管理体系运行和优化方案、信息安全管理体系内审流程培训。</w:t>
            </w:r>
          </w:p>
          <w:p w14:paraId="5663A3A2">
            <w:pPr>
              <w:pStyle w:val="54"/>
              <w:bidi w:val="0"/>
              <w:rPr>
                <w:rFonts w:hint="eastAsia"/>
                <w:color w:val="auto"/>
                <w:highlight w:val="none"/>
              </w:rPr>
            </w:pPr>
            <w:r>
              <w:rPr>
                <w:rFonts w:hint="eastAsia"/>
                <w:color w:val="auto"/>
                <w:highlight w:val="none"/>
              </w:rPr>
              <w:t>评标委员会根据方案的科学性、完整性、可操作性，综合比较</w:t>
            </w:r>
            <w:r>
              <w:rPr>
                <w:rFonts w:hint="eastAsia"/>
                <w:color w:val="auto"/>
                <w:highlight w:val="none"/>
                <w:lang w:val="en-US" w:eastAsia="zh-CN"/>
              </w:rPr>
              <w:t>酌情</w:t>
            </w:r>
            <w:r>
              <w:rPr>
                <w:rFonts w:hint="eastAsia"/>
                <w:color w:val="auto"/>
                <w:highlight w:val="none"/>
              </w:rPr>
              <w:t>打分。</w:t>
            </w:r>
          </w:p>
          <w:p w14:paraId="6BE1FBBE">
            <w:pPr>
              <w:pStyle w:val="54"/>
              <w:bidi w:val="0"/>
              <w:rPr>
                <w:rFonts w:hint="eastAsia"/>
                <w:color w:val="auto"/>
                <w:highlight w:val="none"/>
              </w:rPr>
            </w:pPr>
            <w:r>
              <w:rPr>
                <w:rFonts w:hint="eastAsia"/>
                <w:color w:val="auto"/>
                <w:highlight w:val="none"/>
              </w:rPr>
              <w:t>优秀得7-10分</w:t>
            </w:r>
          </w:p>
          <w:p w14:paraId="48B4A1BE">
            <w:pPr>
              <w:pStyle w:val="54"/>
              <w:bidi w:val="0"/>
              <w:rPr>
                <w:rFonts w:hint="eastAsia"/>
                <w:color w:val="auto"/>
                <w:highlight w:val="none"/>
              </w:rPr>
            </w:pPr>
            <w:r>
              <w:rPr>
                <w:rFonts w:hint="eastAsia"/>
                <w:color w:val="auto"/>
                <w:highlight w:val="none"/>
              </w:rPr>
              <w:t>一般得4-6分</w:t>
            </w:r>
          </w:p>
          <w:p w14:paraId="7B786DC2">
            <w:pPr>
              <w:pStyle w:val="54"/>
              <w:bidi w:val="0"/>
              <w:rPr>
                <w:color w:val="auto"/>
                <w:highlight w:val="none"/>
              </w:rPr>
            </w:pPr>
            <w:r>
              <w:rPr>
                <w:rFonts w:hint="eastAsia"/>
                <w:color w:val="auto"/>
                <w:highlight w:val="none"/>
              </w:rPr>
              <w:t>较差得0-3分</w:t>
            </w:r>
          </w:p>
        </w:tc>
      </w:tr>
    </w:tbl>
    <w:p w14:paraId="0136E4C4">
      <w:pPr>
        <w:rPr>
          <w:rFonts w:ascii="Times New Roman" w:hAnsi="Times New Roman" w:cs="Times New Roman"/>
          <w:snapToGrid w:val="0"/>
          <w:color w:val="auto"/>
          <w:sz w:val="21"/>
          <w:szCs w:val="21"/>
          <w:highlight w:val="none"/>
        </w:rPr>
      </w:pPr>
    </w:p>
    <w:p w14:paraId="650EA5EC">
      <w:pPr>
        <w:rPr>
          <w:rFonts w:ascii="Times New Roman" w:hAnsi="Times New Roman" w:cs="Times New Roman"/>
          <w:snapToGrid w:val="0"/>
          <w:color w:val="auto"/>
          <w:sz w:val="21"/>
          <w:szCs w:val="21"/>
          <w:highlight w:val="none"/>
        </w:rPr>
      </w:pPr>
    </w:p>
    <w:p w14:paraId="2F3C9A50">
      <w:pPr>
        <w:rPr>
          <w:rFonts w:ascii="Times New Roman" w:hAnsi="Times New Roman" w:cs="Times New Roman"/>
          <w:snapToGrid w:val="0"/>
          <w:color w:val="auto"/>
          <w:sz w:val="21"/>
          <w:szCs w:val="21"/>
          <w:highlight w:val="none"/>
        </w:rPr>
        <w:sectPr>
          <w:pgSz w:w="11907" w:h="16840"/>
          <w:pgMar w:top="1440" w:right="1797" w:bottom="1440" w:left="1797" w:header="720" w:footer="720" w:gutter="0"/>
          <w:pgNumType w:fmt="decimal"/>
          <w:cols w:space="0" w:num="1"/>
          <w:docGrid w:linePitch="312" w:charSpace="-4096"/>
        </w:sectPr>
      </w:pPr>
    </w:p>
    <w:bookmarkEnd w:id="72"/>
    <w:bookmarkEnd w:id="73"/>
    <w:bookmarkEnd w:id="74"/>
    <w:bookmarkEnd w:id="75"/>
    <w:bookmarkEnd w:id="76"/>
    <w:p w14:paraId="02FB27CD">
      <w:pPr>
        <w:pStyle w:val="3"/>
        <w:bidi w:val="0"/>
        <w:rPr>
          <w:color w:val="auto"/>
          <w:highlight w:val="none"/>
          <w:lang w:val="en-US" w:eastAsia="zh-CN"/>
        </w:rPr>
      </w:pPr>
      <w:bookmarkStart w:id="77" w:name="_Toc150953074"/>
      <w:bookmarkStart w:id="78" w:name="_Toc6341"/>
      <w:bookmarkStart w:id="79" w:name="_Toc89675170"/>
      <w:bookmarkStart w:id="80" w:name="_Toc303066034"/>
      <w:r>
        <w:rPr>
          <w:rFonts w:hint="eastAsia"/>
          <w:color w:val="auto"/>
          <w:highlight w:val="none"/>
          <w:lang w:val="en-US" w:eastAsia="zh-CN"/>
        </w:rPr>
        <w:t>1. 评审方法</w:t>
      </w:r>
    </w:p>
    <w:p w14:paraId="3942C35E">
      <w:pPr>
        <w:bidi w:val="0"/>
        <w:rPr>
          <w:color w:val="auto"/>
          <w:highlight w:val="none"/>
        </w:rPr>
      </w:pPr>
      <w:bookmarkStart w:id="81" w:name="_Toc200513199"/>
      <w:bookmarkStart w:id="82" w:name="_Toc407195379"/>
      <w:bookmarkStart w:id="83" w:name="_Toc287607813"/>
      <w:bookmarkStart w:id="84" w:name="_Toc376114120"/>
      <w:bookmarkStart w:id="85" w:name="_Toc440022827"/>
      <w:bookmarkStart w:id="86" w:name="_Toc224103385"/>
      <w:bookmarkStart w:id="87" w:name="_Toc277082619"/>
      <w:bookmarkStart w:id="88" w:name="_Toc377115419"/>
      <w:bookmarkStart w:id="89" w:name="_Toc377067339"/>
      <w:bookmarkStart w:id="90" w:name="_Toc287620752"/>
      <w:bookmarkStart w:id="91" w:name="_Toc330569206"/>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bookmarkStart w:id="92" w:name="_Toc5950"/>
      <w:bookmarkStart w:id="93" w:name="_Toc27931"/>
      <w:bookmarkStart w:id="94" w:name="_Toc31615"/>
      <w:bookmarkStart w:id="95" w:name="_Toc2274"/>
      <w:bookmarkStart w:id="96" w:name="_Toc444155968"/>
      <w:bookmarkStart w:id="97" w:name="_Toc16716"/>
      <w:bookmarkStart w:id="98" w:name="_Toc765"/>
      <w:bookmarkStart w:id="99" w:name="_Toc23969"/>
      <w:bookmarkStart w:id="100" w:name="_Toc27406"/>
      <w:r>
        <w:rPr>
          <w:rFonts w:hint="eastAsia"/>
          <w:color w:val="auto"/>
          <w:highlight w:val="none"/>
          <w:lang w:val="en-US" w:eastAsia="zh-CN"/>
        </w:rPr>
        <w:t>2. 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BA50A80">
      <w:pPr>
        <w:pStyle w:val="4"/>
        <w:bidi w:val="0"/>
        <w:rPr>
          <w:color w:val="auto"/>
          <w:highlight w:val="none"/>
          <w:lang w:val="en-US" w:eastAsia="zh-CN"/>
        </w:rPr>
      </w:pPr>
      <w:bookmarkStart w:id="101" w:name="_Toc200513200"/>
      <w:bookmarkStart w:id="102" w:name="_Toc330569207"/>
      <w:bookmarkStart w:id="103" w:name="_Toc287620753"/>
      <w:bookmarkStart w:id="104" w:name="_Toc11839"/>
      <w:bookmarkStart w:id="105" w:name="_Toc407195380"/>
      <w:bookmarkStart w:id="106" w:name="_Toc287607814"/>
      <w:bookmarkStart w:id="107" w:name="_Toc16537"/>
      <w:bookmarkStart w:id="108" w:name="_Toc10533"/>
      <w:bookmarkStart w:id="109" w:name="_Toc23425"/>
      <w:bookmarkStart w:id="110" w:name="_Toc440022828"/>
      <w:bookmarkStart w:id="111" w:name="_Toc377067340"/>
      <w:bookmarkStart w:id="112" w:name="_Toc21593"/>
      <w:bookmarkStart w:id="113" w:name="_Toc1358"/>
      <w:bookmarkStart w:id="114" w:name="_Toc7584"/>
      <w:bookmarkStart w:id="115" w:name="_Toc277082620"/>
      <w:bookmarkStart w:id="116" w:name="_Toc224103386"/>
      <w:bookmarkStart w:id="117" w:name="_Toc444155969"/>
      <w:bookmarkStart w:id="118" w:name="_Toc377115420"/>
      <w:bookmarkStart w:id="119" w:name="_Toc376114121"/>
      <w:r>
        <w:rPr>
          <w:rFonts w:hint="eastAsia"/>
          <w:color w:val="auto"/>
          <w:highlight w:val="none"/>
          <w:lang w:val="en-US" w:eastAsia="zh-CN"/>
        </w:rPr>
        <w:t>2.1 初步评审标准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bookmarkStart w:id="120" w:name="_Toc377115421"/>
      <w:bookmarkStart w:id="121" w:name="_Toc20840"/>
      <w:bookmarkStart w:id="122" w:name="_Toc9090"/>
      <w:bookmarkStart w:id="123" w:name="_Toc440022829"/>
      <w:bookmarkStart w:id="124" w:name="_Toc224103387"/>
      <w:bookmarkStart w:id="125" w:name="_Toc1387"/>
      <w:bookmarkStart w:id="126" w:name="_Toc444155970"/>
      <w:bookmarkStart w:id="127" w:name="_Toc200513201"/>
      <w:bookmarkStart w:id="128" w:name="_Toc277082621"/>
      <w:bookmarkStart w:id="129" w:name="_Toc376114122"/>
      <w:bookmarkStart w:id="130" w:name="_Toc330569208"/>
      <w:bookmarkStart w:id="131" w:name="_Toc377067341"/>
      <w:bookmarkStart w:id="132" w:name="_Toc23296"/>
      <w:bookmarkStart w:id="133" w:name="_Toc25129"/>
      <w:bookmarkStart w:id="134" w:name="_Toc6503"/>
      <w:bookmarkStart w:id="135" w:name="_Toc287607815"/>
      <w:bookmarkStart w:id="136" w:name="_Toc407195381"/>
      <w:bookmarkStart w:id="137" w:name="_Toc2340"/>
      <w:bookmarkStart w:id="138" w:name="_Toc287620754"/>
      <w:r>
        <w:rPr>
          <w:rFonts w:hint="eastAsia"/>
          <w:color w:val="auto"/>
          <w:highlight w:val="none"/>
          <w:lang w:val="en-US" w:eastAsia="zh-CN"/>
        </w:rPr>
        <w:t>2.2 分值构成与评分标准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bookmarkStart w:id="139" w:name="_Toc14353"/>
      <w:bookmarkStart w:id="140" w:name="_Toc407195382"/>
      <w:bookmarkStart w:id="141" w:name="_Toc23633"/>
      <w:bookmarkStart w:id="142" w:name="_Toc440022830"/>
      <w:bookmarkStart w:id="143" w:name="_Toc2982"/>
      <w:bookmarkStart w:id="144" w:name="_Toc9488"/>
      <w:bookmarkStart w:id="145" w:name="_Toc200513202"/>
      <w:bookmarkStart w:id="146" w:name="_Toc377115422"/>
      <w:bookmarkStart w:id="147" w:name="_Toc12538"/>
      <w:bookmarkStart w:id="148" w:name="_Toc277082622"/>
      <w:bookmarkStart w:id="149" w:name="_Toc224103388"/>
      <w:bookmarkStart w:id="150" w:name="_Toc376114123"/>
      <w:bookmarkStart w:id="151" w:name="_Toc15132"/>
      <w:bookmarkStart w:id="152" w:name="_Toc8004"/>
      <w:bookmarkStart w:id="153" w:name="_Toc444155971"/>
      <w:bookmarkStart w:id="154" w:name="_Toc5546"/>
      <w:bookmarkStart w:id="155" w:name="_Toc287620755"/>
      <w:bookmarkStart w:id="156" w:name="_Toc330569209"/>
      <w:bookmarkStart w:id="157" w:name="_Toc287607816"/>
      <w:bookmarkStart w:id="158" w:name="_Toc377067342"/>
      <w:r>
        <w:rPr>
          <w:rFonts w:hint="eastAsia"/>
          <w:color w:val="auto"/>
          <w:highlight w:val="none"/>
          <w:lang w:val="en-US" w:eastAsia="zh-CN"/>
        </w:rPr>
        <w:t>3. 评审程序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FC19357">
      <w:pPr>
        <w:pStyle w:val="4"/>
        <w:bidi w:val="0"/>
        <w:rPr>
          <w:color w:val="auto"/>
          <w:highlight w:val="none"/>
          <w:lang w:val="en-US" w:eastAsia="zh-CN"/>
        </w:rPr>
      </w:pPr>
      <w:bookmarkStart w:id="159" w:name="_Toc277082623"/>
      <w:bookmarkStart w:id="160" w:name="_Toc287620756"/>
      <w:bookmarkStart w:id="161" w:name="_Toc6448"/>
      <w:bookmarkStart w:id="162" w:name="_Toc9683"/>
      <w:bookmarkStart w:id="163" w:name="_Toc32002"/>
      <w:bookmarkStart w:id="164" w:name="_Toc440022831"/>
      <w:bookmarkStart w:id="165" w:name="_Toc13851"/>
      <w:bookmarkStart w:id="166" w:name="_Toc377115423"/>
      <w:bookmarkStart w:id="167" w:name="_Toc444155972"/>
      <w:bookmarkStart w:id="168" w:name="_Toc5462"/>
      <w:bookmarkStart w:id="169" w:name="_Toc407195383"/>
      <w:bookmarkStart w:id="170" w:name="_Toc330569210"/>
      <w:bookmarkStart w:id="171" w:name="_Toc287607817"/>
      <w:bookmarkStart w:id="172" w:name="_Toc376114124"/>
      <w:bookmarkStart w:id="173" w:name="_Toc22279"/>
      <w:bookmarkStart w:id="174" w:name="_Toc200513203"/>
      <w:bookmarkStart w:id="175" w:name="_Toc224103389"/>
      <w:bookmarkStart w:id="176" w:name="_Toc19840"/>
      <w:bookmarkStart w:id="177" w:name="_Toc377067343"/>
      <w:r>
        <w:rPr>
          <w:rFonts w:hint="eastAsia"/>
          <w:color w:val="auto"/>
          <w:highlight w:val="none"/>
          <w:lang w:val="en-US" w:eastAsia="zh-CN"/>
        </w:rPr>
        <w:t>3.1 初步评审</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E803579">
      <w:pPr>
        <w:bidi w:val="0"/>
        <w:rPr>
          <w:color w:val="auto"/>
          <w:highlight w:val="none"/>
        </w:rPr>
      </w:pPr>
      <w:bookmarkStart w:id="178" w:name="_Toc376114125"/>
      <w:bookmarkStart w:id="179" w:name="_Toc332380970"/>
      <w:bookmarkStart w:id="180" w:name="_Toc444155973"/>
      <w:bookmarkStart w:id="181" w:name="_Toc356243677"/>
      <w:bookmarkStart w:id="182" w:name="_Toc440022832"/>
      <w:bookmarkStart w:id="183" w:name="_Toc331232467"/>
      <w:bookmarkStart w:id="184" w:name="_Toc334002333"/>
      <w:bookmarkStart w:id="185" w:name="_Toc377067344"/>
      <w:bookmarkStart w:id="186" w:name="_Toc356484119"/>
      <w:bookmarkStart w:id="187" w:name="_Toc373172234"/>
      <w:bookmarkStart w:id="188" w:name="_Toc354387014"/>
      <w:bookmarkStart w:id="189" w:name="_Toc377115424"/>
      <w:bookmarkStart w:id="190" w:name="_Toc330569211"/>
      <w:bookmarkStart w:id="191" w:name="_Toc27164"/>
      <w:bookmarkStart w:id="192" w:name="_Toc332028970"/>
      <w:bookmarkStart w:id="193" w:name="_Toc373264792"/>
      <w:bookmarkStart w:id="194" w:name="_Toc407195384"/>
      <w:bookmarkStart w:id="195" w:name="_Toc331232649"/>
      <w:bookmarkStart w:id="196" w:name="_Toc332015984"/>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bookmarkStart w:id="197" w:name="_Toc440022833"/>
      <w:bookmarkStart w:id="198" w:name="_Toc10847"/>
      <w:bookmarkStart w:id="199" w:name="_Toc224103390"/>
      <w:bookmarkStart w:id="200" w:name="_Toc287607818"/>
      <w:bookmarkStart w:id="201" w:name="_Toc200513204"/>
      <w:bookmarkStart w:id="202" w:name="_Toc277082624"/>
      <w:bookmarkStart w:id="203" w:name="_Toc407195385"/>
      <w:bookmarkStart w:id="204" w:name="_Toc22246"/>
      <w:bookmarkStart w:id="205" w:name="_Toc330569212"/>
      <w:bookmarkStart w:id="206" w:name="_Toc377115425"/>
      <w:bookmarkStart w:id="207" w:name="_Toc444155974"/>
      <w:bookmarkStart w:id="208" w:name="_Toc29925"/>
      <w:bookmarkStart w:id="209" w:name="_Toc19604"/>
      <w:bookmarkStart w:id="210" w:name="_Toc377067345"/>
      <w:bookmarkStart w:id="211" w:name="_Toc376114126"/>
      <w:bookmarkStart w:id="212" w:name="_Toc7832"/>
      <w:bookmarkStart w:id="213" w:name="_Toc22848"/>
      <w:bookmarkStart w:id="214" w:name="_Toc287620757"/>
      <w:bookmarkStart w:id="215" w:name="_Toc11246"/>
      <w:r>
        <w:rPr>
          <w:rFonts w:hint="eastAsia"/>
          <w:color w:val="auto"/>
          <w:highlight w:val="none"/>
          <w:lang w:val="en-US" w:eastAsia="zh-CN"/>
        </w:rPr>
        <w:t>3.2 详细评审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bookmarkStart w:id="216" w:name="_Toc7176"/>
      <w:bookmarkStart w:id="217" w:name="_Toc277082625"/>
      <w:bookmarkStart w:id="218" w:name="_Toc2542"/>
      <w:bookmarkStart w:id="219" w:name="_Toc377115426"/>
      <w:bookmarkStart w:id="220" w:name="_Toc29261"/>
      <w:bookmarkStart w:id="221" w:name="_Toc224103391"/>
      <w:bookmarkStart w:id="222" w:name="_Toc18708"/>
      <w:bookmarkStart w:id="223" w:name="_Toc440022834"/>
      <w:bookmarkStart w:id="224" w:name="_Toc287607819"/>
      <w:bookmarkStart w:id="225" w:name="_Toc287620758"/>
      <w:bookmarkStart w:id="226" w:name="_Toc407195386"/>
      <w:bookmarkStart w:id="227" w:name="_Toc376114127"/>
      <w:bookmarkStart w:id="228" w:name="_Toc377067346"/>
      <w:bookmarkStart w:id="229" w:name="_Toc330569213"/>
      <w:bookmarkStart w:id="230" w:name="_Toc444155975"/>
      <w:bookmarkStart w:id="231" w:name="_Toc1080"/>
      <w:bookmarkStart w:id="232" w:name="_Toc200513205"/>
      <w:bookmarkStart w:id="233" w:name="_Toc20948"/>
      <w:bookmarkStart w:id="234" w:name="_Toc32039"/>
      <w:r>
        <w:rPr>
          <w:rFonts w:hint="eastAsia"/>
          <w:color w:val="auto"/>
          <w:highlight w:val="none"/>
          <w:lang w:val="en-US" w:eastAsia="zh-CN"/>
        </w:rPr>
        <w:t>3.3 参选文件的澄清和补正</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bookmarkStart w:id="235" w:name="_Toc30672"/>
      <w:bookmarkStart w:id="236" w:name="_Toc6310"/>
      <w:bookmarkStart w:id="237" w:name="_Toc287607820"/>
      <w:bookmarkStart w:id="238" w:name="_Toc14840"/>
      <w:bookmarkStart w:id="239" w:name="_Toc4814"/>
      <w:bookmarkStart w:id="240" w:name="_Toc287620759"/>
      <w:bookmarkStart w:id="241" w:name="_Toc330569214"/>
      <w:bookmarkStart w:id="242" w:name="_Toc440022835"/>
      <w:bookmarkStart w:id="243" w:name="_Toc376114128"/>
      <w:bookmarkStart w:id="244" w:name="_Toc224103392"/>
      <w:bookmarkStart w:id="245" w:name="_Toc377115427"/>
      <w:bookmarkStart w:id="246" w:name="_Toc21450"/>
      <w:bookmarkStart w:id="247" w:name="_Toc19054"/>
      <w:bookmarkStart w:id="248" w:name="_Toc277082626"/>
      <w:bookmarkStart w:id="249" w:name="_Toc444155976"/>
      <w:bookmarkStart w:id="250" w:name="_Toc31270"/>
      <w:bookmarkStart w:id="251" w:name="_Toc407195387"/>
      <w:bookmarkStart w:id="252" w:name="_Toc377067347"/>
      <w:bookmarkStart w:id="253" w:name="_Toc200513206"/>
      <w:r>
        <w:rPr>
          <w:rFonts w:hint="eastAsia"/>
          <w:color w:val="auto"/>
          <w:highlight w:val="none"/>
          <w:lang w:val="en-US" w:eastAsia="zh-CN"/>
        </w:rPr>
        <w:t>3.4 评审结果</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0C3DD3E">
      <w:pPr>
        <w:bidi w:val="0"/>
        <w:rPr>
          <w:rFonts w:hint="eastAsia"/>
          <w:color w:val="auto"/>
          <w:highlight w:val="none"/>
        </w:rPr>
      </w:pPr>
      <w:r>
        <w:rPr>
          <w:rFonts w:hint="eastAsia"/>
          <w:color w:val="auto"/>
          <w:highlight w:val="none"/>
        </w:rPr>
        <w:br w:type="page"/>
      </w:r>
    </w:p>
    <w:p w14:paraId="19EBC62E">
      <w:pPr>
        <w:pStyle w:val="2"/>
        <w:rPr>
          <w:rFonts w:ascii="Times New Roman" w:hAnsi="Times New Roman"/>
          <w:color w:val="auto"/>
          <w:highlight w:val="none"/>
        </w:rPr>
      </w:pPr>
      <w:bookmarkStart w:id="254" w:name="_Toc18616"/>
      <w:r>
        <w:rPr>
          <w:rFonts w:hint="eastAsia" w:ascii="Times New Roman" w:hAnsi="Times New Roman"/>
          <w:color w:val="auto"/>
          <w:highlight w:val="none"/>
        </w:rPr>
        <w:t>第五章 合同</w:t>
      </w:r>
      <w:r>
        <w:rPr>
          <w:rFonts w:ascii="Times New Roman" w:hAnsi="Times New Roman"/>
          <w:color w:val="auto"/>
          <w:highlight w:val="none"/>
        </w:rPr>
        <w:t>模板</w:t>
      </w:r>
      <w:bookmarkEnd w:id="77"/>
      <w:bookmarkEnd w:id="78"/>
      <w:bookmarkEnd w:id="254"/>
    </w:p>
    <w:p w14:paraId="71C7355B">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3581EF50">
      <w:pPr>
        <w:jc w:val="right"/>
        <w:rPr>
          <w:rFonts w:ascii="Times New Roman" w:hAnsi="Times New Roman"/>
          <w:color w:val="auto"/>
          <w:highlight w:val="none"/>
        </w:rPr>
      </w:pPr>
      <w:r>
        <w:rPr>
          <w:rFonts w:ascii="Times New Roman" w:hAnsi="Times New Roman"/>
          <w:color w:val="auto"/>
          <w:highlight w:val="none"/>
        </w:rPr>
        <w:t>编号：SXYH20220101018___</w:t>
      </w:r>
    </w:p>
    <w:p w14:paraId="7C51D73E">
      <w:pPr>
        <w:pStyle w:val="46"/>
        <w:snapToGrid w:val="0"/>
        <w:spacing w:before="0" w:beforeLines="0" w:beforeAutospacing="0" w:after="0" w:afterAutospacing="0" w:line="520" w:lineRule="atLeast"/>
        <w:ind w:firstLine="0" w:firstLineChars="0"/>
        <w:jc w:val="center"/>
        <w:rPr>
          <w:b/>
          <w:color w:val="auto"/>
          <w:sz w:val="44"/>
          <w:highlight w:val="none"/>
        </w:rPr>
      </w:pPr>
    </w:p>
    <w:p w14:paraId="3E84EBF4">
      <w:pPr>
        <w:pStyle w:val="46"/>
        <w:snapToGrid w:val="0"/>
        <w:spacing w:before="0" w:beforeLines="0" w:beforeAutospacing="0" w:after="0" w:afterAutospacing="0" w:line="520" w:lineRule="atLeast"/>
        <w:ind w:firstLine="0" w:firstLineChars="0"/>
        <w:jc w:val="center"/>
        <w:rPr>
          <w:b/>
          <w:color w:val="auto"/>
          <w:sz w:val="44"/>
          <w:highlight w:val="none"/>
        </w:rPr>
      </w:pPr>
    </w:p>
    <w:p w14:paraId="76960B5B">
      <w:pPr>
        <w:pStyle w:val="46"/>
        <w:snapToGrid w:val="0"/>
        <w:spacing w:before="0" w:beforeLines="0" w:beforeAutospacing="0" w:after="0" w:afterAutospacing="0" w:line="520" w:lineRule="atLeast"/>
        <w:ind w:firstLine="0" w:firstLineChars="0"/>
        <w:jc w:val="center"/>
        <w:rPr>
          <w:b/>
          <w:color w:val="auto"/>
          <w:sz w:val="44"/>
          <w:highlight w:val="none"/>
        </w:rPr>
      </w:pPr>
    </w:p>
    <w:p w14:paraId="29F89C49">
      <w:pPr>
        <w:pStyle w:val="46"/>
        <w:snapToGrid w:val="0"/>
        <w:spacing w:before="0" w:beforeLines="0" w:beforeAutospacing="0" w:after="0" w:afterAutospacing="0" w:line="520" w:lineRule="atLeast"/>
        <w:ind w:firstLine="0" w:firstLineChars="0"/>
        <w:jc w:val="center"/>
        <w:rPr>
          <w:b/>
          <w:color w:val="auto"/>
          <w:sz w:val="44"/>
          <w:highlight w:val="none"/>
        </w:rPr>
      </w:pPr>
      <w:r>
        <w:rPr>
          <w:rFonts w:hint="eastAsia"/>
          <w:b/>
          <w:color w:val="auto"/>
          <w:sz w:val="44"/>
          <w:highlight w:val="none"/>
        </w:rPr>
        <w:t>重庆三峡银行</w:t>
      </w:r>
    </w:p>
    <w:p w14:paraId="080B70D8">
      <w:pPr>
        <w:pStyle w:val="46"/>
        <w:snapToGrid w:val="0"/>
        <w:spacing w:before="0" w:beforeLines="0" w:beforeAutospacing="0" w:after="0" w:afterAutospacing="0" w:line="520" w:lineRule="atLeast"/>
        <w:ind w:firstLine="0" w:firstLineChars="0"/>
        <w:jc w:val="center"/>
        <w:rPr>
          <w:b/>
          <w:color w:val="auto"/>
          <w:sz w:val="44"/>
          <w:highlight w:val="none"/>
        </w:rPr>
      </w:pPr>
      <w:bookmarkStart w:id="255" w:name="_Hlk363564034"/>
      <w:r>
        <w:rPr>
          <w:b/>
          <w:color w:val="auto"/>
          <w:sz w:val="44"/>
          <w:highlight w:val="none"/>
        </w:rPr>
        <w:t>信息安全管理体系咨询及</w:t>
      </w:r>
    </w:p>
    <w:p w14:paraId="217B4D76">
      <w:pPr>
        <w:pStyle w:val="46"/>
        <w:snapToGrid w:val="0"/>
        <w:spacing w:before="0" w:beforeLines="0" w:beforeAutospacing="0" w:after="0" w:afterAutospacing="0" w:line="520" w:lineRule="atLeast"/>
        <w:ind w:firstLine="0" w:firstLineChars="0"/>
        <w:jc w:val="center"/>
        <w:rPr>
          <w:b/>
          <w:color w:val="auto"/>
          <w:sz w:val="44"/>
          <w:highlight w:val="none"/>
        </w:rPr>
      </w:pPr>
      <w:r>
        <w:rPr>
          <w:b/>
          <w:color w:val="auto"/>
          <w:sz w:val="44"/>
          <w:highlight w:val="none"/>
        </w:rPr>
        <w:t>再认证服务</w:t>
      </w:r>
      <w:bookmarkEnd w:id="255"/>
      <w:r>
        <w:rPr>
          <w:rFonts w:hint="eastAsia"/>
          <w:b/>
          <w:color w:val="auto"/>
          <w:sz w:val="44"/>
          <w:highlight w:val="none"/>
        </w:rPr>
        <w:t>合同</w:t>
      </w:r>
    </w:p>
    <w:p w14:paraId="70FF8D1B">
      <w:pPr>
        <w:snapToGrid w:val="0"/>
        <w:spacing w:line="520" w:lineRule="exact"/>
        <w:rPr>
          <w:rFonts w:hint="eastAsia" w:ascii="宋体"/>
          <w:b/>
          <w:color w:val="auto"/>
          <w:sz w:val="44"/>
          <w:highlight w:val="none"/>
        </w:rPr>
      </w:pPr>
    </w:p>
    <w:p w14:paraId="28D5ABAA">
      <w:pPr>
        <w:snapToGrid w:val="0"/>
        <w:spacing w:line="520" w:lineRule="exact"/>
        <w:rPr>
          <w:rFonts w:hint="eastAsia" w:ascii="宋体"/>
          <w:b/>
          <w:color w:val="auto"/>
          <w:sz w:val="44"/>
          <w:highlight w:val="none"/>
        </w:rPr>
      </w:pPr>
    </w:p>
    <w:p w14:paraId="740DA307">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3E8C1ED4">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2876FF68">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7087870D">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2B0F03DF">
      <w:pPr>
        <w:pStyle w:val="46"/>
        <w:snapToGrid w:val="0"/>
        <w:spacing w:before="0" w:beforeLines="0" w:beforeAutospacing="0" w:after="0" w:afterAutospacing="0" w:line="520" w:lineRule="atLeast"/>
        <w:ind w:firstLine="0" w:firstLineChars="0"/>
        <w:jc w:val="center"/>
        <w:rPr>
          <w:b/>
          <w:color w:val="auto"/>
          <w:sz w:val="32"/>
          <w:szCs w:val="32"/>
          <w:highlight w:val="none"/>
        </w:rPr>
      </w:pPr>
    </w:p>
    <w:p w14:paraId="4FC3D9D6">
      <w:pPr>
        <w:pStyle w:val="46"/>
        <w:snapToGrid w:val="0"/>
        <w:spacing w:before="0" w:beforeLines="0" w:beforeAutospacing="0" w:after="0" w:afterAutospacing="0" w:line="520" w:lineRule="atLeast"/>
        <w:ind w:left="1418" w:leftChars="675" w:firstLine="0" w:firstLineChars="0"/>
        <w:rPr>
          <w:b/>
          <w:color w:val="auto"/>
          <w:szCs w:val="24"/>
          <w:highlight w:val="none"/>
        </w:rPr>
      </w:pPr>
      <w:r>
        <w:rPr>
          <w:rFonts w:hint="eastAsia"/>
          <w:b/>
          <w:color w:val="auto"/>
          <w:szCs w:val="24"/>
          <w:highlight w:val="none"/>
        </w:rPr>
        <w:t>委托方：重庆三峡银行股份有限公司</w:t>
      </w:r>
    </w:p>
    <w:p w14:paraId="120C90B2">
      <w:pPr>
        <w:pStyle w:val="46"/>
        <w:snapToGrid w:val="0"/>
        <w:spacing w:before="0" w:beforeLines="0" w:beforeAutospacing="0" w:after="0" w:afterAutospacing="0" w:line="520" w:lineRule="atLeast"/>
        <w:ind w:left="1418" w:leftChars="675" w:firstLine="0" w:firstLineChars="0"/>
        <w:rPr>
          <w:b/>
          <w:color w:val="auto"/>
          <w:szCs w:val="24"/>
          <w:highlight w:val="none"/>
        </w:rPr>
      </w:pPr>
      <w:r>
        <w:rPr>
          <w:rFonts w:hint="eastAsia"/>
          <w:b/>
          <w:color w:val="auto"/>
          <w:szCs w:val="24"/>
          <w:highlight w:val="none"/>
        </w:rPr>
        <w:t>受托方：X</w:t>
      </w:r>
      <w:r>
        <w:rPr>
          <w:b/>
          <w:color w:val="auto"/>
          <w:szCs w:val="24"/>
          <w:highlight w:val="none"/>
        </w:rPr>
        <w:t>XXXXXXXXXXXXXXXXXXXXXXX</w:t>
      </w:r>
    </w:p>
    <w:p w14:paraId="7CF919EC">
      <w:pPr>
        <w:pStyle w:val="46"/>
        <w:snapToGrid w:val="0"/>
        <w:spacing w:before="0" w:beforeLines="0" w:beforeAutospacing="0" w:after="0" w:afterAutospacing="0" w:line="520" w:lineRule="atLeast"/>
        <w:ind w:left="1418" w:leftChars="675" w:firstLine="0" w:firstLineChars="0"/>
        <w:rPr>
          <w:color w:val="auto"/>
          <w:szCs w:val="24"/>
          <w:highlight w:val="none"/>
        </w:rPr>
      </w:pPr>
      <w:r>
        <w:rPr>
          <w:rFonts w:hint="eastAsia"/>
          <w:b/>
          <w:color w:val="auto"/>
          <w:szCs w:val="24"/>
          <w:highlight w:val="none"/>
        </w:rPr>
        <w:t>签订地点：</w:t>
      </w:r>
    </w:p>
    <w:p w14:paraId="1F595BD7">
      <w:pPr>
        <w:pStyle w:val="12"/>
        <w:tabs>
          <w:tab w:val="right" w:pos="0"/>
          <w:tab w:val="center" w:pos="4153"/>
          <w:tab w:val="right" w:pos="8306"/>
        </w:tabs>
        <w:adjustRightInd w:val="0"/>
        <w:snapToGrid w:val="0"/>
        <w:spacing w:line="520" w:lineRule="exact"/>
        <w:ind w:right="16" w:firstLine="0"/>
        <w:rPr>
          <w:rFonts w:ascii="宋体" w:eastAsia="宋体"/>
          <w:color w:val="auto"/>
          <w:sz w:val="28"/>
          <w:highlight w:val="none"/>
          <w:lang w:eastAsia="zh-CN"/>
        </w:rPr>
      </w:pPr>
    </w:p>
    <w:p w14:paraId="72F3AC6E">
      <w:pPr>
        <w:rPr>
          <w:rFonts w:hint="eastAsia" w:ascii="宋体"/>
          <w:b/>
          <w:color w:val="auto"/>
          <w:sz w:val="24"/>
          <w:highlight w:val="none"/>
        </w:rPr>
      </w:pPr>
      <w:r>
        <w:rPr>
          <w:rFonts w:hint="eastAsia" w:ascii="宋体"/>
          <w:b/>
          <w:color w:val="auto"/>
          <w:sz w:val="24"/>
          <w:highlight w:val="none"/>
        </w:rPr>
        <w:br w:type="page"/>
      </w:r>
    </w:p>
    <w:p w14:paraId="1C5EDF9E">
      <w:pPr>
        <w:snapToGrid w:val="0"/>
        <w:spacing w:line="520" w:lineRule="exact"/>
        <w:rPr>
          <w:rFonts w:hint="eastAsia" w:ascii="宋体"/>
          <w:b/>
          <w:color w:val="auto"/>
          <w:sz w:val="24"/>
          <w:highlight w:val="none"/>
        </w:rPr>
      </w:pPr>
    </w:p>
    <w:p w14:paraId="30F078A9">
      <w:pPr>
        <w:snapToGrid w:val="0"/>
        <w:spacing w:line="520" w:lineRule="exact"/>
        <w:jc w:val="left"/>
        <w:rPr>
          <w:rFonts w:hint="eastAsia" w:ascii="宋体"/>
          <w:b/>
          <w:color w:val="auto"/>
          <w:sz w:val="24"/>
          <w:highlight w:val="none"/>
          <w:u w:val="single"/>
        </w:rPr>
      </w:pPr>
      <w:r>
        <w:rPr>
          <w:rFonts w:hint="eastAsia" w:ascii="宋体"/>
          <w:b/>
          <w:color w:val="auto"/>
          <w:sz w:val="24"/>
          <w:highlight w:val="none"/>
        </w:rPr>
        <w:t>甲方: 重庆三峡银行股份有限公司（以下简称“甲方”）</w:t>
      </w:r>
    </w:p>
    <w:p w14:paraId="51B11AF8">
      <w:pPr>
        <w:snapToGrid w:val="0"/>
        <w:spacing w:line="520" w:lineRule="exact"/>
        <w:jc w:val="left"/>
        <w:rPr>
          <w:rFonts w:hint="eastAsia" w:ascii="宋体"/>
          <w:color w:val="auto"/>
          <w:sz w:val="24"/>
          <w:highlight w:val="none"/>
        </w:rPr>
      </w:pPr>
      <w:r>
        <w:rPr>
          <w:rFonts w:hint="eastAsia" w:ascii="宋体"/>
          <w:color w:val="auto"/>
          <w:sz w:val="24"/>
          <w:highlight w:val="none"/>
        </w:rPr>
        <w:t>地址：</w:t>
      </w:r>
      <w:r>
        <w:rPr>
          <w:rFonts w:ascii="宋体"/>
          <w:color w:val="auto"/>
          <w:sz w:val="24"/>
          <w:szCs w:val="20"/>
          <w:highlight w:val="none"/>
        </w:rPr>
        <w:t>重庆市渝北区嘉州路88号中渝国际都会4号写字楼</w:t>
      </w:r>
    </w:p>
    <w:p w14:paraId="5C844315">
      <w:pPr>
        <w:snapToGrid w:val="0"/>
        <w:spacing w:line="520" w:lineRule="exact"/>
        <w:jc w:val="left"/>
        <w:rPr>
          <w:rFonts w:hint="eastAsia" w:ascii="宋体"/>
          <w:color w:val="auto"/>
          <w:sz w:val="24"/>
          <w:highlight w:val="none"/>
        </w:rPr>
      </w:pPr>
      <w:r>
        <w:rPr>
          <w:rFonts w:hint="eastAsia" w:ascii="宋体"/>
          <w:color w:val="auto"/>
          <w:sz w:val="24"/>
          <w:highlight w:val="none"/>
        </w:rPr>
        <w:t>法定代表人：刘江桥</w:t>
      </w:r>
    </w:p>
    <w:p w14:paraId="4457BFD5">
      <w:pPr>
        <w:snapToGrid w:val="0"/>
        <w:spacing w:line="520" w:lineRule="exact"/>
        <w:jc w:val="left"/>
        <w:rPr>
          <w:rFonts w:hint="eastAsia" w:ascii="宋体"/>
          <w:color w:val="auto"/>
          <w:sz w:val="24"/>
          <w:highlight w:val="none"/>
        </w:rPr>
      </w:pPr>
      <w:r>
        <w:rPr>
          <w:rFonts w:hint="eastAsia" w:ascii="宋体"/>
          <w:color w:val="auto"/>
          <w:sz w:val="24"/>
          <w:highlight w:val="none"/>
        </w:rPr>
        <w:t>邮政编码：</w:t>
      </w:r>
    </w:p>
    <w:p w14:paraId="6D9640BA">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联系人： </w:t>
      </w:r>
    </w:p>
    <w:p w14:paraId="1397B454">
      <w:pPr>
        <w:snapToGrid w:val="0"/>
        <w:spacing w:line="520" w:lineRule="exact"/>
        <w:jc w:val="left"/>
        <w:rPr>
          <w:rFonts w:hint="eastAsia" w:ascii="宋体"/>
          <w:color w:val="auto"/>
          <w:sz w:val="24"/>
          <w:highlight w:val="none"/>
        </w:rPr>
      </w:pPr>
      <w:r>
        <w:rPr>
          <w:rFonts w:hint="eastAsia" w:ascii="宋体"/>
          <w:color w:val="auto"/>
          <w:sz w:val="24"/>
          <w:highlight w:val="none"/>
        </w:rPr>
        <w:t>电话：</w:t>
      </w:r>
    </w:p>
    <w:p w14:paraId="4B814579">
      <w:pPr>
        <w:snapToGrid w:val="0"/>
        <w:spacing w:line="520" w:lineRule="exact"/>
        <w:jc w:val="left"/>
        <w:rPr>
          <w:rFonts w:hint="eastAsia" w:ascii="宋体"/>
          <w:color w:val="auto"/>
          <w:sz w:val="24"/>
          <w:highlight w:val="none"/>
        </w:rPr>
      </w:pPr>
      <w:r>
        <w:rPr>
          <w:rFonts w:hint="eastAsia" w:ascii="宋体"/>
          <w:color w:val="auto"/>
          <w:sz w:val="24"/>
          <w:highlight w:val="none"/>
        </w:rPr>
        <w:t>传真：</w:t>
      </w:r>
    </w:p>
    <w:p w14:paraId="39E21DAD">
      <w:pPr>
        <w:snapToGrid w:val="0"/>
        <w:spacing w:line="520" w:lineRule="exact"/>
        <w:jc w:val="left"/>
        <w:rPr>
          <w:rFonts w:hint="eastAsia" w:ascii="宋体"/>
          <w:color w:val="auto"/>
          <w:sz w:val="24"/>
          <w:highlight w:val="none"/>
        </w:rPr>
      </w:pPr>
      <w:r>
        <w:rPr>
          <w:rFonts w:hint="eastAsia" w:ascii="宋体"/>
          <w:color w:val="auto"/>
          <w:sz w:val="24"/>
          <w:highlight w:val="none"/>
        </w:rPr>
        <w:t>电子邮箱：</w:t>
      </w:r>
    </w:p>
    <w:p w14:paraId="6A89F064">
      <w:pPr>
        <w:snapToGrid w:val="0"/>
        <w:spacing w:line="520" w:lineRule="exact"/>
        <w:jc w:val="left"/>
        <w:rPr>
          <w:rFonts w:hint="eastAsia" w:ascii="宋体"/>
          <w:color w:val="auto"/>
          <w:sz w:val="24"/>
          <w:highlight w:val="none"/>
        </w:rPr>
      </w:pPr>
    </w:p>
    <w:p w14:paraId="3F85F311">
      <w:pPr>
        <w:snapToGrid w:val="0"/>
        <w:spacing w:line="520" w:lineRule="exact"/>
        <w:jc w:val="left"/>
        <w:rPr>
          <w:rFonts w:hint="eastAsia" w:ascii="宋体"/>
          <w:color w:val="auto"/>
          <w:sz w:val="24"/>
          <w:highlight w:val="none"/>
        </w:rPr>
      </w:pPr>
    </w:p>
    <w:p w14:paraId="23CCBAD6">
      <w:pPr>
        <w:snapToGrid w:val="0"/>
        <w:spacing w:line="520" w:lineRule="exact"/>
        <w:jc w:val="left"/>
        <w:rPr>
          <w:rFonts w:hint="eastAsia" w:ascii="宋体"/>
          <w:color w:val="auto"/>
          <w:sz w:val="24"/>
          <w:highlight w:val="none"/>
        </w:rPr>
      </w:pPr>
    </w:p>
    <w:p w14:paraId="1477E65F">
      <w:pPr>
        <w:snapToGrid w:val="0"/>
        <w:spacing w:line="520" w:lineRule="exact"/>
        <w:jc w:val="left"/>
        <w:rPr>
          <w:rFonts w:hint="eastAsia" w:ascii="宋体"/>
          <w:color w:val="auto"/>
          <w:sz w:val="24"/>
          <w:highlight w:val="none"/>
        </w:rPr>
      </w:pPr>
    </w:p>
    <w:p w14:paraId="69163A7B">
      <w:pPr>
        <w:snapToGrid w:val="0"/>
        <w:spacing w:line="520" w:lineRule="exact"/>
        <w:jc w:val="left"/>
        <w:rPr>
          <w:rFonts w:hint="eastAsia" w:ascii="宋体"/>
          <w:b/>
          <w:color w:val="auto"/>
          <w:sz w:val="24"/>
          <w:highlight w:val="none"/>
        </w:rPr>
      </w:pPr>
      <w:r>
        <w:rPr>
          <w:rFonts w:hint="eastAsia" w:ascii="宋体"/>
          <w:b/>
          <w:color w:val="auto"/>
          <w:sz w:val="24"/>
          <w:highlight w:val="none"/>
        </w:rPr>
        <w:t>乙方: XXXXXXXXXXXXXXXXXXXXX（以下简称“乙方”）</w:t>
      </w:r>
    </w:p>
    <w:p w14:paraId="1E84C092">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法定代表人： </w:t>
      </w:r>
    </w:p>
    <w:p w14:paraId="2CABCD24">
      <w:pPr>
        <w:snapToGrid w:val="0"/>
        <w:spacing w:line="520" w:lineRule="exact"/>
        <w:jc w:val="left"/>
        <w:rPr>
          <w:rFonts w:hint="eastAsia" w:ascii="宋体"/>
          <w:color w:val="auto"/>
          <w:sz w:val="24"/>
          <w:highlight w:val="none"/>
        </w:rPr>
      </w:pPr>
      <w:r>
        <w:rPr>
          <w:rFonts w:hint="eastAsia" w:ascii="宋体"/>
          <w:color w:val="auto"/>
          <w:sz w:val="24"/>
          <w:highlight w:val="none"/>
        </w:rPr>
        <w:t>地址：</w:t>
      </w:r>
    </w:p>
    <w:p w14:paraId="2DCB95CC">
      <w:pPr>
        <w:snapToGrid w:val="0"/>
        <w:spacing w:line="520" w:lineRule="exact"/>
        <w:jc w:val="left"/>
        <w:rPr>
          <w:rFonts w:hint="eastAsia" w:ascii="宋体"/>
          <w:color w:val="auto"/>
          <w:sz w:val="24"/>
          <w:highlight w:val="none"/>
        </w:rPr>
      </w:pPr>
      <w:r>
        <w:rPr>
          <w:rFonts w:hint="eastAsia" w:ascii="宋体"/>
          <w:color w:val="auto"/>
          <w:sz w:val="24"/>
          <w:highlight w:val="none"/>
        </w:rPr>
        <w:t>邮政编码：</w:t>
      </w:r>
    </w:p>
    <w:p w14:paraId="02FE1C38">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开户银行： </w:t>
      </w:r>
    </w:p>
    <w:p w14:paraId="091911F2">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账号：  </w:t>
      </w:r>
    </w:p>
    <w:p w14:paraId="281591B1">
      <w:pPr>
        <w:snapToGrid w:val="0"/>
        <w:spacing w:line="520" w:lineRule="exact"/>
        <w:jc w:val="left"/>
        <w:rPr>
          <w:rFonts w:hint="eastAsia" w:ascii="宋体"/>
          <w:color w:val="auto"/>
          <w:sz w:val="24"/>
          <w:highlight w:val="none"/>
        </w:rPr>
      </w:pPr>
      <w:r>
        <w:rPr>
          <w:rFonts w:hint="eastAsia" w:ascii="宋体"/>
          <w:color w:val="auto"/>
          <w:sz w:val="24"/>
          <w:highlight w:val="none"/>
        </w:rPr>
        <w:t>税号：</w:t>
      </w:r>
    </w:p>
    <w:p w14:paraId="65901C93">
      <w:pPr>
        <w:snapToGrid w:val="0"/>
        <w:spacing w:line="520" w:lineRule="exact"/>
        <w:jc w:val="left"/>
        <w:rPr>
          <w:rFonts w:hint="eastAsia" w:ascii="宋体"/>
          <w:color w:val="auto"/>
          <w:sz w:val="24"/>
          <w:highlight w:val="none"/>
        </w:rPr>
      </w:pPr>
      <w:r>
        <w:rPr>
          <w:rFonts w:hint="eastAsia" w:ascii="宋体"/>
          <w:color w:val="auto"/>
          <w:sz w:val="24"/>
          <w:highlight w:val="none"/>
        </w:rPr>
        <w:t xml:space="preserve">联系人： </w:t>
      </w:r>
    </w:p>
    <w:p w14:paraId="5A7261BB">
      <w:pPr>
        <w:snapToGrid w:val="0"/>
        <w:spacing w:line="520" w:lineRule="exact"/>
        <w:jc w:val="left"/>
        <w:rPr>
          <w:rFonts w:hint="eastAsia" w:ascii="宋体"/>
          <w:color w:val="auto"/>
          <w:sz w:val="24"/>
          <w:highlight w:val="none"/>
        </w:rPr>
      </w:pPr>
      <w:r>
        <w:rPr>
          <w:rFonts w:hint="eastAsia" w:ascii="宋体"/>
          <w:color w:val="auto"/>
          <w:sz w:val="24"/>
          <w:highlight w:val="none"/>
        </w:rPr>
        <w:t>电话：</w:t>
      </w:r>
    </w:p>
    <w:p w14:paraId="7EC594BC">
      <w:pPr>
        <w:snapToGrid w:val="0"/>
        <w:spacing w:line="520" w:lineRule="exact"/>
        <w:jc w:val="left"/>
        <w:rPr>
          <w:rFonts w:hint="eastAsia" w:ascii="宋体"/>
          <w:color w:val="auto"/>
          <w:sz w:val="24"/>
          <w:highlight w:val="none"/>
        </w:rPr>
      </w:pPr>
      <w:r>
        <w:rPr>
          <w:rFonts w:hint="eastAsia" w:ascii="宋体"/>
          <w:color w:val="auto"/>
          <w:sz w:val="24"/>
          <w:highlight w:val="none"/>
        </w:rPr>
        <w:t>手机：</w:t>
      </w:r>
    </w:p>
    <w:p w14:paraId="1446936D">
      <w:pPr>
        <w:snapToGrid w:val="0"/>
        <w:spacing w:line="520" w:lineRule="exact"/>
        <w:jc w:val="left"/>
        <w:rPr>
          <w:rFonts w:hint="eastAsia" w:ascii="宋体"/>
          <w:color w:val="auto"/>
          <w:sz w:val="24"/>
          <w:highlight w:val="none"/>
        </w:rPr>
      </w:pPr>
      <w:r>
        <w:rPr>
          <w:rFonts w:hint="eastAsia" w:ascii="宋体"/>
          <w:color w:val="auto"/>
          <w:sz w:val="24"/>
          <w:highlight w:val="none"/>
        </w:rPr>
        <w:t>传真：</w:t>
      </w:r>
    </w:p>
    <w:p w14:paraId="68708625">
      <w:pPr>
        <w:snapToGrid w:val="0"/>
        <w:spacing w:line="520" w:lineRule="exact"/>
        <w:jc w:val="left"/>
        <w:rPr>
          <w:rFonts w:hint="eastAsia" w:ascii="宋体"/>
          <w:color w:val="auto"/>
          <w:sz w:val="24"/>
          <w:highlight w:val="none"/>
          <w:lang w:val="en-GB"/>
        </w:rPr>
      </w:pPr>
      <w:r>
        <w:rPr>
          <w:rFonts w:hint="eastAsia" w:ascii="宋体"/>
          <w:color w:val="auto"/>
          <w:sz w:val="24"/>
          <w:highlight w:val="none"/>
        </w:rPr>
        <w:t>电子邮箱：</w:t>
      </w:r>
    </w:p>
    <w:p w14:paraId="6FD7BE97">
      <w:pPr>
        <w:rPr>
          <w:rFonts w:hint="eastAsia" w:ascii="宋体" w:eastAsia="宋体"/>
          <w:color w:val="auto"/>
          <w:sz w:val="32"/>
          <w:highlight w:val="none"/>
          <w:lang w:eastAsia="zh-CN"/>
        </w:rPr>
      </w:pPr>
      <w:r>
        <w:rPr>
          <w:rFonts w:hint="eastAsia" w:ascii="宋体" w:eastAsia="宋体"/>
          <w:color w:val="auto"/>
          <w:sz w:val="32"/>
          <w:highlight w:val="none"/>
          <w:lang w:eastAsia="zh-CN"/>
        </w:rPr>
        <w:br w:type="page"/>
      </w:r>
    </w:p>
    <w:p w14:paraId="28C221BF">
      <w:pPr>
        <w:pStyle w:val="15"/>
        <w:snapToGrid w:val="0"/>
        <w:spacing w:line="480" w:lineRule="auto"/>
        <w:jc w:val="both"/>
        <w:rPr>
          <w:rFonts w:hint="eastAsia" w:ascii="宋体"/>
          <w:color w:val="auto"/>
          <w:highlight w:val="none"/>
        </w:rPr>
      </w:pPr>
      <w:r>
        <w:rPr>
          <w:rFonts w:hint="eastAsia" w:ascii="宋体"/>
          <w:color w:val="auto"/>
          <w:highlight w:val="none"/>
        </w:rPr>
        <w:t>甲方与乙方本着自愿、平等、互利、诚实信用的原则，通过友好协商，</w:t>
      </w:r>
      <w:r>
        <w:rPr>
          <w:rStyle w:val="47"/>
          <w:rFonts w:hint="eastAsia" w:ascii="宋体"/>
          <w:color w:val="auto"/>
          <w:kern w:val="0"/>
          <w:highlight w:val="none"/>
        </w:rPr>
        <w:t>依据相关法律、法规的规定</w:t>
      </w:r>
      <w:r>
        <w:rPr>
          <w:rFonts w:hint="eastAsia" w:ascii="宋体"/>
          <w:color w:val="auto"/>
          <w:highlight w:val="none"/>
        </w:rPr>
        <w:t>，就“重庆三峡银行</w:t>
      </w:r>
      <w:r>
        <w:rPr>
          <w:rFonts w:ascii="宋体"/>
          <w:color w:val="auto"/>
          <w:highlight w:val="none"/>
        </w:rPr>
        <w:t>信息安全管理体系咨询及再认证服务</w:t>
      </w:r>
      <w:r>
        <w:rPr>
          <w:rFonts w:hint="eastAsia" w:ascii="宋体"/>
          <w:color w:val="auto"/>
          <w:highlight w:val="none"/>
        </w:rPr>
        <w:t>项目”（下称“本项目”）服务内容达成一致，签订本协议：</w:t>
      </w:r>
    </w:p>
    <w:p w14:paraId="55B21C88">
      <w:pPr>
        <w:pStyle w:val="15"/>
        <w:snapToGrid w:val="0"/>
        <w:spacing w:line="480" w:lineRule="auto"/>
        <w:ind w:left="0" w:firstLine="0" w:firstLineChars="0"/>
        <w:jc w:val="both"/>
        <w:rPr>
          <w:rFonts w:hint="eastAsia" w:ascii="宋体"/>
          <w:color w:val="auto"/>
          <w:highlight w:val="none"/>
        </w:rPr>
      </w:pPr>
    </w:p>
    <w:p w14:paraId="04B7DDAC">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第一条  服务范围</w:t>
      </w:r>
    </w:p>
    <w:p w14:paraId="7C5D285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1.1 服务事项：</w:t>
      </w:r>
    </w:p>
    <w:p w14:paraId="09E2A03B">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乙方向甲方提供</w:t>
      </w:r>
      <w:r>
        <w:rPr>
          <w:rFonts w:ascii="宋体" w:eastAsia="宋体"/>
          <w:color w:val="auto"/>
          <w:sz w:val="24"/>
          <w:highlight w:val="none"/>
          <w:lang w:eastAsia="zh-CN"/>
        </w:rPr>
        <w:t>信息安全管理体系咨询及再认证</w:t>
      </w:r>
      <w:r>
        <w:rPr>
          <w:rFonts w:hint="eastAsia" w:ascii="宋体" w:eastAsia="宋体"/>
          <w:color w:val="auto"/>
          <w:sz w:val="24"/>
          <w:highlight w:val="none"/>
          <w:lang w:eastAsia="zh-CN"/>
        </w:rPr>
        <w:t>服务，服务的具体内容详见本合同附件1。</w:t>
      </w:r>
    </w:p>
    <w:p w14:paraId="422BD49B">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1.2 服务履行方式：</w:t>
      </w:r>
    </w:p>
    <w:p w14:paraId="365C40A0">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 xml:space="preserve">服务的履行方式详见本合同附件1。   </w:t>
      </w:r>
    </w:p>
    <w:p w14:paraId="003F65B4">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1.3</w:t>
      </w:r>
      <w:r>
        <w:rPr>
          <w:rFonts w:ascii="宋体" w:eastAsia="宋体"/>
          <w:color w:val="auto"/>
          <w:sz w:val="24"/>
          <w:highlight w:val="none"/>
          <w:lang w:eastAsia="zh-CN"/>
        </w:rPr>
        <w:t xml:space="preserve"> </w:t>
      </w:r>
      <w:r>
        <w:rPr>
          <w:rFonts w:hint="eastAsia" w:ascii="宋体" w:eastAsia="宋体"/>
          <w:color w:val="auto"/>
          <w:sz w:val="24"/>
          <w:highlight w:val="none"/>
          <w:lang w:eastAsia="zh-CN"/>
        </w:rPr>
        <w:t>服务期限：</w:t>
      </w:r>
    </w:p>
    <w:p w14:paraId="0579F1CE">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自合同签订之日起，服务期至</w:t>
      </w:r>
      <w:r>
        <w:rPr>
          <w:rFonts w:hint="eastAsia" w:ascii="宋体" w:eastAsia="宋体"/>
          <w:color w:val="auto"/>
          <w:sz w:val="24"/>
          <w:highlight w:val="none"/>
          <w:lang w:val="en-US" w:eastAsia="zh-CN"/>
        </w:rPr>
        <w:t>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p>
    <w:p w14:paraId="0F369F0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第二条  项目实施人员</w:t>
      </w:r>
    </w:p>
    <w:p w14:paraId="0C5CAF2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eastAsia="zh-CN"/>
        </w:rPr>
      </w:pPr>
      <w:r>
        <w:rPr>
          <w:rFonts w:hint="eastAsia" w:ascii="宋体" w:eastAsia="宋体"/>
          <w:color w:val="auto"/>
          <w:kern w:val="2"/>
          <w:sz w:val="24"/>
          <w:highlight w:val="none"/>
          <w:lang w:val="en-US" w:eastAsia="zh-CN"/>
        </w:rPr>
        <w:t xml:space="preserve">2.1 </w:t>
      </w:r>
      <w:r>
        <w:rPr>
          <w:rFonts w:hint="eastAsia" w:ascii="宋体" w:eastAsia="宋体"/>
          <w:color w:val="auto"/>
          <w:kern w:val="2"/>
          <w:sz w:val="24"/>
          <w:highlight w:val="none"/>
          <w:lang w:eastAsia="zh-CN"/>
        </w:rPr>
        <w:t>为了按时和按专业水准完成本项目工作，乙方应配备足够数量和级别的专业人员，并提供实施方案所示项目团队成员名单（见附件1），各成员按照实施方案规定的工作安排参与项目实施。</w:t>
      </w:r>
    </w:p>
    <w:p w14:paraId="40B084C8">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eastAsia="zh-CN"/>
        </w:rPr>
      </w:pPr>
      <w:r>
        <w:rPr>
          <w:rFonts w:hint="eastAsia" w:ascii="宋体" w:eastAsia="宋体"/>
          <w:color w:val="auto"/>
          <w:kern w:val="2"/>
          <w:sz w:val="24"/>
          <w:highlight w:val="none"/>
          <w:lang w:eastAsia="zh-CN"/>
        </w:rPr>
        <w:t>2.2 在项目实施过程中，乙方原则上不得更换项目组成员，确需更换的，乙方应提前通知甲方并经甲方同意，并配备同等级别的人员替补，且乙方保证有关人员更换不影响项目的质量和实施进程。替换人员需通过甲方考察，否则甲方有权要求更换。</w:t>
      </w:r>
    </w:p>
    <w:p w14:paraId="40A51C1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第三条  甲方的权利和义务</w:t>
      </w:r>
    </w:p>
    <w:p w14:paraId="41C9D149">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3.1 有权要求乙方按照附件1规定的或者甲方与乙方另行协定的工作时间表完成本合同约定的服务，且有权基于合理要求随时了解乙方的工作安排和进度，并对乙方的工作及时提出意见和指示。</w:t>
      </w:r>
    </w:p>
    <w:p w14:paraId="1D6F2598">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eastAsia="zh-CN"/>
        </w:rPr>
        <w:t>3.2</w:t>
      </w:r>
      <w:r>
        <w:rPr>
          <w:rFonts w:hint="eastAsia" w:ascii="宋体" w:eastAsia="宋体"/>
          <w:color w:val="auto"/>
          <w:kern w:val="2"/>
          <w:sz w:val="24"/>
          <w:highlight w:val="none"/>
          <w:lang w:val="en-US" w:eastAsia="zh-CN"/>
        </w:rPr>
        <w:t xml:space="preserve"> 应在法律规定的范围内且根据本合同条款的规定正确使用乙方出具的交付物。</w:t>
      </w:r>
    </w:p>
    <w:p w14:paraId="5D132EC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3.3 应当充分配合乙方的服务工作，包括：</w:t>
      </w:r>
    </w:p>
    <w:p w14:paraId="38943178">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（1）自本合同签订后，甲方应及时或按乙方的要求向乙方提交乙方服务所需的甲方相关基础资料；</w:t>
      </w:r>
    </w:p>
    <w:p w14:paraId="57E6CF51">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（2）在提供服务过程中，就乙方提出的合理的工作计划和人员要求及时做出相关安排，及时向乙方提供所需资料与信息并安排业务访谈，并迅速做出决策；</w:t>
      </w:r>
    </w:p>
    <w:p w14:paraId="5361A2EB">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（3）甲方所提供的资料如有变更，应及时提供变更后的资料；</w:t>
      </w:r>
    </w:p>
    <w:p w14:paraId="7A67E5EA">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（4）向乙方项目实施人员提供必要的办公场所等工作支持。</w:t>
      </w:r>
    </w:p>
    <w:p w14:paraId="4542DA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3.4 按照本合同约定向乙方支付服务费用。</w:t>
      </w:r>
    </w:p>
    <w:p w14:paraId="74EB6F25">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3.5 如甲方提供信息及其他资料存在问题，导致乙方需要对服务作较大调整，双方应进行协商，就服务范围以及服务费用调整提出解决方案。</w:t>
      </w:r>
    </w:p>
    <w:p w14:paraId="31A2749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第四条  乙方的权利和义务</w:t>
      </w:r>
    </w:p>
    <w:p w14:paraId="076C52E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4.1 遵守法律法规及银行业金融机构内部管理制度及规定，贯彻执行相关监管政策。</w:t>
      </w:r>
    </w:p>
    <w:p w14:paraId="7A4C0770">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val="zh-CN" w:eastAsia="zh-CN"/>
        </w:rPr>
      </w:pPr>
      <w:r>
        <w:rPr>
          <w:rFonts w:hint="eastAsia" w:ascii="宋体" w:eastAsia="宋体"/>
          <w:color w:val="auto"/>
          <w:sz w:val="24"/>
          <w:highlight w:val="none"/>
          <w:lang w:eastAsia="zh-CN"/>
        </w:rPr>
        <w:t>4.2</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乙方需为甲方提供持续的项目风险识别和控制措施，并按甲方要求提供公司财务分析报告、项目进度报告以及重大事项报告等。</w:t>
      </w:r>
    </w:p>
    <w:p w14:paraId="5B39EDA4">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4.3</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乙方应该适时开展风险管理评估和第三方审计工作，应该接受甲方的审核、评估以及外包检查，并配合接受来自监管机构的各项检查，配合对监管意见做出相应的管理、服务等的整改。</w:t>
      </w:r>
    </w:p>
    <w:p w14:paraId="697F79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kern w:val="2"/>
          <w:sz w:val="24"/>
          <w:highlight w:val="none"/>
          <w:lang w:eastAsia="zh-CN"/>
        </w:rPr>
        <w:t>4.</w:t>
      </w:r>
      <w:r>
        <w:rPr>
          <w:rFonts w:ascii="宋体" w:eastAsia="宋体"/>
          <w:color w:val="auto"/>
          <w:kern w:val="2"/>
          <w:sz w:val="24"/>
          <w:highlight w:val="none"/>
          <w:lang w:eastAsia="zh-CN"/>
        </w:rPr>
        <w:t>4</w:t>
      </w:r>
      <w:r>
        <w:rPr>
          <w:rFonts w:hint="eastAsia" w:ascii="宋体" w:eastAsia="宋体"/>
          <w:color w:val="auto"/>
          <w:kern w:val="2"/>
          <w:sz w:val="24"/>
          <w:highlight w:val="none"/>
          <w:lang w:val="en-US" w:eastAsia="zh-CN"/>
        </w:rPr>
        <w:t xml:space="preserve"> </w:t>
      </w:r>
      <w:r>
        <w:rPr>
          <w:rFonts w:ascii="宋体" w:eastAsia="宋体"/>
          <w:color w:val="auto"/>
          <w:kern w:val="2"/>
          <w:sz w:val="24"/>
          <w:highlight w:val="none"/>
          <w:lang w:val="en-US" w:eastAsia="zh-CN"/>
        </w:rPr>
        <w:t>乙方应针对服务内容为甲方制定业务连续性计划和应急计划并维护好相关资源</w:t>
      </w:r>
      <w:r>
        <w:rPr>
          <w:rFonts w:hint="eastAsia" w:ascii="宋体" w:eastAsia="宋体"/>
          <w:color w:val="auto"/>
          <w:kern w:val="2"/>
          <w:sz w:val="24"/>
          <w:highlight w:val="none"/>
          <w:lang w:val="en-US" w:eastAsia="zh-CN"/>
        </w:rPr>
        <w:t>，</w:t>
      </w:r>
      <w:r>
        <w:rPr>
          <w:rFonts w:ascii="宋体" w:eastAsia="宋体"/>
          <w:color w:val="auto"/>
          <w:kern w:val="2"/>
          <w:sz w:val="24"/>
          <w:highlight w:val="none"/>
          <w:lang w:val="en-US" w:eastAsia="zh-CN"/>
        </w:rPr>
        <w:t>在服务质量不能满足合同要求时</w:t>
      </w:r>
      <w:r>
        <w:rPr>
          <w:rFonts w:hint="eastAsia" w:ascii="宋体" w:eastAsia="宋体"/>
          <w:color w:val="auto"/>
          <w:kern w:val="2"/>
          <w:sz w:val="24"/>
          <w:highlight w:val="none"/>
          <w:lang w:val="en-US" w:eastAsia="zh-CN"/>
        </w:rPr>
        <w:t>，甲方具有</w:t>
      </w:r>
      <w:r>
        <w:rPr>
          <w:rFonts w:ascii="宋体" w:eastAsia="宋体"/>
          <w:color w:val="auto"/>
          <w:kern w:val="2"/>
          <w:sz w:val="24"/>
          <w:highlight w:val="none"/>
          <w:lang w:val="en-US" w:eastAsia="zh-CN"/>
        </w:rPr>
        <w:t>优先获取服务资源的权利</w:t>
      </w:r>
      <w:r>
        <w:rPr>
          <w:rFonts w:hint="eastAsia" w:ascii="宋体" w:eastAsia="宋体"/>
          <w:color w:val="auto"/>
          <w:kern w:val="2"/>
          <w:sz w:val="24"/>
          <w:highlight w:val="none"/>
          <w:lang w:val="en-US" w:eastAsia="zh-CN"/>
        </w:rPr>
        <w:t>。</w:t>
      </w:r>
    </w:p>
    <w:p w14:paraId="6C2F403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5</w:t>
      </w:r>
      <w:r>
        <w:rPr>
          <w:rFonts w:hint="eastAsia" w:ascii="宋体" w:eastAsia="宋体"/>
          <w:color w:val="auto"/>
          <w:sz w:val="24"/>
          <w:highlight w:val="none"/>
          <w:lang w:eastAsia="zh-CN"/>
        </w:rPr>
        <w:t xml:space="preserve"> 应当按项目计划完成工作内容说明书规定的服务，并提交项目成果。</w:t>
      </w:r>
    </w:p>
    <w:p w14:paraId="64C8EF8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6</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有义务对甲方提出的口头或书面咨询进行及时解答或提交书面咨询意见。</w:t>
      </w:r>
    </w:p>
    <w:p w14:paraId="5CD2E3F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7</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按照本合同的规定准备培训资料，协助甲方组织和完成相关培训。</w:t>
      </w:r>
    </w:p>
    <w:p w14:paraId="6D49380C">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eastAsia="zh-CN"/>
        </w:rPr>
        <w:t>4.</w:t>
      </w:r>
      <w:r>
        <w:rPr>
          <w:rFonts w:ascii="宋体" w:eastAsia="宋体"/>
          <w:color w:val="auto"/>
          <w:sz w:val="24"/>
          <w:highlight w:val="none"/>
          <w:lang w:eastAsia="zh-CN"/>
        </w:rPr>
        <w:t>8</w:t>
      </w:r>
      <w:r>
        <w:rPr>
          <w:rFonts w:hint="eastAsia" w:ascii="宋体" w:eastAsia="宋体"/>
          <w:color w:val="auto"/>
          <w:sz w:val="24"/>
          <w:highlight w:val="none"/>
          <w:lang w:val="en-US" w:eastAsia="zh-CN"/>
        </w:rPr>
        <w:t xml:space="preserve"> </w:t>
      </w:r>
      <w:r>
        <w:rPr>
          <w:rFonts w:hint="eastAsia" w:ascii="宋体" w:eastAsia="宋体"/>
          <w:color w:val="auto"/>
          <w:sz w:val="24"/>
          <w:highlight w:val="none"/>
          <w:lang w:eastAsia="zh-CN"/>
        </w:rPr>
        <w:t>应当按照甲方的合理要求，及时报告有</w:t>
      </w:r>
      <w:r>
        <w:rPr>
          <w:rFonts w:hint="eastAsia" w:ascii="宋体" w:eastAsia="宋体"/>
          <w:color w:val="auto"/>
          <w:kern w:val="2"/>
          <w:sz w:val="24"/>
          <w:highlight w:val="none"/>
          <w:lang w:val="en-US" w:eastAsia="zh-CN"/>
        </w:rPr>
        <w:t>关服务事宜的进展情况。</w:t>
      </w:r>
    </w:p>
    <w:p w14:paraId="5FA0D25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w:t>
      </w:r>
      <w:r>
        <w:rPr>
          <w:rFonts w:ascii="宋体" w:eastAsia="宋体"/>
          <w:color w:val="auto"/>
          <w:kern w:val="2"/>
          <w:sz w:val="24"/>
          <w:highlight w:val="none"/>
          <w:lang w:val="en-US" w:eastAsia="zh-CN"/>
        </w:rPr>
        <w:t>9</w:t>
      </w:r>
      <w:r>
        <w:rPr>
          <w:rFonts w:hint="eastAsia" w:ascii="宋体" w:eastAsia="宋体"/>
          <w:color w:val="auto"/>
          <w:kern w:val="2"/>
          <w:sz w:val="24"/>
          <w:highlight w:val="none"/>
          <w:lang w:val="en-US" w:eastAsia="zh-CN"/>
        </w:rPr>
        <w:t xml:space="preserve"> 保证其项目实施人员具有充分的完成其相应工作任务的专业知识和经验。 </w:t>
      </w:r>
    </w:p>
    <w:p w14:paraId="11238CB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4.10 乙方保证遵守甲方《重庆三峡银行回避管理办法》中招录回避、任职回避、公务回避的相关要求。若发现乙方人员与甲方内部人员存在亲属关系，乙方应主动报告，并采取相应回避措施。</w:t>
      </w:r>
    </w:p>
    <w:p w14:paraId="3414BC9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4.11 乙方保证其人员无不良记录，乙方与其建立合法的雇佣关系，依法履行用工管理职责。</w:t>
      </w:r>
    </w:p>
    <w:p w14:paraId="1B35199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4.12 乙方定期通报外包事项，及时通报外包突发性事件及解决情况。</w:t>
      </w:r>
    </w:p>
    <w:p w14:paraId="7DD882F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073FE8E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第五条  项目成果的验收</w:t>
      </w:r>
    </w:p>
    <w:p w14:paraId="7B6C84D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5.1 乙方保证以良好的态度和专业能力提供服务，并按照附件的规定</w:t>
      </w:r>
      <w:r>
        <w:rPr>
          <w:rFonts w:hint="eastAsia" w:ascii="宋体" w:eastAsia="宋体"/>
          <w:color w:val="auto"/>
          <w:sz w:val="24"/>
          <w:highlight w:val="none"/>
          <w:lang w:eastAsia="zh-CN"/>
        </w:rPr>
        <w:t>向甲方交付工作成果，并向甲方就交付成果进行讲解、交流、汇报</w:t>
      </w:r>
      <w:r>
        <w:rPr>
          <w:rFonts w:hint="eastAsia" w:ascii="宋体" w:eastAsia="宋体"/>
          <w:color w:val="auto"/>
          <w:sz w:val="24"/>
          <w:highlight w:val="none"/>
          <w:lang w:eastAsia="zh-CN"/>
        </w:rPr>
        <w:fldChar w:fldCharType="begin"/>
      </w:r>
      <w:r>
        <w:rPr>
          <w:color w:val="auto"/>
          <w:highlight w:val="none"/>
        </w:rPr>
        <w:instrText xml:space="preserve">HYPERLINK "http://www.51paper.net" \o "论文资料网"</w:instrText>
      </w:r>
      <w:r>
        <w:rPr>
          <w:rFonts w:hint="eastAsia" w:ascii="宋体" w:eastAsia="宋体"/>
          <w:color w:val="auto"/>
          <w:sz w:val="24"/>
          <w:highlight w:val="none"/>
          <w:lang w:eastAsia="zh-CN"/>
        </w:rPr>
        <w:fldChar w:fldCharType="separate"/>
      </w:r>
      <w:r>
        <w:rPr>
          <w:rFonts w:hint="eastAsia" w:ascii="宋体" w:eastAsia="宋体"/>
          <w:color w:val="auto"/>
          <w:sz w:val="24"/>
          <w:highlight w:val="none"/>
          <w:lang w:eastAsia="zh-CN"/>
        </w:rPr>
        <w:t>。</w:t>
      </w:r>
      <w:r>
        <w:rPr>
          <w:rFonts w:hint="eastAsia" w:ascii="宋体" w:eastAsia="宋体"/>
          <w:color w:val="auto"/>
          <w:sz w:val="24"/>
          <w:highlight w:val="none"/>
          <w:lang w:eastAsia="zh-CN"/>
        </w:rPr>
        <w:fldChar w:fldCharType="end"/>
      </w:r>
      <w:r>
        <w:rPr>
          <w:rFonts w:hint="eastAsia" w:ascii="宋体" w:eastAsia="宋体"/>
          <w:color w:val="auto"/>
          <w:sz w:val="24"/>
          <w:highlight w:val="none"/>
          <w:lang w:eastAsia="zh-CN"/>
        </w:rPr>
        <w:t>乙方在项目过程中提交的交付物应与工作内容说明书的要求相符合。甲方收到交付物并充分交流后，应在30</w:t>
      </w:r>
      <w:r>
        <w:rPr>
          <w:rFonts w:hint="eastAsia" w:ascii="宋体" w:eastAsia="宋体"/>
          <w:color w:val="auto"/>
          <w:kern w:val="2"/>
          <w:sz w:val="24"/>
          <w:szCs w:val="24"/>
          <w:highlight w:val="none"/>
          <w:lang w:val="en-US" w:eastAsia="zh-CN"/>
        </w:rPr>
        <w:t>个工作日内组织验收，并通知乙方验收结果。如甲方因故不能验收的，应通知乙方。双方另行约定时间进行验收。</w:t>
      </w:r>
    </w:p>
    <w:p w14:paraId="6D58A7BC">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5.2 乙方按照本合同约定完成各项服务并提交全部交付物，全部验收合格视为本项目整体验收合格。</w:t>
      </w:r>
    </w:p>
    <w:p w14:paraId="136B634A">
      <w:pPr>
        <w:pStyle w:val="12"/>
        <w:pageBreakBefore w:val="0"/>
        <w:tabs>
          <w:tab w:val="left" w:pos="630"/>
          <w:tab w:val="center" w:pos="4153"/>
          <w:tab w:val="right" w:pos="8306"/>
          <w:tab w:val="right" w:pos="8730"/>
        </w:tabs>
        <w:kinsoku/>
        <w:wordWrap/>
        <w:overflowPunct/>
        <w:topLinePunct w:val="0"/>
        <w:bidi w:val="0"/>
        <w:snapToGrid w:val="0"/>
        <w:spacing w:line="520" w:lineRule="exact"/>
        <w:ind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7A8A6C39">
      <w:pPr>
        <w:pStyle w:val="12"/>
        <w:pageBreakBefore w:val="0"/>
        <w:tabs>
          <w:tab w:val="left" w:pos="630"/>
          <w:tab w:val="center" w:pos="4153"/>
          <w:tab w:val="right" w:pos="8306"/>
          <w:tab w:val="right" w:pos="8730"/>
        </w:tabs>
        <w:kinsoku/>
        <w:wordWrap/>
        <w:overflowPunct/>
        <w:topLinePunct w:val="0"/>
        <w:bidi w:val="0"/>
        <w:snapToGrid w:val="0"/>
        <w:spacing w:line="520" w:lineRule="exact"/>
        <w:ind w:firstLine="480" w:firstLineChars="200"/>
        <w:textAlignment w:val="auto"/>
        <w:outlineLvl w:val="9"/>
        <w:rPr>
          <w:color w:val="auto"/>
          <w:kern w:val="2"/>
          <w:sz w:val="24"/>
          <w:szCs w:val="24"/>
          <w:highlight w:val="none"/>
          <w:lang w:val="en-US" w:eastAsia="zh-CN"/>
        </w:rPr>
      </w:pPr>
    </w:p>
    <w:p w14:paraId="45386563">
      <w:pPr>
        <w:pStyle w:val="12"/>
        <w:pageBreakBefore w:val="0"/>
        <w:tabs>
          <w:tab w:val="right" w:pos="0"/>
          <w:tab w:val="left" w:pos="1418"/>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第六条  知识产权</w:t>
      </w:r>
    </w:p>
    <w:p w14:paraId="320824AE">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6.1 本合同签署前，双方各自所有的知识产权归各自所有，不因本合同的履行而被对方取得。</w:t>
      </w:r>
    </w:p>
    <w:p w14:paraId="166EA2A2">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6.2 本合同签署后，乙方按照本合同规定向甲方提交的交付物的知识产权属于甲方。</w:t>
      </w:r>
    </w:p>
    <w:p w14:paraId="6A1AB89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6.3 在遵守保密约定的前提下，乙方有权使用其在履行本合同过程中使用或开发的咨询业务常识、技能、经验、构思、概念和方法，有权为自身或他人制作与本合同项下类似的材料。</w:t>
      </w:r>
    </w:p>
    <w:p w14:paraId="10841557">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eastAsia="zh-CN"/>
        </w:rPr>
      </w:pPr>
      <w:r>
        <w:rPr>
          <w:rFonts w:hint="eastAsia" w:ascii="宋体" w:eastAsia="宋体"/>
          <w:color w:val="auto"/>
          <w:kern w:val="2"/>
          <w:sz w:val="24"/>
          <w:szCs w:val="24"/>
          <w:highlight w:val="none"/>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7771A77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 xml:space="preserve">6.5 </w:t>
      </w:r>
      <w:r>
        <w:rPr>
          <w:rFonts w:ascii="宋体" w:eastAsia="宋体"/>
          <w:color w:val="auto"/>
          <w:kern w:val="2"/>
          <w:sz w:val="24"/>
          <w:szCs w:val="24"/>
          <w:highlight w:val="none"/>
          <w:lang w:val="en-US" w:eastAsia="zh-CN"/>
        </w:rPr>
        <w:t>一经发现</w:t>
      </w:r>
      <w:r>
        <w:rPr>
          <w:rFonts w:hint="eastAsia" w:ascii="宋体" w:eastAsia="宋体"/>
          <w:color w:val="auto"/>
          <w:kern w:val="2"/>
          <w:sz w:val="24"/>
          <w:szCs w:val="24"/>
          <w:highlight w:val="none"/>
          <w:lang w:val="en-US" w:eastAsia="zh-CN"/>
        </w:rPr>
        <w:t>乙方</w:t>
      </w:r>
      <w:r>
        <w:rPr>
          <w:rFonts w:ascii="宋体" w:eastAsia="宋体"/>
          <w:color w:val="auto"/>
          <w:kern w:val="2"/>
          <w:sz w:val="24"/>
          <w:szCs w:val="24"/>
          <w:highlight w:val="none"/>
          <w:lang w:val="en-US" w:eastAsia="zh-CN"/>
        </w:rPr>
        <w:t>将</w:t>
      </w:r>
      <w:r>
        <w:rPr>
          <w:rFonts w:hint="eastAsia" w:ascii="宋体" w:eastAsia="宋体"/>
          <w:color w:val="auto"/>
          <w:kern w:val="2"/>
          <w:sz w:val="24"/>
          <w:szCs w:val="24"/>
          <w:highlight w:val="none"/>
          <w:lang w:val="en-US" w:eastAsia="zh-CN"/>
        </w:rPr>
        <w:t>甲方</w:t>
      </w:r>
      <w:r>
        <w:rPr>
          <w:rFonts w:ascii="宋体" w:eastAsia="宋体"/>
          <w:color w:val="auto"/>
          <w:kern w:val="2"/>
          <w:sz w:val="24"/>
          <w:szCs w:val="24"/>
          <w:highlight w:val="none"/>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color w:val="auto"/>
          <w:kern w:val="2"/>
          <w:sz w:val="24"/>
          <w:szCs w:val="24"/>
          <w:highlight w:val="none"/>
          <w:lang w:val="en-US" w:eastAsia="zh-CN"/>
        </w:rPr>
        <w:t>乙</w:t>
      </w:r>
      <w:r>
        <w:rPr>
          <w:rFonts w:ascii="宋体" w:eastAsia="宋体"/>
          <w:color w:val="auto"/>
          <w:kern w:val="2"/>
          <w:sz w:val="24"/>
          <w:szCs w:val="24"/>
          <w:highlight w:val="none"/>
          <w:lang w:val="en-US" w:eastAsia="zh-CN"/>
        </w:rPr>
        <w:t>方相应处罚（处罚金额不低于合同金额的10%）</w:t>
      </w:r>
      <w:r>
        <w:rPr>
          <w:rFonts w:hint="eastAsia" w:ascii="宋体" w:eastAsia="宋体"/>
          <w:color w:val="auto"/>
          <w:kern w:val="2"/>
          <w:sz w:val="24"/>
          <w:szCs w:val="24"/>
          <w:highlight w:val="none"/>
          <w:lang w:val="en-US" w:eastAsia="zh-CN"/>
        </w:rPr>
        <w:t>。</w:t>
      </w:r>
    </w:p>
    <w:p w14:paraId="12095E5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6.6 本合同终止后，本知识产权条款持续有效。</w:t>
      </w:r>
    </w:p>
    <w:p w14:paraId="516DCA5F">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433E8A0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第七条  服务费用及其支付</w:t>
      </w:r>
    </w:p>
    <w:p w14:paraId="4F8EF5A4">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7.1 服务费用：</w:t>
      </w:r>
    </w:p>
    <w:p w14:paraId="02357BB0">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sz w:val="24"/>
          <w:highlight w:val="none"/>
          <w:lang w:val="en-US" w:eastAsia="zh-CN"/>
        </w:rPr>
        <w:t>对</w:t>
      </w:r>
      <w:r>
        <w:rPr>
          <w:rFonts w:hint="eastAsia" w:ascii="宋体" w:eastAsia="宋体"/>
          <w:color w:val="auto"/>
          <w:sz w:val="24"/>
          <w:highlight w:val="none"/>
          <w:lang w:eastAsia="zh-CN"/>
        </w:rPr>
        <w:t>于工作内容说明书约定的各项服务，甲方同意向乙方支付服务费用（下称“服务费用” ）。服务费用总额为：</w:t>
      </w:r>
      <w:r>
        <w:rPr>
          <w:rFonts w:hint="eastAsia" w:ascii="宋体" w:eastAsia="宋体"/>
          <w:color w:val="auto"/>
          <w:sz w:val="24"/>
          <w:highlight w:val="none"/>
          <w:u w:val="single"/>
          <w:lang w:eastAsia="zh-CN"/>
        </w:rPr>
        <w:t xml:space="preserve"> </w:t>
      </w:r>
      <w:r>
        <w:rPr>
          <w:rFonts w:hint="eastAsia" w:ascii="宋体" w:eastAsia="宋体"/>
          <w:color w:val="auto"/>
          <w:sz w:val="24"/>
          <w:highlight w:val="none"/>
          <w:u w:val="single"/>
          <w:lang w:val="en-US" w:eastAsia="zh-CN"/>
        </w:rPr>
        <w:t xml:space="preserve">  </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（大写：___________元整）,</w:t>
      </w:r>
      <w:r>
        <w:rPr>
          <w:rFonts w:hint="eastAsia" w:ascii="宋体" w:eastAsia="宋体"/>
          <w:color w:val="auto"/>
          <w:sz w:val="24"/>
          <w:highlight w:val="none"/>
          <w:u w:val="single"/>
          <w:lang w:eastAsia="zh-CN"/>
        </w:rPr>
        <w:t>其中不含税价为：</w:t>
      </w:r>
      <w:r>
        <w:rPr>
          <w:rFonts w:hint="eastAsia" w:ascii="宋体" w:eastAsia="宋体"/>
          <w:color w:val="auto"/>
          <w:sz w:val="24"/>
          <w:highlight w:val="none"/>
          <w:u w:val="single"/>
          <w:lang w:val="en-US" w:eastAsia="zh-CN"/>
        </w:rPr>
        <w:t xml:space="preserve">  </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，税额为</w:t>
      </w:r>
      <w:r>
        <w:rPr>
          <w:rFonts w:hint="eastAsia" w:ascii="宋体" w:eastAsia="宋体"/>
          <w:color w:val="auto"/>
          <w:sz w:val="24"/>
          <w:highlight w:val="none"/>
          <w:u w:val="single"/>
          <w:lang w:eastAsia="zh-CN"/>
        </w:rPr>
        <w:t xml:space="preserve">：       </w:t>
      </w:r>
      <w:r>
        <w:rPr>
          <w:rFonts w:ascii="宋体" w:eastAsia="宋体"/>
          <w:color w:val="auto"/>
          <w:sz w:val="24"/>
          <w:highlight w:val="none"/>
          <w:u w:val="single"/>
          <w:lang w:eastAsia="zh-CN"/>
        </w:rPr>
        <w:t>元</w:t>
      </w:r>
      <w:r>
        <w:rPr>
          <w:rFonts w:hint="eastAsia" w:ascii="宋体" w:eastAsia="宋体"/>
          <w:color w:val="auto"/>
          <w:sz w:val="24"/>
          <w:highlight w:val="none"/>
          <w:lang w:eastAsia="zh-CN"/>
        </w:rPr>
        <w:t>（</w:t>
      </w:r>
      <w:r>
        <w:rPr>
          <w:rFonts w:hint="eastAsia" w:ascii="宋体" w:eastAsia="宋体"/>
          <w:color w:val="auto"/>
          <w:sz w:val="24"/>
          <w:highlight w:val="none"/>
          <w:u w:val="single"/>
          <w:lang w:eastAsia="zh-CN"/>
        </w:rPr>
        <w:t>大写：         整）</w:t>
      </w:r>
      <w:r>
        <w:rPr>
          <w:rFonts w:hint="eastAsia" w:ascii="宋体" w:eastAsia="宋体"/>
          <w:color w:val="auto"/>
          <w:sz w:val="24"/>
          <w:highlight w:val="none"/>
          <w:lang w:eastAsia="zh-CN"/>
        </w:rPr>
        <w:t>；不含税价格不因国家</w:t>
      </w:r>
      <w:bookmarkStart w:id="256" w:name="突出显示"/>
      <w:r>
        <w:rPr>
          <w:rFonts w:hint="eastAsia" w:ascii="宋体" w:eastAsia="宋体"/>
          <w:color w:val="auto"/>
          <w:sz w:val="24"/>
          <w:highlight w:val="none"/>
          <w:lang w:eastAsia="zh-CN"/>
        </w:rPr>
        <w:t>税率</w:t>
      </w:r>
      <w:bookmarkEnd w:id="256"/>
      <w:r>
        <w:rPr>
          <w:rFonts w:hint="eastAsia" w:ascii="宋体" w:eastAsia="宋体"/>
          <w:color w:val="auto"/>
          <w:sz w:val="24"/>
          <w:highlight w:val="none"/>
          <w:lang w:eastAsia="zh-CN"/>
        </w:rPr>
        <w:t>变化而变化，若在合同履行期间，如遇国家的</w:t>
      </w:r>
      <w:bookmarkStart w:id="257" w:name="突出显示"/>
      <w:r>
        <w:rPr>
          <w:rFonts w:hint="eastAsia" w:ascii="宋体" w:eastAsia="宋体"/>
          <w:color w:val="auto"/>
          <w:sz w:val="24"/>
          <w:highlight w:val="none"/>
          <w:lang w:eastAsia="zh-CN"/>
        </w:rPr>
        <w:t>税率</w:t>
      </w:r>
      <w:bookmarkEnd w:id="257"/>
      <w:r>
        <w:rPr>
          <w:rFonts w:hint="eastAsia" w:ascii="宋体" w:eastAsia="宋体"/>
          <w:color w:val="auto"/>
          <w:sz w:val="24"/>
          <w:highlight w:val="none"/>
          <w:lang w:eastAsia="zh-CN"/>
        </w:rPr>
        <w:t>调整，则价税</w:t>
      </w:r>
      <w:r>
        <w:rPr>
          <w:rFonts w:hint="eastAsia" w:ascii="宋体" w:eastAsia="宋体"/>
          <w:color w:val="auto"/>
          <w:sz w:val="24"/>
          <w:szCs w:val="24"/>
          <w:highlight w:val="none"/>
          <w:lang w:eastAsia="zh-CN"/>
        </w:rPr>
        <w:t>合计应相应调整，以开具发票的时间为准。乙方须严格按照合同内容开具</w:t>
      </w:r>
      <w:bookmarkStart w:id="258" w:name="突出显示"/>
      <w:r>
        <w:rPr>
          <w:rFonts w:hint="eastAsia" w:ascii="宋体" w:eastAsia="宋体"/>
          <w:color w:val="auto"/>
          <w:sz w:val="24"/>
          <w:szCs w:val="24"/>
          <w:highlight w:val="none"/>
          <w:lang w:eastAsia="zh-CN"/>
        </w:rPr>
        <w:t>税率</w:t>
      </w:r>
      <w:bookmarkEnd w:id="258"/>
      <w:r>
        <w:rPr>
          <w:rFonts w:hint="eastAsia" w:ascii="宋体" w:eastAsia="宋体"/>
          <w:color w:val="auto"/>
          <w:sz w:val="24"/>
          <w:szCs w:val="24"/>
          <w:highlight w:val="none"/>
          <w:lang w:eastAsia="zh-CN"/>
        </w:rPr>
        <w:t>为</w:t>
      </w:r>
      <w:r>
        <w:rPr>
          <w:rFonts w:hint="eastAsia" w:ascii="宋体" w:eastAsia="宋体"/>
          <w:b/>
          <w:color w:val="auto"/>
          <w:sz w:val="24"/>
          <w:szCs w:val="24"/>
          <w:highlight w:val="none"/>
          <w:lang w:eastAsia="zh-CN"/>
        </w:rPr>
        <w:t>6%</w:t>
      </w:r>
      <w:r>
        <w:rPr>
          <w:rFonts w:hint="eastAsia" w:ascii="宋体" w:eastAsia="宋体"/>
          <w:color w:val="auto"/>
          <w:sz w:val="24"/>
          <w:szCs w:val="24"/>
          <w:highlight w:val="none"/>
          <w:lang w:eastAsia="zh-CN"/>
        </w:rPr>
        <w:t>的增值税专用发票</w:t>
      </w:r>
      <w:r>
        <w:rPr>
          <w:rFonts w:hint="eastAsia" w:ascii="宋体" w:eastAsia="宋体"/>
          <w:color w:val="auto"/>
          <w:kern w:val="2"/>
          <w:sz w:val="24"/>
          <w:szCs w:val="24"/>
          <w:highlight w:val="none"/>
          <w:lang w:val="en-US" w:eastAsia="zh-CN"/>
        </w:rPr>
        <w:t>。</w:t>
      </w:r>
    </w:p>
    <w:p w14:paraId="14D29C9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7.2 支付方式：</w:t>
      </w:r>
    </w:p>
    <w:p w14:paraId="4102781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甲方应按下列规定时间向乙方支付服务费用。</w:t>
      </w:r>
    </w:p>
    <w:p w14:paraId="58ACC111">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乙方协助甲方完成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r>
        <w:rPr>
          <w:rFonts w:hint="eastAsia" w:ascii="宋体" w:eastAsia="宋体"/>
          <w:color w:val="auto"/>
          <w:kern w:val="2"/>
          <w:sz w:val="24"/>
          <w:highlight w:val="none"/>
          <w:lang w:val="en-US" w:eastAsia="zh-CN"/>
        </w:rPr>
        <w:t>乙方提交项目主要交付物，经甲方验收通过后30个工作日内，乙方向甲方提供合法足额的增值税专用发票，甲方支付合同总额的</w:t>
      </w:r>
      <w:r>
        <w:rPr>
          <w:rFonts w:ascii="宋体" w:eastAsia="宋体"/>
          <w:color w:val="auto"/>
          <w:kern w:val="2"/>
          <w:sz w:val="24"/>
          <w:highlight w:val="none"/>
          <w:lang w:val="en-US" w:eastAsia="zh-CN"/>
        </w:rPr>
        <w:t>100</w:t>
      </w:r>
      <w:r>
        <w:rPr>
          <w:rFonts w:hint="eastAsia" w:ascii="宋体" w:eastAsia="宋体"/>
          <w:color w:val="auto"/>
          <w:kern w:val="2"/>
          <w:sz w:val="24"/>
          <w:highlight w:val="none"/>
          <w:lang w:val="en-US" w:eastAsia="zh-CN"/>
        </w:rPr>
        <w:t>%，即</w:t>
      </w:r>
      <w:r>
        <w:rPr>
          <w:rFonts w:hint="eastAsia" w:ascii="宋体" w:eastAsia="宋体"/>
          <w:color w:val="auto"/>
          <w:kern w:val="2"/>
          <w:sz w:val="24"/>
          <w:highlight w:val="none"/>
          <w:u w:val="single"/>
          <w:lang w:val="en-US" w:eastAsia="zh-CN"/>
        </w:rPr>
        <w:t xml:space="preserve">      元</w:t>
      </w:r>
      <w:r>
        <w:rPr>
          <w:rFonts w:hint="eastAsia" w:ascii="宋体" w:eastAsia="宋体"/>
          <w:color w:val="auto"/>
          <w:kern w:val="2"/>
          <w:sz w:val="24"/>
          <w:highlight w:val="none"/>
          <w:lang w:val="en-US" w:eastAsia="zh-CN"/>
        </w:rPr>
        <w:t>（大写：          元整）否则按《服务水平协议》进行相应金额扣除。</w:t>
      </w:r>
    </w:p>
    <w:p w14:paraId="79FCFEB5">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sz w:val="24"/>
          <w:highlight w:val="none"/>
          <w:lang w:eastAsia="zh-CN"/>
        </w:rPr>
      </w:pPr>
    </w:p>
    <w:p w14:paraId="2D43511B">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第八条  保密条款</w:t>
      </w:r>
    </w:p>
    <w:p w14:paraId="68FB546D">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8.1 本合同项下的所有条款。乙方外包人员入场前须与甲方签订相应诚信安全承诺书。</w:t>
      </w:r>
    </w:p>
    <w:p w14:paraId="022640F9">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2</w:t>
      </w:r>
      <w:r>
        <w:rPr>
          <w:rFonts w:hint="eastAsia" w:ascii="宋体" w:eastAsia="宋体"/>
          <w:color w:val="auto"/>
          <w:kern w:val="2"/>
          <w:sz w:val="24"/>
          <w:highlight w:val="none"/>
          <w:lang w:val="en-US" w:eastAsia="zh-CN"/>
        </w:rPr>
        <w:t xml:space="preserve"> 乙方应对本合同所述的客户信息、技术资料、业务流程、数据等</w:t>
      </w:r>
      <w:r>
        <w:rPr>
          <w:rFonts w:ascii="宋体" w:eastAsia="宋体"/>
          <w:color w:val="auto"/>
          <w:kern w:val="2"/>
          <w:sz w:val="24"/>
          <w:highlight w:val="none"/>
          <w:lang w:val="en-US" w:eastAsia="zh-CN"/>
        </w:rPr>
        <w:t>重要</w:t>
      </w:r>
      <w:r>
        <w:rPr>
          <w:rFonts w:hint="eastAsia" w:ascii="宋体" w:eastAsia="宋体"/>
          <w:color w:val="auto"/>
          <w:kern w:val="2"/>
          <w:sz w:val="24"/>
          <w:highlight w:val="none"/>
          <w:lang w:val="en-US" w:eastAsia="zh-CN"/>
        </w:rPr>
        <w:t>信息采取保密措施，未经甲方的书面同意，乙方不得在合同允许范围外使用、披露、向无关人员或第三方透露，也不能就有关合同内容的任何部分进行新闻的发布、公开的宣称、否认或承认。</w:t>
      </w:r>
    </w:p>
    <w:p w14:paraId="0D6B0BBC">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w:t>
      </w:r>
      <w:r>
        <w:rPr>
          <w:rFonts w:ascii="宋体" w:eastAsia="宋体"/>
          <w:color w:val="auto"/>
          <w:kern w:val="2"/>
          <w:sz w:val="24"/>
          <w:highlight w:val="none"/>
          <w:lang w:val="en-US" w:eastAsia="zh-CN"/>
        </w:rPr>
        <w:t>3</w:t>
      </w:r>
      <w:r>
        <w:rPr>
          <w:rFonts w:hint="eastAsia" w:ascii="宋体" w:eastAsia="宋体"/>
          <w:color w:val="auto"/>
          <w:kern w:val="2"/>
          <w:sz w:val="24"/>
          <w:highlight w:val="none"/>
          <w:lang w:val="en-US" w:eastAsia="zh-CN"/>
        </w:rPr>
        <w:t xml:space="preserve"> 乙方不得以甲方名义开展活动，不得将甲方数据、信息以任何形式转移、挪用或谋取合同约定以外的利益。</w:t>
      </w:r>
    </w:p>
    <w:p w14:paraId="684EE8FF">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8.4 乙方知道违反本条规定将给甲方客户权利以及甲方造成难以弥补的损失，为此同意承担由此产生的经济上和法律上的责任。</w:t>
      </w:r>
    </w:p>
    <w:p w14:paraId="3AA619F5">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8.5 乙方承认本合同中的技术资料和技术秘密为甲方所专有，将其对乙方进行披露并不意味着任何所有权、专利权的转让。</w:t>
      </w:r>
    </w:p>
    <w:p w14:paraId="368D3E45">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8.6 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p>
    <w:p w14:paraId="34795127">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8.7 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p>
    <w:p w14:paraId="07BC0B17">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8.8 除非甲方特别声明，乙方对于保密信息的保密义务为无限期保密，直至甲方宣布解密或者保密信息实际上已经公开。</w:t>
      </w:r>
    </w:p>
    <w:p w14:paraId="0EB419B9">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8.9 任何一方违反本章约定均被视为违约，违约方应承担违约责任。</w:t>
      </w:r>
    </w:p>
    <w:p w14:paraId="3B20B31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val="en-US" w:eastAsia="zh-CN"/>
        </w:rPr>
      </w:pPr>
    </w:p>
    <w:p w14:paraId="2B542A4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第九条  合同的解除和终止</w:t>
      </w:r>
    </w:p>
    <w:p w14:paraId="58C0A62A">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9.1 如果满足以下条件，任一方在通知对方后，都可以解除本合同：</w:t>
      </w:r>
    </w:p>
    <w:p w14:paraId="1F70F812">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57DC0926">
      <w:pPr>
        <w:pStyle w:val="12"/>
        <w:pageBreakBefore w:val="0"/>
        <w:tabs>
          <w:tab w:val="right" w:pos="0"/>
          <w:tab w:val="left" w:pos="630"/>
          <w:tab w:val="center" w:pos="4153"/>
          <w:tab w:val="right" w:pos="8306"/>
          <w:tab w:val="right" w:pos="8730"/>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0DF581F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9.2 当本合同以任何原因终止时，乙方应将本合同项下的过程文档、资料等全部交付给甲方，配合甲方完成知识转移，保证甲方能够继续开展工作；并应立即停止使用并删除</w:t>
      </w:r>
      <w:r>
        <w:rPr>
          <w:rFonts w:ascii="宋体" w:eastAsia="宋体"/>
          <w:color w:val="auto"/>
          <w:kern w:val="2"/>
          <w:sz w:val="24"/>
          <w:highlight w:val="none"/>
          <w:lang w:val="en-US" w:eastAsia="zh-CN"/>
        </w:rPr>
        <w:t>或</w:t>
      </w:r>
      <w:r>
        <w:rPr>
          <w:rFonts w:hint="eastAsia" w:ascii="宋体" w:eastAsia="宋体"/>
          <w:color w:val="auto"/>
          <w:kern w:val="2"/>
          <w:sz w:val="24"/>
          <w:highlight w:val="none"/>
          <w:lang w:val="en-US" w:eastAsia="zh-CN"/>
        </w:rPr>
        <w:t>销毁包含甲方机密信息的所有物件，并证明该销毁情况；或者将这些物件归还对方。</w:t>
      </w:r>
    </w:p>
    <w:p w14:paraId="48DD33D3">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val="en-US" w:eastAsia="zh-CN"/>
        </w:rPr>
      </w:pPr>
    </w:p>
    <w:p w14:paraId="34A5B59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第十条 违约责任</w:t>
      </w:r>
    </w:p>
    <w:p w14:paraId="66D3FFB2">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1B7E0681">
      <w:pPr>
        <w:pageBreakBefore w:val="0"/>
        <w:kinsoku/>
        <w:wordWrap/>
        <w:overflowPunct/>
        <w:topLinePunct w:val="0"/>
        <w:bidi w:val="0"/>
        <w:adjustRightInd w:val="0"/>
        <w:snapToGrid w:val="0"/>
        <w:spacing w:line="520" w:lineRule="exact"/>
        <w:jc w:val="both"/>
        <w:textAlignment w:val="auto"/>
        <w:outlineLvl w:val="9"/>
        <w:rPr>
          <w:rFonts w:hint="eastAsia" w:ascii="宋体"/>
          <w:b/>
          <w:color w:val="auto"/>
          <w:kern w:val="0"/>
          <w:sz w:val="24"/>
          <w:highlight w:val="none"/>
        </w:rPr>
      </w:pPr>
      <w:r>
        <w:rPr>
          <w:rFonts w:hint="eastAsia" w:ascii="宋体"/>
          <w:color w:val="auto"/>
          <w:kern w:val="0"/>
          <w:sz w:val="24"/>
          <w:highlight w:val="none"/>
        </w:rPr>
        <w:t>10.2 违约金的计算方法如下：</w:t>
      </w:r>
    </w:p>
    <w:p w14:paraId="48D9DCD6">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（1）因甲方原因未按本合同的规定向乙方付款的，逾期超过一个月后，每逾期一日，应向乙方偿付欠款金额万分之五的违约金；</w:t>
      </w:r>
    </w:p>
    <w:p w14:paraId="44141B13">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（2）如果因为乙方原因没有在按期完成项目服务工作，每逾期一天，乙方应按照相应服务费的万分之五向甲方支付违约金。</w:t>
      </w:r>
    </w:p>
    <w:p w14:paraId="04559754">
      <w:pPr>
        <w:pageBreakBefore w:val="0"/>
        <w:kinsoku/>
        <w:wordWrap/>
        <w:overflowPunct/>
        <w:topLinePunct w:val="0"/>
        <w:bidi w:val="0"/>
        <w:adjustRightInd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10.3 如果甲方未履行本合同规定的付款以外的义务，致使乙方无法履行相应的义务的，除项目服务期限相应顺延外，由此产生的后果由甲方承担，乙方对此免责。</w:t>
      </w:r>
    </w:p>
    <w:p w14:paraId="584614D8">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10.4</w:t>
      </w:r>
      <w:r>
        <w:rPr>
          <w:rFonts w:hint="eastAsia" w:ascii="宋体"/>
          <w:color w:val="auto"/>
          <w:kern w:val="0"/>
          <w:sz w:val="24"/>
          <w:highlight w:val="none"/>
          <w:lang w:val="en-US" w:eastAsia="zh-CN"/>
        </w:rPr>
        <w:t xml:space="preserve"> </w:t>
      </w:r>
      <w:r>
        <w:rPr>
          <w:rFonts w:hint="eastAsia" w:ascii="宋体"/>
          <w:color w:val="auto"/>
          <w:kern w:val="0"/>
          <w:sz w:val="24"/>
          <w:highlight w:val="none"/>
        </w:rPr>
        <w:t>若乙方未能完成甲方委托的咨询任务，则承担本合同总额20%的违约金，并返还甲方已支付的费用。</w:t>
      </w:r>
    </w:p>
    <w:p w14:paraId="4CC8A085">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10.5</w:t>
      </w:r>
      <w:r>
        <w:rPr>
          <w:rFonts w:hint="eastAsia" w:ascii="宋体"/>
          <w:color w:val="auto"/>
          <w:kern w:val="0"/>
          <w:sz w:val="24"/>
          <w:highlight w:val="none"/>
          <w:lang w:val="en-US" w:eastAsia="zh-CN"/>
        </w:rPr>
        <w:t xml:space="preserve"> </w:t>
      </w:r>
      <w:r>
        <w:rPr>
          <w:rFonts w:hint="eastAsia" w:ascii="宋体"/>
          <w:color w:val="auto"/>
          <w:kern w:val="0"/>
          <w:sz w:val="24"/>
          <w:highlight w:val="none"/>
        </w:rPr>
        <w:t>乙方将甲方支付的咨询费用用于履行合同以外的目的，甲方有权制止并要求其纠正。如因此造成本合同项目停滞、延误或失败的，乙方应当承担给甲方造成的损失赔偿责任。</w:t>
      </w:r>
    </w:p>
    <w:p w14:paraId="00BBF107">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0</w:t>
      </w:r>
      <w:r>
        <w:rPr>
          <w:rFonts w:hint="eastAsia" w:ascii="宋体"/>
          <w:color w:val="auto"/>
          <w:kern w:val="0"/>
          <w:sz w:val="24"/>
          <w:highlight w:val="none"/>
        </w:rPr>
        <w:t>.</w:t>
      </w:r>
      <w:r>
        <w:rPr>
          <w:rFonts w:ascii="宋体"/>
          <w:color w:val="auto"/>
          <w:kern w:val="0"/>
          <w:sz w:val="24"/>
          <w:highlight w:val="none"/>
        </w:rPr>
        <w:t>6</w:t>
      </w:r>
      <w:r>
        <w:rPr>
          <w:rFonts w:hint="eastAsia" w:ascii="宋体"/>
          <w:color w:val="auto"/>
          <w:kern w:val="0"/>
          <w:sz w:val="24"/>
          <w:highlight w:val="none"/>
          <w:lang w:val="en-US" w:eastAsia="zh-CN"/>
        </w:rPr>
        <w:t xml:space="preserve"> </w:t>
      </w:r>
      <w:r>
        <w:rPr>
          <w:rFonts w:hint="eastAsia" w:ascii="宋体"/>
          <w:color w:val="auto"/>
          <w:kern w:val="0"/>
          <w:sz w:val="24"/>
          <w:highlight w:val="none"/>
        </w:rPr>
        <w:t>除本条及附件3《服务水平协议（SLA）》另有约定外，乙方违反本合同任一条款的，应向甲方支付合同总额5%的违约金并赔偿甲方产生的损失。</w:t>
      </w:r>
    </w:p>
    <w:p w14:paraId="4A5080D4">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w:t>
      </w:r>
      <w:r>
        <w:rPr>
          <w:rFonts w:ascii="宋体"/>
          <w:color w:val="auto"/>
          <w:kern w:val="0"/>
          <w:sz w:val="24"/>
          <w:highlight w:val="none"/>
        </w:rPr>
        <w:t>0</w:t>
      </w:r>
      <w:r>
        <w:rPr>
          <w:rFonts w:hint="eastAsia" w:ascii="宋体"/>
          <w:color w:val="auto"/>
          <w:kern w:val="0"/>
          <w:sz w:val="24"/>
          <w:highlight w:val="none"/>
        </w:rPr>
        <w:t>.</w:t>
      </w:r>
      <w:r>
        <w:rPr>
          <w:rFonts w:ascii="宋体"/>
          <w:color w:val="auto"/>
          <w:kern w:val="0"/>
          <w:sz w:val="24"/>
          <w:highlight w:val="none"/>
        </w:rPr>
        <w:t>7</w:t>
      </w:r>
      <w:r>
        <w:rPr>
          <w:rFonts w:hint="eastAsia" w:ascii="宋体"/>
          <w:color w:val="auto"/>
          <w:kern w:val="0"/>
          <w:sz w:val="24"/>
          <w:highlight w:val="none"/>
          <w:lang w:val="en-US" w:eastAsia="zh-CN"/>
        </w:rPr>
        <w:t xml:space="preserve"> </w:t>
      </w:r>
      <w:r>
        <w:rPr>
          <w:rFonts w:hint="eastAsia" w:ascii="宋体"/>
          <w:color w:val="auto"/>
          <w:kern w:val="0"/>
          <w:sz w:val="24"/>
          <w:highlight w:val="none"/>
        </w:rPr>
        <w:t>本合同项下乙方应支付的违约金、赔偿金等，甲方均有权从应支付给乙方的款项中优先扣除，若有不足，乙方应另行筹措资金补足。</w:t>
      </w:r>
    </w:p>
    <w:p w14:paraId="5E8F1B2B">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0"/>
        <w:textAlignment w:val="auto"/>
        <w:outlineLvl w:val="9"/>
        <w:rPr>
          <w:rFonts w:ascii="宋体" w:eastAsia="宋体"/>
          <w:color w:val="auto"/>
          <w:sz w:val="24"/>
          <w:highlight w:val="none"/>
          <w:lang w:eastAsia="zh-CN"/>
        </w:rPr>
      </w:pPr>
    </w:p>
    <w:p w14:paraId="23F67986">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第十一条  不可抗力</w:t>
      </w:r>
    </w:p>
    <w:p w14:paraId="197C8A60">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11.1 不可抗力是指本合同生效后，发生不能预见并且对其发生和后果不能防止或避免的事件，如地震、台风、水灾、火灾、战争、传染病等，致使直接影响本合同的履行或不能按约定的条件履行。</w:t>
      </w:r>
    </w:p>
    <w:p w14:paraId="523FBD58">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11.2 发生不可抗力的一方应立即通知对方，并在十五天内提供不可抗力的详情及将有关证明文件送交对方。</w:t>
      </w:r>
    </w:p>
    <w:p w14:paraId="5960CAAF">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11.3 发生不可抗力事件时，甲乙双方应协商以寻找一个合理的解决方法，并尽一切努力减轻不可抗力产生的后果。</w:t>
      </w:r>
    </w:p>
    <w:p w14:paraId="28E7E715">
      <w:pPr>
        <w:pageBreakBefore w:val="0"/>
        <w:kinsoku/>
        <w:wordWrap/>
        <w:overflowPunct/>
        <w:topLinePunct w:val="0"/>
        <w:bidi w:val="0"/>
        <w:snapToGrid w:val="0"/>
        <w:spacing w:line="520" w:lineRule="exact"/>
        <w:jc w:val="both"/>
        <w:textAlignment w:val="auto"/>
        <w:outlineLvl w:val="9"/>
        <w:rPr>
          <w:rFonts w:hint="eastAsia" w:ascii="宋体"/>
          <w:color w:val="auto"/>
          <w:kern w:val="0"/>
          <w:sz w:val="24"/>
          <w:highlight w:val="none"/>
        </w:rPr>
      </w:pPr>
      <w:r>
        <w:rPr>
          <w:rFonts w:hint="eastAsia" w:ascii="宋体"/>
          <w:color w:val="auto"/>
          <w:kern w:val="0"/>
          <w:sz w:val="24"/>
          <w:highlight w:val="none"/>
        </w:rPr>
        <w:t>11.4 如不可抗力事件持续三十天时，甲乙双方应友好协商解决本合同是否继续履行或终止的问题。</w:t>
      </w:r>
    </w:p>
    <w:p w14:paraId="27C9167E">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第十二条  争议解决</w:t>
      </w:r>
    </w:p>
    <w:p w14:paraId="3D7E5B1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522"/>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color w:val="auto"/>
          <w:kern w:val="2"/>
          <w:sz w:val="24"/>
          <w:highlight w:val="none"/>
          <w:lang w:val="zh-CN" w:eastAsia="zh-CN"/>
        </w:rPr>
        <w:t>本合同首部载明的甲方地址所在地有管辖权的人民法院起诉</w:t>
      </w:r>
      <w:r>
        <w:rPr>
          <w:rFonts w:hint="eastAsia" w:ascii="宋体" w:eastAsia="宋体"/>
          <w:color w:val="auto"/>
          <w:kern w:val="2"/>
          <w:sz w:val="24"/>
          <w:highlight w:val="none"/>
          <w:lang w:val="en-US" w:eastAsia="zh-CN"/>
        </w:rPr>
        <w:t>。</w:t>
      </w:r>
    </w:p>
    <w:p w14:paraId="7522BBE6">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522"/>
        <w:textAlignment w:val="auto"/>
        <w:outlineLvl w:val="9"/>
        <w:rPr>
          <w:rFonts w:ascii="宋体" w:eastAsia="宋体"/>
          <w:color w:val="auto"/>
          <w:kern w:val="2"/>
          <w:sz w:val="24"/>
          <w:highlight w:val="none"/>
          <w:lang w:val="en-US" w:eastAsia="zh-CN"/>
        </w:rPr>
      </w:pPr>
    </w:p>
    <w:p w14:paraId="479A7BB8">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第十三条 通知与送达</w:t>
      </w:r>
    </w:p>
    <w:p w14:paraId="3EF088D4">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999F0D5">
      <w:pPr>
        <w:pStyle w:val="12"/>
        <w:pageBreakBefore w:val="0"/>
        <w:tabs>
          <w:tab w:val="right" w:pos="0"/>
          <w:tab w:val="left" w:pos="630"/>
          <w:tab w:val="center" w:pos="4153"/>
          <w:tab w:val="right" w:pos="8306"/>
          <w:tab w:val="right" w:pos="8730"/>
        </w:tabs>
        <w:kinsoku/>
        <w:wordWrap/>
        <w:overflowPunct/>
        <w:topLinePunct w:val="0"/>
        <w:bidi w:val="0"/>
        <w:snapToGrid w:val="0"/>
        <w:spacing w:line="520" w:lineRule="exact"/>
        <w:ind w:right="16" w:firstLine="522"/>
        <w:textAlignment w:val="auto"/>
        <w:outlineLvl w:val="9"/>
        <w:rPr>
          <w:rFonts w:ascii="宋体" w:eastAsia="宋体"/>
          <w:color w:val="auto"/>
          <w:kern w:val="2"/>
          <w:sz w:val="24"/>
          <w:szCs w:val="24"/>
          <w:highlight w:val="none"/>
          <w:lang w:val="en-US" w:eastAsia="zh-CN"/>
        </w:rPr>
      </w:pPr>
      <w:r>
        <w:rPr>
          <w:rFonts w:hint="eastAsia" w:ascii="宋体" w:eastAsia="宋体"/>
          <w:color w:val="auto"/>
          <w:kern w:val="2"/>
          <w:sz w:val="24"/>
          <w:szCs w:val="24"/>
          <w:highlight w:val="none"/>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5DBA99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第十四条  合同的补充和变更</w:t>
      </w:r>
    </w:p>
    <w:p w14:paraId="3A19A249">
      <w:pPr>
        <w:pageBreakBefore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eastAsia" w:ascii="宋体"/>
          <w:color w:val="auto"/>
          <w:sz w:val="24"/>
          <w:highlight w:val="none"/>
        </w:rPr>
      </w:pPr>
      <w:r>
        <w:rPr>
          <w:rFonts w:hint="eastAsia" w:ascii="宋体"/>
          <w:color w:val="auto"/>
          <w:sz w:val="24"/>
          <w:highlight w:val="none"/>
        </w:rPr>
        <w:t>14.1 本合同的未尽事宜，由甲乙双方友好协商，以签署补充协议约定。</w:t>
      </w:r>
    </w:p>
    <w:p w14:paraId="5F66E9AE">
      <w:pPr>
        <w:pageBreakBefore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eastAsia" w:ascii="宋体"/>
          <w:color w:val="auto"/>
          <w:sz w:val="24"/>
          <w:highlight w:val="none"/>
        </w:rPr>
      </w:pPr>
      <w:r>
        <w:rPr>
          <w:rFonts w:hint="eastAsia" w:ascii="宋体"/>
          <w:color w:val="auto"/>
          <w:sz w:val="24"/>
          <w:highlight w:val="none"/>
        </w:rPr>
        <w:t>14.2 双方协商一致可以对本合同进行变更。双方就变更以书面形式确认后，变更即可生效。变更后的条款替代本合同原有条款，构成本合同不可分割的一部分。</w:t>
      </w:r>
    </w:p>
    <w:p w14:paraId="6EB230B9">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第十五条  合同的生效</w:t>
      </w:r>
    </w:p>
    <w:p w14:paraId="74DFEF53">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522"/>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甲乙双方对本合同及其全部附件内容达成一致并加盖公章后生效。</w:t>
      </w:r>
    </w:p>
    <w:p w14:paraId="5008F30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sz w:val="24"/>
          <w:highlight w:val="none"/>
          <w:lang w:eastAsia="zh-CN"/>
        </w:rPr>
      </w:pPr>
    </w:p>
    <w:p w14:paraId="4A910881">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第十六条  合同附件</w:t>
      </w:r>
    </w:p>
    <w:p w14:paraId="04EA1574">
      <w:pPr>
        <w:pageBreakBefore w:val="0"/>
        <w:kinsoku/>
        <w:wordWrap/>
        <w:overflowPunct/>
        <w:topLinePunct w:val="0"/>
        <w:autoSpaceDE/>
        <w:autoSpaceDN/>
        <w:bidi w:val="0"/>
        <w:snapToGrid w:val="0"/>
        <w:spacing w:line="520" w:lineRule="exact"/>
        <w:ind w:firstLine="480" w:firstLineChars="200"/>
        <w:jc w:val="both"/>
        <w:textAlignment w:val="auto"/>
        <w:outlineLvl w:val="9"/>
        <w:rPr>
          <w:rFonts w:hint="eastAsia" w:ascii="宋体"/>
          <w:color w:val="auto"/>
          <w:sz w:val="24"/>
          <w:szCs w:val="20"/>
          <w:highlight w:val="none"/>
        </w:rPr>
      </w:pPr>
      <w:r>
        <w:rPr>
          <w:rFonts w:hint="eastAsia" w:ascii="宋体"/>
          <w:color w:val="auto"/>
          <w:sz w:val="24"/>
          <w:szCs w:val="20"/>
          <w:highlight w:val="none"/>
        </w:rPr>
        <w:t>本合同的附件与合同正本具有同等法律效力，主合同与附件如有冲突，以主合同为准。本合同附件如下：</w:t>
      </w:r>
    </w:p>
    <w:p w14:paraId="241BBF45">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附件1：工作说明书</w:t>
      </w:r>
    </w:p>
    <w:p w14:paraId="392E0901">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附件2：项目最终验收表</w:t>
      </w:r>
    </w:p>
    <w:p w14:paraId="00C9CFA1">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附件3：服务水平协议</w:t>
      </w:r>
    </w:p>
    <w:p w14:paraId="4B8496C8">
      <w:pPr>
        <w:pageBreakBefore w:val="0"/>
        <w:kinsoku/>
        <w:wordWrap/>
        <w:overflowPunct/>
        <w:topLinePunct w:val="0"/>
        <w:bidi w:val="0"/>
        <w:snapToGrid w:val="0"/>
        <w:spacing w:line="520" w:lineRule="exact"/>
        <w:jc w:val="both"/>
        <w:textAlignment w:val="auto"/>
        <w:outlineLvl w:val="9"/>
        <w:rPr>
          <w:rFonts w:hint="eastAsia" w:ascii="宋体"/>
          <w:color w:val="auto"/>
          <w:sz w:val="24"/>
          <w:highlight w:val="none"/>
        </w:rPr>
      </w:pPr>
      <w:r>
        <w:rPr>
          <w:rFonts w:hint="eastAsia" w:ascii="宋体"/>
          <w:color w:val="auto"/>
          <w:sz w:val="24"/>
          <w:highlight w:val="none"/>
        </w:rPr>
        <w:t>附件4：</w:t>
      </w:r>
      <w:r>
        <w:rPr>
          <w:rFonts w:hint="eastAsia"/>
          <w:color w:val="auto"/>
          <w:sz w:val="24"/>
          <w:highlight w:val="none"/>
        </w:rPr>
        <w:t>服务连续性预案</w:t>
      </w:r>
    </w:p>
    <w:p w14:paraId="32CC2812">
      <w:pPr>
        <w:pageBreakBefore w:val="0"/>
        <w:kinsoku/>
        <w:wordWrap/>
        <w:overflowPunct/>
        <w:topLinePunct w:val="0"/>
        <w:bidi w:val="0"/>
        <w:snapToGrid w:val="0"/>
        <w:spacing w:line="520" w:lineRule="exact"/>
        <w:textAlignment w:val="auto"/>
        <w:outlineLvl w:val="9"/>
        <w:rPr>
          <w:rFonts w:hint="eastAsia" w:ascii="宋体"/>
          <w:color w:val="auto"/>
          <w:sz w:val="24"/>
          <w:highlight w:val="none"/>
        </w:rPr>
      </w:pPr>
    </w:p>
    <w:p w14:paraId="78122462">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2" w:firstLineChars="200"/>
        <w:textAlignment w:val="auto"/>
        <w:outlineLvl w:val="9"/>
        <w:rPr>
          <w:rFonts w:ascii="宋体" w:eastAsia="宋体"/>
          <w:b/>
          <w:color w:val="auto"/>
          <w:sz w:val="24"/>
          <w:highlight w:val="none"/>
          <w:lang w:eastAsia="zh-CN"/>
        </w:rPr>
      </w:pPr>
      <w:r>
        <w:rPr>
          <w:rFonts w:hint="eastAsia" w:ascii="宋体" w:eastAsia="宋体"/>
          <w:b/>
          <w:color w:val="auto"/>
          <w:sz w:val="24"/>
          <w:highlight w:val="none"/>
          <w:lang w:eastAsia="zh-CN"/>
        </w:rPr>
        <w:t>第十七条  其它</w:t>
      </w:r>
    </w:p>
    <w:p w14:paraId="4FE45307">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17.1 未经另一方的事先书面同意，任何一方不得将在本合同项下的部分或全部义务进行转让、分许可、分包。</w:t>
      </w:r>
    </w:p>
    <w:p w14:paraId="238188DE">
      <w:pPr>
        <w:pStyle w:val="12"/>
        <w:pageBreakBefore w:val="0"/>
        <w:tabs>
          <w:tab w:val="right" w:pos="0"/>
          <w:tab w:val="center" w:pos="4153"/>
          <w:tab w:val="right" w:pos="8306"/>
        </w:tabs>
        <w:kinsoku/>
        <w:wordWrap/>
        <w:overflowPunct/>
        <w:topLinePunct w:val="0"/>
        <w:bidi w:val="0"/>
        <w:adjustRightInd w:val="0"/>
        <w:snapToGrid w:val="0"/>
        <w:spacing w:line="520" w:lineRule="exact"/>
        <w:ind w:right="17"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122EC2F5">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17.3 本合同一式肆份，双方各持贰份，具有同等法律效力。</w:t>
      </w:r>
    </w:p>
    <w:p w14:paraId="2AAA7E77">
      <w:pPr>
        <w:pStyle w:val="12"/>
        <w:pageBreakBefore w:val="0"/>
        <w:tabs>
          <w:tab w:val="right" w:pos="0"/>
          <w:tab w:val="center" w:pos="4153"/>
          <w:tab w:val="right" w:pos="8306"/>
        </w:tabs>
        <w:kinsoku/>
        <w:wordWrap/>
        <w:overflowPunct/>
        <w:topLinePunct w:val="0"/>
        <w:bidi w:val="0"/>
        <w:adjustRightInd w:val="0"/>
        <w:snapToGrid w:val="0"/>
        <w:spacing w:line="520" w:lineRule="exact"/>
        <w:ind w:right="16" w:firstLine="480" w:firstLineChars="200"/>
        <w:textAlignment w:val="auto"/>
        <w:outlineLvl w:val="9"/>
        <w:rPr>
          <w:rFonts w:ascii="宋体" w:eastAsia="宋体"/>
          <w:color w:val="auto"/>
          <w:kern w:val="2"/>
          <w:sz w:val="24"/>
          <w:highlight w:val="none"/>
          <w:lang w:val="en-US" w:eastAsia="zh-CN"/>
        </w:rPr>
      </w:pPr>
      <w:r>
        <w:rPr>
          <w:rFonts w:hint="eastAsia" w:ascii="宋体" w:eastAsia="宋体"/>
          <w:color w:val="auto"/>
          <w:kern w:val="2"/>
          <w:sz w:val="24"/>
          <w:highlight w:val="none"/>
          <w:lang w:val="en-US" w:eastAsia="zh-CN"/>
        </w:rPr>
        <w:t>（以下无正文）</w:t>
      </w:r>
    </w:p>
    <w:p w14:paraId="0D96581F">
      <w:pPr>
        <w:pageBreakBefore w:val="0"/>
        <w:kinsoku/>
        <w:wordWrap/>
        <w:overflowPunct/>
        <w:topLinePunct w:val="0"/>
        <w:bidi w:val="0"/>
        <w:snapToGrid w:val="0"/>
        <w:spacing w:line="520" w:lineRule="exact"/>
        <w:ind w:right="-288" w:firstLine="522" w:firstLineChars="0"/>
        <w:jc w:val="both"/>
        <w:textAlignment w:val="auto"/>
        <w:outlineLvl w:val="9"/>
        <w:rPr>
          <w:rFonts w:hint="eastAsia" w:ascii="宋体"/>
          <w:b/>
          <w:snapToGrid w:val="0"/>
          <w:color w:val="auto"/>
          <w:sz w:val="24"/>
          <w:highlight w:val="none"/>
        </w:rPr>
      </w:pPr>
      <w:r>
        <w:rPr>
          <w:rFonts w:hint="eastAsia" w:ascii="宋体"/>
          <w:b/>
          <w:color w:val="auto"/>
          <w:highlight w:val="none"/>
        </w:rPr>
        <w:br w:type="page"/>
      </w:r>
      <w:r>
        <w:rPr>
          <w:rFonts w:hint="eastAsia" w:ascii="宋体"/>
          <w:b/>
          <w:color w:val="auto"/>
          <w:sz w:val="24"/>
          <w:highlight w:val="none"/>
        </w:rPr>
        <w:t>（本页无正文，为编号XXXXXXXX《XXX合同》的签署页）</w:t>
      </w:r>
    </w:p>
    <w:p w14:paraId="76907DF3">
      <w:pPr>
        <w:pageBreakBefore w:val="0"/>
        <w:kinsoku/>
        <w:wordWrap/>
        <w:overflowPunct/>
        <w:topLinePunct w:val="0"/>
        <w:bidi w:val="0"/>
        <w:snapToGrid w:val="0"/>
        <w:spacing w:line="520" w:lineRule="exact"/>
        <w:ind w:right="-288"/>
        <w:jc w:val="both"/>
        <w:textAlignment w:val="auto"/>
        <w:outlineLvl w:val="9"/>
        <w:rPr>
          <w:rFonts w:hint="eastAsia" w:ascii="宋体"/>
          <w:b/>
          <w:snapToGrid w:val="0"/>
          <w:color w:val="auto"/>
          <w:sz w:val="24"/>
          <w:highlight w:val="none"/>
        </w:rPr>
      </w:pPr>
      <w:r>
        <w:rPr>
          <w:rFonts w:hint="eastAsia" w:ascii="宋体"/>
          <w:b/>
          <w:snapToGrid w:val="0"/>
          <w:color w:val="auto"/>
          <w:sz w:val="24"/>
          <w:highlight w:val="none"/>
        </w:rPr>
        <w:t>甲方：重庆三峡银行股份有限公司         乙方：XXXXXXXXX</w:t>
      </w:r>
    </w:p>
    <w:p w14:paraId="32CD69FB">
      <w:pPr>
        <w:pageBreakBefore w:val="0"/>
        <w:kinsoku/>
        <w:wordWrap/>
        <w:overflowPunct/>
        <w:topLinePunct w:val="0"/>
        <w:bidi w:val="0"/>
        <w:snapToGrid w:val="0"/>
        <w:spacing w:line="520" w:lineRule="exact"/>
        <w:ind w:right="-288" w:firstLine="522" w:firstLineChars="0"/>
        <w:jc w:val="both"/>
        <w:textAlignment w:val="auto"/>
        <w:outlineLvl w:val="9"/>
        <w:rPr>
          <w:rFonts w:hint="eastAsia" w:ascii="宋体"/>
          <w:b/>
          <w:snapToGrid w:val="0"/>
          <w:color w:val="auto"/>
          <w:sz w:val="24"/>
          <w:highlight w:val="none"/>
        </w:rPr>
      </w:pPr>
    </w:p>
    <w:p w14:paraId="7C0F1B53">
      <w:pPr>
        <w:pageBreakBefore w:val="0"/>
        <w:kinsoku/>
        <w:wordWrap/>
        <w:overflowPunct/>
        <w:topLinePunct w:val="0"/>
        <w:bidi w:val="0"/>
        <w:snapToGrid w:val="0"/>
        <w:spacing w:line="520" w:lineRule="exact"/>
        <w:ind w:right="-429"/>
        <w:jc w:val="both"/>
        <w:textAlignment w:val="auto"/>
        <w:outlineLvl w:val="9"/>
        <w:rPr>
          <w:rFonts w:hint="eastAsia" w:ascii="宋体"/>
          <w:snapToGrid w:val="0"/>
          <w:color w:val="auto"/>
          <w:sz w:val="24"/>
          <w:highlight w:val="none"/>
          <w:u w:val="single"/>
        </w:rPr>
      </w:pPr>
      <w:r>
        <w:rPr>
          <w:rFonts w:hint="eastAsia" w:ascii="宋体"/>
          <w:snapToGrid w:val="0"/>
          <w:color w:val="auto"/>
          <w:sz w:val="24"/>
          <w:highlight w:val="none"/>
        </w:rPr>
        <w:t xml:space="preserve"> (盖章)：_____________                （盖章）：</w:t>
      </w:r>
      <w:r>
        <w:rPr>
          <w:rFonts w:hint="eastAsia" w:ascii="宋体"/>
          <w:snapToGrid w:val="0"/>
          <w:color w:val="auto"/>
          <w:sz w:val="24"/>
          <w:highlight w:val="none"/>
          <w:u w:val="single"/>
        </w:rPr>
        <w:t xml:space="preserve">            </w:t>
      </w:r>
    </w:p>
    <w:p w14:paraId="19A4A6CC">
      <w:pPr>
        <w:pageBreakBefore w:val="0"/>
        <w:kinsoku/>
        <w:wordWrap/>
        <w:overflowPunct/>
        <w:topLinePunct w:val="0"/>
        <w:bidi w:val="0"/>
        <w:snapToGrid w:val="0"/>
        <w:spacing w:line="520" w:lineRule="exact"/>
        <w:ind w:right="-429"/>
        <w:jc w:val="both"/>
        <w:textAlignment w:val="auto"/>
        <w:outlineLvl w:val="9"/>
        <w:rPr>
          <w:rFonts w:hint="eastAsia" w:ascii="宋体"/>
          <w:snapToGrid w:val="0"/>
          <w:color w:val="auto"/>
          <w:sz w:val="24"/>
          <w:highlight w:val="none"/>
          <w:u w:val="single"/>
        </w:rPr>
      </w:pPr>
    </w:p>
    <w:p w14:paraId="584E64C0">
      <w:pPr>
        <w:pageBreakBefore w:val="0"/>
        <w:kinsoku/>
        <w:wordWrap/>
        <w:overflowPunct/>
        <w:topLinePunct w:val="0"/>
        <w:bidi w:val="0"/>
        <w:snapToGrid w:val="0"/>
        <w:spacing w:line="520" w:lineRule="exact"/>
        <w:ind w:right="-429" w:firstLine="840" w:firstLineChars="350"/>
        <w:jc w:val="both"/>
        <w:textAlignment w:val="auto"/>
        <w:outlineLvl w:val="9"/>
        <w:rPr>
          <w:rFonts w:hint="eastAsia" w:ascii="宋体"/>
          <w:snapToGrid w:val="0"/>
          <w:color w:val="auto"/>
          <w:sz w:val="24"/>
          <w:highlight w:val="none"/>
        </w:rPr>
      </w:pPr>
      <w:r>
        <w:rPr>
          <w:rFonts w:hint="eastAsia" w:ascii="宋体"/>
          <w:snapToGrid w:val="0"/>
          <w:color w:val="auto"/>
          <w:sz w:val="24"/>
          <w:highlight w:val="none"/>
        </w:rPr>
        <w:t xml:space="preserve">                                日期：</w:t>
      </w:r>
    </w:p>
    <w:p w14:paraId="3A02B9EC">
      <w:pPr>
        <w:pStyle w:val="46"/>
        <w:pageBreakBefore w:val="0"/>
        <w:kinsoku/>
        <w:wordWrap/>
        <w:overflowPunct/>
        <w:topLinePunct w:val="0"/>
        <w:bidi w:val="0"/>
        <w:snapToGrid w:val="0"/>
        <w:spacing w:before="0" w:beforeLines="0" w:beforeAutospacing="0" w:after="0" w:afterAutospacing="0" w:line="520" w:lineRule="atLeast"/>
        <w:ind w:firstLine="0" w:firstLineChars="0"/>
        <w:textAlignment w:val="auto"/>
        <w:outlineLvl w:val="9"/>
        <w:rPr>
          <w:b/>
          <w:color w:val="auto"/>
          <w:szCs w:val="24"/>
          <w:highlight w:val="none"/>
        </w:rPr>
      </w:pPr>
      <w:r>
        <w:rPr>
          <w:snapToGrid w:val="0"/>
          <w:color w:val="auto"/>
          <w:highlight w:val="none"/>
        </w:rPr>
        <w:br w:type="page"/>
      </w:r>
    </w:p>
    <w:p w14:paraId="3BB38104">
      <w:pPr>
        <w:pStyle w:val="22"/>
        <w:pageBreakBefore w:val="0"/>
        <w:kinsoku/>
        <w:wordWrap/>
        <w:overflowPunct/>
        <w:topLinePunct w:val="0"/>
        <w:bidi w:val="0"/>
        <w:snapToGrid w:val="0"/>
        <w:spacing w:before="0" w:after="0" w:line="520" w:lineRule="exact"/>
        <w:jc w:val="left"/>
        <w:textAlignment w:val="auto"/>
        <w:outlineLvl w:val="9"/>
        <w:rPr>
          <w:snapToGrid w:val="0"/>
          <w:color w:val="auto"/>
          <w:highlight w:val="none"/>
        </w:rPr>
      </w:pPr>
      <w:r>
        <w:rPr>
          <w:rFonts w:hint="eastAsia" w:ascii="宋体"/>
          <w:snapToGrid w:val="0"/>
          <w:color w:val="auto"/>
          <w:sz w:val="24"/>
          <w:highlight w:val="none"/>
        </w:rPr>
        <w:t>附件1</w:t>
      </w:r>
    </w:p>
    <w:p w14:paraId="00208497">
      <w:pPr>
        <w:pStyle w:val="22"/>
        <w:pageBreakBefore w:val="0"/>
        <w:kinsoku/>
        <w:wordWrap/>
        <w:overflowPunct/>
        <w:topLinePunct w:val="0"/>
        <w:bidi w:val="0"/>
        <w:snapToGrid w:val="0"/>
        <w:spacing w:before="0" w:after="0" w:line="520" w:lineRule="exact"/>
        <w:textAlignment w:val="auto"/>
        <w:outlineLvl w:val="9"/>
        <w:rPr>
          <w:rFonts w:ascii="方正小标宋_GBK" w:eastAsia="方正小标宋_GBK"/>
          <w:b w:val="0"/>
          <w:snapToGrid w:val="0"/>
          <w:color w:val="auto"/>
          <w:sz w:val="40"/>
          <w:highlight w:val="none"/>
        </w:rPr>
      </w:pPr>
      <w:r>
        <w:rPr>
          <w:rFonts w:hint="eastAsia" w:ascii="方正小标宋_GBK" w:eastAsia="方正小标宋_GBK"/>
          <w:b w:val="0"/>
          <w:snapToGrid w:val="0"/>
          <w:color w:val="auto"/>
          <w:sz w:val="40"/>
          <w:highlight w:val="none"/>
        </w:rPr>
        <w:t>工作说明书</w:t>
      </w:r>
    </w:p>
    <w:p w14:paraId="59A17D5A">
      <w:pPr>
        <w:keepNext/>
        <w:keepLines/>
        <w:pageBreakBefore w:val="0"/>
        <w:kinsoku/>
        <w:wordWrap/>
        <w:overflowPunct/>
        <w:topLinePunct w:val="0"/>
        <w:bidi w:val="0"/>
        <w:spacing w:before="140" w:after="140" w:line="415" w:lineRule="auto"/>
        <w:jc w:val="left"/>
        <w:textAlignment w:val="auto"/>
        <w:outlineLvl w:val="9"/>
        <w:rPr>
          <w:rFonts w:hint="eastAsia" w:ascii="方正黑体_GBK" w:eastAsia="方正黑体_GBK"/>
          <w:bCs/>
          <w:color w:val="auto"/>
          <w:sz w:val="32"/>
          <w:szCs w:val="32"/>
          <w:highlight w:val="none"/>
        </w:rPr>
      </w:pPr>
      <w:bookmarkStart w:id="259" w:name="_Toc422127535"/>
      <w:r>
        <w:rPr>
          <w:rFonts w:hint="eastAsia" w:ascii="方正黑体_GBK" w:eastAsia="方正黑体_GBK"/>
          <w:bCs/>
          <w:color w:val="auto"/>
          <w:sz w:val="32"/>
          <w:szCs w:val="32"/>
          <w:highlight w:val="none"/>
        </w:rPr>
        <w:t>第一条  项目目标</w:t>
      </w:r>
    </w:p>
    <w:p w14:paraId="09967A37">
      <w:pPr>
        <w:pageBreakBefore w:val="0"/>
        <w:tabs>
          <w:tab w:val="left" w:pos="360"/>
          <w:tab w:val="left" w:pos="862"/>
        </w:tabs>
        <w:kinsoku/>
        <w:wordWrap/>
        <w:overflowPunct/>
        <w:topLinePunct w:val="0"/>
        <w:bidi w:val="0"/>
        <w:adjustRightInd w:val="0"/>
        <w:snapToGrid w:val="0"/>
        <w:spacing w:line="360" w:lineRule="auto"/>
        <w:jc w:val="both"/>
        <w:textAlignment w:val="auto"/>
        <w:outlineLvl w:val="9"/>
        <w:rPr>
          <w:rFonts w:hint="eastAsia" w:ascii="宋体" w:cs="宋体"/>
          <w:color w:val="auto"/>
          <w:sz w:val="24"/>
          <w:highlight w:val="none"/>
        </w:rPr>
      </w:pPr>
      <w:r>
        <w:rPr>
          <w:rFonts w:ascii="宋体" w:cs="宋体"/>
          <w:color w:val="auto"/>
          <w:sz w:val="24"/>
          <w:highlight w:val="none"/>
        </w:rPr>
        <w:t>完成信息安全管理体系换版及顺利获取信息安全管理体系证书。</w:t>
      </w:r>
    </w:p>
    <w:p w14:paraId="2D378843">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第二条 项目范围</w:t>
      </w:r>
    </w:p>
    <w:p w14:paraId="0984B03D">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2.1 本项目中乙方主要工作范围包括：</w:t>
      </w:r>
    </w:p>
    <w:p w14:paraId="24D12325">
      <w:pPr>
        <w:pageBreakBefore w:val="0"/>
        <w:kinsoku/>
        <w:wordWrap/>
        <w:overflowPunct/>
        <w:topLinePunct w:val="0"/>
        <w:bidi w:val="0"/>
        <w:jc w:val="both"/>
        <w:textAlignment w:val="auto"/>
        <w:outlineLvl w:val="9"/>
        <w:rPr>
          <w:rFonts w:ascii="Times New Roman" w:hAnsi="Times New Roman"/>
          <w:color w:val="auto"/>
          <w:highlight w:val="none"/>
        </w:rPr>
      </w:pPr>
      <w:r>
        <w:rPr>
          <w:rFonts w:ascii="Times New Roman" w:hAnsi="Times New Roman"/>
          <w:color w:val="auto"/>
          <w:highlight w:val="none"/>
        </w:rPr>
        <w:t>提供信息安全管理体系咨询及再认证服务。一是协助甲方根据信息安全管理体系新标准，完成信息安全管理体系换版工作；二是顺利获得信息安全管理体系证书。</w:t>
      </w:r>
    </w:p>
    <w:p w14:paraId="4771EE95">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2.2 项目</w:t>
      </w:r>
      <w:r>
        <w:rPr>
          <w:rFonts w:hint="eastAsia" w:ascii="方正黑体_GBK" w:eastAsia="方正黑体_GBK"/>
          <w:bCs/>
          <w:color w:val="auto"/>
          <w:sz w:val="32"/>
          <w:szCs w:val="32"/>
          <w:highlight w:val="none"/>
          <w:lang w:val="en-US" w:eastAsia="zh-CN"/>
        </w:rPr>
        <w:t>服务期限</w:t>
      </w:r>
    </w:p>
    <w:p w14:paraId="568726A7">
      <w:pPr>
        <w:pStyle w:val="12"/>
        <w:pageBreakBefore w:val="0"/>
        <w:tabs>
          <w:tab w:val="right" w:pos="0"/>
          <w:tab w:val="left" w:pos="630"/>
          <w:tab w:val="center" w:pos="4153"/>
          <w:tab w:val="right" w:pos="8306"/>
          <w:tab w:val="right" w:pos="8730"/>
        </w:tabs>
        <w:kinsoku/>
        <w:wordWrap/>
        <w:overflowPunct/>
        <w:topLinePunct w:val="0"/>
        <w:bidi w:val="0"/>
        <w:spacing w:line="520" w:lineRule="exact"/>
        <w:ind w:right="16" w:firstLine="480" w:firstLineChars="200"/>
        <w:textAlignment w:val="auto"/>
        <w:outlineLvl w:val="9"/>
        <w:rPr>
          <w:rFonts w:hint="eastAsia" w:ascii="宋体" w:hAnsi="宋体" w:cs="宋体"/>
          <w:color w:val="auto"/>
          <w:sz w:val="24"/>
          <w:highlight w:val="none"/>
        </w:rPr>
      </w:pPr>
      <w:r>
        <w:rPr>
          <w:rFonts w:hint="eastAsia" w:ascii="宋体" w:eastAsia="宋体"/>
          <w:color w:val="auto"/>
          <w:sz w:val="24"/>
          <w:highlight w:val="none"/>
          <w:lang w:eastAsia="zh-CN"/>
        </w:rPr>
        <w:t>自合同签订之日起，服务期至</w:t>
      </w:r>
      <w:r>
        <w:rPr>
          <w:rFonts w:hint="eastAsia" w:ascii="宋体" w:eastAsia="宋体"/>
          <w:color w:val="auto"/>
          <w:sz w:val="24"/>
          <w:highlight w:val="none"/>
          <w:lang w:val="en-US" w:eastAsia="zh-CN"/>
        </w:rPr>
        <w:t>甲方完成</w:t>
      </w:r>
      <w:r>
        <w:rPr>
          <w:rFonts w:hint="eastAsia" w:ascii="宋体" w:hAnsi="Times New Roman" w:eastAsia="宋体"/>
          <w:color w:val="auto"/>
          <w:kern w:val="2"/>
          <w:sz w:val="24"/>
          <w:highlight w:val="none"/>
          <w:lang w:val="en-US" w:eastAsia="zh-CN"/>
        </w:rPr>
        <w:t>信息安全管理体系换版工作</w:t>
      </w:r>
      <w:r>
        <w:rPr>
          <w:rFonts w:hint="eastAsia" w:ascii="Times New Roman" w:hAnsi="Times New Roman" w:eastAsia="宋体"/>
          <w:color w:val="auto"/>
          <w:sz w:val="24"/>
          <w:szCs w:val="24"/>
          <w:highlight w:val="none"/>
          <w:lang w:val="en-US" w:eastAsia="zh-CN"/>
        </w:rPr>
        <w:t>及顺利获取信息安全管理体系证书，协助甲方构建的信息安全管理体系试运行三个月且甲方验收通过。</w:t>
      </w:r>
    </w:p>
    <w:bookmarkEnd w:id="259"/>
    <w:p w14:paraId="0FE107E0">
      <w:pPr>
        <w:keepNext/>
        <w:keepLines/>
        <w:pageBreakBefore w:val="0"/>
        <w:kinsoku/>
        <w:wordWrap/>
        <w:overflowPunct/>
        <w:topLinePunct w:val="0"/>
        <w:bidi w:val="0"/>
        <w:spacing w:before="20" w:after="20" w:line="415" w:lineRule="auto"/>
        <w:jc w:val="left"/>
        <w:textAlignment w:val="auto"/>
        <w:outlineLvl w:val="9"/>
        <w:rPr>
          <w:rFonts w:hint="eastAsia" w:ascii="方正黑体_GBK" w:eastAsia="方正黑体_GBK"/>
          <w:bCs/>
          <w:color w:val="auto"/>
          <w:sz w:val="32"/>
          <w:szCs w:val="32"/>
          <w:highlight w:val="none"/>
        </w:rPr>
      </w:pPr>
      <w:r>
        <w:rPr>
          <w:rFonts w:hint="eastAsia" w:ascii="方正黑体_GBK" w:eastAsia="方正黑体_GBK"/>
          <w:bCs/>
          <w:color w:val="auto"/>
          <w:sz w:val="32"/>
          <w:szCs w:val="32"/>
          <w:highlight w:val="none"/>
        </w:rPr>
        <w:t>第二条  项目主要内容</w:t>
      </w:r>
    </w:p>
    <w:tbl>
      <w:tblPr>
        <w:tblStyle w:val="2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85"/>
        <w:gridCol w:w="3886"/>
        <w:gridCol w:w="2476"/>
      </w:tblGrid>
      <w:tr w14:paraId="29B2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noWrap/>
            <w:vAlign w:val="center"/>
          </w:tcPr>
          <w:p w14:paraId="37871C7F">
            <w:pPr>
              <w:pageBreakBefore w:val="0"/>
              <w:kinsoku/>
              <w:wordWrap/>
              <w:overflowPunct/>
              <w:topLinePunct w:val="0"/>
              <w:bidi w:val="0"/>
              <w:spacing w:line="360" w:lineRule="auto"/>
              <w:ind w:firstLine="0" w:firstLineChars="0"/>
              <w:textAlignment w:val="auto"/>
              <w:outlineLvl w:val="9"/>
              <w:rPr>
                <w:rFonts w:hint="eastAsia" w:ascii="宋体"/>
                <w:b/>
                <w:color w:val="auto"/>
                <w:highlight w:val="none"/>
              </w:rPr>
            </w:pPr>
            <w:r>
              <w:rPr>
                <w:rFonts w:hint="eastAsia" w:ascii="宋体"/>
                <w:b/>
                <w:color w:val="auto"/>
                <w:highlight w:val="none"/>
              </w:rPr>
              <w:t>序号</w:t>
            </w:r>
          </w:p>
        </w:tc>
        <w:tc>
          <w:tcPr>
            <w:tcW w:w="1485" w:type="dxa"/>
            <w:tcBorders>
              <w:top w:val="single" w:color="auto" w:sz="4" w:space="0"/>
              <w:left w:val="single" w:color="auto" w:sz="4" w:space="0"/>
              <w:bottom w:val="single" w:color="auto" w:sz="4" w:space="0"/>
              <w:right w:val="single" w:color="auto" w:sz="4" w:space="0"/>
            </w:tcBorders>
            <w:noWrap/>
            <w:vAlign w:val="center"/>
          </w:tcPr>
          <w:p w14:paraId="6369028C">
            <w:pPr>
              <w:pageBreakBefore w:val="0"/>
              <w:kinsoku/>
              <w:wordWrap/>
              <w:overflowPunct/>
              <w:topLinePunct w:val="0"/>
              <w:bidi w:val="0"/>
              <w:spacing w:line="360" w:lineRule="auto"/>
              <w:jc w:val="both"/>
              <w:textAlignment w:val="auto"/>
              <w:outlineLvl w:val="9"/>
              <w:rPr>
                <w:rFonts w:hint="eastAsia" w:ascii="宋体" w:cs="宋体"/>
                <w:b/>
                <w:color w:val="auto"/>
                <w:highlight w:val="none"/>
              </w:rPr>
            </w:pPr>
            <w:r>
              <w:rPr>
                <w:rFonts w:hint="eastAsia" w:ascii="宋体" w:cs="宋体"/>
                <w:b/>
                <w:color w:val="auto"/>
                <w:highlight w:val="none"/>
              </w:rPr>
              <w:t>服务项</w:t>
            </w:r>
          </w:p>
        </w:tc>
        <w:tc>
          <w:tcPr>
            <w:tcW w:w="3886" w:type="dxa"/>
            <w:tcBorders>
              <w:top w:val="single" w:color="auto" w:sz="4" w:space="0"/>
              <w:left w:val="single" w:color="auto" w:sz="4" w:space="0"/>
              <w:bottom w:val="single" w:color="auto" w:sz="4" w:space="0"/>
              <w:right w:val="single" w:color="auto" w:sz="4" w:space="0"/>
            </w:tcBorders>
            <w:noWrap/>
            <w:vAlign w:val="center"/>
          </w:tcPr>
          <w:p w14:paraId="2C4DA695">
            <w:pPr>
              <w:pageBreakBefore w:val="0"/>
              <w:kinsoku/>
              <w:wordWrap/>
              <w:overflowPunct/>
              <w:topLinePunct w:val="0"/>
              <w:bidi w:val="0"/>
              <w:spacing w:line="360" w:lineRule="auto"/>
              <w:ind w:firstLine="0" w:firstLineChars="0"/>
              <w:textAlignment w:val="auto"/>
              <w:outlineLvl w:val="9"/>
              <w:rPr>
                <w:rFonts w:hint="eastAsia" w:ascii="宋体"/>
                <w:b/>
                <w:color w:val="auto"/>
                <w:highlight w:val="none"/>
              </w:rPr>
            </w:pPr>
            <w:r>
              <w:rPr>
                <w:rFonts w:hint="eastAsia" w:ascii="宋体" w:cs="宋体"/>
                <w:b/>
                <w:color w:val="auto"/>
                <w:highlight w:val="none"/>
              </w:rPr>
              <w:t>服务描述</w:t>
            </w:r>
          </w:p>
        </w:tc>
        <w:tc>
          <w:tcPr>
            <w:tcW w:w="2476" w:type="dxa"/>
            <w:tcBorders>
              <w:top w:val="single" w:color="auto" w:sz="4" w:space="0"/>
              <w:left w:val="single" w:color="auto" w:sz="4" w:space="0"/>
              <w:bottom w:val="single" w:color="auto" w:sz="4" w:space="0"/>
              <w:right w:val="single" w:color="auto" w:sz="4" w:space="0"/>
            </w:tcBorders>
            <w:noWrap/>
            <w:vAlign w:val="center"/>
          </w:tcPr>
          <w:p w14:paraId="4E5CBC69">
            <w:pPr>
              <w:pageBreakBefore w:val="0"/>
              <w:kinsoku/>
              <w:wordWrap/>
              <w:overflowPunct/>
              <w:topLinePunct w:val="0"/>
              <w:bidi w:val="0"/>
              <w:spacing w:line="360" w:lineRule="auto"/>
              <w:ind w:firstLine="0" w:firstLineChars="0"/>
              <w:textAlignment w:val="auto"/>
              <w:outlineLvl w:val="9"/>
              <w:rPr>
                <w:rFonts w:hint="eastAsia" w:ascii="宋体" w:cs="宋体"/>
                <w:b/>
                <w:color w:val="auto"/>
                <w:highlight w:val="none"/>
              </w:rPr>
            </w:pPr>
            <w:r>
              <w:rPr>
                <w:rFonts w:hint="eastAsia" w:ascii="宋体"/>
                <w:b/>
                <w:color w:val="auto"/>
                <w:highlight w:val="none"/>
              </w:rPr>
              <w:t>交付物</w:t>
            </w:r>
          </w:p>
        </w:tc>
      </w:tr>
      <w:tr w14:paraId="7AC7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415A1F31">
            <w:pPr>
              <w:pageBreakBefore w:val="0"/>
              <w:kinsoku/>
              <w:wordWrap/>
              <w:overflowPunct/>
              <w:topLinePunct w:val="0"/>
              <w:bidi w:val="0"/>
              <w:spacing w:line="360" w:lineRule="exact"/>
              <w:ind w:firstLine="0" w:firstLineChars="0"/>
              <w:textAlignment w:val="auto"/>
              <w:outlineLvl w:val="9"/>
              <w:rPr>
                <w:rFonts w:hint="eastAsia" w:ascii="宋体"/>
                <w:color w:val="auto"/>
                <w:highlight w:val="none"/>
              </w:rPr>
            </w:pPr>
            <w:r>
              <w:rPr>
                <w:rFonts w:hint="eastAsia"/>
                <w:color w:val="auto"/>
                <w:highlight w:val="none"/>
              </w:rPr>
              <w:t>1</w:t>
            </w:r>
          </w:p>
        </w:tc>
        <w:tc>
          <w:tcPr>
            <w:tcW w:w="1485" w:type="dxa"/>
            <w:tcBorders>
              <w:top w:val="single" w:color="auto" w:sz="4" w:space="0"/>
              <w:left w:val="single" w:color="auto" w:sz="4" w:space="0"/>
              <w:bottom w:val="single" w:color="auto" w:sz="4" w:space="0"/>
              <w:right w:val="single" w:color="auto" w:sz="4" w:space="0"/>
            </w:tcBorders>
            <w:noWrap/>
            <w:vAlign w:val="center"/>
          </w:tcPr>
          <w:p w14:paraId="238769A5">
            <w:pPr>
              <w:pageBreakBefore w:val="0"/>
              <w:kinsoku/>
              <w:wordWrap/>
              <w:overflowPunct/>
              <w:topLinePunct w:val="0"/>
              <w:bidi w:val="0"/>
              <w:spacing w:line="360" w:lineRule="exact"/>
              <w:ind w:firstLine="0" w:firstLineChars="0"/>
              <w:textAlignment w:val="auto"/>
              <w:outlineLvl w:val="9"/>
              <w:rPr>
                <w:rFonts w:hint="eastAsia" w:ascii="宋体" w:cs="宋体"/>
                <w:color w:val="auto"/>
                <w:highlight w:val="none"/>
              </w:rPr>
            </w:pPr>
            <w:r>
              <w:rPr>
                <w:rFonts w:ascii="宋体"/>
                <w:color w:val="auto"/>
                <w:highlight w:val="none"/>
              </w:rPr>
              <w:t>信息安全管理体系咨询服务</w:t>
            </w:r>
          </w:p>
        </w:tc>
        <w:tc>
          <w:tcPr>
            <w:tcW w:w="3886" w:type="dxa"/>
            <w:tcBorders>
              <w:top w:val="single" w:color="auto" w:sz="4" w:space="0"/>
              <w:left w:val="single" w:color="auto" w:sz="4" w:space="0"/>
              <w:bottom w:val="single" w:color="auto" w:sz="4" w:space="0"/>
              <w:right w:val="single" w:color="auto" w:sz="4" w:space="0"/>
            </w:tcBorders>
            <w:noWrap/>
            <w:vAlign w:val="center"/>
          </w:tcPr>
          <w:p w14:paraId="25307A44">
            <w:pPr>
              <w:pageBreakBefore w:val="0"/>
              <w:widowControl/>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s="宋体"/>
                <w:color w:val="auto"/>
                <w:kern w:val="0"/>
                <w:sz w:val="20"/>
                <w:szCs w:val="20"/>
                <w:highlight w:val="none"/>
              </w:rPr>
              <w:t>根据信息安全管理体系新标准，协助完成安全管理体系换版工作。</w:t>
            </w:r>
          </w:p>
        </w:tc>
        <w:tc>
          <w:tcPr>
            <w:tcW w:w="2476" w:type="dxa"/>
            <w:tcBorders>
              <w:top w:val="single" w:color="auto" w:sz="4" w:space="0"/>
              <w:left w:val="single" w:color="auto" w:sz="4" w:space="0"/>
              <w:bottom w:val="single" w:color="auto" w:sz="4" w:space="0"/>
              <w:right w:val="single" w:color="auto" w:sz="4" w:space="0"/>
            </w:tcBorders>
            <w:noWrap/>
            <w:vAlign w:val="center"/>
          </w:tcPr>
          <w:p w14:paraId="759D5BFB">
            <w:pPr>
              <w:pageBreakBefore w:val="0"/>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olor w:val="auto"/>
                <w:highlight w:val="none"/>
              </w:rPr>
              <w:t>实施方案</w:t>
            </w:r>
            <w:r>
              <w:rPr>
                <w:rFonts w:hint="eastAsia" w:ascii="宋体"/>
                <w:color w:val="auto"/>
                <w:highlight w:val="none"/>
              </w:rPr>
              <w:t>、信息安全管理体系相关文档、培训资料</w:t>
            </w:r>
          </w:p>
        </w:tc>
      </w:tr>
      <w:tr w14:paraId="607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790F6A58">
            <w:pPr>
              <w:pageBreakBefore w:val="0"/>
              <w:kinsoku/>
              <w:wordWrap/>
              <w:overflowPunct/>
              <w:topLinePunct w:val="0"/>
              <w:bidi w:val="0"/>
              <w:spacing w:line="360" w:lineRule="exact"/>
              <w:ind w:firstLine="0" w:firstLineChars="0"/>
              <w:textAlignment w:val="auto"/>
              <w:outlineLvl w:val="9"/>
              <w:rPr>
                <w:rFonts w:hint="eastAsia"/>
                <w:color w:val="auto"/>
                <w:highlight w:val="none"/>
              </w:rPr>
            </w:pPr>
            <w:r>
              <w:rPr>
                <w:color w:val="auto"/>
                <w:highlight w:val="none"/>
              </w:rPr>
              <w:t>2</w:t>
            </w:r>
          </w:p>
        </w:tc>
        <w:tc>
          <w:tcPr>
            <w:tcW w:w="1485" w:type="dxa"/>
            <w:tcBorders>
              <w:top w:val="single" w:color="auto" w:sz="4" w:space="0"/>
              <w:left w:val="single" w:color="auto" w:sz="4" w:space="0"/>
              <w:bottom w:val="single" w:color="auto" w:sz="4" w:space="0"/>
              <w:right w:val="single" w:color="auto" w:sz="4" w:space="0"/>
            </w:tcBorders>
            <w:noWrap/>
            <w:vAlign w:val="center"/>
          </w:tcPr>
          <w:p w14:paraId="13B02E67">
            <w:pPr>
              <w:pageBreakBefore w:val="0"/>
              <w:kinsoku/>
              <w:wordWrap/>
              <w:overflowPunct/>
              <w:topLinePunct w:val="0"/>
              <w:bidi w:val="0"/>
              <w:spacing w:line="360" w:lineRule="exact"/>
              <w:ind w:firstLine="0" w:firstLineChars="0"/>
              <w:textAlignment w:val="auto"/>
              <w:outlineLvl w:val="9"/>
              <w:rPr>
                <w:rFonts w:hint="eastAsia" w:ascii="宋体"/>
                <w:color w:val="auto"/>
                <w:highlight w:val="none"/>
              </w:rPr>
            </w:pPr>
            <w:r>
              <w:rPr>
                <w:rFonts w:ascii="宋体"/>
                <w:color w:val="auto"/>
                <w:highlight w:val="none"/>
              </w:rPr>
              <w:t>信息安全管理体系再认证服务</w:t>
            </w:r>
          </w:p>
        </w:tc>
        <w:tc>
          <w:tcPr>
            <w:tcW w:w="3886" w:type="dxa"/>
            <w:tcBorders>
              <w:top w:val="single" w:color="auto" w:sz="4" w:space="0"/>
              <w:left w:val="single" w:color="auto" w:sz="4" w:space="0"/>
              <w:bottom w:val="single" w:color="auto" w:sz="4" w:space="0"/>
              <w:right w:val="single" w:color="auto" w:sz="4" w:space="0"/>
            </w:tcBorders>
            <w:noWrap/>
            <w:vAlign w:val="center"/>
          </w:tcPr>
          <w:p w14:paraId="5F83E3F4">
            <w:pPr>
              <w:pageBreakBefore w:val="0"/>
              <w:widowControl/>
              <w:kinsoku/>
              <w:wordWrap/>
              <w:overflowPunct/>
              <w:topLinePunct w:val="0"/>
              <w:bidi w:val="0"/>
              <w:spacing w:line="360" w:lineRule="exact"/>
              <w:ind w:firstLine="0" w:firstLineChars="0"/>
              <w:jc w:val="both"/>
              <w:textAlignment w:val="auto"/>
              <w:outlineLvl w:val="9"/>
              <w:rPr>
                <w:rFonts w:hint="eastAsia" w:ascii="宋体" w:cs="宋体"/>
                <w:color w:val="auto"/>
                <w:kern w:val="0"/>
                <w:sz w:val="20"/>
                <w:szCs w:val="20"/>
                <w:highlight w:val="none"/>
              </w:rPr>
            </w:pPr>
            <w:r>
              <w:rPr>
                <w:rFonts w:ascii="宋体" w:cs="宋体"/>
                <w:color w:val="auto"/>
                <w:kern w:val="0"/>
                <w:sz w:val="20"/>
                <w:szCs w:val="20"/>
                <w:highlight w:val="none"/>
              </w:rPr>
              <w:t>顺利获得信息安全管理体系证书。</w:t>
            </w:r>
          </w:p>
        </w:tc>
        <w:tc>
          <w:tcPr>
            <w:tcW w:w="2476" w:type="dxa"/>
            <w:tcBorders>
              <w:top w:val="single" w:color="auto" w:sz="4" w:space="0"/>
              <w:left w:val="single" w:color="auto" w:sz="4" w:space="0"/>
              <w:bottom w:val="single" w:color="auto" w:sz="4" w:space="0"/>
              <w:right w:val="single" w:color="auto" w:sz="4" w:space="0"/>
            </w:tcBorders>
            <w:noWrap/>
            <w:vAlign w:val="center"/>
          </w:tcPr>
          <w:p w14:paraId="3922B894">
            <w:pPr>
              <w:pageBreakBefore w:val="0"/>
              <w:kinsoku/>
              <w:wordWrap/>
              <w:overflowPunct/>
              <w:topLinePunct w:val="0"/>
              <w:bidi w:val="0"/>
              <w:spacing w:line="360" w:lineRule="exact"/>
              <w:ind w:firstLine="0" w:firstLineChars="0"/>
              <w:jc w:val="both"/>
              <w:textAlignment w:val="auto"/>
              <w:outlineLvl w:val="9"/>
              <w:rPr>
                <w:rFonts w:hint="eastAsia" w:ascii="宋体"/>
                <w:color w:val="auto"/>
                <w:highlight w:val="none"/>
              </w:rPr>
            </w:pPr>
            <w:r>
              <w:rPr>
                <w:rFonts w:ascii="宋体"/>
                <w:color w:val="auto"/>
                <w:highlight w:val="none"/>
              </w:rPr>
              <w:t>信息安全管理体系证书</w:t>
            </w:r>
          </w:p>
        </w:tc>
      </w:tr>
    </w:tbl>
    <w:p w14:paraId="746C23EC">
      <w:pPr>
        <w:keepNext/>
        <w:keepLines/>
        <w:pageBreakBefore w:val="0"/>
        <w:kinsoku/>
        <w:wordWrap/>
        <w:overflowPunct/>
        <w:topLinePunct w:val="0"/>
        <w:bidi w:val="0"/>
        <w:textAlignment w:val="auto"/>
        <w:outlineLvl w:val="9"/>
        <w:rPr>
          <w:rFonts w:hint="eastAsia"/>
          <w:bCs/>
          <w:color w:val="auto"/>
          <w:highlight w:val="none"/>
        </w:rPr>
      </w:pPr>
    </w:p>
    <w:p w14:paraId="13F720FA">
      <w:pPr>
        <w:keepNext/>
        <w:keepLines/>
        <w:pageBreakBefore w:val="0"/>
        <w:kinsoku/>
        <w:wordWrap/>
        <w:overflowPunct/>
        <w:topLinePunct w:val="0"/>
        <w:bidi w:val="0"/>
        <w:textAlignment w:val="auto"/>
        <w:outlineLvl w:val="9"/>
        <w:rPr>
          <w:rFonts w:hint="eastAsia"/>
          <w:bCs/>
          <w:color w:val="auto"/>
          <w:highlight w:val="none"/>
        </w:rPr>
      </w:pPr>
      <w:bookmarkStart w:id="260" w:name="_Toc422127550"/>
      <w:r>
        <w:rPr>
          <w:rFonts w:hint="eastAsia"/>
          <w:bCs/>
          <w:color w:val="auto"/>
          <w:highlight w:val="none"/>
        </w:rPr>
        <w:t>第五条  项目组织结构</w:t>
      </w:r>
      <w:bookmarkEnd w:id="260"/>
    </w:p>
    <w:tbl>
      <w:tblPr>
        <w:tblStyle w:val="2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673"/>
        <w:gridCol w:w="4314"/>
        <w:gridCol w:w="1428"/>
      </w:tblGrid>
      <w:tr w14:paraId="5E5A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70AD02F9">
            <w:pPr>
              <w:pageBreakBefore w:val="0"/>
              <w:kinsoku/>
              <w:wordWrap/>
              <w:overflowPunct/>
              <w:topLinePunct w:val="0"/>
              <w:bidi w:val="0"/>
              <w:ind w:firstLine="0" w:firstLineChars="0"/>
              <w:textAlignment w:val="auto"/>
              <w:outlineLvl w:val="9"/>
              <w:rPr>
                <w:rFonts w:hint="eastAsia"/>
                <w:b/>
                <w:color w:val="auto"/>
                <w:highlight w:val="none"/>
              </w:rPr>
            </w:pPr>
            <w:r>
              <w:rPr>
                <w:rFonts w:hint="eastAsia"/>
                <w:b/>
                <w:color w:val="auto"/>
                <w:highlight w:val="none"/>
              </w:rPr>
              <w:t>序号</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508E39D9">
            <w:pPr>
              <w:pageBreakBefore w:val="0"/>
              <w:kinsoku/>
              <w:wordWrap/>
              <w:overflowPunct/>
              <w:topLinePunct w:val="0"/>
              <w:bidi w:val="0"/>
              <w:ind w:firstLine="0" w:firstLineChars="0"/>
              <w:textAlignment w:val="auto"/>
              <w:outlineLvl w:val="9"/>
              <w:rPr>
                <w:rFonts w:hint="eastAsia" w:cs="宋体"/>
                <w:b/>
                <w:color w:val="auto"/>
                <w:highlight w:val="none"/>
              </w:rPr>
            </w:pPr>
            <w:r>
              <w:rPr>
                <w:rFonts w:hint="eastAsia" w:cs="宋体"/>
                <w:b/>
                <w:color w:val="auto"/>
                <w:highlight w:val="none"/>
              </w:rPr>
              <w:t>项目角色</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56EA5A78">
            <w:pPr>
              <w:pageBreakBefore w:val="0"/>
              <w:kinsoku/>
              <w:wordWrap/>
              <w:overflowPunct/>
              <w:topLinePunct w:val="0"/>
              <w:bidi w:val="0"/>
              <w:textAlignment w:val="auto"/>
              <w:outlineLvl w:val="9"/>
              <w:rPr>
                <w:rFonts w:hint="eastAsia"/>
                <w:b/>
                <w:color w:val="auto"/>
                <w:highlight w:val="none"/>
              </w:rPr>
            </w:pPr>
            <w:r>
              <w:rPr>
                <w:rFonts w:hint="eastAsia" w:cs="宋体"/>
                <w:b/>
                <w:color w:val="auto"/>
                <w:highlight w:val="none"/>
              </w:rPr>
              <w:t>职务说明</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36F54A29">
            <w:pPr>
              <w:pageBreakBefore w:val="0"/>
              <w:kinsoku/>
              <w:wordWrap/>
              <w:overflowPunct/>
              <w:topLinePunct w:val="0"/>
              <w:bidi w:val="0"/>
              <w:textAlignment w:val="auto"/>
              <w:outlineLvl w:val="9"/>
              <w:rPr>
                <w:rFonts w:hint="eastAsia" w:cs="宋体"/>
                <w:b/>
                <w:color w:val="auto"/>
                <w:highlight w:val="none"/>
              </w:rPr>
            </w:pPr>
            <w:r>
              <w:rPr>
                <w:rFonts w:hint="eastAsia"/>
                <w:b/>
                <w:color w:val="auto"/>
                <w:highlight w:val="none"/>
              </w:rPr>
              <w:t>姓名</w:t>
            </w:r>
          </w:p>
        </w:tc>
      </w:tr>
      <w:tr w14:paraId="7EF5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30391E8C">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6175A386">
            <w:pPr>
              <w:pageBreakBefore w:val="0"/>
              <w:kinsoku/>
              <w:wordWrap/>
              <w:overflowPunct/>
              <w:topLinePunct w:val="0"/>
              <w:bidi w:val="0"/>
              <w:ind w:firstLine="0" w:firstLineChars="0"/>
              <w:jc w:val="both"/>
              <w:textAlignment w:val="auto"/>
              <w:outlineLvl w:val="9"/>
              <w:rPr>
                <w:rFonts w:hint="eastAsia"/>
                <w:color w:val="auto"/>
                <w:highlight w:val="none"/>
              </w:rPr>
            </w:pPr>
            <w:r>
              <w:rPr>
                <w:rFonts w:hint="eastAsia"/>
                <w:color w:val="auto"/>
                <w:highlight w:val="none"/>
              </w:rPr>
              <w:t>项目经理</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72F85B90">
            <w:pPr>
              <w:pageBreakBefore w:val="0"/>
              <w:kinsoku/>
              <w:wordWrap/>
              <w:overflowPunct/>
              <w:topLinePunct w:val="0"/>
              <w:bidi w:val="0"/>
              <w:ind w:firstLine="0" w:firstLineChars="0"/>
              <w:textAlignment w:val="auto"/>
              <w:outlineLvl w:val="9"/>
              <w:rPr>
                <w:rFonts w:hint="eastAsia"/>
                <w:color w:val="auto"/>
                <w:highlight w:val="none"/>
              </w:rPr>
            </w:pPr>
            <w:r>
              <w:rPr>
                <w:rFonts w:hint="eastAsia"/>
                <w:color w:val="auto"/>
                <w:highlight w:val="none"/>
              </w:rPr>
              <w:t>项目协调、需求调研、项目整体进度把控、项目总负责</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34B7163">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0FD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35D3206E">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71512B54">
            <w:pPr>
              <w:pageBreakBefore w:val="0"/>
              <w:kinsoku/>
              <w:wordWrap/>
              <w:overflowPunct/>
              <w:topLinePunct w:val="0"/>
              <w:bidi w:val="0"/>
              <w:ind w:firstLine="0" w:firstLineChars="0"/>
              <w:jc w:val="both"/>
              <w:textAlignment w:val="auto"/>
              <w:outlineLvl w:val="9"/>
              <w:rPr>
                <w:rFonts w:hint="eastAsia" w:cs="宋体"/>
                <w:color w:val="auto"/>
                <w:highlight w:val="none"/>
              </w:rPr>
            </w:pPr>
            <w:r>
              <w:rPr>
                <w:rFonts w:hint="eastAsia"/>
                <w:color w:val="auto"/>
                <w:highlight w:val="none"/>
              </w:rPr>
              <w:t>X</w:t>
            </w:r>
            <w:r>
              <w:rPr>
                <w:color w:val="auto"/>
                <w:highlight w:val="none"/>
              </w:rPr>
              <w:t>XX</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1058069F">
            <w:pPr>
              <w:pageBreakBefore w:val="0"/>
              <w:kinsoku/>
              <w:wordWrap/>
              <w:overflowPunct/>
              <w:topLinePunct w:val="0"/>
              <w:bidi w:val="0"/>
              <w:ind w:firstLine="0" w:firstLineChars="0"/>
              <w:textAlignment w:val="auto"/>
              <w:outlineLvl w:val="9"/>
              <w:rPr>
                <w:rFonts w:hint="eastAsia"/>
                <w:color w:val="auto"/>
                <w:highlight w:val="none"/>
              </w:rPr>
            </w:pPr>
            <w:r>
              <w:rPr>
                <w:rFonts w:hint="eastAsia" w:cs="宋体"/>
                <w:color w:val="auto"/>
                <w:highlight w:val="none"/>
              </w:rPr>
              <w:t>X</w:t>
            </w:r>
            <w:r>
              <w:rPr>
                <w:rFonts w:cs="宋体"/>
                <w:color w:val="auto"/>
                <w:highlight w:val="none"/>
              </w:rPr>
              <w:t>XX</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6A3245BC">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2173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0ED2DDA4">
            <w:pPr>
              <w:pageBreakBefore w:val="0"/>
              <w:numPr>
                <w:ilvl w:val="0"/>
                <w:numId w:val="1"/>
              </w:numPr>
              <w:kinsoku/>
              <w:wordWrap/>
              <w:overflowPunct/>
              <w:topLinePunct w:val="0"/>
              <w:bidi w:val="0"/>
              <w:ind w:left="0" w:firstLine="420" w:firstLineChars="0"/>
              <w:textAlignment w:val="auto"/>
              <w:outlineLvl w:val="9"/>
              <w:rPr>
                <w:rFonts w:hint="eastAsia"/>
                <w:color w:val="auto"/>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4FA88646">
            <w:pPr>
              <w:pageBreakBefore w:val="0"/>
              <w:kinsoku/>
              <w:wordWrap/>
              <w:overflowPunct/>
              <w:topLinePunct w:val="0"/>
              <w:bidi w:val="0"/>
              <w:ind w:firstLine="0" w:firstLineChars="0"/>
              <w:jc w:val="both"/>
              <w:textAlignment w:val="auto"/>
              <w:outlineLvl w:val="9"/>
              <w:rPr>
                <w:rFonts w:hint="eastAsia"/>
                <w:color w:val="auto"/>
                <w:highlight w:val="none"/>
              </w:rPr>
            </w:pPr>
            <w:r>
              <w:rPr>
                <w:rFonts w:hint="eastAsia"/>
                <w:color w:val="auto"/>
                <w:highlight w:val="none"/>
              </w:rPr>
              <w:t>X</w:t>
            </w:r>
            <w:r>
              <w:rPr>
                <w:color w:val="auto"/>
                <w:highlight w:val="none"/>
              </w:rPr>
              <w:t>XX</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18DADEAA">
            <w:pPr>
              <w:pageBreakBefore w:val="0"/>
              <w:kinsoku/>
              <w:wordWrap/>
              <w:overflowPunct/>
              <w:topLinePunct w:val="0"/>
              <w:bidi w:val="0"/>
              <w:ind w:firstLine="0" w:firstLineChars="0"/>
              <w:textAlignment w:val="auto"/>
              <w:outlineLvl w:val="9"/>
              <w:rPr>
                <w:rFonts w:hint="eastAsia" w:cs="宋体"/>
                <w:color w:val="auto"/>
                <w:highlight w:val="none"/>
              </w:rPr>
            </w:pPr>
            <w:r>
              <w:rPr>
                <w:rFonts w:hint="eastAsia" w:cs="宋体"/>
                <w:color w:val="auto"/>
                <w:highlight w:val="none"/>
              </w:rPr>
              <w:t>X</w:t>
            </w:r>
            <w:r>
              <w:rPr>
                <w:rFonts w:cs="宋体"/>
                <w:color w:val="auto"/>
                <w:highlight w:val="none"/>
              </w:rPr>
              <w:t>XX</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44373DCF">
            <w:pPr>
              <w:pageBreakBefore w:val="0"/>
              <w:kinsoku/>
              <w:wordWrap/>
              <w:overflowPunct/>
              <w:topLinePunct w:val="0"/>
              <w:bidi w:val="0"/>
              <w:textAlignment w:val="auto"/>
              <w:outlineLvl w:val="9"/>
              <w:rPr>
                <w:rFonts w:hint="eastAsia"/>
                <w:color w:val="auto"/>
                <w:highlight w:val="none"/>
              </w:rPr>
            </w:pPr>
            <w:r>
              <w:rPr>
                <w:rFonts w:hint="eastAsia"/>
                <w:color w:val="auto"/>
                <w:highlight w:val="none"/>
              </w:rPr>
              <w:t>X</w:t>
            </w:r>
            <w:r>
              <w:rPr>
                <w:color w:val="auto"/>
                <w:highlight w:val="none"/>
              </w:rPr>
              <w:t>XX</w:t>
            </w:r>
          </w:p>
        </w:tc>
      </w:tr>
      <w:tr w14:paraId="7781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tcBorders>
              <w:top w:val="single" w:color="auto" w:sz="4" w:space="0"/>
              <w:left w:val="single" w:color="auto" w:sz="4" w:space="0"/>
              <w:bottom w:val="single" w:color="auto" w:sz="4" w:space="0"/>
              <w:right w:val="single" w:color="auto" w:sz="4" w:space="0"/>
              <w:tl2br w:val="nil"/>
              <w:tr2bl w:val="nil"/>
            </w:tcBorders>
            <w:vAlign w:val="center"/>
          </w:tcPr>
          <w:p w14:paraId="0BC6EA62">
            <w:pPr>
              <w:pageBreakBefore w:val="0"/>
              <w:kinsoku/>
              <w:wordWrap/>
              <w:overflowPunct/>
              <w:topLinePunct w:val="0"/>
              <w:bidi w:val="0"/>
              <w:ind w:left="0" w:firstLine="0" w:firstLineChars="0"/>
              <w:jc w:val="both"/>
              <w:textAlignment w:val="auto"/>
              <w:outlineLvl w:val="9"/>
              <w:rPr>
                <w:rFonts w:hint="eastAsia"/>
                <w:color w:val="auto"/>
                <w:highlight w:val="none"/>
              </w:rPr>
            </w:pPr>
            <w:r>
              <w:rPr>
                <w:color w:val="auto"/>
                <w:highlight w:val="none"/>
              </w:rPr>
              <w:t>……</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14:paraId="3D5E3AFC">
            <w:pPr>
              <w:pageBreakBefore w:val="0"/>
              <w:kinsoku/>
              <w:wordWrap/>
              <w:overflowPunct/>
              <w:topLinePunct w:val="0"/>
              <w:bidi w:val="0"/>
              <w:ind w:firstLine="0" w:firstLineChars="0"/>
              <w:jc w:val="both"/>
              <w:textAlignment w:val="auto"/>
              <w:outlineLvl w:val="9"/>
              <w:rPr>
                <w:color w:val="auto"/>
                <w:highlight w:val="none"/>
              </w:rPr>
            </w:pPr>
            <w:r>
              <w:rPr>
                <w:color w:val="auto"/>
                <w:highlight w:val="none"/>
              </w:rPr>
              <w:t>……</w:t>
            </w:r>
          </w:p>
        </w:tc>
        <w:tc>
          <w:tcPr>
            <w:tcW w:w="4314" w:type="dxa"/>
            <w:tcBorders>
              <w:top w:val="single" w:color="auto" w:sz="4" w:space="0"/>
              <w:left w:val="single" w:color="auto" w:sz="4" w:space="0"/>
              <w:bottom w:val="single" w:color="auto" w:sz="4" w:space="0"/>
              <w:right w:val="single" w:color="auto" w:sz="4" w:space="0"/>
              <w:tl2br w:val="nil"/>
              <w:tr2bl w:val="nil"/>
            </w:tcBorders>
            <w:vAlign w:val="center"/>
          </w:tcPr>
          <w:p w14:paraId="7E12F8CD">
            <w:pPr>
              <w:pageBreakBefore w:val="0"/>
              <w:kinsoku/>
              <w:wordWrap/>
              <w:overflowPunct/>
              <w:topLinePunct w:val="0"/>
              <w:bidi w:val="0"/>
              <w:ind w:firstLine="0" w:firstLineChars="0"/>
              <w:textAlignment w:val="auto"/>
              <w:outlineLvl w:val="9"/>
              <w:rPr>
                <w:rFonts w:cs="宋体"/>
                <w:color w:val="auto"/>
                <w:highlight w:val="none"/>
              </w:rPr>
            </w:pPr>
            <w:r>
              <w:rPr>
                <w:color w:val="auto"/>
                <w:highlight w:val="none"/>
              </w:rPr>
              <w:t>……</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14:paraId="7434182E">
            <w:pPr>
              <w:pageBreakBefore w:val="0"/>
              <w:kinsoku/>
              <w:wordWrap/>
              <w:overflowPunct/>
              <w:topLinePunct w:val="0"/>
              <w:bidi w:val="0"/>
              <w:textAlignment w:val="auto"/>
              <w:outlineLvl w:val="9"/>
              <w:rPr>
                <w:rFonts w:hint="eastAsia"/>
                <w:color w:val="auto"/>
                <w:highlight w:val="none"/>
              </w:rPr>
            </w:pPr>
            <w:r>
              <w:rPr>
                <w:color w:val="auto"/>
                <w:highlight w:val="none"/>
              </w:rPr>
              <w:t>……</w:t>
            </w:r>
          </w:p>
        </w:tc>
      </w:tr>
    </w:tbl>
    <w:p w14:paraId="53C93AA5">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sz w:val="24"/>
          <w:highlight w:val="none"/>
        </w:rPr>
      </w:pPr>
    </w:p>
    <w:p w14:paraId="21C633C9">
      <w:pPr>
        <w:pStyle w:val="22"/>
        <w:pageBreakBefore w:val="0"/>
        <w:kinsoku/>
        <w:wordWrap/>
        <w:overflowPunct/>
        <w:topLinePunct w:val="0"/>
        <w:bidi w:val="0"/>
        <w:snapToGrid w:val="0"/>
        <w:spacing w:before="0" w:after="0" w:line="520" w:lineRule="exact"/>
        <w:jc w:val="left"/>
        <w:textAlignment w:val="auto"/>
        <w:outlineLvl w:val="9"/>
        <w:rPr>
          <w:color w:val="auto"/>
          <w:highlight w:val="none"/>
        </w:rPr>
      </w:pPr>
      <w:r>
        <w:rPr>
          <w:rFonts w:hint="eastAsia"/>
          <w:snapToGrid w:val="0"/>
          <w:color w:val="auto"/>
          <w:sz w:val="24"/>
          <w:highlight w:val="none"/>
        </w:rPr>
        <w:t>附件</w:t>
      </w:r>
      <w:r>
        <w:rPr>
          <w:snapToGrid w:val="0"/>
          <w:color w:val="auto"/>
          <w:sz w:val="24"/>
          <w:highlight w:val="none"/>
        </w:rPr>
        <w:t>2</w:t>
      </w:r>
    </w:p>
    <w:tbl>
      <w:tblPr>
        <w:tblStyle w:val="24"/>
        <w:tblW w:w="9286"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669"/>
        <w:gridCol w:w="2257"/>
        <w:gridCol w:w="262"/>
        <w:gridCol w:w="1906"/>
        <w:gridCol w:w="2267"/>
        <w:gridCol w:w="358"/>
      </w:tblGrid>
      <w:tr w14:paraId="4841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358" w:type="dxa"/>
          <w:trHeight w:val="300" w:hRule="atLeast"/>
        </w:trPr>
        <w:tc>
          <w:tcPr>
            <w:tcW w:w="8361" w:type="dxa"/>
            <w:gridSpan w:val="5"/>
            <w:tcBorders>
              <w:top w:val="nil"/>
              <w:left w:val="nil"/>
              <w:bottom w:val="nil"/>
              <w:right w:val="nil"/>
            </w:tcBorders>
            <w:noWrap/>
            <w:vAlign w:val="center"/>
          </w:tcPr>
          <w:p w14:paraId="54BA5B6D">
            <w:pPr>
              <w:pageBreakBefore w:val="0"/>
              <w:widowControl/>
              <w:kinsoku/>
              <w:wordWrap/>
              <w:overflowPunct/>
              <w:topLinePunct w:val="0"/>
              <w:bidi w:val="0"/>
              <w:jc w:val="center"/>
              <w:textAlignment w:val="auto"/>
              <w:outlineLvl w:val="9"/>
              <w:rPr>
                <w:rFonts w:hint="eastAsia" w:ascii="方正小标宋_GBK" w:eastAsia="方正小标宋_GBK" w:cs="宋体"/>
                <w:color w:val="auto"/>
                <w:kern w:val="0"/>
                <w:sz w:val="44"/>
                <w:szCs w:val="44"/>
                <w:highlight w:val="none"/>
              </w:rPr>
            </w:pPr>
            <w:r>
              <w:rPr>
                <w:rFonts w:hint="eastAsia" w:ascii="Calibri Light" w:hAnsi="Calibri Light"/>
                <w:b/>
                <w:bCs/>
                <w:snapToGrid w:val="0"/>
                <w:color w:val="auto"/>
                <w:sz w:val="32"/>
                <w:szCs w:val="32"/>
                <w:highlight w:val="none"/>
              </w:rPr>
              <w:t>项目最终验收表</w:t>
            </w:r>
          </w:p>
        </w:tc>
      </w:tr>
      <w:tr w14:paraId="2BFE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2B649B4">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项目名称</w:t>
            </w:r>
          </w:p>
        </w:tc>
        <w:tc>
          <w:tcPr>
            <w:tcW w:w="7050" w:type="dxa"/>
            <w:gridSpan w:val="5"/>
            <w:tcBorders>
              <w:top w:val="single" w:color="auto" w:sz="4" w:space="0"/>
              <w:left w:val="single" w:color="auto" w:sz="4" w:space="0"/>
              <w:bottom w:val="single" w:color="auto" w:sz="4" w:space="0"/>
              <w:right w:val="single" w:color="auto" w:sz="4" w:space="0"/>
            </w:tcBorders>
            <w:noWrap/>
            <w:vAlign w:val="bottom"/>
          </w:tcPr>
          <w:p w14:paraId="0CEEE3B8">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69E1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0B36B2B">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服务提供商</w:t>
            </w:r>
          </w:p>
        </w:tc>
        <w:tc>
          <w:tcPr>
            <w:tcW w:w="7050" w:type="dxa"/>
            <w:gridSpan w:val="5"/>
            <w:tcBorders>
              <w:top w:val="single" w:color="auto" w:sz="4" w:space="0"/>
              <w:left w:val="single" w:color="auto" w:sz="4" w:space="0"/>
              <w:bottom w:val="single" w:color="auto" w:sz="4" w:space="0"/>
              <w:right w:val="single" w:color="auto" w:sz="4" w:space="0"/>
            </w:tcBorders>
            <w:noWrap/>
            <w:vAlign w:val="bottom"/>
          </w:tcPr>
          <w:p w14:paraId="248CC18C">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553B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2ADD052A">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验收时间</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2830723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68E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30DEACC0">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验收地点</w:t>
            </w:r>
          </w:p>
        </w:tc>
        <w:tc>
          <w:tcPr>
            <w:tcW w:w="2257" w:type="dxa"/>
            <w:tcBorders>
              <w:top w:val="single" w:color="auto" w:sz="4" w:space="0"/>
              <w:left w:val="single" w:color="auto" w:sz="4" w:space="0"/>
              <w:bottom w:val="single" w:color="auto" w:sz="4" w:space="0"/>
              <w:right w:val="single" w:color="auto" w:sz="4" w:space="0"/>
            </w:tcBorders>
            <w:noWrap/>
            <w:vAlign w:val="center"/>
          </w:tcPr>
          <w:p w14:paraId="34757A2D">
            <w:pPr>
              <w:pageBreakBefore w:val="0"/>
              <w:kinsoku/>
              <w:wordWrap/>
              <w:overflowPunct/>
              <w:topLinePunct w:val="0"/>
              <w:bidi w:val="0"/>
              <w:spacing w:line="360" w:lineRule="auto"/>
              <w:textAlignment w:val="auto"/>
              <w:outlineLvl w:val="9"/>
              <w:rPr>
                <w:rFonts w:hint="eastAsia" w:ascii="宋体"/>
                <w:color w:val="auto"/>
                <w:sz w:val="24"/>
                <w:highlight w:val="none"/>
              </w:rPr>
            </w:pP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5F5A2B4A">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项目经理</w:t>
            </w:r>
          </w:p>
        </w:tc>
        <w:tc>
          <w:tcPr>
            <w:tcW w:w="2625" w:type="dxa"/>
            <w:gridSpan w:val="2"/>
            <w:tcBorders>
              <w:top w:val="single" w:color="auto" w:sz="4" w:space="0"/>
              <w:left w:val="single" w:color="auto" w:sz="4" w:space="0"/>
              <w:bottom w:val="single" w:color="auto" w:sz="4" w:space="0"/>
              <w:right w:val="single" w:color="auto" w:sz="4" w:space="0"/>
            </w:tcBorders>
            <w:noWrap/>
            <w:vAlign w:val="center"/>
          </w:tcPr>
          <w:p w14:paraId="2B8D224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5ECF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2C8CD69F">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是否实现项目目标</w:t>
            </w:r>
          </w:p>
        </w:tc>
        <w:tc>
          <w:tcPr>
            <w:tcW w:w="2257" w:type="dxa"/>
            <w:tcBorders>
              <w:top w:val="single" w:color="auto" w:sz="4" w:space="0"/>
              <w:left w:val="single" w:color="auto" w:sz="4" w:space="0"/>
              <w:bottom w:val="single" w:color="auto" w:sz="4" w:space="0"/>
              <w:right w:val="single" w:color="auto" w:sz="4" w:space="0"/>
            </w:tcBorders>
            <w:noWrap/>
            <w:vAlign w:val="center"/>
          </w:tcPr>
          <w:p w14:paraId="36B355C5">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□是     □否</w:t>
            </w:r>
          </w:p>
        </w:tc>
        <w:tc>
          <w:tcPr>
            <w:tcW w:w="2168" w:type="dxa"/>
            <w:gridSpan w:val="2"/>
            <w:tcBorders>
              <w:top w:val="single" w:color="auto" w:sz="4" w:space="0"/>
              <w:left w:val="single" w:color="auto" w:sz="4" w:space="0"/>
              <w:bottom w:val="single" w:color="auto" w:sz="4" w:space="0"/>
              <w:right w:val="single" w:color="auto" w:sz="4" w:space="0"/>
            </w:tcBorders>
            <w:noWrap/>
            <w:vAlign w:val="center"/>
          </w:tcPr>
          <w:p w14:paraId="6604F49E">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交付物是否齐全</w:t>
            </w:r>
          </w:p>
        </w:tc>
        <w:tc>
          <w:tcPr>
            <w:tcW w:w="2625" w:type="dxa"/>
            <w:gridSpan w:val="2"/>
            <w:tcBorders>
              <w:top w:val="single" w:color="auto" w:sz="4" w:space="0"/>
              <w:left w:val="single" w:color="auto" w:sz="4" w:space="0"/>
              <w:bottom w:val="single" w:color="auto" w:sz="4" w:space="0"/>
              <w:right w:val="single" w:color="auto" w:sz="4" w:space="0"/>
            </w:tcBorders>
            <w:noWrap/>
            <w:vAlign w:val="center"/>
          </w:tcPr>
          <w:p w14:paraId="036B060A">
            <w:pPr>
              <w:pageBreakBefore w:val="0"/>
              <w:kinsoku/>
              <w:wordWrap/>
              <w:overflowPunct/>
              <w:topLinePunct w:val="0"/>
              <w:bidi w:val="0"/>
              <w:spacing w:line="360" w:lineRule="auto"/>
              <w:textAlignment w:val="auto"/>
              <w:outlineLvl w:val="9"/>
              <w:rPr>
                <w:rFonts w:hint="eastAsia" w:ascii="宋体"/>
                <w:color w:val="auto"/>
                <w:sz w:val="24"/>
                <w:highlight w:val="none"/>
              </w:rPr>
            </w:pPr>
            <w:r>
              <w:rPr>
                <w:rFonts w:hint="eastAsia" w:ascii="宋体"/>
                <w:color w:val="auto"/>
                <w:sz w:val="24"/>
                <w:highlight w:val="none"/>
              </w:rPr>
              <w:t>□是     □否</w:t>
            </w:r>
          </w:p>
        </w:tc>
      </w:tr>
      <w:tr w14:paraId="015C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7E67EB27">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有无遗留问题</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385AC9E5">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5F8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2236" w:type="dxa"/>
            <w:gridSpan w:val="2"/>
            <w:tcBorders>
              <w:top w:val="single" w:color="auto" w:sz="4" w:space="0"/>
              <w:left w:val="single" w:color="auto" w:sz="4" w:space="0"/>
              <w:bottom w:val="single" w:color="auto" w:sz="4" w:space="0"/>
              <w:right w:val="single" w:color="auto" w:sz="4" w:space="0"/>
            </w:tcBorders>
            <w:noWrap/>
            <w:vAlign w:val="center"/>
          </w:tcPr>
          <w:p w14:paraId="4CC1F703">
            <w:pPr>
              <w:pageBreakBefore w:val="0"/>
              <w:kinsoku/>
              <w:wordWrap/>
              <w:overflowPunct/>
              <w:topLinePunct w:val="0"/>
              <w:bidi w:val="0"/>
              <w:spacing w:line="360" w:lineRule="auto"/>
              <w:ind w:firstLine="0" w:firstLineChars="0"/>
              <w:textAlignment w:val="auto"/>
              <w:outlineLvl w:val="9"/>
              <w:rPr>
                <w:rFonts w:hint="eastAsia" w:ascii="宋体"/>
                <w:color w:val="auto"/>
                <w:sz w:val="24"/>
                <w:highlight w:val="none"/>
              </w:rPr>
            </w:pPr>
            <w:r>
              <w:rPr>
                <w:rFonts w:hint="eastAsia" w:ascii="宋体"/>
                <w:color w:val="auto"/>
                <w:sz w:val="24"/>
                <w:highlight w:val="none"/>
              </w:rPr>
              <w:t>最终验收评审结论</w:t>
            </w:r>
          </w:p>
        </w:tc>
        <w:tc>
          <w:tcPr>
            <w:tcW w:w="7050" w:type="dxa"/>
            <w:gridSpan w:val="5"/>
            <w:tcBorders>
              <w:top w:val="single" w:color="auto" w:sz="4" w:space="0"/>
              <w:left w:val="single" w:color="auto" w:sz="4" w:space="0"/>
              <w:bottom w:val="single" w:color="auto" w:sz="4" w:space="0"/>
              <w:right w:val="single" w:color="auto" w:sz="4" w:space="0"/>
            </w:tcBorders>
            <w:noWrap/>
            <w:vAlign w:val="center"/>
          </w:tcPr>
          <w:p w14:paraId="67C7D60A">
            <w:pPr>
              <w:pageBreakBefore w:val="0"/>
              <w:kinsoku/>
              <w:wordWrap/>
              <w:overflowPunct/>
              <w:topLinePunct w:val="0"/>
              <w:bidi w:val="0"/>
              <w:spacing w:line="360" w:lineRule="auto"/>
              <w:textAlignment w:val="auto"/>
              <w:outlineLvl w:val="9"/>
              <w:rPr>
                <w:rFonts w:hint="eastAsia" w:ascii="宋体"/>
                <w:color w:val="auto"/>
                <w:sz w:val="24"/>
                <w:highlight w:val="none"/>
              </w:rPr>
            </w:pPr>
          </w:p>
        </w:tc>
      </w:tr>
      <w:tr w14:paraId="42DE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8" w:hRule="atLeast"/>
        </w:trPr>
        <w:tc>
          <w:tcPr>
            <w:tcW w:w="4755" w:type="dxa"/>
            <w:gridSpan w:val="4"/>
            <w:tcBorders>
              <w:top w:val="single" w:color="auto" w:sz="4" w:space="0"/>
              <w:left w:val="single" w:color="auto" w:sz="4" w:space="0"/>
              <w:bottom w:val="single" w:color="auto" w:sz="4" w:space="0"/>
              <w:right w:val="single" w:color="auto" w:sz="4" w:space="0"/>
            </w:tcBorders>
            <w:noWrap/>
          </w:tcPr>
          <w:p w14:paraId="44689C52">
            <w:pPr>
              <w:pageBreakBefore w:val="0"/>
              <w:kinsoku/>
              <w:wordWrap/>
              <w:overflowPunct/>
              <w:topLinePunct w:val="0"/>
              <w:bidi w:val="0"/>
              <w:spacing w:line="200" w:lineRule="exact"/>
              <w:textAlignment w:val="auto"/>
              <w:outlineLvl w:val="9"/>
              <w:rPr>
                <w:rFonts w:hint="eastAsia" w:ascii="宋体"/>
                <w:color w:val="auto"/>
                <w:sz w:val="24"/>
                <w:highlight w:val="none"/>
              </w:rPr>
            </w:pPr>
          </w:p>
          <w:p w14:paraId="459925E7">
            <w:pPr>
              <w:pageBreakBefore w:val="0"/>
              <w:kinsoku/>
              <w:wordWrap/>
              <w:overflowPunct/>
              <w:topLinePunct w:val="0"/>
              <w:bidi w:val="0"/>
              <w:spacing w:line="400" w:lineRule="exact"/>
              <w:ind w:firstLine="0" w:firstLineChars="0"/>
              <w:textAlignment w:val="auto"/>
              <w:outlineLvl w:val="9"/>
              <w:rPr>
                <w:rFonts w:hint="eastAsia" w:ascii="宋体"/>
                <w:color w:val="auto"/>
                <w:sz w:val="24"/>
                <w:highlight w:val="none"/>
              </w:rPr>
            </w:pPr>
            <w:r>
              <w:rPr>
                <w:rFonts w:hint="eastAsia" w:ascii="宋体"/>
                <w:color w:val="auto"/>
                <w:sz w:val="24"/>
                <w:highlight w:val="none"/>
              </w:rPr>
              <w:t>参验人员：</w:t>
            </w:r>
          </w:p>
          <w:p w14:paraId="21640F7F">
            <w:pPr>
              <w:pageBreakBefore w:val="0"/>
              <w:kinsoku/>
              <w:wordWrap/>
              <w:overflowPunct/>
              <w:topLinePunct w:val="0"/>
              <w:bidi w:val="0"/>
              <w:spacing w:line="400" w:lineRule="exact"/>
              <w:textAlignment w:val="auto"/>
              <w:outlineLvl w:val="9"/>
              <w:rPr>
                <w:rFonts w:hint="eastAsia" w:ascii="宋体"/>
                <w:color w:val="auto"/>
                <w:sz w:val="24"/>
                <w:highlight w:val="none"/>
              </w:rPr>
            </w:pPr>
          </w:p>
          <w:p w14:paraId="3F7F0E54">
            <w:pPr>
              <w:pageBreakBefore w:val="0"/>
              <w:kinsoku/>
              <w:wordWrap/>
              <w:overflowPunct/>
              <w:topLinePunct w:val="0"/>
              <w:bidi w:val="0"/>
              <w:spacing w:line="400" w:lineRule="exact"/>
              <w:textAlignment w:val="auto"/>
              <w:outlineLvl w:val="9"/>
              <w:rPr>
                <w:rFonts w:hint="eastAsia" w:ascii="宋体"/>
                <w:color w:val="auto"/>
                <w:sz w:val="24"/>
                <w:highlight w:val="none"/>
              </w:rPr>
            </w:pPr>
          </w:p>
          <w:p w14:paraId="0DEC7598">
            <w:pPr>
              <w:pageBreakBefore w:val="0"/>
              <w:kinsoku/>
              <w:wordWrap/>
              <w:overflowPunct/>
              <w:topLinePunct w:val="0"/>
              <w:bidi w:val="0"/>
              <w:spacing w:line="400" w:lineRule="exact"/>
              <w:ind w:right="600"/>
              <w:textAlignment w:val="auto"/>
              <w:outlineLvl w:val="9"/>
              <w:rPr>
                <w:rFonts w:hint="eastAsia" w:ascii="宋体"/>
                <w:color w:val="auto"/>
                <w:sz w:val="24"/>
                <w:highlight w:val="none"/>
              </w:rPr>
            </w:pPr>
            <w:r>
              <w:rPr>
                <w:rFonts w:hint="eastAsia" w:ascii="宋体"/>
                <w:color w:val="auto"/>
                <w:sz w:val="24"/>
                <w:highlight w:val="none"/>
              </w:rPr>
              <w:t xml:space="preserve">               年   月    日</w:t>
            </w:r>
          </w:p>
        </w:tc>
        <w:tc>
          <w:tcPr>
            <w:tcW w:w="4531" w:type="dxa"/>
            <w:gridSpan w:val="3"/>
            <w:tcBorders>
              <w:top w:val="single" w:color="auto" w:sz="4" w:space="0"/>
              <w:left w:val="single" w:color="auto" w:sz="4" w:space="0"/>
              <w:bottom w:val="single" w:color="auto" w:sz="4" w:space="0"/>
              <w:right w:val="single" w:color="auto" w:sz="4" w:space="0"/>
            </w:tcBorders>
            <w:noWrap/>
          </w:tcPr>
          <w:p w14:paraId="050B44D6">
            <w:pPr>
              <w:pageBreakBefore w:val="0"/>
              <w:widowControl/>
              <w:kinsoku/>
              <w:wordWrap/>
              <w:overflowPunct/>
              <w:topLinePunct w:val="0"/>
              <w:bidi w:val="0"/>
              <w:ind w:firstLine="0" w:firstLineChars="0"/>
              <w:jc w:val="left"/>
              <w:textAlignment w:val="auto"/>
              <w:outlineLvl w:val="9"/>
              <w:rPr>
                <w:rFonts w:hint="eastAsia" w:ascii="宋体"/>
                <w:color w:val="auto"/>
                <w:sz w:val="24"/>
                <w:highlight w:val="none"/>
              </w:rPr>
            </w:pPr>
            <w:r>
              <w:rPr>
                <w:rFonts w:hint="eastAsia" w:ascii="宋体"/>
                <w:color w:val="auto"/>
                <w:sz w:val="24"/>
                <w:highlight w:val="none"/>
              </w:rPr>
              <w:t>部门负责人：</w:t>
            </w:r>
          </w:p>
          <w:p w14:paraId="02EABFB0">
            <w:pPr>
              <w:pageBreakBefore w:val="0"/>
              <w:widowControl/>
              <w:kinsoku/>
              <w:wordWrap/>
              <w:overflowPunct/>
              <w:topLinePunct w:val="0"/>
              <w:bidi w:val="0"/>
              <w:jc w:val="left"/>
              <w:textAlignment w:val="auto"/>
              <w:outlineLvl w:val="9"/>
              <w:rPr>
                <w:rFonts w:hint="eastAsia" w:ascii="宋体"/>
                <w:color w:val="auto"/>
                <w:sz w:val="24"/>
                <w:highlight w:val="none"/>
              </w:rPr>
            </w:pPr>
          </w:p>
          <w:p w14:paraId="0D7865E8">
            <w:pPr>
              <w:pageBreakBefore w:val="0"/>
              <w:widowControl/>
              <w:kinsoku/>
              <w:wordWrap/>
              <w:overflowPunct/>
              <w:topLinePunct w:val="0"/>
              <w:bidi w:val="0"/>
              <w:jc w:val="left"/>
              <w:textAlignment w:val="auto"/>
              <w:outlineLvl w:val="9"/>
              <w:rPr>
                <w:rFonts w:hint="eastAsia" w:ascii="宋体"/>
                <w:color w:val="auto"/>
                <w:sz w:val="24"/>
                <w:highlight w:val="none"/>
              </w:rPr>
            </w:pPr>
          </w:p>
          <w:p w14:paraId="6CF7AF9F">
            <w:pPr>
              <w:pageBreakBefore w:val="0"/>
              <w:widowControl/>
              <w:kinsoku/>
              <w:wordWrap/>
              <w:overflowPunct/>
              <w:topLinePunct w:val="0"/>
              <w:bidi w:val="0"/>
              <w:jc w:val="left"/>
              <w:textAlignment w:val="auto"/>
              <w:outlineLvl w:val="9"/>
              <w:rPr>
                <w:rFonts w:hint="eastAsia" w:ascii="宋体"/>
                <w:color w:val="auto"/>
                <w:sz w:val="24"/>
                <w:highlight w:val="none"/>
              </w:rPr>
            </w:pPr>
          </w:p>
          <w:p w14:paraId="64881525">
            <w:pPr>
              <w:pageBreakBefore w:val="0"/>
              <w:kinsoku/>
              <w:wordWrap/>
              <w:overflowPunct/>
              <w:topLinePunct w:val="0"/>
              <w:bidi w:val="0"/>
              <w:spacing w:line="400" w:lineRule="exact"/>
              <w:ind w:left="1965" w:right="600" w:firstLine="600" w:firstLineChars="250"/>
              <w:textAlignment w:val="auto"/>
              <w:outlineLvl w:val="9"/>
              <w:rPr>
                <w:rFonts w:hint="eastAsia" w:ascii="宋体"/>
                <w:color w:val="auto"/>
                <w:sz w:val="24"/>
                <w:highlight w:val="none"/>
              </w:rPr>
            </w:pPr>
            <w:r>
              <w:rPr>
                <w:rFonts w:hint="eastAsia" w:ascii="宋体"/>
                <w:color w:val="auto"/>
                <w:sz w:val="24"/>
                <w:highlight w:val="none"/>
              </w:rPr>
              <w:t>年  月  日</w:t>
            </w:r>
          </w:p>
        </w:tc>
      </w:tr>
    </w:tbl>
    <w:p w14:paraId="249A2786">
      <w:pPr>
        <w:pageBreakBefore w:val="0"/>
        <w:kinsoku/>
        <w:wordWrap/>
        <w:overflowPunct/>
        <w:topLinePunct w:val="0"/>
        <w:bidi w:val="0"/>
        <w:ind w:firstLine="0" w:firstLineChars="0"/>
        <w:textAlignment w:val="auto"/>
        <w:outlineLvl w:val="9"/>
        <w:rPr>
          <w:rFonts w:hint="eastAsia" w:ascii="宋体"/>
          <w:b/>
          <w:color w:val="auto"/>
          <w:sz w:val="24"/>
          <w:highlight w:val="none"/>
        </w:rPr>
      </w:pPr>
    </w:p>
    <w:p w14:paraId="12D6EBC7">
      <w:pPr>
        <w:pStyle w:val="22"/>
        <w:pageBreakBefore w:val="0"/>
        <w:kinsoku/>
        <w:wordWrap/>
        <w:overflowPunct/>
        <w:topLinePunct w:val="0"/>
        <w:bidi w:val="0"/>
        <w:snapToGrid w:val="0"/>
        <w:spacing w:before="0" w:after="0" w:line="520" w:lineRule="exact"/>
        <w:jc w:val="left"/>
        <w:textAlignment w:val="auto"/>
        <w:outlineLvl w:val="9"/>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3</w:t>
      </w:r>
    </w:p>
    <w:p w14:paraId="24D1F029">
      <w:pPr>
        <w:pStyle w:val="22"/>
        <w:pageBreakBefore w:val="0"/>
        <w:kinsoku/>
        <w:wordWrap/>
        <w:overflowPunct/>
        <w:topLinePunct w:val="0"/>
        <w:bidi w:val="0"/>
        <w:snapToGrid w:val="0"/>
        <w:spacing w:before="0" w:after="0" w:line="520" w:lineRule="exact"/>
        <w:textAlignment w:val="auto"/>
        <w:outlineLvl w:val="9"/>
        <w:rPr>
          <w:snapToGrid w:val="0"/>
          <w:color w:val="auto"/>
          <w:highlight w:val="none"/>
        </w:rPr>
      </w:pPr>
      <w:r>
        <w:rPr>
          <w:rFonts w:hint="eastAsia"/>
          <w:snapToGrid w:val="0"/>
          <w:color w:val="auto"/>
          <w:highlight w:val="none"/>
        </w:rPr>
        <w:t>服务水平协议</w:t>
      </w:r>
    </w:p>
    <w:p w14:paraId="289A112D">
      <w:pPr>
        <w:pageBreakBefore w:val="0"/>
        <w:kinsoku/>
        <w:wordWrap/>
        <w:overflowPunct/>
        <w:topLinePunct w:val="0"/>
        <w:bidi w:val="0"/>
        <w:snapToGrid w:val="0"/>
        <w:spacing w:line="520" w:lineRule="exact"/>
        <w:jc w:val="both"/>
        <w:textAlignment w:val="auto"/>
        <w:outlineLvl w:val="9"/>
        <w:rPr>
          <w:rFonts w:hint="eastAsia" w:ascii="宋体"/>
          <w:b/>
          <w:bCs/>
          <w:color w:val="auto"/>
          <w:kern w:val="32"/>
          <w:sz w:val="24"/>
          <w:highlight w:val="none"/>
        </w:rPr>
      </w:pPr>
      <w:r>
        <w:rPr>
          <w:rFonts w:hint="eastAsia" w:ascii="宋体"/>
          <w:b/>
          <w:bCs/>
          <w:color w:val="auto"/>
          <w:kern w:val="32"/>
          <w:sz w:val="24"/>
          <w:highlight w:val="none"/>
        </w:rPr>
        <w:t>1.目标</w:t>
      </w:r>
    </w:p>
    <w:p w14:paraId="15514173">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本服务水平协议（SLA）的目标是为了清晰地定义由xxxxxx公司（乙方）在本项目中为重庆三峡银行（甲方）提供的服务水平，本SLA主要：</w:t>
      </w:r>
    </w:p>
    <w:p w14:paraId="0A67CD48">
      <w:pPr>
        <w:pageBreakBefore w:val="0"/>
        <w:widowControl/>
        <w:numPr>
          <w:ilvl w:val="0"/>
          <w:numId w:val="2"/>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明确甲方对外包乙方所提供服务水平的期望</w:t>
      </w:r>
    </w:p>
    <w:p w14:paraId="38CB0A89">
      <w:pPr>
        <w:pageBreakBefore w:val="0"/>
        <w:widowControl/>
        <w:numPr>
          <w:ilvl w:val="0"/>
          <w:numId w:val="2"/>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规范和加强甲方对乙方所提供服务水平的控制</w:t>
      </w:r>
    </w:p>
    <w:p w14:paraId="08114762">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双方将针对本项目制定明确的职责分工表用来确定计划和管理服务水平协议的角色和职责。</w:t>
      </w:r>
    </w:p>
    <w:p w14:paraId="14DDD5B8">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bookmarkStart w:id="261" w:name="_Toc254884641"/>
      <w:r>
        <w:rPr>
          <w:rFonts w:hint="eastAsia" w:ascii="宋体"/>
          <w:b/>
          <w:bCs/>
          <w:color w:val="auto"/>
          <w:kern w:val="32"/>
          <w:highlight w:val="none"/>
        </w:rPr>
        <w:t>2. 双方职责</w:t>
      </w:r>
      <w:bookmarkEnd w:id="261"/>
    </w:p>
    <w:p w14:paraId="2DFEFD7F">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bookmarkStart w:id="262" w:name="_Toc254884642"/>
      <w:r>
        <w:rPr>
          <w:rFonts w:hint="eastAsia" w:ascii="宋体"/>
          <w:b/>
          <w:bCs/>
          <w:color w:val="auto"/>
          <w:kern w:val="32"/>
          <w:highlight w:val="none"/>
        </w:rPr>
        <w:t>2.1乙方</w:t>
      </w:r>
      <w:bookmarkEnd w:id="262"/>
    </w:p>
    <w:p w14:paraId="0F00A4E7">
      <w:pPr>
        <w:pageBreakBefore w:val="0"/>
        <w:kinsoku/>
        <w:wordWrap/>
        <w:overflowPunct/>
        <w:topLinePunct w:val="0"/>
        <w:bidi w:val="0"/>
        <w:snapToGrid w:val="0"/>
        <w:spacing w:line="520" w:lineRule="exact"/>
        <w:jc w:val="both"/>
        <w:textAlignment w:val="auto"/>
        <w:outlineLvl w:val="9"/>
        <w:rPr>
          <w:rFonts w:hint="eastAsia" w:ascii="宋体"/>
          <w:color w:val="auto"/>
          <w:highlight w:val="none"/>
        </w:rPr>
      </w:pPr>
      <w:r>
        <w:rPr>
          <w:rFonts w:hint="eastAsia" w:ascii="宋体"/>
          <w:color w:val="auto"/>
          <w:highlight w:val="none"/>
        </w:rPr>
        <w:t>除本协议第4章节描述的服务水平衡量和目标外，乙方还应：</w:t>
      </w:r>
    </w:p>
    <w:p w14:paraId="56293EE6">
      <w:pPr>
        <w:pageBreakBefore w:val="0"/>
        <w:widowControl/>
        <w:numPr>
          <w:ilvl w:val="0"/>
          <w:numId w:val="2"/>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尽快向甲方管理层汇报发现的问题；</w:t>
      </w:r>
    </w:p>
    <w:p w14:paraId="3C16733C">
      <w:pPr>
        <w:pageBreakBefore w:val="0"/>
        <w:widowControl/>
        <w:numPr>
          <w:ilvl w:val="0"/>
          <w:numId w:val="2"/>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任何可能影响SLA中规定服务的服务能力的事件，乙方应尽早向甲方提供预警信息，以及可能的影响和处置措施。事件包括：</w:t>
      </w:r>
    </w:p>
    <w:p w14:paraId="3B4C45C0">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组织架构变更</w:t>
      </w:r>
    </w:p>
    <w:p w14:paraId="3429843F">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技术变更</w:t>
      </w:r>
    </w:p>
    <w:p w14:paraId="7C6F13A1">
      <w:pPr>
        <w:pageBreakBefore w:val="0"/>
        <w:widowControl/>
        <w:numPr>
          <w:ilvl w:val="0"/>
          <w:numId w:val="3"/>
        </w:numPr>
        <w:kinsoku/>
        <w:wordWrap/>
        <w:overflowPunct/>
        <w:topLinePunct w:val="0"/>
        <w:bidi w:val="0"/>
        <w:spacing w:line="360" w:lineRule="auto"/>
        <w:ind w:firstLineChars="0"/>
        <w:jc w:val="both"/>
        <w:textAlignment w:val="auto"/>
        <w:outlineLvl w:val="9"/>
        <w:rPr>
          <w:rFonts w:hint="eastAsia" w:ascii="宋体"/>
          <w:color w:val="auto"/>
          <w:highlight w:val="none"/>
        </w:rPr>
      </w:pPr>
      <w:r>
        <w:rPr>
          <w:rFonts w:hint="eastAsia" w:ascii="宋体"/>
          <w:color w:val="auto"/>
          <w:highlight w:val="none"/>
        </w:rPr>
        <w:t>职能变更</w:t>
      </w:r>
    </w:p>
    <w:p w14:paraId="26ABAD3A">
      <w:pPr>
        <w:pageBreakBefore w:val="0"/>
        <w:widowControl/>
        <w:numPr>
          <w:ilvl w:val="0"/>
          <w:numId w:val="3"/>
        </w:numPr>
        <w:kinsoku/>
        <w:wordWrap/>
        <w:overflowPunct/>
        <w:topLinePunct w:val="0"/>
        <w:bidi w:val="0"/>
        <w:spacing w:line="360" w:lineRule="auto"/>
        <w:ind w:firstLineChars="0"/>
        <w:jc w:val="left"/>
        <w:textAlignment w:val="auto"/>
        <w:outlineLvl w:val="9"/>
        <w:rPr>
          <w:rFonts w:hint="eastAsia" w:ascii="宋体"/>
          <w:color w:val="auto"/>
          <w:highlight w:val="none"/>
        </w:rPr>
      </w:pPr>
      <w:r>
        <w:rPr>
          <w:rFonts w:ascii="宋体"/>
          <w:color w:val="auto"/>
          <w:highlight w:val="none"/>
        </w:rPr>
        <w:t>其他可能影响对甲方服务的突发事件</w:t>
      </w:r>
    </w:p>
    <w:p w14:paraId="18DB3C79">
      <w:pPr>
        <w:pageBreakBefore w:val="0"/>
        <w:widowControl/>
        <w:numPr>
          <w:ilvl w:val="0"/>
          <w:numId w:val="2"/>
        </w:numPr>
        <w:kinsoku/>
        <w:wordWrap/>
        <w:overflowPunct/>
        <w:topLinePunct w:val="0"/>
        <w:bidi w:val="0"/>
        <w:spacing w:line="360" w:lineRule="auto"/>
        <w:ind w:left="709" w:hanging="229" w:firstLineChars="0"/>
        <w:jc w:val="left"/>
        <w:textAlignment w:val="auto"/>
        <w:outlineLvl w:val="9"/>
        <w:rPr>
          <w:rFonts w:hint="eastAsia" w:ascii="宋体"/>
          <w:color w:val="auto"/>
          <w:highlight w:val="none"/>
        </w:rPr>
      </w:pPr>
      <w:r>
        <w:rPr>
          <w:rFonts w:hint="eastAsia" w:ascii="宋体"/>
          <w:color w:val="auto"/>
          <w:highlight w:val="none"/>
        </w:rPr>
        <w:t xml:space="preserve"> 协助甲方及时解决生产事件。当问题产生时，应尽快采取适当的措施识别并修复问题。</w:t>
      </w:r>
    </w:p>
    <w:p w14:paraId="5042DAF5">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r>
        <w:rPr>
          <w:rFonts w:hint="eastAsia" w:ascii="宋体"/>
          <w:b/>
          <w:bCs/>
          <w:color w:val="auto"/>
          <w:kern w:val="32"/>
          <w:highlight w:val="none"/>
        </w:rPr>
        <w:t>2.2甲方</w:t>
      </w:r>
    </w:p>
    <w:p w14:paraId="76A2BFBC">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hint="eastAsia" w:ascii="宋体"/>
          <w:color w:val="auto"/>
          <w:highlight w:val="none"/>
        </w:rPr>
      </w:pPr>
      <w:r>
        <w:rPr>
          <w:rFonts w:hint="eastAsia" w:ascii="宋体"/>
          <w:color w:val="auto"/>
          <w:highlight w:val="none"/>
        </w:rPr>
        <w:t>甲方将尽快将问题汇报给乙方管理层；</w:t>
      </w:r>
    </w:p>
    <w:p w14:paraId="05C96C8D">
      <w:pPr>
        <w:pageBreakBefore w:val="0"/>
        <w:widowControl/>
        <w:numPr>
          <w:ilvl w:val="0"/>
          <w:numId w:val="2"/>
        </w:numPr>
        <w:kinsoku/>
        <w:wordWrap/>
        <w:overflowPunct/>
        <w:topLinePunct w:val="0"/>
        <w:bidi w:val="0"/>
        <w:snapToGrid w:val="0"/>
        <w:spacing w:line="520" w:lineRule="exact"/>
        <w:ind w:left="709" w:hanging="229" w:firstLineChars="0"/>
        <w:jc w:val="left"/>
        <w:textAlignment w:val="auto"/>
        <w:outlineLvl w:val="9"/>
        <w:rPr>
          <w:rFonts w:hint="eastAsia" w:ascii="宋体"/>
          <w:color w:val="auto"/>
          <w:highlight w:val="none"/>
        </w:rPr>
      </w:pPr>
      <w:r>
        <w:rPr>
          <w:rFonts w:hint="eastAsia" w:ascii="宋体"/>
          <w:color w:val="auto"/>
          <w:highlight w:val="none"/>
        </w:rPr>
        <w:t>提供任何可能影响乙方向甲方提供SLA中规定服务的服务能力的事件信息，包括：</w:t>
      </w:r>
    </w:p>
    <w:p w14:paraId="2D811DC4">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组织架构变更</w:t>
      </w:r>
    </w:p>
    <w:p w14:paraId="30DF5579">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技术变更</w:t>
      </w:r>
    </w:p>
    <w:p w14:paraId="23A0E809">
      <w:pPr>
        <w:pageBreakBefore w:val="0"/>
        <w:widowControl/>
        <w:numPr>
          <w:ilvl w:val="0"/>
          <w:numId w:val="3"/>
        </w:numPr>
        <w:kinsoku/>
        <w:wordWrap/>
        <w:overflowPunct/>
        <w:topLinePunct w:val="0"/>
        <w:bidi w:val="0"/>
        <w:snapToGrid w:val="0"/>
        <w:spacing w:line="520" w:lineRule="exact"/>
        <w:ind w:firstLineChars="0"/>
        <w:jc w:val="left"/>
        <w:textAlignment w:val="auto"/>
        <w:outlineLvl w:val="9"/>
        <w:rPr>
          <w:rFonts w:hint="eastAsia" w:ascii="宋体"/>
          <w:color w:val="auto"/>
          <w:highlight w:val="none"/>
        </w:rPr>
      </w:pPr>
      <w:r>
        <w:rPr>
          <w:rFonts w:hint="eastAsia" w:ascii="宋体"/>
          <w:color w:val="auto"/>
          <w:highlight w:val="none"/>
        </w:rPr>
        <w:t>职能变更</w:t>
      </w:r>
    </w:p>
    <w:p w14:paraId="605DD73D">
      <w:pPr>
        <w:pageBreakBefore w:val="0"/>
        <w:kinsoku/>
        <w:wordWrap/>
        <w:overflowPunct/>
        <w:topLinePunct w:val="0"/>
        <w:bidi w:val="0"/>
        <w:snapToGrid w:val="0"/>
        <w:spacing w:line="520" w:lineRule="exact"/>
        <w:textAlignment w:val="auto"/>
        <w:outlineLvl w:val="9"/>
        <w:rPr>
          <w:rFonts w:hint="eastAsia" w:ascii="宋体"/>
          <w:b/>
          <w:bCs/>
          <w:color w:val="auto"/>
          <w:kern w:val="32"/>
          <w:highlight w:val="none"/>
        </w:rPr>
      </w:pPr>
      <w:bookmarkStart w:id="263" w:name="_Toc254884648"/>
      <w:r>
        <w:rPr>
          <w:rFonts w:hint="eastAsia" w:ascii="宋体"/>
          <w:b/>
          <w:bCs/>
          <w:color w:val="auto"/>
          <w:kern w:val="32"/>
          <w:highlight w:val="none"/>
        </w:rPr>
        <w:t>3.联络表</w:t>
      </w:r>
      <w:bookmarkEnd w:id="263"/>
    </w:p>
    <w:tbl>
      <w:tblPr>
        <w:tblStyle w:val="24"/>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4A12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CFBB0D3">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b/>
                <w:color w:val="auto"/>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tcPr>
          <w:p w14:paraId="330995D6">
            <w:pPr>
              <w:pageBreakBefore w:val="0"/>
              <w:kinsoku/>
              <w:wordWrap/>
              <w:overflowPunct/>
              <w:topLinePunct w:val="0"/>
              <w:bidi w:val="0"/>
              <w:snapToGrid w:val="0"/>
              <w:spacing w:line="520" w:lineRule="exact"/>
              <w:textAlignment w:val="auto"/>
              <w:outlineLvl w:val="9"/>
              <w:rPr>
                <w:rFonts w:hint="eastAsia" w:ascii="宋体"/>
                <w:b/>
                <w:color w:val="auto"/>
                <w:highlight w:val="none"/>
              </w:rPr>
            </w:pPr>
            <w:r>
              <w:rPr>
                <w:rFonts w:hint="eastAsia" w:ascii="宋体"/>
                <w:b/>
                <w:color w:val="auto"/>
                <w:highlight w:val="none"/>
              </w:rPr>
              <w:t>职务</w:t>
            </w:r>
          </w:p>
        </w:tc>
        <w:tc>
          <w:tcPr>
            <w:tcW w:w="3195" w:type="dxa"/>
            <w:tcBorders>
              <w:top w:val="single" w:color="auto" w:sz="4" w:space="0"/>
              <w:left w:val="single" w:color="auto" w:sz="4" w:space="0"/>
              <w:bottom w:val="single" w:color="auto" w:sz="4" w:space="0"/>
              <w:right w:val="single" w:color="auto" w:sz="4" w:space="0"/>
            </w:tcBorders>
            <w:noWrap/>
          </w:tcPr>
          <w:p w14:paraId="2F902CEB">
            <w:pPr>
              <w:pageBreakBefore w:val="0"/>
              <w:kinsoku/>
              <w:wordWrap/>
              <w:overflowPunct/>
              <w:topLinePunct w:val="0"/>
              <w:bidi w:val="0"/>
              <w:snapToGrid w:val="0"/>
              <w:spacing w:line="520" w:lineRule="exact"/>
              <w:textAlignment w:val="auto"/>
              <w:outlineLvl w:val="9"/>
              <w:rPr>
                <w:rFonts w:hint="eastAsia" w:ascii="宋体"/>
                <w:b/>
                <w:color w:val="auto"/>
                <w:highlight w:val="none"/>
              </w:rPr>
            </w:pPr>
            <w:r>
              <w:rPr>
                <w:rFonts w:hint="eastAsia" w:ascii="宋体"/>
                <w:b/>
                <w:color w:val="auto"/>
                <w:highlight w:val="none"/>
              </w:rPr>
              <w:t>电话</w:t>
            </w:r>
          </w:p>
        </w:tc>
      </w:tr>
      <w:tr w14:paraId="5100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71FD8B88">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4E9A488E">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tcPr>
          <w:p w14:paraId="2482F9C0">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r w14:paraId="0DAB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566AEC0D">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0071885D">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tcPr>
          <w:p w14:paraId="769622F6">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r w14:paraId="3306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tcPr>
          <w:p w14:paraId="296EE1C4">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XXX</w:t>
            </w:r>
          </w:p>
        </w:tc>
        <w:tc>
          <w:tcPr>
            <w:tcW w:w="2451" w:type="dxa"/>
            <w:tcBorders>
              <w:top w:val="single" w:color="auto" w:sz="4" w:space="0"/>
              <w:left w:val="single" w:color="auto" w:sz="4" w:space="0"/>
              <w:bottom w:val="single" w:color="auto" w:sz="4" w:space="0"/>
              <w:right w:val="single" w:color="auto" w:sz="4" w:space="0"/>
            </w:tcBorders>
            <w:noWrap/>
          </w:tcPr>
          <w:p w14:paraId="59AB9BDA">
            <w:pPr>
              <w:pageBreakBefore w:val="0"/>
              <w:kinsoku/>
              <w:wordWrap/>
              <w:overflowPunct/>
              <w:topLinePunct w:val="0"/>
              <w:bidi w:val="0"/>
              <w:snapToGrid w:val="0"/>
              <w:spacing w:line="520" w:lineRule="exact"/>
              <w:textAlignment w:val="auto"/>
              <w:outlineLvl w:val="9"/>
              <w:rPr>
                <w:rFonts w:hint="eastAsia" w:ascii="宋体"/>
                <w:color w:val="auto"/>
                <w:highlight w:val="none"/>
              </w:rPr>
            </w:pPr>
            <w:r>
              <w:rPr>
                <w:rFonts w:hint="eastAsia" w:ascii="宋体"/>
                <w:color w:val="auto"/>
                <w:highlight w:val="none"/>
              </w:rPr>
              <w:t>X</w:t>
            </w:r>
            <w:r>
              <w:rPr>
                <w:rFonts w:ascii="宋体"/>
                <w:color w:val="auto"/>
                <w:highlight w:val="none"/>
              </w:rPr>
              <w:t>XX</w:t>
            </w:r>
          </w:p>
        </w:tc>
        <w:tc>
          <w:tcPr>
            <w:tcW w:w="3195" w:type="dxa"/>
            <w:tcBorders>
              <w:top w:val="single" w:color="auto" w:sz="4" w:space="0"/>
              <w:left w:val="single" w:color="auto" w:sz="4" w:space="0"/>
              <w:bottom w:val="single" w:color="auto" w:sz="4" w:space="0"/>
              <w:right w:val="single" w:color="auto" w:sz="4" w:space="0"/>
            </w:tcBorders>
            <w:noWrap/>
          </w:tcPr>
          <w:p w14:paraId="7C7D80E2">
            <w:pPr>
              <w:pageBreakBefore w:val="0"/>
              <w:kinsoku/>
              <w:wordWrap/>
              <w:overflowPunct/>
              <w:topLinePunct w:val="0"/>
              <w:bidi w:val="0"/>
              <w:snapToGrid w:val="0"/>
              <w:spacing w:line="520" w:lineRule="exact"/>
              <w:textAlignment w:val="auto"/>
              <w:outlineLvl w:val="9"/>
              <w:rPr>
                <w:rFonts w:hint="eastAsia" w:ascii="宋体"/>
                <w:color w:val="auto"/>
                <w:highlight w:val="none"/>
              </w:rPr>
            </w:pPr>
          </w:p>
        </w:tc>
      </w:tr>
    </w:tbl>
    <w:p w14:paraId="0DD9BB00">
      <w:pPr>
        <w:pageBreakBefore w:val="0"/>
        <w:kinsoku/>
        <w:wordWrap/>
        <w:overflowPunct/>
        <w:topLinePunct w:val="0"/>
        <w:bidi w:val="0"/>
        <w:snapToGrid w:val="0"/>
        <w:spacing w:line="520" w:lineRule="exact"/>
        <w:jc w:val="both"/>
        <w:textAlignment w:val="auto"/>
        <w:outlineLvl w:val="9"/>
        <w:rPr>
          <w:rFonts w:hint="eastAsia" w:ascii="宋体"/>
          <w:b/>
          <w:bCs/>
          <w:color w:val="auto"/>
          <w:kern w:val="32"/>
          <w:highlight w:val="none"/>
        </w:rPr>
      </w:pPr>
      <w:r>
        <w:rPr>
          <w:rFonts w:hint="eastAsia" w:ascii="宋体"/>
          <w:b/>
          <w:bCs/>
          <w:color w:val="auto"/>
          <w:kern w:val="32"/>
          <w:highlight w:val="none"/>
        </w:rPr>
        <w:t>4.服务水平和指标</w:t>
      </w:r>
    </w:p>
    <w:p w14:paraId="3559FF31">
      <w:pPr>
        <w:pageBreakBefore w:val="0"/>
        <w:widowControl/>
        <w:numPr>
          <w:ilvl w:val="0"/>
          <w:numId w:val="4"/>
        </w:numPr>
        <w:kinsoku/>
        <w:wordWrap/>
        <w:overflowPunct/>
        <w:topLinePunct w:val="0"/>
        <w:bidi w:val="0"/>
        <w:snapToGrid w:val="0"/>
        <w:spacing w:line="520" w:lineRule="exact"/>
        <w:ind w:firstLineChars="0"/>
        <w:jc w:val="both"/>
        <w:textAlignment w:val="auto"/>
        <w:outlineLvl w:val="9"/>
        <w:rPr>
          <w:rFonts w:hint="eastAsia" w:ascii="宋体"/>
          <w:color w:val="auto"/>
          <w:highlight w:val="none"/>
        </w:rPr>
      </w:pPr>
      <w:r>
        <w:rPr>
          <w:rFonts w:hint="eastAsia" w:ascii="宋体"/>
          <w:color w:val="auto"/>
          <w:highlight w:val="none"/>
        </w:rPr>
        <w:t>甲方将定期对乙方进行考评，乙方提供的服务必须满足以下服务水平和指标要求，否则按违约金标准收取相应金额违约金。合计金额按主合同违约责任约定限定，扣除金额以人民币计算，由甲方直接扣除合同款项。乙方签订本合同即认可其派驻的项目经理被赋予项目管理的签字权，对其签字内容承担相应的违约责任。</w:t>
      </w:r>
    </w:p>
    <w:tbl>
      <w:tblPr>
        <w:tblStyle w:val="24"/>
        <w:tblW w:w="5468"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75"/>
        <w:gridCol w:w="1184"/>
        <w:gridCol w:w="1415"/>
        <w:gridCol w:w="1389"/>
        <w:gridCol w:w="1642"/>
        <w:gridCol w:w="1359"/>
        <w:gridCol w:w="807"/>
      </w:tblGrid>
      <w:tr w14:paraId="393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64986">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E62B3">
            <w:pPr>
              <w:pageBreakBefore w:val="0"/>
              <w:widowControl/>
              <w:kinsoku/>
              <w:wordWrap/>
              <w:overflowPunct/>
              <w:topLinePunct w:val="0"/>
              <w:bidi w:val="0"/>
              <w:snapToGrid w:val="0"/>
              <w:spacing w:line="240" w:lineRule="auto"/>
              <w:ind w:firstLine="0" w:firstLineChars="0"/>
              <w:jc w:val="both"/>
              <w:textAlignment w:val="auto"/>
              <w:outlineLvl w:val="9"/>
              <w:rPr>
                <w:rFonts w:hint="eastAsia" w:ascii="宋体"/>
                <w:b/>
                <w:color w:val="auto"/>
                <w:highlight w:val="none"/>
              </w:rPr>
            </w:pPr>
            <w:r>
              <w:rPr>
                <w:rFonts w:hint="eastAsia" w:ascii="宋体"/>
                <w:b/>
                <w:color w:val="auto"/>
                <w:highlight w:val="none"/>
              </w:rPr>
              <w:t>服务内</w:t>
            </w:r>
            <w:r>
              <w:rPr>
                <w:rFonts w:ascii="宋体"/>
                <w:b/>
                <w:color w:val="auto"/>
                <w:highlight w:val="none"/>
              </w:rPr>
              <w:t xml:space="preserve"> </w:t>
            </w:r>
            <w:r>
              <w:rPr>
                <w:rFonts w:hint="eastAsia" w:ascii="宋体"/>
                <w:b/>
                <w:color w:val="auto"/>
                <w:highlight w:val="none"/>
              </w:rPr>
              <w:t>容</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41EFD">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服务定义</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49A1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服务标准</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0CE1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指标计算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FCAC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服务水平要求</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8B7E9C">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违约金标准</w:t>
            </w:r>
          </w:p>
        </w:tc>
        <w:tc>
          <w:tcPr>
            <w:tcW w:w="429" w:type="pct"/>
            <w:tcBorders>
              <w:top w:val="single" w:color="auto" w:sz="4" w:space="0"/>
              <w:left w:val="single" w:color="auto" w:sz="4" w:space="0"/>
              <w:bottom w:val="single" w:color="auto" w:sz="4" w:space="0"/>
              <w:right w:val="single" w:color="auto" w:sz="4" w:space="0"/>
            </w:tcBorders>
            <w:noWrap/>
          </w:tcPr>
          <w:p w14:paraId="27CC5BF6">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b/>
                <w:color w:val="auto"/>
                <w:highlight w:val="none"/>
              </w:rPr>
            </w:pPr>
            <w:r>
              <w:rPr>
                <w:rFonts w:hint="eastAsia" w:ascii="宋体"/>
                <w:b/>
                <w:color w:val="auto"/>
                <w:highlight w:val="none"/>
              </w:rPr>
              <w:t>是否满</w:t>
            </w:r>
            <w:r>
              <w:rPr>
                <w:rFonts w:ascii="宋体"/>
                <w:b/>
                <w:color w:val="auto"/>
                <w:highlight w:val="none"/>
              </w:rPr>
              <w:t xml:space="preserve"> </w:t>
            </w:r>
            <w:r>
              <w:rPr>
                <w:rFonts w:hint="eastAsia" w:ascii="宋体"/>
                <w:b/>
                <w:color w:val="auto"/>
                <w:highlight w:val="none"/>
              </w:rPr>
              <w:t>意</w:t>
            </w:r>
          </w:p>
        </w:tc>
      </w:tr>
      <w:tr w14:paraId="528D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097A6">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1</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A89B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任务响应</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66B7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衡量乙方在需求与问题响应方面的能力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0E6DA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乙方在收到甲方任务后2个工作日内，向甲方反馈确认任务的实施方案、计划和工作量等</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E941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甲方应当明确任务提出时间，乙方应当向甲方发出一个确认任务响应信息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8544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乙方不得违反承诺响应时间</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7AD0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如违反承诺的响应时间要求，每次扣除1000元违约金</w:t>
            </w:r>
          </w:p>
        </w:tc>
        <w:tc>
          <w:tcPr>
            <w:tcW w:w="429" w:type="pct"/>
            <w:tcBorders>
              <w:top w:val="single" w:color="auto" w:sz="4" w:space="0"/>
              <w:left w:val="single" w:color="auto" w:sz="4" w:space="0"/>
              <w:bottom w:val="single" w:color="auto" w:sz="4" w:space="0"/>
              <w:right w:val="single" w:color="auto" w:sz="4" w:space="0"/>
            </w:tcBorders>
            <w:noWrap/>
          </w:tcPr>
          <w:p w14:paraId="711A27E0">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7AD4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1F5DF">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2</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CB80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任务完成情况</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BB1B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衡量乙方按计划完成任务的能力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EDA4C">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乙方应当在双方确认的时间内完成任务</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8F39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shd w:val="solid" w:color="FFFF00" w:fill="FFFFFF"/>
              </w:rPr>
            </w:pPr>
            <w:r>
              <w:rPr>
                <w:rFonts w:hint="eastAsia" w:ascii="宋体"/>
                <w:color w:val="auto"/>
                <w:highlight w:val="none"/>
              </w:rPr>
              <w:t>任务完成及时率＝（规定时间内完成任务的次数/总任务数）×100%</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D5F6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任务完成及时率≥90%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84EE1F">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c>
          <w:tcPr>
            <w:tcW w:w="429" w:type="pct"/>
            <w:tcBorders>
              <w:top w:val="single" w:color="auto" w:sz="4" w:space="0"/>
              <w:left w:val="single" w:color="auto" w:sz="4" w:space="0"/>
              <w:bottom w:val="single" w:color="auto" w:sz="4" w:space="0"/>
              <w:right w:val="single" w:color="auto" w:sz="4" w:space="0"/>
            </w:tcBorders>
            <w:noWrap/>
          </w:tcPr>
          <w:p w14:paraId="6F8677E0">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0E77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66669">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hint="eastAsia" w:ascii="宋体"/>
                <w:color w:val="auto"/>
                <w:highlight w:val="none"/>
              </w:rPr>
              <w:t>3</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B670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项目延期</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702E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衡量乙方对项目整体实施进度的控制能力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DEAD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乙方原因导致的项目进度偏差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C165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按项目计划为基准计算进度偏差天数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B7A1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进度偏差率=进度偏差天数/项目计划中进度天数（进度偏差率≤20%）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E48A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20%＜进度偏差率≤30%，每偏差一天按合同金额的0.1%罚款，进度偏差率＞30%并且延期3个月以上，罚款合同金额的10%</w:t>
            </w:r>
          </w:p>
        </w:tc>
        <w:tc>
          <w:tcPr>
            <w:tcW w:w="429" w:type="pct"/>
            <w:tcBorders>
              <w:top w:val="single" w:color="auto" w:sz="4" w:space="0"/>
              <w:left w:val="single" w:color="auto" w:sz="4" w:space="0"/>
              <w:bottom w:val="single" w:color="auto" w:sz="4" w:space="0"/>
              <w:right w:val="single" w:color="auto" w:sz="4" w:space="0"/>
            </w:tcBorders>
            <w:noWrap/>
          </w:tcPr>
          <w:p w14:paraId="7431DAF6">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731C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48C30">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44CB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交付文档数量及质量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940F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衡量甲方内部人员对乙方所提供文档的满意情况</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9747E">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交付文档数量及质量满足甲方要求</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0A121">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甲方根据乙方实际交付的文档数量及文档质量计算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E5F3F">
            <w:pPr>
              <w:pageBreakBefore w:val="0"/>
              <w:widowControl/>
              <w:kinsoku/>
              <w:wordWrap/>
              <w:overflowPunct/>
              <w:topLinePunct w:val="0"/>
              <w:bidi w:val="0"/>
              <w:snapToGrid w:val="0"/>
              <w:spacing w:line="320" w:lineRule="exact"/>
              <w:ind w:firstLine="0" w:firstLineChars="0"/>
              <w:jc w:val="left"/>
              <w:textAlignment w:val="auto"/>
              <w:outlineLvl w:val="9"/>
              <w:rPr>
                <w:rFonts w:ascii="宋体" w:eastAsia="宋体"/>
                <w:color w:val="auto"/>
                <w:highlight w:val="none"/>
                <w:lang w:val="en-US" w:eastAsia="zh-CN"/>
              </w:rPr>
            </w:pPr>
            <w:r>
              <w:rPr>
                <w:rFonts w:ascii="宋体"/>
                <w:color w:val="auto"/>
                <w:highlight w:val="none"/>
                <w:lang w:val="en-US"/>
              </w:rPr>
              <w:t>文档实际交付数量不少于甲方要求数量（文档实际交付数量是指文档交付甲方后甲方确认文档质量并实际接收的文档数量）</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9FF8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文档每缺少一个扣除合同金额2000元；每有一个文档质量不合格扣除合同金额2000元</w:t>
            </w:r>
          </w:p>
        </w:tc>
        <w:tc>
          <w:tcPr>
            <w:tcW w:w="429" w:type="pct"/>
            <w:tcBorders>
              <w:top w:val="single" w:color="auto" w:sz="4" w:space="0"/>
              <w:left w:val="single" w:color="auto" w:sz="4" w:space="0"/>
              <w:bottom w:val="single" w:color="auto" w:sz="4" w:space="0"/>
              <w:right w:val="single" w:color="auto" w:sz="4" w:space="0"/>
            </w:tcBorders>
            <w:noWrap/>
          </w:tcPr>
          <w:p w14:paraId="3A86344F">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695F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8D56E">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5</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5DC1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lang w:val="en-US" w:eastAsia="zh-CN"/>
              </w:rPr>
              <w:t>项目质量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CCB2F">
            <w:pPr>
              <w:pageBreakBefore w:val="0"/>
              <w:widowControl/>
              <w:kinsoku/>
              <w:wordWrap/>
              <w:overflowPunct/>
              <w:topLinePunct w:val="0"/>
              <w:bidi w:val="0"/>
              <w:snapToGrid w:val="0"/>
              <w:spacing w:line="320" w:lineRule="exact"/>
              <w:ind w:firstLine="0" w:firstLineChars="0"/>
              <w:jc w:val="left"/>
              <w:textAlignment w:val="auto"/>
              <w:outlineLvl w:val="9"/>
              <w:rPr>
                <w:rFonts w:ascii="宋体"/>
                <w:color w:val="auto"/>
                <w:highlight w:val="none"/>
                <w:lang w:val="en-US"/>
              </w:rPr>
            </w:pPr>
            <w:r>
              <w:rPr>
                <w:rFonts w:hint="eastAsia" w:ascii="宋体"/>
                <w:color w:val="auto"/>
                <w:highlight w:val="none"/>
              </w:rPr>
              <w:t>衡量乙方</w:t>
            </w:r>
            <w:r>
              <w:rPr>
                <w:rFonts w:hint="eastAsia" w:ascii="宋体"/>
                <w:color w:val="auto"/>
                <w:highlight w:val="none"/>
                <w:lang w:val="en-US" w:eastAsia="zh-CN"/>
              </w:rPr>
              <w:t>项目是否按照甲方要求完成</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11F5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lang w:val="en-US" w:eastAsia="zh-CN"/>
              </w:rPr>
              <w:t>乙方原因导致项目完成度偏差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F69C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rPr>
              <w:t>甲方</w:t>
            </w:r>
            <w:r>
              <w:rPr>
                <w:rFonts w:hint="eastAsia" w:ascii="宋体"/>
                <w:color w:val="auto"/>
                <w:highlight w:val="none"/>
                <w:lang w:val="en-US" w:eastAsia="zh-CN"/>
              </w:rPr>
              <w:t>根据乙方的项目实施成果进行计算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E5BD2">
            <w:pPr>
              <w:pageBreakBefore w:val="0"/>
              <w:widowControl/>
              <w:kinsoku/>
              <w:wordWrap/>
              <w:overflowPunct/>
              <w:topLinePunct w:val="0"/>
              <w:bidi w:val="0"/>
              <w:snapToGrid w:val="0"/>
              <w:spacing w:line="320" w:lineRule="exact"/>
              <w:ind w:left="0" w:firstLine="0" w:firstLineChars="0"/>
              <w:jc w:val="both"/>
              <w:textAlignment w:val="auto"/>
              <w:outlineLvl w:val="9"/>
              <w:rPr>
                <w:rFonts w:hint="eastAsia" w:ascii="宋体"/>
                <w:color w:val="auto"/>
                <w:highlight w:val="none"/>
              </w:rPr>
            </w:pPr>
            <w:r>
              <w:rPr>
                <w:rFonts w:ascii="宋体"/>
                <w:color w:val="auto"/>
                <w:highlight w:val="none"/>
                <w:lang w:val="en-US" w:eastAsia="zh-CN"/>
              </w:rPr>
              <w:t>甲方获取信息安全管理体系证书</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1214E">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lang w:val="en-US" w:eastAsia="zh-CN"/>
              </w:rPr>
              <w:t>如因乙方原因导致甲方未获取信息安全管理体系</w:t>
            </w:r>
            <w:r>
              <w:rPr>
                <w:rFonts w:ascii="宋体"/>
                <w:color w:val="auto"/>
                <w:highlight w:val="none"/>
                <w:lang w:val="en-US" w:eastAsia="zh-CN"/>
              </w:rPr>
              <w:t>认证</w:t>
            </w:r>
            <w:r>
              <w:rPr>
                <w:rFonts w:hint="eastAsia" w:ascii="宋体"/>
                <w:color w:val="auto"/>
                <w:highlight w:val="none"/>
                <w:lang w:val="en-US" w:eastAsia="zh-CN"/>
              </w:rPr>
              <w:t>证书，甲方扣除乙方合同全部金额</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B635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p>
        </w:tc>
      </w:tr>
      <w:tr w14:paraId="4DE4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020CA">
            <w:pPr>
              <w:pageBreakBefore w:val="0"/>
              <w:widowControl/>
              <w:kinsoku/>
              <w:wordWrap/>
              <w:overflowPunct/>
              <w:topLinePunct w:val="0"/>
              <w:bidi w:val="0"/>
              <w:snapToGrid w:val="0"/>
              <w:spacing w:line="320" w:lineRule="exact"/>
              <w:ind w:firstLine="0" w:firstLineChars="0"/>
              <w:textAlignment w:val="auto"/>
              <w:outlineLvl w:val="9"/>
              <w:rPr>
                <w:rFonts w:hint="eastAsia" w:ascii="宋体"/>
                <w:color w:val="auto"/>
                <w:highlight w:val="none"/>
              </w:rPr>
            </w:pPr>
            <w:r>
              <w:rPr>
                <w:rFonts w:ascii="宋体"/>
                <w:color w:val="auto"/>
                <w:highlight w:val="none"/>
              </w:rPr>
              <w:t>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5790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47D2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衡量乙方人员是否提供持续服务</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1A32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未经甲方同意，乙方人员辞职和离职或无计划的调离项目组</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7F1C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甲方根据乙方人员退出的具体时间和原因测算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2407C">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人员异常退出次数=0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E01E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每次人员异常退出扣除乙方金额人民币</w:t>
            </w:r>
            <w:r>
              <w:rPr>
                <w:rFonts w:ascii="宋体"/>
                <w:color w:val="auto"/>
                <w:highlight w:val="none"/>
              </w:rPr>
              <w:t>5</w:t>
            </w:r>
            <w:r>
              <w:rPr>
                <w:rFonts w:hint="eastAsia" w:ascii="宋体"/>
                <w:color w:val="auto"/>
                <w:highlight w:val="none"/>
              </w:rPr>
              <w:t>000元</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DA4F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人员异常退出</w:t>
            </w:r>
          </w:p>
        </w:tc>
      </w:tr>
      <w:tr w14:paraId="4D96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FBA3D">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7</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16D45">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人员纪律性</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9A31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衡量乙方人员是否遵守甲方的日常规章和操作规范</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99F02">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乙方人员不得违反甲方的各项规章制度和操作规范</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2E2EA">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甲方根据自身检查及其他管理部门的检查结果为依据统计乙方人员违规次数。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ECEC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人员违规次数=0次</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83A9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乙方人员违规每次扣除乙方金额人民币500元</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B3C67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人员纪律性</w:t>
            </w:r>
          </w:p>
        </w:tc>
      </w:tr>
      <w:tr w14:paraId="1219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C994A">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8</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37285">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ascii="宋体"/>
                <w:color w:val="auto"/>
                <w:highlight w:val="none"/>
              </w:rPr>
              <w:t>网络安全事件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D4B54">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控制网络安全风险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DCADF">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不得因乙方原因（含乙方合作的第三方）导致甲方发生网络安全事件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B0DFB">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甲方根据监管及本行要求及事件危害程度判定。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355BA">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网络安全事件=0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BF85D">
            <w:pPr>
              <w:pageBreakBefore w:val="0"/>
              <w:widowControl/>
              <w:kinsoku/>
              <w:wordWrap/>
              <w:overflowPunct/>
              <w:topLinePunct w:val="0"/>
              <w:bidi w:val="0"/>
              <w:spacing w:line="320" w:lineRule="atLeast"/>
              <w:ind w:firstLine="0" w:firstLineChars="0"/>
              <w:jc w:val="left"/>
              <w:textAlignment w:val="auto"/>
              <w:outlineLvl w:val="9"/>
              <w:rPr>
                <w:rFonts w:hint="eastAsia" w:ascii="宋体"/>
                <w:color w:val="auto"/>
                <w:highlight w:val="none"/>
              </w:rPr>
            </w:pPr>
            <w:r>
              <w:rPr>
                <w:rFonts w:hint="eastAsia" w:ascii="宋体"/>
                <w:color w:val="auto"/>
                <w:highlight w:val="none"/>
              </w:rPr>
              <w:t>每发生一次网络安全事件扣除乙方合同金额不低于3%,并要求乙方赔偿实际损失。</w:t>
            </w:r>
          </w:p>
        </w:tc>
        <w:tc>
          <w:tcPr>
            <w:tcW w:w="429" w:type="pct"/>
            <w:tcBorders>
              <w:top w:val="single" w:color="auto" w:sz="4" w:space="0"/>
              <w:left w:val="single" w:color="auto" w:sz="4" w:space="0"/>
              <w:bottom w:val="single" w:color="auto" w:sz="4" w:space="0"/>
              <w:right w:val="single" w:color="auto" w:sz="4" w:space="0"/>
            </w:tcBorders>
            <w:noWrap/>
            <w:vAlign w:val="center"/>
          </w:tcPr>
          <w:p w14:paraId="57A12D20">
            <w:pPr>
              <w:pageBreakBefore w:val="0"/>
              <w:widowControl/>
              <w:kinsoku/>
              <w:wordWrap/>
              <w:overflowPunct/>
              <w:topLinePunct w:val="0"/>
              <w:bidi w:val="0"/>
              <w:spacing w:line="320" w:lineRule="atLeast"/>
              <w:jc w:val="left"/>
              <w:textAlignment w:val="auto"/>
              <w:outlineLvl w:val="9"/>
              <w:rPr>
                <w:rFonts w:hint="eastAsia" w:ascii="宋体"/>
                <w:color w:val="auto"/>
                <w:highlight w:val="none"/>
              </w:rPr>
            </w:pPr>
          </w:p>
        </w:tc>
      </w:tr>
      <w:tr w14:paraId="366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75C9D">
            <w:pPr>
              <w:pageBreakBefore w:val="0"/>
              <w:widowControl/>
              <w:kinsoku/>
              <w:wordWrap/>
              <w:overflowPunct/>
              <w:topLinePunct w:val="0"/>
              <w:bidi w:val="0"/>
              <w:snapToGrid w:val="0"/>
              <w:spacing w:line="320" w:lineRule="atLeast"/>
              <w:ind w:firstLine="0" w:firstLineChars="0"/>
              <w:textAlignment w:val="auto"/>
              <w:outlineLvl w:val="9"/>
              <w:rPr>
                <w:rFonts w:hint="eastAsia" w:ascii="宋体"/>
                <w:color w:val="auto"/>
                <w:highlight w:val="none"/>
              </w:rPr>
            </w:pPr>
            <w:r>
              <w:rPr>
                <w:rFonts w:ascii="宋体"/>
                <w:color w:val="auto"/>
                <w:highlight w:val="none"/>
              </w:rPr>
              <w:t>9</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2A5A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外包安全事件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48CA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控制外包操作风险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30A13">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乙方不得出现危害甲方生产运行安全、数据安全等外包安全事件。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31B7D">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甲方根据监管要求及时间的危害程度判定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5EF9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FB008">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每次事件扣除乙方金额不低于人民币1000元，并要求乙方赔偿实际损失。</w:t>
            </w:r>
          </w:p>
        </w:tc>
        <w:tc>
          <w:tcPr>
            <w:tcW w:w="429" w:type="pct"/>
            <w:tcBorders>
              <w:top w:val="single" w:color="auto" w:sz="4" w:space="0"/>
              <w:left w:val="single" w:color="auto" w:sz="4" w:space="0"/>
              <w:bottom w:val="single" w:color="auto" w:sz="4" w:space="0"/>
              <w:right w:val="single" w:color="auto" w:sz="4" w:space="0"/>
            </w:tcBorders>
            <w:noWrap/>
            <w:vAlign w:val="center"/>
          </w:tcPr>
          <w:p w14:paraId="768C25B0">
            <w:pPr>
              <w:pageBreakBefore w:val="0"/>
              <w:widowControl/>
              <w:kinsoku/>
              <w:wordWrap/>
              <w:overflowPunct/>
              <w:topLinePunct w:val="0"/>
              <w:bidi w:val="0"/>
              <w:spacing w:line="320" w:lineRule="atLeast"/>
              <w:jc w:val="left"/>
              <w:textAlignment w:val="auto"/>
              <w:outlineLvl w:val="9"/>
              <w:rPr>
                <w:rFonts w:hint="eastAsia" w:ascii="宋体"/>
                <w:color w:val="auto"/>
                <w:highlight w:val="none"/>
              </w:rPr>
            </w:pPr>
          </w:p>
        </w:tc>
      </w:tr>
      <w:tr w14:paraId="03F1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798C8">
            <w:pPr>
              <w:pageBreakBefore w:val="0"/>
              <w:widowControl/>
              <w:kinsoku/>
              <w:wordWrap/>
              <w:overflowPunct/>
              <w:topLinePunct w:val="0"/>
              <w:bidi w:val="0"/>
              <w:snapToGrid w:val="0"/>
              <w:spacing w:line="320" w:lineRule="exact"/>
              <w:ind w:firstLine="0" w:firstLineChars="0"/>
              <w:jc w:val="both"/>
              <w:textAlignment w:val="auto"/>
              <w:outlineLvl w:val="9"/>
              <w:rPr>
                <w:rFonts w:hint="eastAsia" w:ascii="宋体"/>
                <w:color w:val="auto"/>
                <w:highlight w:val="none"/>
              </w:rPr>
            </w:pPr>
            <w:r>
              <w:rPr>
                <w:rFonts w:hint="eastAsia" w:ascii="宋体"/>
                <w:color w:val="auto"/>
                <w:highlight w:val="none"/>
              </w:rPr>
              <w:t>合计</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D08E9">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66BFF">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此数据是衡量满足要求的SLA个数与整体SLA个数的百分之整体的比率</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9E703">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衡量乙方达到要求的SLA占全部SLA的百分比。</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02D50">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为了这个度量报告，需要持续汇报SOW中所有SLA情况。</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B2146">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SLA满足率＝（满足SLA的个数/总体SLA的个数）×100%（SLA满足率≥70%）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02B1B">
            <w:pPr>
              <w:pageBreakBefore w:val="0"/>
              <w:widowControl/>
              <w:kinsoku/>
              <w:wordWrap/>
              <w:overflowPunct/>
              <w:topLinePunct w:val="0"/>
              <w:bidi w:val="0"/>
              <w:snapToGrid w:val="0"/>
              <w:spacing w:line="320" w:lineRule="exact"/>
              <w:ind w:firstLine="0" w:firstLineChars="0"/>
              <w:jc w:val="left"/>
              <w:textAlignment w:val="auto"/>
              <w:outlineLvl w:val="9"/>
              <w:rPr>
                <w:rFonts w:hint="eastAsia" w:ascii="宋体"/>
                <w:color w:val="auto"/>
                <w:highlight w:val="none"/>
              </w:rPr>
            </w:pPr>
            <w:r>
              <w:rPr>
                <w:rFonts w:hint="eastAsia" w:ascii="宋体"/>
                <w:color w:val="auto"/>
                <w:highlight w:val="none"/>
              </w:rPr>
              <w:t>SLA满足率每低于标准5%，扣除合同金额的1%</w:t>
            </w:r>
          </w:p>
        </w:tc>
        <w:tc>
          <w:tcPr>
            <w:tcW w:w="429" w:type="pct"/>
            <w:tcBorders>
              <w:top w:val="single" w:color="auto" w:sz="4" w:space="0"/>
              <w:left w:val="single" w:color="auto" w:sz="4" w:space="0"/>
              <w:bottom w:val="single" w:color="auto" w:sz="4" w:space="0"/>
              <w:right w:val="single" w:color="auto" w:sz="4" w:space="0"/>
            </w:tcBorders>
            <w:noWrap/>
          </w:tcPr>
          <w:p w14:paraId="177DC6B3">
            <w:pPr>
              <w:pageBreakBefore w:val="0"/>
              <w:widowControl/>
              <w:kinsoku/>
              <w:wordWrap/>
              <w:overflowPunct/>
              <w:topLinePunct w:val="0"/>
              <w:bidi w:val="0"/>
              <w:snapToGrid w:val="0"/>
              <w:spacing w:line="320" w:lineRule="exact"/>
              <w:jc w:val="left"/>
              <w:textAlignment w:val="auto"/>
              <w:outlineLvl w:val="9"/>
              <w:rPr>
                <w:rFonts w:hint="eastAsia" w:ascii="宋体"/>
                <w:color w:val="auto"/>
                <w:highlight w:val="none"/>
              </w:rPr>
            </w:pPr>
          </w:p>
        </w:tc>
      </w:tr>
      <w:tr w14:paraId="5EF6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bottom"/>
          </w:tcPr>
          <w:p w14:paraId="49B78EBF">
            <w:pPr>
              <w:pageBreakBefore w:val="0"/>
              <w:widowControl/>
              <w:kinsoku/>
              <w:wordWrap/>
              <w:overflowPunct/>
              <w:topLinePunct w:val="0"/>
              <w:bidi w:val="0"/>
              <w:snapToGrid w:val="0"/>
              <w:spacing w:line="520" w:lineRule="exact"/>
              <w:ind w:firstLine="0" w:firstLineChars="0"/>
              <w:textAlignment w:val="auto"/>
              <w:outlineLvl w:val="9"/>
              <w:rPr>
                <w:rFonts w:hint="eastAsia" w:ascii="宋体"/>
                <w:color w:val="auto"/>
                <w:highlight w:val="none"/>
              </w:rPr>
            </w:pPr>
            <w:r>
              <w:rPr>
                <w:rFonts w:hint="eastAsia" w:ascii="宋体"/>
                <w:color w:val="auto"/>
                <w:highlight w:val="none"/>
              </w:rPr>
              <w:t>综合评价：</w:t>
            </w:r>
          </w:p>
          <w:p w14:paraId="432525DD">
            <w:pPr>
              <w:pageBreakBefore w:val="0"/>
              <w:widowControl/>
              <w:kinsoku/>
              <w:wordWrap/>
              <w:overflowPunct/>
              <w:topLinePunct w:val="0"/>
              <w:bidi w:val="0"/>
              <w:snapToGrid w:val="0"/>
              <w:spacing w:line="520" w:lineRule="exact"/>
              <w:textAlignment w:val="auto"/>
              <w:outlineLvl w:val="9"/>
              <w:rPr>
                <w:rFonts w:hint="eastAsia" w:ascii="宋体"/>
                <w:color w:val="auto"/>
                <w:highlight w:val="none"/>
              </w:rPr>
            </w:pPr>
          </w:p>
          <w:p w14:paraId="42113073">
            <w:pPr>
              <w:pageBreakBefore w:val="0"/>
              <w:widowControl/>
              <w:kinsoku/>
              <w:wordWrap/>
              <w:overflowPunct/>
              <w:topLinePunct w:val="0"/>
              <w:bidi w:val="0"/>
              <w:snapToGrid w:val="0"/>
              <w:spacing w:line="520" w:lineRule="exact"/>
              <w:textAlignment w:val="auto"/>
              <w:outlineLvl w:val="9"/>
              <w:rPr>
                <w:rFonts w:hint="eastAsia" w:ascii="宋体"/>
                <w:color w:val="auto"/>
                <w:highlight w:val="none"/>
              </w:rPr>
            </w:pPr>
          </w:p>
          <w:p w14:paraId="5579C860">
            <w:pPr>
              <w:pageBreakBefore w:val="0"/>
              <w:widowControl/>
              <w:kinsoku/>
              <w:wordWrap/>
              <w:overflowPunct/>
              <w:topLinePunct w:val="0"/>
              <w:bidi w:val="0"/>
              <w:snapToGrid w:val="0"/>
              <w:spacing w:line="520" w:lineRule="exact"/>
              <w:ind w:firstLine="0" w:firstLineChars="0"/>
              <w:textAlignment w:val="auto"/>
              <w:outlineLvl w:val="9"/>
              <w:rPr>
                <w:rFonts w:hint="eastAsia" w:ascii="宋体"/>
                <w:color w:val="auto"/>
                <w:highlight w:val="none"/>
              </w:rPr>
            </w:pPr>
            <w:r>
              <w:rPr>
                <w:rFonts w:hint="eastAsia" w:ascii="宋体"/>
                <w:color w:val="auto"/>
                <w:highlight w:val="none"/>
              </w:rPr>
              <w:t>评价人：</w:t>
            </w:r>
            <w:r>
              <w:rPr>
                <w:rFonts w:ascii="宋体"/>
                <w:color w:val="auto"/>
                <w:highlight w:val="none"/>
              </w:rPr>
              <w:t xml:space="preserve"> </w:t>
            </w:r>
          </w:p>
        </w:tc>
      </w:tr>
    </w:tbl>
    <w:p w14:paraId="55DCF6C8">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sz w:val="24"/>
          <w:highlight w:val="none"/>
        </w:rPr>
      </w:pPr>
    </w:p>
    <w:p w14:paraId="68B4D2E2">
      <w:pPr>
        <w:pStyle w:val="22"/>
        <w:pageBreakBefore w:val="0"/>
        <w:kinsoku/>
        <w:wordWrap/>
        <w:overflowPunct/>
        <w:topLinePunct w:val="0"/>
        <w:bidi w:val="0"/>
        <w:snapToGrid w:val="0"/>
        <w:spacing w:before="0" w:after="0" w:line="520" w:lineRule="exact"/>
        <w:ind w:left="0" w:firstLine="0" w:firstLineChars="0"/>
        <w:jc w:val="left"/>
        <w:textAlignment w:val="auto"/>
        <w:outlineLvl w:val="9"/>
        <w:rPr>
          <w:snapToGrid w:val="0"/>
          <w:color w:val="auto"/>
          <w:highlight w:val="none"/>
        </w:rPr>
      </w:pPr>
      <w:r>
        <w:rPr>
          <w:rFonts w:hint="eastAsia"/>
          <w:snapToGrid w:val="0"/>
          <w:color w:val="auto"/>
          <w:sz w:val="24"/>
          <w:highlight w:val="none"/>
        </w:rPr>
        <w:t>附件</w:t>
      </w:r>
      <w:r>
        <w:rPr>
          <w:rFonts w:hint="eastAsia" w:ascii="宋体"/>
          <w:snapToGrid w:val="0"/>
          <w:color w:val="auto"/>
          <w:sz w:val="24"/>
          <w:highlight w:val="none"/>
        </w:rPr>
        <w:t>4</w:t>
      </w:r>
    </w:p>
    <w:p w14:paraId="5BF245F1">
      <w:pPr>
        <w:pStyle w:val="14"/>
        <w:pageBreakBefore w:val="0"/>
        <w:kinsoku/>
        <w:wordWrap/>
        <w:overflowPunct/>
        <w:topLinePunct w:val="0"/>
        <w:bidi w:val="0"/>
        <w:snapToGrid w:val="0"/>
        <w:spacing w:before="0" w:after="0" w:line="520" w:lineRule="exact"/>
        <w:jc w:val="both"/>
        <w:textAlignment w:val="auto"/>
        <w:outlineLvl w:val="9"/>
        <w:rPr>
          <w:rStyle w:val="45"/>
          <w:rFonts w:hint="eastAsia" w:ascii="宋体"/>
          <w:b/>
          <w:bCs/>
          <w:snapToGrid w:val="0"/>
          <w:color w:val="auto"/>
          <w:kern w:val="0"/>
          <w:sz w:val="30"/>
          <w:szCs w:val="32"/>
          <w:highlight w:val="none"/>
          <w:shd w:val="clear" w:color="auto" w:fill="auto"/>
        </w:rPr>
      </w:pPr>
      <w:r>
        <w:rPr>
          <w:rStyle w:val="45"/>
          <w:rFonts w:hint="eastAsia" w:ascii="宋体"/>
          <w:b/>
          <w:bCs/>
          <w:color w:val="auto"/>
          <w:kern w:val="0"/>
          <w:sz w:val="30"/>
          <w:szCs w:val="32"/>
          <w:highlight w:val="none"/>
          <w:shd w:val="clear" w:color="auto" w:fill="auto"/>
        </w:rPr>
        <w:t>服务连续性预案</w:t>
      </w:r>
    </w:p>
    <w:p w14:paraId="7149A321">
      <w:pPr>
        <w:pageBreakBefore w:val="0"/>
        <w:kinsoku/>
        <w:wordWrap/>
        <w:overflowPunct/>
        <w:topLinePunct w:val="0"/>
        <w:bidi w:val="0"/>
        <w:ind w:left="0" w:firstLine="0" w:firstLineChars="0"/>
        <w:jc w:val="center"/>
        <w:textAlignment w:val="auto"/>
        <w:outlineLvl w:val="9"/>
        <w:rPr>
          <w:rFonts w:ascii="Times New Roman" w:hAnsi="Times New Roman"/>
          <w:color w:val="auto"/>
          <w:highlight w:val="none"/>
        </w:rPr>
      </w:pPr>
      <w:r>
        <w:rPr>
          <w:rFonts w:ascii="Lucida Sans" w:hAnsi="Lucida Sans" w:eastAsia="方正小标宋_GBK"/>
          <w:color w:val="auto"/>
          <w:sz w:val="24"/>
          <w:highlight w:val="none"/>
        </w:rPr>
        <w:t xml:space="preserve">        </w:t>
      </w:r>
      <w:r>
        <w:rPr>
          <w:rFonts w:hint="eastAsia" w:ascii="方正小标宋_GBK" w:eastAsia="方正小标宋_GBK"/>
          <w:color w:val="auto"/>
          <w:sz w:val="24"/>
          <w:highlight w:val="none"/>
        </w:rPr>
        <w:t>（应考虑供应链风险产生的影响</w:t>
      </w:r>
      <w:r>
        <w:rPr>
          <w:rFonts w:ascii="方正小标宋_GBK" w:eastAsia="方正小标宋_GBK"/>
          <w:color w:val="auto"/>
          <w:sz w:val="24"/>
          <w:highlight w:val="none"/>
        </w:rPr>
        <w:t>）</w:t>
      </w:r>
      <w:r>
        <w:rPr>
          <w:rFonts w:hint="eastAsia" w:ascii="Times New Roman" w:hAnsi="Times New Roman"/>
          <w:color w:val="auto"/>
          <w:highlight w:val="none"/>
        </w:rPr>
        <w:br w:type="page"/>
      </w:r>
    </w:p>
    <w:p w14:paraId="0E9839B3">
      <w:pPr>
        <w:pStyle w:val="2"/>
        <w:rPr>
          <w:rFonts w:ascii="Times New Roman" w:hAnsi="Times New Roman"/>
          <w:color w:val="auto"/>
          <w:highlight w:val="none"/>
        </w:rPr>
      </w:pPr>
      <w:bookmarkStart w:id="264" w:name="_Toc17467"/>
      <w:bookmarkStart w:id="265" w:name="_Toc7021"/>
      <w:r>
        <w:rPr>
          <w:rFonts w:hint="eastAsia" w:ascii="Times New Roman" w:hAnsi="Times New Roman"/>
          <w:color w:val="auto"/>
          <w:highlight w:val="none"/>
        </w:rPr>
        <w:t>第六章 参选文件</w:t>
      </w:r>
      <w:bookmarkEnd w:id="79"/>
      <w:bookmarkEnd w:id="80"/>
      <w:bookmarkStart w:id="266" w:name="_Toc303066035"/>
      <w:r>
        <w:rPr>
          <w:rFonts w:hint="eastAsia" w:ascii="Times New Roman" w:hAnsi="Times New Roman"/>
          <w:color w:val="auto"/>
          <w:highlight w:val="none"/>
        </w:rPr>
        <w:t>格式</w:t>
      </w:r>
      <w:bookmarkEnd w:id="264"/>
      <w:bookmarkEnd w:id="265"/>
    </w:p>
    <w:bookmarkEnd w:id="266"/>
    <w:p w14:paraId="7888FB94">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76945007">
      <w:pPr>
        <w:spacing w:line="360" w:lineRule="auto"/>
        <w:ind w:firstLine="0" w:firstLineChars="0"/>
        <w:jc w:val="center"/>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34109707">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信息安全管理体系咨询</w:t>
      </w:r>
    </w:p>
    <w:p w14:paraId="44CE13C9">
      <w:pPr>
        <w:spacing w:line="360" w:lineRule="auto"/>
        <w:ind w:firstLine="0" w:firstLineChars="0"/>
        <w:jc w:val="center"/>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及再认证服务项目</w:t>
      </w:r>
    </w:p>
    <w:p w14:paraId="1A717D1B">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5C6FD40C">
      <w:pPr>
        <w:tabs>
          <w:tab w:val="left" w:pos="3600"/>
          <w:tab w:val="left" w:pos="4480"/>
          <w:tab w:val="left" w:pos="5360"/>
        </w:tabs>
        <w:adjustRightInd w:val="0"/>
        <w:snapToGrid w:val="0"/>
        <w:spacing w:line="360" w:lineRule="auto"/>
        <w:ind w:firstLine="0" w:firstLineChars="0"/>
        <w:jc w:val="center"/>
        <w:rPr>
          <w:rFonts w:ascii="Times New Roman" w:hAnsi="Times New Roman"/>
          <w:color w:val="auto"/>
          <w:kern w:val="0"/>
          <w:sz w:val="44"/>
          <w:highlight w:val="none"/>
        </w:rPr>
      </w:pPr>
    </w:p>
    <w:p w14:paraId="4E85E8BC">
      <w:pPr>
        <w:tabs>
          <w:tab w:val="left" w:pos="3600"/>
          <w:tab w:val="left" w:pos="4480"/>
          <w:tab w:val="left" w:pos="5360"/>
        </w:tabs>
        <w:adjustRightInd w:val="0"/>
        <w:snapToGrid w:val="0"/>
        <w:spacing w:line="360" w:lineRule="auto"/>
        <w:ind w:firstLine="0" w:firstLineChars="0"/>
        <w:jc w:val="center"/>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1A446906">
      <w:pPr>
        <w:adjustRightInd w:val="0"/>
        <w:snapToGrid w:val="0"/>
        <w:spacing w:line="360" w:lineRule="auto"/>
        <w:ind w:firstLine="0" w:firstLineChars="0"/>
        <w:jc w:val="center"/>
        <w:rPr>
          <w:rFonts w:ascii="Times New Roman" w:hAnsi="Times New Roman"/>
          <w:color w:val="auto"/>
          <w:kern w:val="0"/>
          <w:sz w:val="16"/>
          <w:highlight w:val="none"/>
        </w:rPr>
      </w:pPr>
    </w:p>
    <w:p w14:paraId="533BE604">
      <w:pPr>
        <w:adjustRightInd w:val="0"/>
        <w:snapToGrid w:val="0"/>
        <w:spacing w:line="360" w:lineRule="auto"/>
        <w:ind w:firstLine="0" w:firstLineChars="0"/>
        <w:jc w:val="center"/>
        <w:rPr>
          <w:rFonts w:ascii="Times New Roman" w:hAnsi="Times New Roman"/>
          <w:b/>
          <w:color w:val="auto"/>
          <w:kern w:val="0"/>
          <w:sz w:val="20"/>
          <w:highlight w:val="none"/>
        </w:rPr>
      </w:pPr>
    </w:p>
    <w:p w14:paraId="41D2880F">
      <w:pPr>
        <w:adjustRightInd w:val="0"/>
        <w:snapToGrid w:val="0"/>
        <w:spacing w:line="360" w:lineRule="auto"/>
        <w:ind w:firstLine="0" w:firstLineChars="0"/>
        <w:jc w:val="center"/>
        <w:rPr>
          <w:rFonts w:ascii="Times New Roman" w:hAnsi="Times New Roman"/>
          <w:b/>
          <w:color w:val="auto"/>
          <w:kern w:val="0"/>
          <w:sz w:val="20"/>
          <w:highlight w:val="none"/>
        </w:rPr>
      </w:pPr>
    </w:p>
    <w:p w14:paraId="6E909CE1">
      <w:pPr>
        <w:adjustRightInd w:val="0"/>
        <w:snapToGrid w:val="0"/>
        <w:spacing w:line="360" w:lineRule="auto"/>
        <w:ind w:firstLine="0" w:firstLineChars="0"/>
        <w:jc w:val="center"/>
        <w:rPr>
          <w:rFonts w:ascii="Times New Roman" w:hAnsi="Times New Roman"/>
          <w:b/>
          <w:color w:val="auto"/>
          <w:kern w:val="0"/>
          <w:sz w:val="20"/>
          <w:highlight w:val="none"/>
        </w:rPr>
      </w:pPr>
    </w:p>
    <w:p w14:paraId="63B42C07">
      <w:pPr>
        <w:adjustRightInd w:val="0"/>
        <w:snapToGrid w:val="0"/>
        <w:spacing w:line="360" w:lineRule="auto"/>
        <w:ind w:firstLine="0" w:firstLineChars="0"/>
        <w:jc w:val="center"/>
        <w:rPr>
          <w:rFonts w:ascii="Times New Roman" w:hAnsi="Times New Roman"/>
          <w:b/>
          <w:color w:val="auto"/>
          <w:kern w:val="0"/>
          <w:sz w:val="20"/>
          <w:highlight w:val="none"/>
        </w:rPr>
      </w:pPr>
    </w:p>
    <w:p w14:paraId="0E2A0DEC">
      <w:pPr>
        <w:adjustRightInd w:val="0"/>
        <w:snapToGrid w:val="0"/>
        <w:spacing w:line="360" w:lineRule="auto"/>
        <w:ind w:firstLine="0" w:firstLineChars="0"/>
        <w:jc w:val="center"/>
        <w:rPr>
          <w:rFonts w:ascii="Times New Roman" w:hAnsi="Times New Roman"/>
          <w:b/>
          <w:color w:val="auto"/>
          <w:kern w:val="0"/>
          <w:sz w:val="20"/>
          <w:highlight w:val="none"/>
        </w:rPr>
      </w:pPr>
    </w:p>
    <w:p w14:paraId="7CD1AF0F">
      <w:pPr>
        <w:adjustRightInd w:val="0"/>
        <w:snapToGrid w:val="0"/>
        <w:spacing w:line="360" w:lineRule="auto"/>
        <w:ind w:firstLine="0" w:firstLineChars="0"/>
        <w:jc w:val="center"/>
        <w:rPr>
          <w:rFonts w:ascii="Times New Roman" w:hAnsi="Times New Roman"/>
          <w:b/>
          <w:color w:val="auto"/>
          <w:kern w:val="0"/>
          <w:sz w:val="20"/>
          <w:highlight w:val="none"/>
        </w:rPr>
      </w:pPr>
    </w:p>
    <w:p w14:paraId="2763885E">
      <w:pPr>
        <w:adjustRightInd w:val="0"/>
        <w:snapToGrid w:val="0"/>
        <w:spacing w:line="360" w:lineRule="auto"/>
        <w:ind w:firstLine="0" w:firstLineChars="0"/>
        <w:jc w:val="center"/>
        <w:rPr>
          <w:rFonts w:ascii="Times New Roman" w:hAnsi="Times New Roman"/>
          <w:b/>
          <w:color w:val="auto"/>
          <w:kern w:val="0"/>
          <w:sz w:val="20"/>
          <w:highlight w:val="none"/>
        </w:rPr>
      </w:pPr>
    </w:p>
    <w:p w14:paraId="30CC656B">
      <w:pPr>
        <w:adjustRightInd w:val="0"/>
        <w:snapToGrid w:val="0"/>
        <w:spacing w:line="360" w:lineRule="auto"/>
        <w:ind w:firstLine="0" w:firstLineChars="0"/>
        <w:jc w:val="center"/>
        <w:rPr>
          <w:rFonts w:ascii="Times New Roman" w:hAnsi="Times New Roman"/>
          <w:b/>
          <w:color w:val="auto"/>
          <w:kern w:val="0"/>
          <w:sz w:val="20"/>
          <w:highlight w:val="none"/>
        </w:rPr>
      </w:pPr>
    </w:p>
    <w:p w14:paraId="5E135BA0">
      <w:pPr>
        <w:adjustRightInd w:val="0"/>
        <w:snapToGrid w:val="0"/>
        <w:spacing w:line="360" w:lineRule="auto"/>
        <w:ind w:firstLine="0" w:firstLineChars="0"/>
        <w:jc w:val="center"/>
        <w:rPr>
          <w:rFonts w:ascii="Times New Roman" w:hAnsi="Times New Roman"/>
          <w:b/>
          <w:color w:val="auto"/>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5F95135">
      <w:pPr>
        <w:tabs>
          <w:tab w:val="left" w:pos="3280"/>
          <w:tab w:val="left" w:pos="4680"/>
          <w:tab w:val="left" w:pos="6080"/>
        </w:tabs>
        <w:adjustRightInd w:val="0"/>
        <w:snapToGrid w:val="0"/>
        <w:spacing w:line="360" w:lineRule="auto"/>
        <w:ind w:firstLine="0" w:firstLineChars="0"/>
        <w:jc w:val="center"/>
        <w:rPr>
          <w:rFonts w:ascii="Times New Roman" w:hAnsi="Times New Roman"/>
          <w:b/>
          <w:color w:val="auto"/>
          <w:kern w:val="0"/>
          <w:highlight w:val="none"/>
        </w:rPr>
      </w:pPr>
    </w:p>
    <w:p w14:paraId="17C811B9">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198EB0A5">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pPr>
    </w:p>
    <w:p w14:paraId="4000AF0B">
      <w:pPr>
        <w:tabs>
          <w:tab w:val="left" w:pos="6300"/>
        </w:tabs>
        <w:snapToGrid w:val="0"/>
        <w:spacing w:line="360" w:lineRule="auto"/>
        <w:ind w:firstLine="0" w:firstLineChars="0"/>
        <w:jc w:val="center"/>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70B18992">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67E79B71">
      <w:pPr>
        <w:spacing w:line="240" w:lineRule="auto"/>
        <w:ind w:firstLine="0" w:firstLineChars="0"/>
        <w:jc w:val="left"/>
        <w:outlineLvl w:val="9"/>
        <w:rPr>
          <w:rFonts w:hint="eastAsia"/>
          <w:color w:val="auto"/>
          <w:highlight w:val="none"/>
        </w:rPr>
      </w:pPr>
    </w:p>
    <w:p w14:paraId="5785959A">
      <w:pPr>
        <w:bidi w:val="0"/>
        <w:rPr>
          <w:color w:val="auto"/>
          <w:highlight w:val="none"/>
        </w:rPr>
      </w:pPr>
      <w:r>
        <w:rPr>
          <w:rFonts w:hint="eastAsia"/>
          <w:color w:val="auto"/>
          <w:highlight w:val="none"/>
        </w:rPr>
        <w:t>一、参选函</w:t>
      </w:r>
    </w:p>
    <w:p w14:paraId="5CC8AFCF">
      <w:pPr>
        <w:bidi w:val="0"/>
        <w:rPr>
          <w:color w:val="auto"/>
          <w:highlight w:val="none"/>
        </w:rPr>
      </w:pPr>
      <w:r>
        <w:rPr>
          <w:color w:val="auto"/>
          <w:highlight w:val="none"/>
        </w:rPr>
        <w:t>二、</w:t>
      </w:r>
      <w:r>
        <w:rPr>
          <w:rFonts w:hint="eastAsia"/>
          <w:color w:val="auto"/>
          <w:highlight w:val="none"/>
          <w:lang w:val="en-US" w:eastAsia="zh-CN"/>
        </w:rPr>
        <w:t>报价一览</w:t>
      </w:r>
      <w:r>
        <w:rPr>
          <w:color w:val="auto"/>
          <w:highlight w:val="none"/>
        </w:rPr>
        <w:t>表</w:t>
      </w:r>
    </w:p>
    <w:p w14:paraId="5736CACF">
      <w:pPr>
        <w:bidi w:val="0"/>
        <w:rPr>
          <w:color w:val="auto"/>
          <w:highlight w:val="none"/>
        </w:rPr>
      </w:pPr>
      <w:r>
        <w:rPr>
          <w:color w:val="auto"/>
          <w:highlight w:val="none"/>
        </w:rPr>
        <w:t>三、资格性文件</w:t>
      </w:r>
    </w:p>
    <w:p w14:paraId="75206063">
      <w:pPr>
        <w:bidi w:val="0"/>
        <w:rPr>
          <w:color w:val="auto"/>
          <w:highlight w:val="none"/>
        </w:rPr>
      </w:pPr>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参选人基本情况介绍，资质证明等</w:t>
      </w:r>
    </w:p>
    <w:p w14:paraId="6158E998">
      <w:pPr>
        <w:bidi w:val="0"/>
        <w:rPr>
          <w:rFonts w:hint="eastAsia"/>
          <w:color w:val="auto"/>
          <w:highlight w:val="none"/>
          <w:lang w:eastAsia="zh-CN"/>
        </w:rPr>
      </w:pPr>
      <w:r>
        <w:rPr>
          <w:color w:val="auto"/>
          <w:highlight w:val="none"/>
        </w:rPr>
        <w:t>（二）法定代表人身份证明及授权委托书</w:t>
      </w:r>
    </w:p>
    <w:p w14:paraId="0E772415">
      <w:pPr>
        <w:bidi w:val="0"/>
        <w:rPr>
          <w:color w:val="auto"/>
          <w:highlight w:val="none"/>
        </w:rPr>
      </w:pPr>
      <w:r>
        <w:rPr>
          <w:rFonts w:hint="eastAsia"/>
          <w:color w:val="auto"/>
          <w:highlight w:val="none"/>
        </w:rPr>
        <w:t>（三）书面声明</w:t>
      </w:r>
    </w:p>
    <w:p w14:paraId="39FCB4E5">
      <w:pPr>
        <w:bidi w:val="0"/>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39A3F982">
      <w:pPr>
        <w:bidi w:val="0"/>
        <w:rPr>
          <w:rFonts w:hint="eastAsia"/>
          <w:color w:val="auto"/>
          <w:highlight w:val="none"/>
        </w:rPr>
      </w:pPr>
      <w:r>
        <w:rPr>
          <w:rFonts w:hint="eastAsia"/>
          <w:color w:val="auto"/>
          <w:highlight w:val="none"/>
          <w:lang w:val="zh-CN"/>
        </w:rPr>
        <w:t>（</w:t>
      </w:r>
      <w:r>
        <w:rPr>
          <w:rFonts w:hint="eastAsia"/>
          <w:color w:val="auto"/>
          <w:highlight w:val="none"/>
        </w:rPr>
        <w:t>五</w:t>
      </w:r>
      <w:r>
        <w:rPr>
          <w:rFonts w:hint="eastAsia"/>
          <w:color w:val="auto"/>
          <w:highlight w:val="none"/>
          <w:lang w:val="zh-CN"/>
        </w:rPr>
        <w:t>）</w:t>
      </w:r>
      <w:r>
        <w:rPr>
          <w:color w:val="auto"/>
          <w:highlight w:val="none"/>
          <w:lang w:val="zh-CN"/>
        </w:rPr>
        <w:t>信息安全管理体系咨询服务案例</w:t>
      </w:r>
    </w:p>
    <w:p w14:paraId="082882C3">
      <w:pPr>
        <w:bidi w:val="0"/>
        <w:rPr>
          <w:color w:val="auto"/>
          <w:highlight w:val="none"/>
        </w:rPr>
      </w:pPr>
      <w:r>
        <w:rPr>
          <w:rFonts w:hint="eastAsia"/>
          <w:color w:val="auto"/>
          <w:highlight w:val="none"/>
        </w:rPr>
        <w:t>（六）</w:t>
      </w:r>
      <w:r>
        <w:rPr>
          <w:color w:val="auto"/>
          <w:highlight w:val="none"/>
        </w:rPr>
        <w:t>资质证明文件和证书扫描件</w:t>
      </w:r>
    </w:p>
    <w:p w14:paraId="223E9EA0">
      <w:pPr>
        <w:bidi w:val="0"/>
        <w:rPr>
          <w:color w:val="auto"/>
          <w:highlight w:val="none"/>
          <w:lang w:val="zh-CN"/>
        </w:rPr>
      </w:pPr>
      <w:r>
        <w:rPr>
          <w:rFonts w:hint="eastAsia"/>
          <w:color w:val="auto"/>
          <w:highlight w:val="none"/>
          <w:lang w:val="zh-CN"/>
        </w:rPr>
        <w:t>（</w:t>
      </w:r>
      <w:r>
        <w:rPr>
          <w:color w:val="auto"/>
          <w:highlight w:val="none"/>
        </w:rPr>
        <w:t>七</w:t>
      </w:r>
      <w:r>
        <w:rPr>
          <w:rFonts w:hint="eastAsia"/>
          <w:color w:val="auto"/>
          <w:highlight w:val="none"/>
          <w:lang w:val="zh-CN"/>
        </w:rPr>
        <w:t>）</w:t>
      </w:r>
      <w:r>
        <w:rPr>
          <w:rFonts w:hint="eastAsia"/>
          <w:color w:val="auto"/>
          <w:highlight w:val="none"/>
        </w:rPr>
        <w:t>其他</w:t>
      </w:r>
      <w:r>
        <w:rPr>
          <w:rFonts w:hint="eastAsia"/>
          <w:color w:val="auto"/>
          <w:highlight w:val="none"/>
          <w:lang w:val="zh-CN"/>
        </w:rPr>
        <w:t>（</w:t>
      </w:r>
      <w:r>
        <w:rPr>
          <w:rFonts w:hint="eastAsia"/>
          <w:color w:val="auto"/>
          <w:highlight w:val="none"/>
        </w:rPr>
        <w:t>如有</w:t>
      </w:r>
      <w:r>
        <w:rPr>
          <w:rFonts w:hint="eastAsia"/>
          <w:color w:val="auto"/>
          <w:highlight w:val="none"/>
          <w:lang w:val="zh-CN"/>
        </w:rPr>
        <w:t>）</w:t>
      </w:r>
    </w:p>
    <w:p w14:paraId="7B4C7EDB">
      <w:pPr>
        <w:bidi w:val="0"/>
        <w:rPr>
          <w:color w:val="auto"/>
          <w:highlight w:val="none"/>
        </w:rPr>
      </w:pPr>
      <w:r>
        <w:rPr>
          <w:color w:val="auto"/>
          <w:highlight w:val="none"/>
        </w:rPr>
        <w:t>四、响应承诺</w:t>
      </w:r>
    </w:p>
    <w:p w14:paraId="7EBC55CB">
      <w:pPr>
        <w:bidi w:val="0"/>
        <w:rPr>
          <w:color w:val="auto"/>
          <w:highlight w:val="none"/>
        </w:rPr>
      </w:pPr>
      <w:r>
        <w:rPr>
          <w:rFonts w:hint="eastAsia"/>
          <w:color w:val="auto"/>
          <w:highlight w:val="none"/>
        </w:rPr>
        <w:t>（一）响应承诺函</w:t>
      </w:r>
    </w:p>
    <w:p w14:paraId="4516D7DF">
      <w:pPr>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t>参选保证金</w:t>
      </w:r>
    </w:p>
    <w:p w14:paraId="4AD42490">
      <w:pPr>
        <w:bidi w:val="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服务水平协议（SLA）</w:t>
      </w:r>
    </w:p>
    <w:p w14:paraId="30095923">
      <w:pPr>
        <w:bidi w:val="0"/>
        <w:rPr>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拟供人员简历</w:t>
      </w:r>
    </w:p>
    <w:p w14:paraId="6887425A">
      <w:pPr>
        <w:bidi w:val="0"/>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拟供人员专业认证证书及</w:t>
      </w:r>
      <w:r>
        <w:rPr>
          <w:rFonts w:hint="eastAsia"/>
          <w:color w:val="auto"/>
          <w:highlight w:val="none"/>
        </w:rPr>
        <w:t>参与过相关项目证明材料</w:t>
      </w:r>
    </w:p>
    <w:p w14:paraId="274C412A">
      <w:pPr>
        <w:bidi w:val="0"/>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咨询服务人员的社保缴纳证明及相关材料</w:t>
      </w:r>
    </w:p>
    <w:p w14:paraId="7FB49A26">
      <w:pPr>
        <w:bidi w:val="0"/>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服务连续性预案</w:t>
      </w:r>
    </w:p>
    <w:p w14:paraId="29E76A53">
      <w:pPr>
        <w:bidi w:val="0"/>
        <w:rPr>
          <w:color w:val="auto"/>
          <w:highlight w:val="none"/>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项目实施方案</w:t>
      </w:r>
    </w:p>
    <w:p w14:paraId="223F8B44">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color w:val="auto"/>
          <w:highlight w:val="none"/>
          <w:lang w:val="en-US" w:eastAsia="zh-CN"/>
        </w:rPr>
        <w:t>其他（如有）</w:t>
      </w:r>
    </w:p>
    <w:p w14:paraId="31D09A31">
      <w:pPr>
        <w:bidi w:val="0"/>
        <w:rPr>
          <w:rFonts w:hint="eastAsia"/>
          <w:color w:val="auto"/>
          <w:highlight w:val="none"/>
        </w:rPr>
      </w:pPr>
      <w:r>
        <w:rPr>
          <w:rFonts w:hint="eastAsia"/>
          <w:color w:val="auto"/>
          <w:highlight w:val="none"/>
          <w:lang w:val="en-US" w:eastAsia="zh-CN"/>
        </w:rPr>
        <w:t>五</w:t>
      </w:r>
      <w:r>
        <w:rPr>
          <w:color w:val="auto"/>
          <w:highlight w:val="none"/>
        </w:rPr>
        <w:t>、</w:t>
      </w:r>
      <w:r>
        <w:rPr>
          <w:rFonts w:hint="eastAsia"/>
          <w:color w:val="auto"/>
          <w:highlight w:val="none"/>
          <w:lang w:val="en-US" w:eastAsia="zh-CN"/>
        </w:rPr>
        <w:t>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785AC8A4">
      <w:pPr>
        <w:bidi w:val="0"/>
        <w:rPr>
          <w:color w:val="auto"/>
          <w:highlight w:val="none"/>
        </w:rPr>
      </w:pPr>
      <w:r>
        <w:rPr>
          <w:rFonts w:hint="eastAsia"/>
          <w:color w:val="auto"/>
          <w:highlight w:val="none"/>
          <w:lang w:val="en-US" w:eastAsia="zh-CN"/>
        </w:rPr>
        <w:t>六</w:t>
      </w:r>
      <w:r>
        <w:rPr>
          <w:color w:val="auto"/>
          <w:highlight w:val="none"/>
        </w:rPr>
        <w:t>、其他（如有）</w:t>
      </w:r>
    </w:p>
    <w:p w14:paraId="3446DAC5">
      <w:pPr>
        <w:bidi w:val="0"/>
        <w:rPr>
          <w:rStyle w:val="35"/>
          <w:rFonts w:ascii="Times New Roman" w:hAnsi="Times New Roman"/>
          <w:b/>
          <w:bCs w:val="0"/>
          <w:color w:val="auto"/>
          <w:highlight w:val="none"/>
        </w:rPr>
      </w:pPr>
      <w:r>
        <w:rPr>
          <w:rFonts w:hint="eastAsia"/>
          <w:color w:val="auto"/>
          <w:highlight w:val="none"/>
        </w:rPr>
        <w:br w:type="page"/>
      </w:r>
      <w:r>
        <w:rPr>
          <w:rStyle w:val="35"/>
          <w:rFonts w:hint="eastAsia" w:ascii="Times New Roman" w:hAnsi="Times New Roman"/>
          <w:b/>
          <w:bCs w:val="0"/>
          <w:color w:val="auto"/>
          <w:highlight w:val="none"/>
        </w:rPr>
        <w:t>一、参选函</w:t>
      </w:r>
    </w:p>
    <w:p w14:paraId="16BEDF89">
      <w:pPr>
        <w:tabs>
          <w:tab w:val="left" w:pos="6300"/>
        </w:tabs>
        <w:snapToGrid w:val="0"/>
        <w:spacing w:line="360" w:lineRule="auto"/>
        <w:ind w:right="-29" w:rightChars="-14"/>
        <w:rPr>
          <w:rFonts w:ascii="Times New Roman" w:hAnsi="Times New Roman"/>
          <w:snapToGrid w:val="0"/>
          <w:color w:val="auto"/>
          <w:kern w:val="0"/>
          <w:szCs w:val="24"/>
          <w:highlight w:val="none"/>
          <w:u w:val="single"/>
        </w:rPr>
      </w:pPr>
    </w:p>
    <w:p w14:paraId="711CD1A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691CBBD2">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60382547">
      <w:pPr>
        <w:tabs>
          <w:tab w:val="left" w:pos="6300"/>
        </w:tabs>
        <w:snapToGrid w:val="0"/>
        <w:spacing w:line="360" w:lineRule="auto"/>
        <w:ind w:right="-29" w:rightChars="-14" w:firstLine="573" w:firstLineChars="0"/>
        <w:jc w:val="both"/>
        <w:rPr>
          <w:rFonts w:ascii="Times New Roman" w:hAnsi="Times New Roman"/>
          <w:snapToGrid w:val="0"/>
          <w:color w:val="auto"/>
          <w:kern w:val="0"/>
          <w:szCs w:val="24"/>
          <w:highlight w:val="none"/>
          <w:u w:val="non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none"/>
        </w:rPr>
        <w:t>。</w:t>
      </w:r>
    </w:p>
    <w:p w14:paraId="1904D238">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12634CEF">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0C03F772">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7C02FDA7">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09D12F4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70ED0FA1">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w:t>
      </w:r>
      <w:bookmarkStart w:id="267" w:name="突出显示"/>
      <w:r>
        <w:rPr>
          <w:rFonts w:hint="eastAsia" w:ascii="Times New Roman" w:hAnsi="Times New Roman"/>
          <w:snapToGrid w:val="0"/>
          <w:color w:val="auto"/>
          <w:kern w:val="0"/>
          <w:szCs w:val="24"/>
          <w:highlight w:val="none"/>
        </w:rPr>
        <w:t>税率</w:t>
      </w:r>
      <w:bookmarkEnd w:id="267"/>
      <w:r>
        <w:rPr>
          <w:rFonts w:hint="eastAsia" w:ascii="Times New Roman" w:hAnsi="Times New Roman"/>
          <w:snapToGrid w:val="0"/>
          <w:color w:val="auto"/>
          <w:kern w:val="0"/>
          <w:szCs w:val="24"/>
          <w:highlight w:val="none"/>
        </w:rPr>
        <w:t>为</w:t>
      </w:r>
      <w:r>
        <w:rPr>
          <w:rFonts w:hint="eastAsia"/>
          <w:snapToGrid w:val="0"/>
          <w:color w:val="auto"/>
          <w:kern w:val="0"/>
          <w:szCs w:val="24"/>
          <w:highlight w:val="none"/>
          <w:u w:val="single"/>
          <w:lang w:val="en-US" w:eastAsia="zh-CN"/>
        </w:rPr>
        <w:t xml:space="preserve">  6  </w:t>
      </w:r>
      <w:r>
        <w:rPr>
          <w:rFonts w:hint="eastAsia" w:ascii="Times New Roman" w:hAnsi="Times New Roman"/>
          <w:snapToGrid w:val="0"/>
          <w:color w:val="auto"/>
          <w:kern w:val="0"/>
          <w:szCs w:val="24"/>
          <w:highlight w:val="none"/>
        </w:rPr>
        <w:t>%的增值税专用发票。</w:t>
      </w:r>
    </w:p>
    <w:p w14:paraId="26CD0E58">
      <w:pPr>
        <w:tabs>
          <w:tab w:val="left" w:pos="6300"/>
        </w:tabs>
        <w:snapToGrid w:val="0"/>
        <w:spacing w:line="360" w:lineRule="auto"/>
        <w:ind w:right="-29" w:rightChars="-14"/>
        <w:jc w:val="both"/>
        <w:rPr>
          <w:rFonts w:ascii="Times New Roman" w:hAnsi="Times New Roman"/>
          <w:snapToGrid w:val="0"/>
          <w:color w:val="auto"/>
          <w:kern w:val="0"/>
          <w:szCs w:val="24"/>
          <w:highlight w:val="none"/>
        </w:rPr>
      </w:pPr>
    </w:p>
    <w:p w14:paraId="381A806B">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3A95F83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5E992950">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214C9217">
      <w:pPr>
        <w:tabs>
          <w:tab w:val="left" w:pos="6300"/>
        </w:tabs>
        <w:snapToGrid w:val="0"/>
        <w:spacing w:line="360" w:lineRule="auto"/>
        <w:ind w:right="-29" w:rightChars="-14"/>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B7E3695">
      <w:pPr>
        <w:tabs>
          <w:tab w:val="left" w:pos="6300"/>
        </w:tabs>
        <w:snapToGrid w:val="0"/>
        <w:spacing w:line="360" w:lineRule="auto"/>
        <w:ind w:right="-29" w:rightChars="-14" w:firstLine="5722" w:firstLineChars="2725"/>
        <w:jc w:val="both"/>
        <w:rPr>
          <w:rFonts w:ascii="Times New Roman" w:hAnsi="Times New Roman"/>
          <w:snapToGrid w:val="0"/>
          <w:color w:val="auto"/>
          <w:kern w:val="0"/>
          <w:szCs w:val="24"/>
          <w:highlight w:val="none"/>
        </w:rPr>
      </w:pPr>
    </w:p>
    <w:p w14:paraId="35C415BA">
      <w:pPr>
        <w:tabs>
          <w:tab w:val="left" w:pos="6300"/>
        </w:tabs>
        <w:snapToGrid w:val="0"/>
        <w:spacing w:line="360" w:lineRule="auto"/>
        <w:ind w:right="-29" w:rightChars="-14" w:firstLine="4725" w:firstLineChars="2250"/>
        <w:jc w:val="both"/>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年     月     日</w:t>
      </w:r>
    </w:p>
    <w:p w14:paraId="206A41FA">
      <w:pPr>
        <w:widowControl/>
        <w:spacing w:line="360" w:lineRule="auto"/>
        <w:jc w:val="left"/>
        <w:rPr>
          <w:rFonts w:ascii="Times New Roman" w:hAnsi="Times New Roman"/>
          <w:snapToGrid w:val="0"/>
          <w:color w:val="auto"/>
          <w:kern w:val="0"/>
          <w:szCs w:val="24"/>
          <w:highlight w:val="none"/>
        </w:rPr>
      </w:pPr>
    </w:p>
    <w:p w14:paraId="4D24E4A3">
      <w:pPr>
        <w:tabs>
          <w:tab w:val="left" w:pos="6300"/>
        </w:tabs>
        <w:snapToGrid w:val="0"/>
        <w:spacing w:line="360" w:lineRule="auto"/>
        <w:rPr>
          <w:rFonts w:ascii="Times New Roman" w:hAnsi="Times New Roman"/>
          <w:snapToGrid w:val="0"/>
          <w:color w:val="auto"/>
          <w:kern w:val="0"/>
          <w:szCs w:val="24"/>
          <w:highlight w:val="none"/>
        </w:rPr>
      </w:pPr>
    </w:p>
    <w:p w14:paraId="21782977">
      <w:pPr>
        <w:widowControl/>
        <w:spacing w:line="360" w:lineRule="auto"/>
        <w:jc w:val="left"/>
        <w:rPr>
          <w:rFonts w:ascii="Times New Roman" w:hAnsi="Times New Roman"/>
          <w:snapToGrid w:val="0"/>
          <w:color w:val="auto"/>
          <w:kern w:val="0"/>
          <w:szCs w:val="24"/>
          <w:highlight w:val="none"/>
        </w:rPr>
      </w:pPr>
    </w:p>
    <w:p w14:paraId="0429319B">
      <w:pPr>
        <w:widowControl/>
        <w:spacing w:line="360" w:lineRule="auto"/>
        <w:jc w:val="left"/>
        <w:rPr>
          <w:rFonts w:ascii="Times New Roman" w:hAnsi="Times New Roman"/>
          <w:snapToGrid w:val="0"/>
          <w:color w:val="auto"/>
          <w:kern w:val="0"/>
          <w:szCs w:val="24"/>
          <w:highlight w:val="none"/>
        </w:rPr>
      </w:pPr>
    </w:p>
    <w:p w14:paraId="06519732">
      <w:pPr>
        <w:widowControl/>
        <w:spacing w:line="360" w:lineRule="auto"/>
        <w:jc w:val="left"/>
        <w:rPr>
          <w:rFonts w:ascii="Times New Roman" w:hAnsi="Times New Roman"/>
          <w:snapToGrid w:val="0"/>
          <w:color w:val="auto"/>
          <w:kern w:val="0"/>
          <w:szCs w:val="24"/>
          <w:highlight w:val="none"/>
        </w:rPr>
      </w:pPr>
    </w:p>
    <w:p w14:paraId="6650BD15">
      <w:pPr>
        <w:widowControl/>
        <w:spacing w:line="360" w:lineRule="auto"/>
        <w:jc w:val="left"/>
        <w:rPr>
          <w:rFonts w:ascii="Times New Roman" w:hAnsi="Times New Roman"/>
          <w:snapToGrid w:val="0"/>
          <w:color w:val="auto"/>
          <w:kern w:val="0"/>
          <w:szCs w:val="24"/>
          <w:highlight w:val="none"/>
        </w:rPr>
      </w:pPr>
    </w:p>
    <w:p w14:paraId="55A1854B">
      <w:pPr>
        <w:snapToGrid w:val="0"/>
        <w:spacing w:line="360" w:lineRule="auto"/>
        <w:rPr>
          <w:rFonts w:ascii="Times New Roman" w:hAnsi="Times New Roman"/>
          <w:snapToGrid w:val="0"/>
          <w:color w:val="auto"/>
          <w:kern w:val="0"/>
          <w:szCs w:val="24"/>
          <w:highlight w:val="none"/>
        </w:rPr>
      </w:pPr>
      <w:r>
        <w:rPr>
          <w:rFonts w:hint="eastAsia" w:ascii="Times New Roman" w:hAnsi="Times New Roman"/>
          <w:color w:val="auto"/>
          <w:kern w:val="0"/>
          <w:highlight w:val="none"/>
        </w:rPr>
        <w:br w:type="page"/>
      </w:r>
    </w:p>
    <w:p w14:paraId="53225981">
      <w:pPr>
        <w:pStyle w:val="30"/>
        <w:rPr>
          <w:rFonts w:ascii="Times New Roman" w:hAnsi="Times New Roman"/>
          <w:color w:val="auto"/>
          <w:highlight w:val="none"/>
        </w:rPr>
      </w:pPr>
      <w:r>
        <w:rPr>
          <w:rFonts w:ascii="Times New Roman" w:hAnsi="Times New Roman"/>
          <w:color w:val="auto"/>
          <w:highlight w:val="none"/>
        </w:rPr>
        <w:t>二、</w:t>
      </w:r>
      <w:r>
        <w:rPr>
          <w:rFonts w:hint="eastAsia" w:ascii="Times New Roman" w:hAnsi="Times New Roman"/>
          <w:color w:val="auto"/>
          <w:highlight w:val="none"/>
          <w:lang w:val="en-US" w:eastAsia="zh-CN"/>
        </w:rPr>
        <w:t>报价一览</w:t>
      </w:r>
      <w:r>
        <w:rPr>
          <w:rFonts w:ascii="Times New Roman" w:hAnsi="Times New Roman"/>
          <w:color w:val="auto"/>
          <w:highlight w:val="none"/>
        </w:rPr>
        <w:t>表</w:t>
      </w:r>
    </w:p>
    <w:p w14:paraId="10989D48">
      <w:pPr>
        <w:rPr>
          <w:rFonts w:hint="eastAsia"/>
          <w:color w:val="auto"/>
          <w:highlight w:val="none"/>
        </w:rPr>
      </w:pPr>
    </w:p>
    <w:tbl>
      <w:tblPr>
        <w:tblStyle w:val="24"/>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14:paraId="4F59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16364B9">
            <w:pPr>
              <w:autoSpaceDE/>
              <w:autoSpaceDN/>
              <w:spacing w:line="360" w:lineRule="auto"/>
              <w:ind w:firstLine="0" w:firstLineChars="0"/>
              <w:rPr>
                <w:rFonts w:hint="eastAsia" w:ascii="宋体"/>
                <w:snapToGrid w:val="0"/>
                <w:color w:val="auto"/>
                <w:kern w:val="0"/>
                <w:szCs w:val="24"/>
                <w:highlight w:val="none"/>
              </w:rPr>
            </w:pPr>
            <w:r>
              <w:rPr>
                <w:rFonts w:hint="eastAsia" w:ascii="宋体" w:cs="Cambria"/>
                <w:snapToGrid w:val="0"/>
                <w:color w:val="auto"/>
                <w:kern w:val="0"/>
                <w:szCs w:val="24"/>
                <w:highlight w:val="none"/>
              </w:rPr>
              <w:t>参选</w:t>
            </w:r>
            <w:r>
              <w:rPr>
                <w:rFonts w:hint="eastAsia" w:ascii="宋体"/>
                <w:snapToGrid w:val="0"/>
                <w:color w:val="auto"/>
                <w:kern w:val="0"/>
                <w:szCs w:val="24"/>
                <w:highlight w:val="none"/>
              </w:rPr>
              <w:t>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610AE642">
            <w:pPr>
              <w:autoSpaceDE/>
              <w:autoSpaceDN/>
              <w:spacing w:line="360" w:lineRule="auto"/>
              <w:ind w:firstLine="0" w:firstLineChars="0"/>
              <w:rPr>
                <w:rFonts w:hint="eastAsia" w:ascii="宋体"/>
                <w:color w:val="auto"/>
                <w:szCs w:val="24"/>
                <w:highlight w:val="none"/>
              </w:rPr>
            </w:pPr>
          </w:p>
        </w:tc>
      </w:tr>
      <w:tr w14:paraId="1B41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CA5A95E">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7E1DD561">
            <w:pPr>
              <w:autoSpaceDE/>
              <w:autoSpaceDN/>
              <w:spacing w:line="360" w:lineRule="auto"/>
              <w:ind w:firstLine="0" w:firstLineChars="0"/>
              <w:rPr>
                <w:rFonts w:hint="eastAsia" w:ascii="宋体" w:cs="Cambria"/>
                <w:color w:val="auto"/>
                <w:highlight w:val="none"/>
              </w:rPr>
            </w:pPr>
          </w:p>
        </w:tc>
      </w:tr>
      <w:tr w14:paraId="3045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00A9A10F">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rPr>
              <w:t>报价（含税）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24F37B7E">
            <w:pPr>
              <w:autoSpaceDE/>
              <w:autoSpaceDN/>
              <w:spacing w:line="360" w:lineRule="auto"/>
              <w:ind w:firstLine="0" w:firstLineChars="0"/>
              <w:jc w:val="left"/>
              <w:rPr>
                <w:rFonts w:ascii="宋体" w:eastAsia="宋体"/>
                <w:color w:val="auto"/>
                <w:szCs w:val="24"/>
                <w:highlight w:val="none"/>
                <w:lang w:val="en-US" w:eastAsia="zh-CN"/>
              </w:rPr>
            </w:pPr>
            <w:r>
              <w:rPr>
                <w:rFonts w:ascii="宋体"/>
                <w:color w:val="auto"/>
                <w:szCs w:val="24"/>
                <w:highlight w:val="none"/>
              </w:rPr>
              <w:t>小写：</w:t>
            </w:r>
            <w:r>
              <w:rPr>
                <w:rFonts w:hint="eastAsia" w:ascii="宋体"/>
                <w:color w:val="auto"/>
                <w:szCs w:val="24"/>
                <w:highlight w:val="none"/>
                <w:lang w:val="en-US" w:eastAsia="zh-CN"/>
              </w:rPr>
              <w:t xml:space="preserve">               元 人民币</w:t>
            </w:r>
          </w:p>
          <w:p w14:paraId="15E6086B">
            <w:pPr>
              <w:autoSpaceDE/>
              <w:autoSpaceDN/>
              <w:spacing w:line="360" w:lineRule="auto"/>
              <w:ind w:firstLine="0" w:firstLineChars="0"/>
              <w:jc w:val="both"/>
              <w:rPr>
                <w:rFonts w:ascii="宋体" w:eastAsia="宋体"/>
                <w:color w:val="auto"/>
                <w:szCs w:val="24"/>
                <w:highlight w:val="none"/>
                <w:lang w:val="en-US" w:eastAsia="zh-CN"/>
              </w:rPr>
            </w:pPr>
            <w:r>
              <w:rPr>
                <w:rFonts w:ascii="宋体"/>
                <w:color w:val="auto"/>
                <w:szCs w:val="24"/>
                <w:highlight w:val="none"/>
              </w:rPr>
              <w:t>大写：</w:t>
            </w:r>
            <w:r>
              <w:rPr>
                <w:rFonts w:hint="eastAsia" w:ascii="宋体"/>
                <w:color w:val="auto"/>
                <w:szCs w:val="24"/>
                <w:highlight w:val="none"/>
                <w:lang w:val="en-US" w:eastAsia="zh-CN"/>
              </w:rPr>
              <w:t xml:space="preserve">               元 人民币</w:t>
            </w:r>
          </w:p>
        </w:tc>
      </w:tr>
      <w:tr w14:paraId="229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3A147A1">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szCs w:val="24"/>
                <w:highlight w:val="none"/>
              </w:rPr>
              <w:t>参选</w:t>
            </w:r>
            <w:r>
              <w:rPr>
                <w:rFonts w:hint="eastAsia" w:ascii="宋体"/>
                <w:color w:val="auto"/>
                <w:szCs w:val="24"/>
                <w:highlight w:val="none"/>
              </w:rPr>
              <w:t>报价（</w:t>
            </w:r>
            <w:r>
              <w:rPr>
                <w:rFonts w:hint="eastAsia" w:ascii="宋体"/>
                <w:color w:val="auto"/>
                <w:szCs w:val="24"/>
                <w:highlight w:val="none"/>
                <w:lang w:val="en-US" w:eastAsia="zh-CN"/>
              </w:rPr>
              <w:t>不</w:t>
            </w:r>
            <w:r>
              <w:rPr>
                <w:rFonts w:hint="eastAsia" w:ascii="宋体"/>
                <w:color w:val="auto"/>
                <w:szCs w:val="24"/>
                <w:highlight w:val="none"/>
              </w:rPr>
              <w:t>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1EDF6E9B">
            <w:pPr>
              <w:autoSpaceDE/>
              <w:autoSpaceDN/>
              <w:spacing w:line="360" w:lineRule="auto"/>
              <w:ind w:firstLine="0" w:firstLineChars="0"/>
              <w:jc w:val="left"/>
              <w:rPr>
                <w:rFonts w:ascii="宋体" w:eastAsia="宋体"/>
                <w:color w:val="auto"/>
                <w:szCs w:val="24"/>
                <w:highlight w:val="none"/>
                <w:lang w:val="en-US" w:eastAsia="zh-CN"/>
              </w:rPr>
            </w:pPr>
            <w:r>
              <w:rPr>
                <w:rFonts w:ascii="宋体"/>
                <w:color w:val="auto"/>
                <w:szCs w:val="24"/>
                <w:highlight w:val="none"/>
              </w:rPr>
              <w:t>小写：</w:t>
            </w:r>
            <w:r>
              <w:rPr>
                <w:rFonts w:hint="eastAsia" w:ascii="宋体"/>
                <w:color w:val="auto"/>
                <w:szCs w:val="24"/>
                <w:highlight w:val="none"/>
                <w:lang w:val="en-US" w:eastAsia="zh-CN"/>
              </w:rPr>
              <w:t xml:space="preserve">               元 人民币</w:t>
            </w:r>
          </w:p>
          <w:p w14:paraId="3F728F61">
            <w:pPr>
              <w:autoSpaceDE/>
              <w:autoSpaceDN/>
              <w:spacing w:line="360" w:lineRule="auto"/>
              <w:ind w:firstLine="0" w:firstLineChars="0"/>
              <w:jc w:val="both"/>
              <w:rPr>
                <w:rFonts w:hint="eastAsia" w:ascii="宋体"/>
                <w:color w:val="auto"/>
                <w:szCs w:val="24"/>
                <w:highlight w:val="none"/>
              </w:rPr>
            </w:pPr>
            <w:r>
              <w:rPr>
                <w:rFonts w:ascii="宋体"/>
                <w:color w:val="auto"/>
                <w:szCs w:val="24"/>
                <w:highlight w:val="none"/>
              </w:rPr>
              <w:t>大写：</w:t>
            </w:r>
            <w:r>
              <w:rPr>
                <w:rFonts w:hint="eastAsia" w:ascii="宋体"/>
                <w:color w:val="auto"/>
                <w:szCs w:val="24"/>
                <w:highlight w:val="none"/>
                <w:lang w:val="en-US" w:eastAsia="zh-CN"/>
              </w:rPr>
              <w:t xml:space="preserve">               元 人民币</w:t>
            </w:r>
          </w:p>
        </w:tc>
      </w:tr>
      <w:tr w14:paraId="13C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F132009">
            <w:pPr>
              <w:autoSpaceDE/>
              <w:autoSpaceDN/>
              <w:spacing w:line="360" w:lineRule="auto"/>
              <w:ind w:firstLine="0" w:firstLineChars="0"/>
              <w:rPr>
                <w:rFonts w:hint="eastAsia" w:ascii="宋体"/>
                <w:snapToGrid w:val="0"/>
                <w:color w:val="auto"/>
                <w:kern w:val="0"/>
                <w:szCs w:val="24"/>
                <w:highlight w:val="none"/>
              </w:rPr>
            </w:pPr>
            <w:r>
              <w:rPr>
                <w:rFonts w:hint="eastAsia" w:ascii="宋体"/>
                <w:snapToGrid w:val="0"/>
                <w:color w:val="auto"/>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79754494">
            <w:pPr>
              <w:autoSpaceDE/>
              <w:autoSpaceDN/>
              <w:spacing w:line="360" w:lineRule="auto"/>
              <w:ind w:firstLine="0" w:firstLineChars="0"/>
              <w:rPr>
                <w:rFonts w:hint="eastAsia" w:ascii="宋体"/>
                <w:color w:val="auto"/>
                <w:szCs w:val="24"/>
                <w:highlight w:val="none"/>
              </w:rPr>
            </w:pPr>
            <w:bookmarkStart w:id="268" w:name="突出显示"/>
            <w:r>
              <w:rPr>
                <w:rFonts w:hint="eastAsia" w:ascii="宋体"/>
                <w:color w:val="auto"/>
                <w:szCs w:val="24"/>
                <w:highlight w:val="none"/>
              </w:rPr>
              <w:t>税率</w:t>
            </w:r>
            <w:bookmarkEnd w:id="268"/>
            <w:r>
              <w:rPr>
                <w:rFonts w:hint="eastAsia" w:ascii="宋体"/>
                <w:color w:val="auto"/>
                <w:szCs w:val="24"/>
                <w:highlight w:val="none"/>
              </w:rPr>
              <w:t>为</w:t>
            </w:r>
            <w:r>
              <w:rPr>
                <w:rFonts w:hint="eastAsia" w:ascii="宋体"/>
                <w:color w:val="auto"/>
                <w:szCs w:val="24"/>
                <w:highlight w:val="none"/>
                <w:u w:val="single"/>
              </w:rPr>
              <w:t xml:space="preserve"> </w:t>
            </w:r>
            <w:r>
              <w:rPr>
                <w:rFonts w:ascii="宋体"/>
                <w:color w:val="auto"/>
                <w:szCs w:val="24"/>
                <w:highlight w:val="none"/>
                <w:u w:val="single"/>
              </w:rPr>
              <w:t>6</w:t>
            </w:r>
            <w:r>
              <w:rPr>
                <w:rFonts w:hint="eastAsia" w:ascii="宋体"/>
                <w:color w:val="auto"/>
                <w:szCs w:val="24"/>
                <w:highlight w:val="none"/>
                <w:u w:val="single"/>
              </w:rPr>
              <w:t xml:space="preserve"> </w:t>
            </w:r>
            <w:r>
              <w:rPr>
                <w:rFonts w:hint="eastAsia" w:ascii="宋体"/>
                <w:color w:val="auto"/>
                <w:szCs w:val="24"/>
                <w:highlight w:val="none"/>
              </w:rPr>
              <w:t>%的增值税专用发票</w:t>
            </w:r>
          </w:p>
        </w:tc>
      </w:tr>
      <w:tr w14:paraId="2B60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noWrap/>
          </w:tcPr>
          <w:p w14:paraId="05A876A5">
            <w:pPr>
              <w:autoSpaceDE/>
              <w:autoSpaceDN/>
              <w:spacing w:line="360" w:lineRule="auto"/>
              <w:ind w:firstLine="0" w:firstLineChars="0"/>
              <w:rPr>
                <w:rFonts w:hint="eastAsia" w:ascii="宋体" w:cs="Times New Roman"/>
                <w:snapToGrid w:val="0"/>
                <w:color w:val="auto"/>
                <w:kern w:val="0"/>
                <w:szCs w:val="24"/>
                <w:highlight w:val="none"/>
              </w:rPr>
            </w:pPr>
          </w:p>
          <w:p w14:paraId="38890E63">
            <w:pPr>
              <w:autoSpaceDE/>
              <w:autoSpaceDN/>
              <w:spacing w:line="360" w:lineRule="auto"/>
              <w:ind w:firstLine="0" w:firstLineChars="0"/>
              <w:rPr>
                <w:rFonts w:hint="eastAsia" w:ascii="宋体" w:cs="Times New Roman"/>
                <w:snapToGrid w:val="0"/>
                <w:color w:val="auto"/>
                <w:kern w:val="0"/>
                <w:szCs w:val="24"/>
                <w:highlight w:val="none"/>
              </w:rPr>
            </w:pPr>
            <w:r>
              <w:rPr>
                <w:rFonts w:hint="eastAsia" w:ascii="宋体" w:cs="Times New Roman"/>
                <w:snapToGrid w:val="0"/>
                <w:color w:val="auto"/>
                <w:kern w:val="0"/>
                <w:szCs w:val="24"/>
                <w:highlight w:val="none"/>
              </w:rPr>
              <w:t>备注：</w:t>
            </w:r>
          </w:p>
        </w:tc>
      </w:tr>
    </w:tbl>
    <w:p w14:paraId="230F4D53">
      <w:pPr>
        <w:bidi w:val="0"/>
        <w:rPr>
          <w:color w:val="auto"/>
          <w:highlight w:val="none"/>
        </w:rPr>
      </w:pPr>
    </w:p>
    <w:p w14:paraId="43812AA5">
      <w:pPr>
        <w:spacing w:line="360" w:lineRule="auto"/>
        <w:ind w:right="-29" w:rightChars="-14"/>
        <w:rPr>
          <w:rFonts w:ascii="Times New Roman" w:hAnsi="Times New Roman"/>
          <w:color w:val="auto"/>
          <w:szCs w:val="28"/>
          <w:highlight w:val="none"/>
        </w:rPr>
      </w:pPr>
      <w:r>
        <w:rPr>
          <w:rFonts w:hint="eastAsia" w:ascii="Times New Roman" w:hAnsi="Times New Roman"/>
          <w:color w:val="auto"/>
          <w:szCs w:val="28"/>
          <w:highlight w:val="none"/>
        </w:rPr>
        <w:t>注：上述</w:t>
      </w:r>
      <w:bookmarkStart w:id="269" w:name="突出显示"/>
      <w:r>
        <w:rPr>
          <w:rFonts w:hint="eastAsia" w:ascii="Times New Roman" w:hAnsi="Times New Roman"/>
          <w:color w:val="auto"/>
          <w:szCs w:val="28"/>
          <w:highlight w:val="none"/>
        </w:rPr>
        <w:t>税率</w:t>
      </w:r>
      <w:bookmarkEnd w:id="269"/>
      <w:r>
        <w:rPr>
          <w:rFonts w:hint="eastAsia" w:ascii="Times New Roman" w:hAnsi="Times New Roman"/>
          <w:color w:val="auto"/>
          <w:szCs w:val="28"/>
          <w:highlight w:val="none"/>
        </w:rPr>
        <w:t>为推荐</w:t>
      </w:r>
      <w:bookmarkStart w:id="270" w:name="突出显示"/>
      <w:r>
        <w:rPr>
          <w:rFonts w:hint="eastAsia" w:ascii="Times New Roman" w:hAnsi="Times New Roman"/>
          <w:color w:val="auto"/>
          <w:szCs w:val="28"/>
          <w:highlight w:val="none"/>
        </w:rPr>
        <w:t>税率</w:t>
      </w:r>
      <w:bookmarkEnd w:id="270"/>
      <w:r>
        <w:rPr>
          <w:rFonts w:hint="eastAsia" w:ascii="Times New Roman" w:hAnsi="Times New Roman"/>
          <w:color w:val="auto"/>
          <w:szCs w:val="28"/>
          <w:highlight w:val="none"/>
        </w:rPr>
        <w:t>，因国家政策产生的特殊情况除外，若有税收优惠请附相关凭证。若遇国家</w:t>
      </w:r>
      <w:bookmarkStart w:id="271" w:name="突出显示"/>
      <w:r>
        <w:rPr>
          <w:rFonts w:hint="eastAsia" w:ascii="Times New Roman" w:hAnsi="Times New Roman"/>
          <w:color w:val="auto"/>
          <w:szCs w:val="28"/>
          <w:highlight w:val="none"/>
        </w:rPr>
        <w:t>税率</w:t>
      </w:r>
      <w:bookmarkEnd w:id="271"/>
      <w:r>
        <w:rPr>
          <w:rFonts w:hint="eastAsia" w:ascii="Times New Roman" w:hAnsi="Times New Roman"/>
          <w:color w:val="auto"/>
          <w:szCs w:val="28"/>
          <w:highlight w:val="none"/>
        </w:rPr>
        <w:t>调整，则保持不含税价不变，重新计算含税价格。</w:t>
      </w:r>
    </w:p>
    <w:p w14:paraId="509280A6">
      <w:pPr>
        <w:spacing w:line="360" w:lineRule="auto"/>
        <w:ind w:right="-29" w:rightChars="-14"/>
        <w:rPr>
          <w:rFonts w:ascii="Times New Roman" w:hAnsi="Times New Roman"/>
          <w:color w:val="auto"/>
          <w:szCs w:val="28"/>
          <w:highlight w:val="none"/>
        </w:rPr>
      </w:pPr>
    </w:p>
    <w:p w14:paraId="2D3C18F6">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0078246F">
      <w:pPr>
        <w:spacing w:line="360" w:lineRule="auto"/>
        <w:ind w:right="-29"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4117AF27">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39C1623D">
      <w:pPr>
        <w:snapToGrid w:val="0"/>
        <w:spacing w:line="360" w:lineRule="auto"/>
        <w:rPr>
          <w:rFonts w:ascii="Times New Roman" w:hAnsi="Times New Roman"/>
          <w:snapToGrid w:val="0"/>
          <w:color w:val="auto"/>
          <w:kern w:val="0"/>
          <w:szCs w:val="24"/>
          <w:highlight w:val="none"/>
        </w:rPr>
      </w:pPr>
    </w:p>
    <w:p w14:paraId="10E50DDF">
      <w:pPr>
        <w:snapToGrid w:val="0"/>
        <w:spacing w:line="360" w:lineRule="auto"/>
        <w:rPr>
          <w:rFonts w:ascii="Times New Roman" w:hAnsi="Times New Roman"/>
          <w:snapToGrid w:val="0"/>
          <w:color w:val="auto"/>
          <w:kern w:val="0"/>
          <w:szCs w:val="24"/>
          <w:highlight w:val="none"/>
        </w:rPr>
      </w:pPr>
    </w:p>
    <w:p w14:paraId="4A516DFB">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584E76E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429BA062">
      <w:pPr>
        <w:tabs>
          <w:tab w:val="left" w:pos="6300"/>
        </w:tabs>
        <w:snapToGrid w:val="0"/>
        <w:spacing w:line="360" w:lineRule="auto"/>
        <w:ind w:right="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731DF911">
      <w:pPr>
        <w:rPr>
          <w:rStyle w:val="34"/>
          <w:rFonts w:ascii="Times New Roman" w:hAnsi="Times New Roman"/>
          <w:b/>
          <w:bCs/>
          <w:color w:val="auto"/>
          <w:highlight w:val="none"/>
        </w:rPr>
      </w:pPr>
      <w:r>
        <w:rPr>
          <w:rStyle w:val="34"/>
          <w:rFonts w:hint="eastAsia" w:ascii="Times New Roman" w:hAnsi="Times New Roman"/>
          <w:b/>
          <w:bCs/>
          <w:color w:val="auto"/>
          <w:highlight w:val="none"/>
        </w:rPr>
        <w:br w:type="page"/>
      </w:r>
    </w:p>
    <w:p w14:paraId="07DD73DF">
      <w:pPr>
        <w:pStyle w:val="30"/>
        <w:rPr>
          <w:rFonts w:ascii="Times New Roman" w:hAnsi="Times New Roman"/>
          <w:color w:val="auto"/>
          <w:highlight w:val="none"/>
        </w:rPr>
      </w:pPr>
      <w:r>
        <w:rPr>
          <w:rFonts w:ascii="Times New Roman" w:hAnsi="Times New Roman"/>
          <w:color w:val="auto"/>
          <w:highlight w:val="none"/>
        </w:rPr>
        <w:t>三、资格性文件</w:t>
      </w:r>
    </w:p>
    <w:p w14:paraId="3AFF6777">
      <w:pPr>
        <w:pStyle w:val="38"/>
        <w:bidi w:val="0"/>
        <w:rPr>
          <w:color w:val="auto"/>
          <w:highlight w:val="none"/>
        </w:rPr>
      </w:pPr>
      <w:r>
        <w:rPr>
          <w:rFonts w:hint="default"/>
          <w:color w:val="auto"/>
          <w:highlight w:val="none"/>
          <w:lang w:eastAsia="zh-CN"/>
        </w:rPr>
        <w:t>（</w:t>
      </w:r>
      <w:r>
        <w:rPr>
          <w:rFonts w:hint="default"/>
          <w:color w:val="auto"/>
          <w:highlight w:val="none"/>
          <w:lang w:val="en-US" w:eastAsia="zh-CN"/>
        </w:rPr>
        <w:t>一</w:t>
      </w:r>
      <w:r>
        <w:rPr>
          <w:rFonts w:hint="default"/>
          <w:color w:val="auto"/>
          <w:highlight w:val="none"/>
          <w:lang w:eastAsia="zh-CN"/>
        </w:rPr>
        <w:t>）</w:t>
      </w:r>
      <w:r>
        <w:rPr>
          <w:rFonts w:hint="default"/>
          <w:color w:val="auto"/>
          <w:highlight w:val="none"/>
        </w:rPr>
        <w:t>参选人基本情况介绍，资质证明等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31DD25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14:paraId="762C6A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8872A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5AF6C4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9BFDE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Pr>
          <w:p w14:paraId="5ABF4CA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73145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02D9D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2DCAC7C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35FB93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1657" w:type="dxa"/>
            <w:gridSpan w:val="3"/>
          </w:tcPr>
          <w:p w14:paraId="7B0092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1077" w:type="dxa"/>
            <w:tcBorders>
              <w:top w:val="single" w:color="auto" w:sz="4" w:space="0"/>
              <w:left w:val="single" w:color="auto" w:sz="4" w:space="0"/>
              <w:right w:val="single" w:color="auto" w:sz="4" w:space="0"/>
            </w:tcBorders>
            <w:vAlign w:val="center"/>
          </w:tcPr>
          <w:p w14:paraId="07ACA9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3B875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5F0019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网址</w:t>
            </w:r>
          </w:p>
        </w:tc>
        <w:tc>
          <w:tcPr>
            <w:tcW w:w="1657" w:type="dxa"/>
            <w:gridSpan w:val="3"/>
          </w:tcPr>
          <w:p w14:paraId="62EFFB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vAlign w:val="center"/>
          </w:tcPr>
          <w:p w14:paraId="1DB93F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6BF16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B02D77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B8535E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1B26F6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EEB70E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31A3D6B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7D8900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6B41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4383D4D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84E8CE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6B3B709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1F67E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1DDC33E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17E8D6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42F6B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50E1A2B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4234" w:type="dxa"/>
            <w:gridSpan w:val="6"/>
          </w:tcPr>
          <w:p w14:paraId="11EACE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210B22A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7D5271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2CFFED4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Pr>
          <w:p w14:paraId="3061EF3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331DA0D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62FB81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6F493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Pr>
          <w:p w14:paraId="4190AAC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02670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A61D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004E13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BAD6B7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Pr>
          <w:p w14:paraId="6E60428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B5118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944FC4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0AC5F79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Pr>
          <w:p w14:paraId="292E9B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91C75A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65B7C2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DA036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技工</w:t>
            </w:r>
          </w:p>
        </w:tc>
        <w:tc>
          <w:tcPr>
            <w:tcW w:w="1481" w:type="dxa"/>
            <w:gridSpan w:val="2"/>
          </w:tcPr>
          <w:p w14:paraId="082201C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Pr>
          <w:p w14:paraId="4C83BDE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E0DF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备注</w:t>
            </w:r>
          </w:p>
        </w:tc>
        <w:tc>
          <w:tcPr>
            <w:tcW w:w="7114" w:type="dxa"/>
            <w:gridSpan w:val="8"/>
          </w:tcPr>
          <w:p w14:paraId="4B98C0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bl>
    <w:p w14:paraId="51232682">
      <w:pPr>
        <w:widowControl/>
        <w:spacing w:line="360" w:lineRule="auto"/>
        <w:jc w:val="left"/>
        <w:rPr>
          <w:rFonts w:hint="eastAsia" w:ascii="宋体"/>
          <w:color w:val="auto"/>
          <w:sz w:val="20"/>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0"/>
          <w:szCs w:val="21"/>
          <w:highlight w:val="none"/>
        </w:rPr>
        <w:t>注：附营业执照（副本）、资质证明复印件等。</w:t>
      </w:r>
    </w:p>
    <w:p w14:paraId="233E5E4B">
      <w:pPr>
        <w:pStyle w:val="38"/>
        <w:rPr>
          <w:rFonts w:hint="eastAsia" w:ascii="Times New Roman" w:hAnsi="Times New Roman" w:eastAsia="宋体"/>
          <w:color w:val="auto"/>
          <w:highlight w:val="none"/>
          <w:lang w:eastAsia="zh-CN"/>
        </w:rPr>
      </w:pPr>
      <w:bookmarkStart w:id="272" w:name="_Toc8213"/>
      <w:bookmarkStart w:id="273" w:name="_Toc14270"/>
      <w:bookmarkStart w:id="274" w:name="_Toc472780356"/>
      <w:bookmarkStart w:id="275" w:name="_Toc378234770"/>
      <w:bookmarkStart w:id="276" w:name="_Toc478053903"/>
      <w:bookmarkStart w:id="277" w:name="_Toc478054435"/>
      <w:bookmarkStart w:id="278" w:name="_Toc378234584"/>
      <w:r>
        <w:rPr>
          <w:rFonts w:ascii="Times New Roman" w:hAnsi="Times New Roman"/>
          <w:color w:val="auto"/>
          <w:highlight w:val="none"/>
        </w:rPr>
        <w:t>（二）法定代表人身份证明及授权委托书</w:t>
      </w:r>
      <w:bookmarkEnd w:id="272"/>
      <w:bookmarkEnd w:id="273"/>
    </w:p>
    <w:p w14:paraId="36DBD46A">
      <w:pPr>
        <w:pStyle w:val="39"/>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40"/>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40"/>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6488A2A1">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274"/>
    <w:bookmarkEnd w:id="275"/>
    <w:bookmarkEnd w:id="276"/>
    <w:bookmarkEnd w:id="277"/>
    <w:bookmarkEnd w:id="278"/>
    <w:p w14:paraId="0C0CF8DA">
      <w:pPr>
        <w:pStyle w:val="38"/>
        <w:rPr>
          <w:rFonts w:ascii="Times New Roman" w:hAnsi="Times New Roman"/>
          <w:color w:val="auto"/>
          <w:highlight w:val="none"/>
        </w:rPr>
      </w:pPr>
      <w:r>
        <w:rPr>
          <w:rFonts w:hint="eastAsia" w:ascii="Times New Roman" w:hAnsi="Times New Roman"/>
          <w:color w:val="auto"/>
          <w:highlight w:val="none"/>
        </w:rPr>
        <w:t>（三）书面声明</w:t>
      </w:r>
    </w:p>
    <w:p w14:paraId="7257086A">
      <w:pPr>
        <w:tabs>
          <w:tab w:val="left" w:pos="6300"/>
        </w:tabs>
        <w:snapToGrid w:val="0"/>
        <w:spacing w:line="360" w:lineRule="auto"/>
        <w:rPr>
          <w:rFonts w:ascii="Times New Roman" w:hAnsi="Times New Roman"/>
          <w:color w:val="auto"/>
          <w:highlight w:val="none"/>
        </w:rPr>
      </w:pPr>
    </w:p>
    <w:p w14:paraId="3B0AC873">
      <w:pPr>
        <w:tabs>
          <w:tab w:val="left" w:pos="6300"/>
        </w:tabs>
        <w:snapToGrid w:val="0"/>
        <w:spacing w:line="360" w:lineRule="auto"/>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2066598A">
      <w:pPr>
        <w:tabs>
          <w:tab w:val="left" w:pos="6300"/>
        </w:tabs>
        <w:snapToGrid w:val="0"/>
        <w:spacing w:line="360" w:lineRule="auto"/>
        <w:jc w:val="both"/>
        <w:rPr>
          <w:rFonts w:ascii="Times New Roman" w:hAnsi="Times New Roman"/>
          <w:color w:val="auto"/>
          <w:highlight w:val="none"/>
        </w:rPr>
      </w:pPr>
    </w:p>
    <w:p w14:paraId="7F5AA791">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00D10047">
      <w:pPr>
        <w:tabs>
          <w:tab w:val="left" w:pos="6300"/>
        </w:tabs>
        <w:snapToGrid w:val="0"/>
        <w:spacing w:line="360" w:lineRule="auto"/>
        <w:jc w:val="both"/>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p>
    <w:p w14:paraId="487CB522">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我方对以上声明负全部法律责任。</w:t>
      </w:r>
    </w:p>
    <w:p w14:paraId="77090BF3">
      <w:pPr>
        <w:tabs>
          <w:tab w:val="left" w:pos="6300"/>
        </w:tabs>
        <w:snapToGrid w:val="0"/>
        <w:spacing w:line="360" w:lineRule="auto"/>
        <w:jc w:val="both"/>
        <w:rPr>
          <w:rFonts w:ascii="Times New Roman" w:hAnsi="Times New Roman"/>
          <w:color w:val="auto"/>
          <w:highlight w:val="none"/>
        </w:rPr>
      </w:pPr>
      <w:r>
        <w:rPr>
          <w:rFonts w:hint="eastAsia" w:ascii="Times New Roman" w:hAnsi="Times New Roman"/>
          <w:color w:val="auto"/>
          <w:highlight w:val="none"/>
        </w:rPr>
        <w:t>特此声明。</w:t>
      </w:r>
    </w:p>
    <w:p w14:paraId="0FC53EDC">
      <w:pPr>
        <w:tabs>
          <w:tab w:val="left" w:pos="6300"/>
        </w:tabs>
        <w:snapToGrid w:val="0"/>
        <w:spacing w:line="360" w:lineRule="auto"/>
        <w:rPr>
          <w:rFonts w:ascii="Times New Roman" w:hAnsi="Times New Roman"/>
          <w:color w:val="auto"/>
          <w:highlight w:val="none"/>
        </w:rPr>
      </w:pPr>
    </w:p>
    <w:p w14:paraId="2C92810D">
      <w:pPr>
        <w:tabs>
          <w:tab w:val="left" w:pos="6300"/>
        </w:tabs>
        <w:snapToGrid w:val="0"/>
        <w:spacing w:line="360" w:lineRule="auto"/>
        <w:rPr>
          <w:rFonts w:ascii="Times New Roman" w:hAnsi="Times New Roman"/>
          <w:color w:val="auto"/>
          <w:highlight w:val="none"/>
        </w:rPr>
      </w:pPr>
    </w:p>
    <w:p w14:paraId="04F8B5A1">
      <w:pPr>
        <w:tabs>
          <w:tab w:val="left" w:pos="6300"/>
        </w:tabs>
        <w:snapToGrid w:val="0"/>
        <w:spacing w:line="360" w:lineRule="auto"/>
        <w:rPr>
          <w:rFonts w:ascii="Times New Roman" w:hAnsi="Times New Roman"/>
          <w:color w:val="auto"/>
          <w:highlight w:val="none"/>
        </w:rPr>
      </w:pPr>
    </w:p>
    <w:p w14:paraId="0086AC0F">
      <w:pPr>
        <w:tabs>
          <w:tab w:val="left" w:pos="6300"/>
        </w:tabs>
        <w:snapToGrid w:val="0"/>
        <w:spacing w:line="360" w:lineRule="auto"/>
        <w:ind w:right="424"/>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0E988864">
      <w:pPr>
        <w:tabs>
          <w:tab w:val="left" w:pos="6300"/>
        </w:tabs>
        <w:snapToGrid w:val="0"/>
        <w:spacing w:line="360" w:lineRule="auto"/>
        <w:ind w:right="480"/>
        <w:jc w:val="right"/>
        <w:rPr>
          <w:rFonts w:ascii="Times New Roman" w:hAnsi="Times New Roman"/>
          <w:color w:val="auto"/>
          <w:highlight w:val="none"/>
        </w:rPr>
      </w:pPr>
      <w:r>
        <w:rPr>
          <w:rFonts w:hint="eastAsia" w:ascii="Times New Roman" w:hAnsi="Times New Roman"/>
          <w:color w:val="auto"/>
          <w:highlight w:val="none"/>
        </w:rPr>
        <w:t>年   月   日</w:t>
      </w:r>
    </w:p>
    <w:p w14:paraId="414AC6E7">
      <w:pPr>
        <w:spacing w:line="360" w:lineRule="auto"/>
        <w:jc w:val="left"/>
        <w:rPr>
          <w:rFonts w:ascii="Times New Roman" w:hAnsi="Times New Roman" w:cs="等线 Light"/>
          <w:snapToGrid w:val="0"/>
          <w:color w:val="auto"/>
          <w:kern w:val="0"/>
          <w:szCs w:val="24"/>
          <w:highlight w:val="none"/>
        </w:rPr>
      </w:pPr>
    </w:p>
    <w:p w14:paraId="3A588DEE">
      <w:pPr>
        <w:spacing w:line="360" w:lineRule="auto"/>
        <w:jc w:val="left"/>
        <w:rPr>
          <w:rFonts w:ascii="Times New Roman" w:hAnsi="Times New Roman" w:cs="等线 Light"/>
          <w:snapToGrid w:val="0"/>
          <w:color w:val="auto"/>
          <w:kern w:val="0"/>
          <w:szCs w:val="24"/>
          <w:highlight w:val="none"/>
        </w:rPr>
      </w:pPr>
    </w:p>
    <w:p w14:paraId="092094BE">
      <w:pPr>
        <w:spacing w:line="360" w:lineRule="auto"/>
        <w:jc w:val="left"/>
        <w:rPr>
          <w:rFonts w:ascii="Times New Roman" w:hAnsi="Times New Roman" w:cs="等线 Light"/>
          <w:snapToGrid w:val="0"/>
          <w:color w:val="auto"/>
          <w:kern w:val="0"/>
          <w:szCs w:val="24"/>
          <w:highlight w:val="none"/>
        </w:rPr>
      </w:pPr>
    </w:p>
    <w:p w14:paraId="701C0BC0">
      <w:pPr>
        <w:spacing w:line="360" w:lineRule="auto"/>
        <w:jc w:val="left"/>
        <w:rPr>
          <w:rFonts w:ascii="Times New Roman" w:hAnsi="Times New Roman" w:cs="等线 Light"/>
          <w:snapToGrid w:val="0"/>
          <w:color w:val="auto"/>
          <w:kern w:val="0"/>
          <w:szCs w:val="24"/>
          <w:highlight w:val="none"/>
        </w:rPr>
      </w:pPr>
    </w:p>
    <w:p w14:paraId="03805CE8">
      <w:pPr>
        <w:spacing w:line="360" w:lineRule="auto"/>
        <w:jc w:val="left"/>
        <w:rPr>
          <w:rFonts w:ascii="Times New Roman" w:hAnsi="Times New Roman" w:cs="等线 Light"/>
          <w:snapToGrid w:val="0"/>
          <w:color w:val="auto"/>
          <w:kern w:val="0"/>
          <w:szCs w:val="24"/>
          <w:highlight w:val="none"/>
        </w:rPr>
      </w:pPr>
    </w:p>
    <w:p w14:paraId="1E604F47">
      <w:pPr>
        <w:spacing w:line="360" w:lineRule="auto"/>
        <w:jc w:val="left"/>
        <w:rPr>
          <w:rFonts w:ascii="Times New Roman" w:hAnsi="Times New Roman" w:cs="等线 Light"/>
          <w:snapToGrid w:val="0"/>
          <w:color w:val="auto"/>
          <w:kern w:val="0"/>
          <w:szCs w:val="24"/>
          <w:highlight w:val="none"/>
        </w:rPr>
      </w:pPr>
    </w:p>
    <w:p w14:paraId="48990231">
      <w:pPr>
        <w:spacing w:line="360" w:lineRule="auto"/>
        <w:jc w:val="left"/>
        <w:rPr>
          <w:rFonts w:ascii="Times New Roman" w:hAnsi="Times New Roman" w:cs="等线 Light"/>
          <w:snapToGrid w:val="0"/>
          <w:color w:val="auto"/>
          <w:kern w:val="0"/>
          <w:szCs w:val="24"/>
          <w:highlight w:val="none"/>
        </w:rPr>
      </w:pPr>
    </w:p>
    <w:p w14:paraId="5E018E59">
      <w:pPr>
        <w:rPr>
          <w:rFonts w:ascii="Times New Roman" w:hAnsi="Times New Roman"/>
          <w:b/>
          <w:bCs/>
          <w:color w:val="auto"/>
          <w:highlight w:val="none"/>
        </w:rPr>
      </w:pPr>
      <w:r>
        <w:rPr>
          <w:rFonts w:hint="eastAsia" w:ascii="Times New Roman" w:hAnsi="Times New Roman"/>
          <w:color w:val="auto"/>
          <w:kern w:val="0"/>
          <w:highlight w:val="none"/>
        </w:rPr>
        <w:br w:type="page"/>
      </w:r>
    </w:p>
    <w:p w14:paraId="20EBE836">
      <w:pPr>
        <w:pStyle w:val="38"/>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68486C1">
      <w:pPr>
        <w:ind w:firstLine="480"/>
        <w:rPr>
          <w:rFonts w:ascii="Times New Roman" w:hAnsi="Times New Roman"/>
          <w:color w:val="auto"/>
          <w:highlight w:val="none"/>
        </w:rPr>
      </w:pPr>
      <w:r>
        <w:rPr>
          <w:rFonts w:hint="eastAsia" w:ascii="Times New Roman" w:hAnsi="Times New Roman"/>
          <w:color w:val="auto"/>
          <w:highlight w:val="none"/>
          <w:lang w:val="en-US" w:eastAsia="zh-CN"/>
        </w:rPr>
        <w:t>1.法人</w:t>
      </w:r>
      <w:r>
        <w:rPr>
          <w:rFonts w:ascii="Times New Roman" w:hAnsi="Times New Roman"/>
          <w:color w:val="auto"/>
          <w:highlight w:val="none"/>
        </w:rPr>
        <w:t>中国执行信息公开网截图</w:t>
      </w:r>
    </w:p>
    <w:p w14:paraId="332425F9">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2.法定代表人</w:t>
      </w:r>
      <w:r>
        <w:rPr>
          <w:rFonts w:ascii="Times New Roman" w:hAnsi="Times New Roman"/>
          <w:color w:val="auto"/>
          <w:highlight w:val="none"/>
        </w:rPr>
        <w:t>中国执行信息公开网截图</w:t>
      </w:r>
    </w:p>
    <w:p w14:paraId="0F8802D0">
      <w:pPr>
        <w:rPr>
          <w:rFonts w:ascii="Times New Roman" w:hAnsi="Times New Roman"/>
          <w:color w:val="auto"/>
          <w:highlight w:val="none"/>
        </w:rPr>
      </w:pPr>
    </w:p>
    <w:p w14:paraId="6C6062A7">
      <w:pPr>
        <w:rPr>
          <w:rFonts w:ascii="Times New Roman" w:hAnsi="Times New Roman"/>
          <w:color w:val="auto"/>
          <w:highlight w:val="none"/>
        </w:rPr>
      </w:pPr>
    </w:p>
    <w:p w14:paraId="3C2BDE32">
      <w:pPr>
        <w:rPr>
          <w:rFonts w:ascii="Times New Roman" w:hAnsi="Times New Roman"/>
          <w:color w:val="auto"/>
          <w:highlight w:val="none"/>
        </w:rPr>
      </w:pPr>
    </w:p>
    <w:p w14:paraId="6E5BCCD0">
      <w:pPr>
        <w:rPr>
          <w:rFonts w:ascii="Times New Roman" w:hAnsi="Times New Roman"/>
          <w:color w:val="auto"/>
          <w:highlight w:val="none"/>
        </w:rPr>
      </w:pPr>
      <w:r>
        <w:rPr>
          <w:rFonts w:hint="eastAsia" w:ascii="Times New Roman" w:hAnsi="Times New Roman"/>
          <w:color w:val="auto"/>
          <w:highlight w:val="none"/>
        </w:rPr>
        <w:br w:type="page"/>
      </w:r>
    </w:p>
    <w:p w14:paraId="3D4138BC">
      <w:pPr>
        <w:pStyle w:val="38"/>
        <w:rPr>
          <w:rFonts w:hint="eastAsia"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w:t>
      </w:r>
      <w:r>
        <w:rPr>
          <w:rFonts w:ascii="Times New Roman" w:hAnsi="Times New Roman"/>
          <w:color w:val="auto"/>
          <w:highlight w:val="none"/>
          <w:lang w:val="zh-CN"/>
        </w:rPr>
        <w:t>信息安全管理体系咨询服务案例</w:t>
      </w:r>
    </w:p>
    <w:p w14:paraId="642A93D2">
      <w:pPr>
        <w:jc w:val="cente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（每份案例应</w:t>
      </w:r>
      <w:r>
        <w:rPr>
          <w:color w:val="auto"/>
          <w:highlight w:val="none"/>
        </w:rPr>
        <w:t>提供</w:t>
      </w:r>
      <w:r>
        <w:rPr>
          <w:rFonts w:hint="eastAsia" w:ascii="Times New Roman" w:hAnsi="Times New Roman"/>
          <w:color w:val="auto"/>
          <w:highlight w:val="none"/>
        </w:rPr>
        <w:t>项目简介</w:t>
      </w:r>
      <w:r>
        <w:rPr>
          <w:color w:val="auto"/>
          <w:highlight w:val="none"/>
        </w:rPr>
        <w:t>）</w:t>
      </w:r>
    </w:p>
    <w:p w14:paraId="538385F6">
      <w:pPr>
        <w:pStyle w:val="38"/>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资质证明文件和证书扫描件</w:t>
      </w:r>
    </w:p>
    <w:p w14:paraId="6DDDAFA3">
      <w:pPr>
        <w:ind w:firstLine="0" w:firstLineChars="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（根据第一章第2.9条提供相关资料）</w:t>
      </w:r>
    </w:p>
    <w:p w14:paraId="4E26B619">
      <w:pPr>
        <w:rPr>
          <w:rFonts w:ascii="Times New Roman" w:hAnsi="Times New Roman"/>
          <w:color w:val="auto"/>
          <w:highlight w:val="none"/>
        </w:rPr>
      </w:pPr>
    </w:p>
    <w:p w14:paraId="341CD334">
      <w:pPr>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07CC6412">
      <w:pPr>
        <w:pStyle w:val="38"/>
        <w:jc w:val="center"/>
        <w:rPr>
          <w:rFonts w:ascii="Times New Roman" w:hAnsi="Times New Roman"/>
          <w:color w:val="auto"/>
          <w:highlight w:val="none"/>
          <w:lang w:val="zh-CN"/>
        </w:rPr>
      </w:pPr>
      <w:r>
        <w:rPr>
          <w:rFonts w:hint="eastAsia" w:ascii="Times New Roman" w:hAnsi="Times New Roman"/>
          <w:color w:val="auto"/>
          <w:highlight w:val="none"/>
          <w:lang w:val="zh-CN"/>
        </w:rPr>
        <w:t>（</w:t>
      </w:r>
      <w:r>
        <w:rPr>
          <w:rFonts w:ascii="Times New Roman" w:hAnsi="Times New Roman"/>
          <w:color w:val="auto"/>
          <w:highlight w:val="none"/>
        </w:rPr>
        <w:t>七</w:t>
      </w:r>
      <w:r>
        <w:rPr>
          <w:rFonts w:hint="eastAsia" w:ascii="Times New Roman" w:hAnsi="Times New Roman"/>
          <w:color w:val="auto"/>
          <w:highlight w:val="none"/>
          <w:lang w:val="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04615608">
      <w:pPr>
        <w:rPr>
          <w:rFonts w:ascii="Times New Roman" w:hAnsi="Times New Roman"/>
          <w:color w:val="auto"/>
          <w:highlight w:val="none"/>
          <w:lang w:val="zh-CN"/>
        </w:rPr>
      </w:pPr>
    </w:p>
    <w:p w14:paraId="3380991E">
      <w:pPr>
        <w:rPr>
          <w:rFonts w:ascii="Times New Roman" w:hAnsi="Times New Roman"/>
          <w:color w:val="auto"/>
          <w:highlight w:val="none"/>
          <w:lang w:val="zh-CN"/>
        </w:rPr>
      </w:pPr>
    </w:p>
    <w:p w14:paraId="788DAC21">
      <w:pPr>
        <w:rPr>
          <w:rFonts w:ascii="Times New Roman" w:hAnsi="Times New Roman"/>
          <w:color w:val="auto"/>
          <w:highlight w:val="none"/>
          <w:lang w:val="zh-CN"/>
        </w:rPr>
      </w:pPr>
    </w:p>
    <w:p w14:paraId="7F0C66BC">
      <w:pPr>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4A4E528E">
      <w:pPr>
        <w:pStyle w:val="30"/>
        <w:rPr>
          <w:rFonts w:ascii="Times New Roman" w:hAnsi="Times New Roman"/>
          <w:color w:val="auto"/>
          <w:highlight w:val="none"/>
        </w:rPr>
      </w:pPr>
      <w:r>
        <w:rPr>
          <w:rFonts w:ascii="Times New Roman" w:hAnsi="Times New Roman"/>
          <w:color w:val="auto"/>
          <w:highlight w:val="none"/>
        </w:rPr>
        <w:t>四、响应承诺</w:t>
      </w:r>
    </w:p>
    <w:p w14:paraId="793A2BA2">
      <w:pPr>
        <w:pStyle w:val="38"/>
        <w:rPr>
          <w:rFonts w:ascii="Times New Roman" w:hAnsi="Times New Roman"/>
          <w:color w:val="auto"/>
          <w:highlight w:val="none"/>
        </w:rPr>
      </w:pPr>
      <w:r>
        <w:rPr>
          <w:rFonts w:hint="eastAsia" w:ascii="Times New Roman" w:hAnsi="Times New Roman"/>
          <w:color w:val="auto"/>
          <w:highlight w:val="none"/>
        </w:rPr>
        <w:t>（一）响应承诺函</w:t>
      </w:r>
    </w:p>
    <w:p w14:paraId="29078F80">
      <w:pPr>
        <w:jc w:val="both"/>
        <w:rPr>
          <w:rFonts w:ascii="Times New Roman" w:hAnsi="Times New Roman"/>
          <w:color w:val="auto"/>
          <w:highlight w:val="none"/>
        </w:rPr>
      </w:pPr>
      <w:r>
        <w:rPr>
          <w:rFonts w:hint="eastAsia" w:ascii="Times New Roman" w:hAnsi="Times New Roman"/>
          <w:color w:val="auto"/>
          <w:highlight w:val="none"/>
        </w:rPr>
        <w:t>根据第三章“项目要求”内容，做出整体承诺，格式自理。</w:t>
      </w:r>
    </w:p>
    <w:p w14:paraId="4B2E598F">
      <w:pPr>
        <w:rPr>
          <w:rFonts w:ascii="Times New Roman" w:hAnsi="Times New Roman"/>
          <w:color w:val="auto"/>
          <w:highlight w:val="none"/>
        </w:rPr>
      </w:pPr>
    </w:p>
    <w:p w14:paraId="2CE7FA38">
      <w:pPr>
        <w:rPr>
          <w:rFonts w:ascii="Times New Roman" w:hAnsi="Times New Roman"/>
          <w:color w:val="auto"/>
          <w:highlight w:val="none"/>
        </w:rPr>
      </w:pPr>
    </w:p>
    <w:p w14:paraId="51965DF5">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6A2D1C02">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color w:val="auto"/>
          <w:highlight w:val="none"/>
        </w:rPr>
        <w:t>参选保证金</w:t>
      </w:r>
    </w:p>
    <w:p w14:paraId="08AF1C93">
      <w:pPr>
        <w:spacing w:line="360" w:lineRule="auto"/>
        <w:rPr>
          <w:rFonts w:ascii="Times New Roman" w:hAnsi="Times New Roman" w:cs="等线 Light"/>
          <w:color w:val="auto"/>
          <w:highlight w:val="none"/>
        </w:rPr>
      </w:pPr>
    </w:p>
    <w:p w14:paraId="4F5A4EFB">
      <w:pPr>
        <w:spacing w:line="360" w:lineRule="auto"/>
        <w:rPr>
          <w:rFonts w:ascii="Times New Roman" w:hAnsi="Times New Roman" w:cs="等线 Light"/>
          <w:color w:val="auto"/>
          <w:highlight w:val="none"/>
        </w:rPr>
      </w:pPr>
    </w:p>
    <w:p w14:paraId="72DA2A28">
      <w:pPr>
        <w:spacing w:line="360" w:lineRule="auto"/>
        <w:rPr>
          <w:rFonts w:ascii="Times New Roman" w:hAnsi="Times New Roman" w:cs="等线 Light"/>
          <w:color w:val="auto"/>
          <w:highlight w:val="none"/>
        </w:rPr>
      </w:pPr>
    </w:p>
    <w:p w14:paraId="2CE38C24">
      <w:pPr>
        <w:spacing w:line="360" w:lineRule="auto"/>
        <w:rPr>
          <w:rFonts w:ascii="Times New Roman" w:hAnsi="Times New Roman" w:cs="等线 Light"/>
          <w:color w:val="auto"/>
          <w:highlight w:val="none"/>
        </w:rPr>
      </w:pPr>
    </w:p>
    <w:p w14:paraId="43169897">
      <w:pPr>
        <w:spacing w:line="360" w:lineRule="auto"/>
        <w:rPr>
          <w:rFonts w:ascii="Times New Roman" w:hAnsi="Times New Roman" w:cs="等线 Light"/>
          <w:color w:val="auto"/>
          <w:highlight w:val="none"/>
        </w:rPr>
      </w:pPr>
    </w:p>
    <w:p w14:paraId="48E0C6B0">
      <w:pPr>
        <w:spacing w:line="360" w:lineRule="auto"/>
        <w:rPr>
          <w:rFonts w:ascii="Times New Roman" w:hAnsi="Times New Roman" w:cs="等线 Light"/>
          <w:color w:val="auto"/>
          <w:highlight w:val="none"/>
        </w:rPr>
      </w:pPr>
    </w:p>
    <w:p w14:paraId="5BB37A83">
      <w:pPr>
        <w:spacing w:line="360" w:lineRule="auto"/>
        <w:rPr>
          <w:rFonts w:ascii="Times New Roman" w:hAnsi="Times New Roman" w:cs="等线 Light"/>
          <w:color w:val="auto"/>
          <w:highlight w:val="none"/>
        </w:rPr>
      </w:pPr>
    </w:p>
    <w:p w14:paraId="776DC691">
      <w:pPr>
        <w:spacing w:line="360" w:lineRule="auto"/>
        <w:rPr>
          <w:rFonts w:ascii="Times New Roman" w:hAnsi="Times New Roman" w:cs="等线 Light"/>
          <w:color w:val="auto"/>
          <w:highlight w:val="none"/>
        </w:rPr>
      </w:pPr>
    </w:p>
    <w:p w14:paraId="199CD5B1">
      <w:pPr>
        <w:spacing w:line="360" w:lineRule="auto"/>
        <w:rPr>
          <w:rFonts w:ascii="Times New Roman" w:hAnsi="Times New Roman" w:cs="等线 Light"/>
          <w:color w:val="auto"/>
          <w:highlight w:val="none"/>
        </w:rPr>
      </w:pPr>
    </w:p>
    <w:p w14:paraId="11FDC8F2">
      <w:pPr>
        <w:spacing w:line="360" w:lineRule="auto"/>
        <w:rPr>
          <w:rFonts w:ascii="Times New Roman" w:hAnsi="Times New Roman" w:cs="等线 Light"/>
          <w:color w:val="auto"/>
          <w:highlight w:val="none"/>
        </w:rPr>
      </w:pPr>
    </w:p>
    <w:p w14:paraId="039021B5">
      <w:pPr>
        <w:spacing w:line="360" w:lineRule="auto"/>
        <w:rPr>
          <w:rFonts w:ascii="Times New Roman" w:hAnsi="Times New Roman" w:cs="等线 Light"/>
          <w:color w:val="auto"/>
          <w:highlight w:val="none"/>
        </w:rPr>
      </w:pPr>
    </w:p>
    <w:p w14:paraId="1683AF9A">
      <w:pPr>
        <w:spacing w:line="360" w:lineRule="auto"/>
        <w:rPr>
          <w:rFonts w:ascii="Times New Roman" w:hAnsi="Times New Roman" w:cs="等线 Light"/>
          <w:color w:val="auto"/>
          <w:highlight w:val="none"/>
        </w:rPr>
      </w:pPr>
    </w:p>
    <w:p w14:paraId="09AD12CB">
      <w:pPr>
        <w:spacing w:line="360" w:lineRule="auto"/>
        <w:rPr>
          <w:rFonts w:ascii="Times New Roman" w:hAnsi="Times New Roman" w:cs="等线 Light"/>
          <w:color w:val="auto"/>
          <w:highlight w:val="none"/>
        </w:rPr>
      </w:pPr>
    </w:p>
    <w:p w14:paraId="20D3A60A">
      <w:pPr>
        <w:spacing w:line="360" w:lineRule="auto"/>
        <w:rPr>
          <w:rFonts w:ascii="Times New Roman" w:hAnsi="Times New Roman" w:cs="等线 Light"/>
          <w:color w:val="auto"/>
          <w:highlight w:val="none"/>
        </w:rPr>
      </w:pPr>
    </w:p>
    <w:p w14:paraId="2E125619">
      <w:pPr>
        <w:spacing w:line="360" w:lineRule="auto"/>
        <w:rPr>
          <w:rFonts w:ascii="Times New Roman" w:hAnsi="Times New Roman" w:cs="等线 Light"/>
          <w:color w:val="auto"/>
          <w:highlight w:val="none"/>
        </w:rPr>
      </w:pPr>
    </w:p>
    <w:p w14:paraId="122E33D2">
      <w:pPr>
        <w:spacing w:line="360" w:lineRule="auto"/>
        <w:rPr>
          <w:rFonts w:ascii="Times New Roman" w:hAnsi="Times New Roman" w:cs="等线 Light"/>
          <w:color w:val="auto"/>
          <w:highlight w:val="none"/>
        </w:rPr>
      </w:pPr>
    </w:p>
    <w:p w14:paraId="3A4D905A">
      <w:pPr>
        <w:spacing w:line="360" w:lineRule="auto"/>
        <w:rPr>
          <w:rFonts w:ascii="Times New Roman" w:hAnsi="Times New Roman" w:cs="等线 Light"/>
          <w:color w:val="auto"/>
          <w:highlight w:val="none"/>
        </w:rPr>
      </w:pPr>
    </w:p>
    <w:p w14:paraId="7E0FD0F7">
      <w:pPr>
        <w:spacing w:line="360" w:lineRule="auto"/>
        <w:rPr>
          <w:rFonts w:ascii="Times New Roman" w:hAnsi="Times New Roman" w:cs="等线 Light"/>
          <w:color w:val="auto"/>
          <w:highlight w:val="none"/>
        </w:rPr>
      </w:pPr>
    </w:p>
    <w:p w14:paraId="52F51C4F">
      <w:pPr>
        <w:adjustRightInd w:val="0"/>
        <w:snapToGrid w:val="0"/>
        <w:spacing w:line="360" w:lineRule="auto"/>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5C4305B6">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7E5AFBD0">
      <w:pPr>
        <w:spacing w:line="360" w:lineRule="auto"/>
        <w:rPr>
          <w:rFonts w:ascii="Times New Roman" w:hAnsi="Times New Roman" w:cs="等线 Light"/>
          <w:color w:val="auto"/>
          <w:sz w:val="21"/>
          <w:szCs w:val="21"/>
          <w:highlight w:val="none"/>
        </w:rPr>
      </w:pPr>
    </w:p>
    <w:p w14:paraId="09731AE0">
      <w:pPr>
        <w:spacing w:line="360" w:lineRule="auto"/>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44938AB5">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color w:val="auto"/>
          <w:highlight w:val="none"/>
        </w:rPr>
        <w:t>服务水平协议（SLA）</w:t>
      </w:r>
    </w:p>
    <w:tbl>
      <w:tblPr>
        <w:tblStyle w:val="24"/>
        <w:tblW w:w="5468"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49"/>
        <w:gridCol w:w="1296"/>
        <w:gridCol w:w="1549"/>
        <w:gridCol w:w="1520"/>
        <w:gridCol w:w="1798"/>
        <w:gridCol w:w="1488"/>
      </w:tblGrid>
      <w:tr w14:paraId="09A7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B2C6C">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序号</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CCD08">
            <w:pPr>
              <w:widowControl/>
              <w:snapToGrid w:val="0"/>
              <w:spacing w:line="240" w:lineRule="auto"/>
              <w:ind w:firstLine="0" w:firstLineChars="0"/>
              <w:jc w:val="both"/>
              <w:rPr>
                <w:rFonts w:hint="eastAsia" w:ascii="宋体"/>
                <w:b/>
                <w:color w:val="auto"/>
                <w:highlight w:val="none"/>
              </w:rPr>
            </w:pPr>
            <w:r>
              <w:rPr>
                <w:rFonts w:hint="eastAsia" w:ascii="宋体"/>
                <w:b/>
                <w:color w:val="auto"/>
                <w:highlight w:val="none"/>
              </w:rPr>
              <w:t>服务内</w:t>
            </w:r>
            <w:r>
              <w:rPr>
                <w:rFonts w:ascii="宋体"/>
                <w:b/>
                <w:color w:val="auto"/>
                <w:highlight w:val="none"/>
              </w:rPr>
              <w:t xml:space="preserve"> </w:t>
            </w:r>
            <w:r>
              <w:rPr>
                <w:rFonts w:hint="eastAsia" w:ascii="宋体"/>
                <w:b/>
                <w:color w:val="auto"/>
                <w:highlight w:val="none"/>
              </w:rPr>
              <w:t>容</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0328A">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服务定义</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1FAA6">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服务标准</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073E6">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指标计算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3CFDF">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服务水平要求</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9E584">
            <w:pPr>
              <w:widowControl/>
              <w:snapToGrid w:val="0"/>
              <w:spacing w:line="320" w:lineRule="exact"/>
              <w:ind w:firstLine="0" w:firstLineChars="0"/>
              <w:jc w:val="both"/>
              <w:rPr>
                <w:rFonts w:hint="eastAsia" w:ascii="宋体"/>
                <w:b/>
                <w:color w:val="auto"/>
                <w:highlight w:val="none"/>
              </w:rPr>
            </w:pPr>
            <w:r>
              <w:rPr>
                <w:rFonts w:hint="eastAsia" w:ascii="宋体"/>
                <w:b/>
                <w:color w:val="auto"/>
                <w:highlight w:val="none"/>
              </w:rPr>
              <w:t>违约金标准</w:t>
            </w:r>
          </w:p>
        </w:tc>
      </w:tr>
      <w:tr w14:paraId="4020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CCC6A">
            <w:pPr>
              <w:widowControl/>
              <w:snapToGrid w:val="0"/>
              <w:spacing w:line="320" w:lineRule="exact"/>
              <w:ind w:firstLine="0" w:firstLineChars="0"/>
              <w:rPr>
                <w:rFonts w:hint="eastAsia" w:ascii="宋体"/>
                <w:color w:val="auto"/>
                <w:highlight w:val="none"/>
              </w:rPr>
            </w:pPr>
            <w:r>
              <w:rPr>
                <w:rFonts w:hint="eastAsia" w:ascii="宋体"/>
                <w:color w:val="auto"/>
                <w:highlight w:val="none"/>
              </w:rPr>
              <w:t>1</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2613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任务响应</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2972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衡量乙方在需求与问题响应方面的能力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A772C">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乙方在收到甲方任务后2个工作日内，向甲方反馈确认任务的实施方案、计划和工作量等</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C20C9">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甲方应当明确任务提出时间，乙方应当向甲方发出一个确认任务响应信息</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9C83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乙方不得违反承诺响应时间</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92A9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如违反承诺的响应时间要求，每次扣除1000元违约金</w:t>
            </w:r>
          </w:p>
        </w:tc>
      </w:tr>
      <w:tr w14:paraId="329B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7DB1A">
            <w:pPr>
              <w:widowControl/>
              <w:snapToGrid w:val="0"/>
              <w:spacing w:line="320" w:lineRule="exact"/>
              <w:ind w:firstLine="0" w:firstLineChars="0"/>
              <w:rPr>
                <w:rFonts w:hint="eastAsia" w:ascii="宋体"/>
                <w:color w:val="auto"/>
                <w:highlight w:val="none"/>
              </w:rPr>
            </w:pPr>
            <w:r>
              <w:rPr>
                <w:rFonts w:hint="eastAsia" w:ascii="宋体"/>
                <w:color w:val="auto"/>
                <w:highlight w:val="none"/>
              </w:rPr>
              <w:t>2</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4F58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任务完成情况</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7B25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衡量乙方按计划完成任务的能力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7CA4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乙方应当在双方确认的时间内完成任务</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4765B">
            <w:pPr>
              <w:widowControl/>
              <w:snapToGrid w:val="0"/>
              <w:spacing w:line="320" w:lineRule="exact"/>
              <w:ind w:firstLine="0" w:firstLineChars="0"/>
              <w:jc w:val="left"/>
              <w:rPr>
                <w:rFonts w:hint="eastAsia" w:ascii="宋体"/>
                <w:color w:val="auto"/>
                <w:highlight w:val="none"/>
                <w:shd w:val="solid" w:color="FFFF00" w:fill="FFFFFF"/>
              </w:rPr>
            </w:pPr>
            <w:r>
              <w:rPr>
                <w:rFonts w:hint="eastAsia" w:ascii="宋体"/>
                <w:color w:val="auto"/>
                <w:highlight w:val="none"/>
              </w:rPr>
              <w:t>任务完成及时率＝（规定时间内完成任务的次数/总任务数）×100%</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F6B8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任务完成及时率≥90%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968E0D">
            <w:pPr>
              <w:widowControl/>
              <w:snapToGrid w:val="0"/>
              <w:spacing w:line="320" w:lineRule="exact"/>
              <w:jc w:val="left"/>
              <w:rPr>
                <w:rFonts w:hint="eastAsia" w:ascii="宋体"/>
                <w:color w:val="auto"/>
                <w:highlight w:val="none"/>
              </w:rPr>
            </w:pPr>
          </w:p>
        </w:tc>
      </w:tr>
      <w:tr w14:paraId="5A74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F143E">
            <w:pPr>
              <w:widowControl/>
              <w:snapToGrid w:val="0"/>
              <w:spacing w:line="320" w:lineRule="exact"/>
              <w:ind w:firstLine="0" w:firstLineChars="0"/>
              <w:rPr>
                <w:rFonts w:hint="eastAsia" w:ascii="宋体"/>
                <w:color w:val="auto"/>
                <w:highlight w:val="none"/>
              </w:rPr>
            </w:pPr>
            <w:r>
              <w:rPr>
                <w:rFonts w:hint="eastAsia" w:ascii="宋体"/>
                <w:color w:val="auto"/>
                <w:highlight w:val="none"/>
              </w:rPr>
              <w:t>3</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3425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项目延期</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84FD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衡量乙方对项目整体实施进度的控制能力</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8A80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乙方原因导致的项目进度偏差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EA67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按项目计划为基准计算进度偏差天数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7DF8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进度偏差率=进度偏差天数/项目计划中进度天数（进度偏差率≤20%）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B60E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20%＜进度偏差率≤30%，每偏差一天按合同金额的0.1%罚款，进度偏差率＞30%并且延期3个月以上，罚款合同金额的10%</w:t>
            </w:r>
          </w:p>
        </w:tc>
      </w:tr>
      <w:tr w14:paraId="7876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EFD74">
            <w:pPr>
              <w:widowControl/>
              <w:snapToGrid w:val="0"/>
              <w:spacing w:line="320" w:lineRule="exact"/>
              <w:ind w:firstLine="0" w:firstLineChars="0"/>
              <w:rPr>
                <w:rFonts w:hint="eastAsia" w:ascii="宋体"/>
                <w:color w:val="auto"/>
                <w:highlight w:val="none"/>
              </w:rPr>
            </w:pPr>
            <w:r>
              <w:rPr>
                <w:rFonts w:ascii="宋体"/>
                <w:color w:val="auto"/>
                <w:highlight w:val="none"/>
              </w:rPr>
              <w:t>4</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2624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交付文档数量及质量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B7DDD">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衡量甲方内部人员对乙方所提供文档的满意情况</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BAFE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交付文档数量及质量满足甲方要求</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7A0D">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甲方根据乙方实际交付的文档数量及文档质量计算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B598D">
            <w:pPr>
              <w:widowControl/>
              <w:snapToGrid w:val="0"/>
              <w:spacing w:line="320" w:lineRule="exact"/>
              <w:ind w:firstLine="0" w:firstLineChars="0"/>
              <w:jc w:val="left"/>
              <w:rPr>
                <w:rFonts w:ascii="宋体" w:eastAsia="宋体"/>
                <w:color w:val="auto"/>
                <w:highlight w:val="none"/>
                <w:lang w:val="en-US" w:eastAsia="zh-CN"/>
              </w:rPr>
            </w:pPr>
            <w:r>
              <w:rPr>
                <w:rFonts w:ascii="宋体"/>
                <w:color w:val="auto"/>
                <w:highlight w:val="none"/>
                <w:lang w:val="en-US"/>
              </w:rPr>
              <w:t>文档实际交付数量不少于甲方要求数量（文档实际交付数量是指文档交付甲方后甲方确认文档质量并实际接收的文档数量）</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74CC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文档每缺少一个扣除合同金额2000元；每有一个文档质量不合格扣除合同金额2000元</w:t>
            </w:r>
          </w:p>
        </w:tc>
      </w:tr>
      <w:tr w14:paraId="1D92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FEFED">
            <w:pPr>
              <w:widowControl/>
              <w:snapToGrid w:val="0"/>
              <w:spacing w:line="320" w:lineRule="exact"/>
              <w:ind w:firstLine="0" w:firstLineChars="0"/>
              <w:rPr>
                <w:rFonts w:hint="eastAsia" w:ascii="宋体"/>
                <w:color w:val="auto"/>
                <w:highlight w:val="none"/>
              </w:rPr>
            </w:pPr>
            <w:r>
              <w:rPr>
                <w:rFonts w:ascii="宋体"/>
                <w:color w:val="auto"/>
                <w:highlight w:val="none"/>
              </w:rPr>
              <w:t>5</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CB9B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lang w:val="en-US" w:eastAsia="zh-CN"/>
              </w:rPr>
              <w:t>项目质量</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74EAF">
            <w:pPr>
              <w:widowControl/>
              <w:snapToGrid w:val="0"/>
              <w:spacing w:line="320" w:lineRule="exact"/>
              <w:ind w:firstLine="0" w:firstLineChars="0"/>
              <w:jc w:val="left"/>
              <w:rPr>
                <w:rFonts w:ascii="宋体"/>
                <w:color w:val="auto"/>
                <w:highlight w:val="none"/>
                <w:lang w:val="en-US"/>
              </w:rPr>
            </w:pPr>
            <w:r>
              <w:rPr>
                <w:rFonts w:hint="eastAsia" w:ascii="宋体"/>
                <w:color w:val="auto"/>
                <w:highlight w:val="none"/>
              </w:rPr>
              <w:t>衡量乙方</w:t>
            </w:r>
            <w:r>
              <w:rPr>
                <w:rFonts w:hint="eastAsia" w:ascii="宋体"/>
                <w:color w:val="auto"/>
                <w:highlight w:val="none"/>
                <w:lang w:val="en-US" w:eastAsia="zh-CN"/>
              </w:rPr>
              <w:t>项目是否按照甲方要求完成</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12D6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lang w:val="en-US" w:eastAsia="zh-CN"/>
              </w:rPr>
              <w:t>乙方原因导致项目完成度偏差</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74B2D">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rPr>
              <w:t>甲方</w:t>
            </w:r>
            <w:r>
              <w:rPr>
                <w:rFonts w:hint="eastAsia" w:ascii="宋体"/>
                <w:color w:val="auto"/>
                <w:highlight w:val="none"/>
                <w:lang w:val="en-US" w:eastAsia="zh-CN"/>
              </w:rPr>
              <w:t>根据乙方的项目实施成果进行计算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0CB0E">
            <w:pPr>
              <w:widowControl/>
              <w:snapToGrid w:val="0"/>
              <w:spacing w:line="320" w:lineRule="exact"/>
              <w:ind w:left="0" w:firstLine="0" w:firstLineChars="0"/>
              <w:jc w:val="both"/>
              <w:rPr>
                <w:rFonts w:hint="eastAsia" w:ascii="宋体"/>
                <w:color w:val="auto"/>
                <w:highlight w:val="none"/>
              </w:rPr>
            </w:pPr>
            <w:r>
              <w:rPr>
                <w:rFonts w:ascii="宋体"/>
                <w:color w:val="auto"/>
                <w:highlight w:val="none"/>
                <w:lang w:val="en-US" w:eastAsia="zh-CN"/>
              </w:rPr>
              <w:t>甲方获取信息安全管理体系证书</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2C50C">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lang w:val="en-US" w:eastAsia="zh-CN"/>
              </w:rPr>
              <w:t>如因乙方原因导致甲方未获取信息安全管理体系认证证书，甲方扣除乙方合同全部金额</w:t>
            </w:r>
          </w:p>
        </w:tc>
      </w:tr>
      <w:tr w14:paraId="57F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9BD75">
            <w:pPr>
              <w:widowControl/>
              <w:snapToGrid w:val="0"/>
              <w:spacing w:line="320" w:lineRule="exact"/>
              <w:ind w:firstLine="0" w:firstLineChars="0"/>
              <w:rPr>
                <w:rFonts w:hint="eastAsia" w:ascii="宋体"/>
                <w:color w:val="auto"/>
                <w:highlight w:val="none"/>
              </w:rPr>
            </w:pPr>
            <w:r>
              <w:rPr>
                <w:rFonts w:ascii="宋体"/>
                <w:color w:val="auto"/>
                <w:highlight w:val="none"/>
              </w:rPr>
              <w:t>6</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C442A">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人员异常退出</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51E7C">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衡量乙方人员是否提供持续服务</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6C54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未经甲方同意，乙方人员辞职和离职或无计划的调离项目组</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B93F7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甲方根据乙方人员退出的具体时间和原因测算</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7BDD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人员异常退出次数=0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41724">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每次人员异常退出扣除乙方金额人民币</w:t>
            </w:r>
            <w:r>
              <w:rPr>
                <w:rFonts w:ascii="宋体"/>
                <w:color w:val="auto"/>
                <w:highlight w:val="none"/>
              </w:rPr>
              <w:t>5</w:t>
            </w:r>
            <w:r>
              <w:rPr>
                <w:rFonts w:hint="eastAsia" w:ascii="宋体"/>
                <w:color w:val="auto"/>
                <w:highlight w:val="none"/>
              </w:rPr>
              <w:t>000元</w:t>
            </w:r>
          </w:p>
        </w:tc>
      </w:tr>
      <w:tr w14:paraId="6F8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F76D2">
            <w:pPr>
              <w:widowControl/>
              <w:snapToGrid w:val="0"/>
              <w:spacing w:line="320" w:lineRule="atLeast"/>
              <w:ind w:firstLine="0" w:firstLineChars="0"/>
              <w:rPr>
                <w:rFonts w:hint="eastAsia" w:ascii="宋体"/>
                <w:color w:val="auto"/>
                <w:highlight w:val="none"/>
              </w:rPr>
            </w:pPr>
            <w:r>
              <w:rPr>
                <w:rFonts w:ascii="宋体"/>
                <w:color w:val="auto"/>
                <w:highlight w:val="none"/>
              </w:rPr>
              <w:t>7</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EB89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人员纪律性</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39D2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衡量乙方人员是否遵守甲方的日常规章和操作规范</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4A439">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乙方人员不得违反甲方的各项规章制度和操作规范</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8E1AE">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甲方根据自身检查及其他管理部门的检查结果为依据统计乙方人员违规次数。</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7987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人员违规次数=0次</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AD9F1">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乙方人员违规每次扣除乙方金额人民币500元</w:t>
            </w:r>
          </w:p>
        </w:tc>
      </w:tr>
      <w:tr w14:paraId="2C2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6B92A">
            <w:pPr>
              <w:widowControl/>
              <w:snapToGrid w:val="0"/>
              <w:spacing w:line="320" w:lineRule="atLeast"/>
              <w:ind w:firstLine="0" w:firstLineChars="0"/>
              <w:rPr>
                <w:rFonts w:hint="eastAsia" w:ascii="宋体"/>
                <w:color w:val="auto"/>
                <w:highlight w:val="none"/>
              </w:rPr>
            </w:pPr>
            <w:r>
              <w:rPr>
                <w:rFonts w:ascii="宋体"/>
                <w:color w:val="auto"/>
                <w:highlight w:val="none"/>
              </w:rPr>
              <w:t>8</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98C89">
            <w:pPr>
              <w:widowControl/>
              <w:spacing w:line="320" w:lineRule="atLeast"/>
              <w:ind w:firstLine="0" w:firstLineChars="0"/>
              <w:jc w:val="left"/>
              <w:rPr>
                <w:rFonts w:hint="eastAsia" w:ascii="宋体"/>
                <w:color w:val="auto"/>
                <w:highlight w:val="none"/>
              </w:rPr>
            </w:pPr>
            <w:r>
              <w:rPr>
                <w:rFonts w:ascii="宋体"/>
                <w:color w:val="auto"/>
                <w:highlight w:val="none"/>
              </w:rPr>
              <w:t>网络安全事件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7AA7F">
            <w:pPr>
              <w:widowControl/>
              <w:spacing w:line="320" w:lineRule="atLeast"/>
              <w:ind w:firstLine="0" w:firstLineChars="0"/>
              <w:jc w:val="left"/>
              <w:rPr>
                <w:rFonts w:hint="eastAsia" w:ascii="宋体"/>
                <w:color w:val="auto"/>
                <w:highlight w:val="none"/>
              </w:rPr>
            </w:pPr>
            <w:r>
              <w:rPr>
                <w:rFonts w:hint="eastAsia" w:ascii="宋体"/>
                <w:color w:val="auto"/>
                <w:highlight w:val="none"/>
              </w:rPr>
              <w:t>控制网络安全风险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13E49">
            <w:pPr>
              <w:widowControl/>
              <w:spacing w:line="320" w:lineRule="atLeast"/>
              <w:ind w:firstLine="0" w:firstLineChars="0"/>
              <w:jc w:val="left"/>
              <w:rPr>
                <w:rFonts w:hint="eastAsia" w:ascii="宋体"/>
                <w:color w:val="auto"/>
                <w:highlight w:val="none"/>
              </w:rPr>
            </w:pPr>
            <w:r>
              <w:rPr>
                <w:rFonts w:hint="eastAsia" w:ascii="宋体"/>
                <w:color w:val="auto"/>
                <w:highlight w:val="none"/>
              </w:rPr>
              <w:t>不得因乙方原因（含乙方合作的第三方）导致甲方发生网络安全事件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889E6">
            <w:pPr>
              <w:widowControl/>
              <w:spacing w:line="320" w:lineRule="atLeast"/>
              <w:ind w:firstLine="0" w:firstLineChars="0"/>
              <w:jc w:val="left"/>
              <w:rPr>
                <w:rFonts w:hint="eastAsia" w:ascii="宋体"/>
                <w:color w:val="auto"/>
                <w:highlight w:val="none"/>
              </w:rPr>
            </w:pPr>
            <w:r>
              <w:rPr>
                <w:rFonts w:hint="eastAsia" w:ascii="宋体"/>
                <w:color w:val="auto"/>
                <w:highlight w:val="none"/>
              </w:rPr>
              <w:t>甲方根据监管及本行要求及事件危害程度判定。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D0151">
            <w:pPr>
              <w:widowControl/>
              <w:spacing w:line="320" w:lineRule="atLeast"/>
              <w:ind w:firstLine="0" w:firstLineChars="0"/>
              <w:jc w:val="left"/>
              <w:rPr>
                <w:rFonts w:hint="eastAsia" w:ascii="宋体"/>
                <w:color w:val="auto"/>
                <w:highlight w:val="none"/>
              </w:rPr>
            </w:pPr>
            <w:r>
              <w:rPr>
                <w:rFonts w:hint="eastAsia" w:ascii="宋体"/>
                <w:color w:val="auto"/>
                <w:highlight w:val="none"/>
              </w:rPr>
              <w:t>网络安全事件=0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9B007">
            <w:pPr>
              <w:widowControl/>
              <w:spacing w:line="320" w:lineRule="atLeast"/>
              <w:ind w:firstLine="0" w:firstLineChars="0"/>
              <w:jc w:val="left"/>
              <w:rPr>
                <w:rFonts w:hint="eastAsia" w:ascii="宋体"/>
                <w:color w:val="auto"/>
                <w:highlight w:val="none"/>
              </w:rPr>
            </w:pPr>
            <w:r>
              <w:rPr>
                <w:rFonts w:hint="eastAsia" w:ascii="宋体"/>
                <w:color w:val="auto"/>
                <w:highlight w:val="none"/>
              </w:rPr>
              <w:t>每发生一次网络安全事件扣除乙方合同金额不低于3%,并要求乙方赔偿实际损失。</w:t>
            </w:r>
          </w:p>
        </w:tc>
      </w:tr>
      <w:tr w14:paraId="2840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551269">
            <w:pPr>
              <w:widowControl/>
              <w:snapToGrid w:val="0"/>
              <w:spacing w:line="320" w:lineRule="atLeast"/>
              <w:ind w:firstLine="0" w:firstLineChars="0"/>
              <w:rPr>
                <w:rFonts w:hint="eastAsia" w:ascii="宋体"/>
                <w:color w:val="auto"/>
                <w:highlight w:val="none"/>
              </w:rPr>
            </w:pPr>
            <w:r>
              <w:rPr>
                <w:rFonts w:ascii="宋体"/>
                <w:color w:val="auto"/>
                <w:highlight w:val="none"/>
              </w:rPr>
              <w:t>9</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9C70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外包安全事件</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79CB4">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控制外包操作风险</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E411B">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乙方不得出现危害甲方生产运行安全、数据安全等外包安全事件。</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972F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甲方根据监管要求及时间的危害程度判定</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E04D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根据甲方监管要求定义的安全事件，包括造成办公环境物理安全隐患，破坏测试环境数据，在生产运营系统上违反规定进行数据操作或在实施过程中留下信息系统后门等行为。（外包安全事件=0）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1D6A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每次事件扣除乙方金额不低于人民币1000元，并要求乙方赔偿实际损失。</w:t>
            </w:r>
          </w:p>
        </w:tc>
      </w:tr>
      <w:tr w14:paraId="594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CC8A83">
            <w:pPr>
              <w:widowControl/>
              <w:snapToGrid w:val="0"/>
              <w:spacing w:line="320" w:lineRule="exact"/>
              <w:ind w:firstLine="0" w:firstLineChars="0"/>
              <w:jc w:val="both"/>
              <w:rPr>
                <w:rFonts w:hint="eastAsia" w:ascii="宋体"/>
                <w:color w:val="auto"/>
                <w:highlight w:val="none"/>
              </w:rPr>
            </w:pPr>
            <w:r>
              <w:rPr>
                <w:rFonts w:hint="eastAsia" w:ascii="宋体"/>
                <w:color w:val="auto"/>
                <w:highlight w:val="none"/>
              </w:rPr>
              <w:t>合计</w:t>
            </w:r>
          </w:p>
        </w:tc>
        <w:tc>
          <w:tcPr>
            <w:tcW w:w="4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C3E05">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w:t>
            </w:r>
          </w:p>
        </w:tc>
        <w:tc>
          <w:tcPr>
            <w:tcW w:w="6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C5092">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此数据是衡量满足要求的SLA个数与整体SLA个数的百分之整体的比率</w:t>
            </w:r>
          </w:p>
        </w:tc>
        <w:tc>
          <w:tcPr>
            <w:tcW w:w="7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3DED6">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衡量乙方达到要求的SLA占全部SLA的百分比。</w:t>
            </w:r>
          </w:p>
        </w:tc>
        <w:tc>
          <w:tcPr>
            <w:tcW w:w="7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5E0A50">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为了这个度量报告，需要持续汇报SOW中所有SLA情况。</w:t>
            </w:r>
          </w:p>
        </w:tc>
        <w:tc>
          <w:tcPr>
            <w:tcW w:w="8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9E168">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SLA满足率＝（满足SLA的个数/总体SLA的个数）×100%（SLA满足率≥70%）</w:t>
            </w:r>
          </w:p>
        </w:tc>
        <w:tc>
          <w:tcPr>
            <w:tcW w:w="7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57B53">
            <w:pPr>
              <w:widowControl/>
              <w:snapToGrid w:val="0"/>
              <w:spacing w:line="320" w:lineRule="exact"/>
              <w:ind w:firstLine="0" w:firstLineChars="0"/>
              <w:jc w:val="left"/>
              <w:rPr>
                <w:rFonts w:hint="eastAsia" w:ascii="宋体"/>
                <w:color w:val="auto"/>
                <w:highlight w:val="none"/>
              </w:rPr>
            </w:pPr>
            <w:r>
              <w:rPr>
                <w:rFonts w:hint="eastAsia" w:ascii="宋体"/>
                <w:color w:val="auto"/>
                <w:highlight w:val="none"/>
              </w:rPr>
              <w:t>SLA满足率每低于标准5%，扣除合同金额的1%</w:t>
            </w:r>
          </w:p>
        </w:tc>
      </w:tr>
    </w:tbl>
    <w:p w14:paraId="38C9981E">
      <w:pPr>
        <w:rPr>
          <w:rFonts w:ascii="Times New Roman" w:hAnsi="Times New Roman"/>
          <w:color w:val="auto"/>
          <w:highlight w:val="none"/>
        </w:rPr>
      </w:pPr>
    </w:p>
    <w:p w14:paraId="2CC8CFCE">
      <w:pPr>
        <w:rPr>
          <w:rFonts w:ascii="Times New Roman" w:hAnsi="Times New Roman"/>
          <w:color w:val="auto"/>
          <w:highlight w:val="none"/>
        </w:rPr>
      </w:pPr>
    </w:p>
    <w:p w14:paraId="4B43CEC5">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5527CDD5">
      <w:pPr>
        <w:pStyle w:val="38"/>
        <w:bidi w:val="0"/>
        <w:rPr>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拟供人员简历</w:t>
      </w:r>
    </w:p>
    <w:p w14:paraId="4D3650FA">
      <w:pPr>
        <w:bidi w:val="0"/>
        <w:ind w:left="0" w:leftChars="0" w:right="0" w:rightChars="0" w:firstLine="0" w:firstLineChars="0"/>
        <w:jc w:val="center"/>
        <w:rPr>
          <w:rFonts w:hint="default" w:eastAsia="宋体"/>
          <w:color w:val="auto"/>
          <w:highlight w:val="none"/>
          <w:lang w:val="en-US" w:eastAsia="zh-CN"/>
        </w:rPr>
      </w:pPr>
      <w:r>
        <w:rPr>
          <w:rFonts w:hint="eastAsia"/>
          <w:color w:val="auto"/>
          <w:highlight w:val="none"/>
          <w:lang w:val="en-US" w:eastAsia="zh-CN"/>
        </w:rPr>
        <w:t>（根据第三章第4条提供拟供人员简历）</w:t>
      </w:r>
    </w:p>
    <w:p w14:paraId="32B8FC69">
      <w:pPr>
        <w:bidi w:val="0"/>
        <w:rPr>
          <w:rFonts w:hint="eastAsia"/>
          <w:color w:val="auto"/>
          <w:highlight w:val="none"/>
        </w:rPr>
      </w:pPr>
    </w:p>
    <w:p w14:paraId="540CB0BE">
      <w:pPr>
        <w:bidi w:val="0"/>
        <w:rPr>
          <w:color w:val="auto"/>
          <w:highlight w:val="none"/>
        </w:rPr>
      </w:pPr>
      <w:r>
        <w:rPr>
          <w:rFonts w:hint="eastAsia"/>
          <w:color w:val="auto"/>
          <w:highlight w:val="none"/>
        </w:rPr>
        <w:br w:type="page"/>
      </w:r>
    </w:p>
    <w:p w14:paraId="13BEC820">
      <w:pPr>
        <w:pStyle w:val="38"/>
        <w:rPr>
          <w:color w:val="auto"/>
          <w:highlight w:val="none"/>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拟供人员专业认证证书及</w:t>
      </w:r>
      <w:r>
        <w:rPr>
          <w:rFonts w:hint="eastAsia"/>
          <w:color w:val="auto"/>
          <w:highlight w:val="none"/>
        </w:rPr>
        <w:t>参与过相关项目证明材料</w:t>
      </w:r>
    </w:p>
    <w:p w14:paraId="6D1A6118">
      <w:pPr>
        <w:bidi w:val="0"/>
        <w:ind w:left="0" w:leftChars="0" w:right="0" w:rightChars="0" w:firstLine="0" w:firstLineChars="0"/>
        <w:jc w:val="center"/>
        <w:rPr>
          <w:rFonts w:hint="default" w:eastAsia="宋体"/>
          <w:color w:val="auto"/>
          <w:highlight w:val="none"/>
          <w:lang w:val="en-US" w:eastAsia="zh-CN"/>
        </w:rPr>
      </w:pPr>
      <w:r>
        <w:rPr>
          <w:rFonts w:hint="eastAsia"/>
          <w:color w:val="auto"/>
          <w:highlight w:val="none"/>
          <w:lang w:val="en-US" w:eastAsia="zh-CN"/>
        </w:rPr>
        <w:t>（根据第三章第4条提供</w:t>
      </w:r>
      <w:r>
        <w:rPr>
          <w:rFonts w:hint="eastAsia" w:ascii="Times New Roman" w:hAnsi="Times New Roman"/>
          <w:color w:val="auto"/>
          <w:highlight w:val="none"/>
          <w:lang w:val="en-US" w:eastAsia="zh-CN"/>
        </w:rPr>
        <w:t>拟供人员专业认证证书及</w:t>
      </w:r>
      <w:r>
        <w:rPr>
          <w:rFonts w:hint="eastAsia" w:ascii="Times New Roman" w:hAnsi="Times New Roman"/>
          <w:color w:val="auto"/>
          <w:highlight w:val="none"/>
        </w:rPr>
        <w:t>参与过相关项目证明材料</w:t>
      </w:r>
      <w:r>
        <w:rPr>
          <w:rFonts w:hint="eastAsia"/>
          <w:color w:val="auto"/>
          <w:highlight w:val="none"/>
          <w:lang w:val="en-US" w:eastAsia="zh-CN"/>
        </w:rPr>
        <w:t>）</w:t>
      </w:r>
    </w:p>
    <w:p w14:paraId="73FB7B3B">
      <w:pPr>
        <w:bidi w:val="0"/>
        <w:rPr>
          <w:color w:val="auto"/>
          <w:highlight w:val="none"/>
        </w:rPr>
      </w:pPr>
      <w:r>
        <w:rPr>
          <w:rFonts w:hint="eastAsia"/>
          <w:color w:val="auto"/>
          <w:highlight w:val="none"/>
        </w:rPr>
        <w:br w:type="page"/>
      </w:r>
    </w:p>
    <w:p w14:paraId="6A555437">
      <w:pPr>
        <w:pStyle w:val="38"/>
        <w:rPr>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咨询服务人员的社保缴纳证明及相关材料</w:t>
      </w:r>
    </w:p>
    <w:p w14:paraId="2957D776">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w:t>
      </w:r>
      <w:r>
        <w:rPr>
          <w:rFonts w:hint="eastAsia"/>
          <w:color w:val="auto"/>
          <w:highlight w:val="none"/>
          <w:lang w:val="en-US" w:eastAsia="zh-CN"/>
        </w:rPr>
        <w:t>根据第三章第4条提供咨询服务人员的社保缴纳证明及相关材料。</w:t>
      </w:r>
      <w:r>
        <w:rPr>
          <w:rFonts w:ascii="Times New Roman" w:hAnsi="Times New Roman"/>
          <w:color w:val="auto"/>
          <w:highlight w:val="none"/>
        </w:rPr>
        <w:t>若咨询服务人员社保委托第三方公司代缴，需提供代缴材料证明。</w:t>
      </w:r>
      <w:r>
        <w:rPr>
          <w:rFonts w:hint="eastAsia" w:ascii="Times New Roman" w:hAnsi="Times New Roman"/>
          <w:snapToGrid w:val="0"/>
          <w:color w:val="auto"/>
          <w:kern w:val="0"/>
          <w:szCs w:val="24"/>
          <w:highlight w:val="none"/>
        </w:rPr>
        <w:t>）</w:t>
      </w:r>
    </w:p>
    <w:p w14:paraId="2F75487C">
      <w:pPr>
        <w:bidi w:val="0"/>
        <w:rPr>
          <w:color w:val="auto"/>
          <w:highlight w:val="none"/>
        </w:rPr>
      </w:pPr>
      <w:r>
        <w:rPr>
          <w:rFonts w:hint="eastAsia"/>
          <w:color w:val="auto"/>
          <w:highlight w:val="none"/>
        </w:rPr>
        <w:br w:type="page"/>
      </w:r>
    </w:p>
    <w:p w14:paraId="1AAD36CB">
      <w:pPr>
        <w:pStyle w:val="38"/>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color w:val="auto"/>
          <w:highlight w:val="none"/>
        </w:rPr>
        <w:t>服务连续性预案</w:t>
      </w:r>
    </w:p>
    <w:p w14:paraId="3A0410A3">
      <w:pPr>
        <w:ind w:firstLine="0" w:firstLineChars="0"/>
        <w:jc w:val="center"/>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108E9D88">
      <w:pPr>
        <w:rPr>
          <w:rFonts w:ascii="Times New Roman" w:hAnsi="Times New Roman"/>
          <w:color w:val="auto"/>
          <w:highlight w:val="none"/>
        </w:rPr>
      </w:pPr>
    </w:p>
    <w:p w14:paraId="118CD7C3">
      <w:pPr>
        <w:rPr>
          <w:rFonts w:ascii="Times New Roman" w:hAnsi="Times New Roman"/>
          <w:color w:val="auto"/>
          <w:highlight w:val="none"/>
        </w:rPr>
      </w:pPr>
    </w:p>
    <w:p w14:paraId="2F942F45">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39CF5FC8">
      <w:pPr>
        <w:pStyle w:val="38"/>
        <w:rPr>
          <w:color w:val="auto"/>
          <w:highlight w:val="none"/>
        </w:rPr>
      </w:pPr>
      <w:r>
        <w:rPr>
          <w:rFonts w:hint="eastAsia"/>
          <w:color w:val="auto"/>
          <w:highlight w:val="none"/>
          <w:lang w:eastAsia="zh-CN"/>
        </w:rPr>
        <w:t>（</w:t>
      </w:r>
      <w:r>
        <w:rPr>
          <w:rFonts w:hint="eastAsia"/>
          <w:color w:val="auto"/>
          <w:highlight w:val="none"/>
          <w:lang w:val="en-US" w:eastAsia="zh-CN"/>
        </w:rPr>
        <w:t>八</w:t>
      </w:r>
      <w:r>
        <w:rPr>
          <w:rFonts w:hint="eastAsia"/>
          <w:color w:val="auto"/>
          <w:highlight w:val="none"/>
          <w:lang w:eastAsia="zh-CN"/>
        </w:rPr>
        <w:t>）</w:t>
      </w:r>
      <w:r>
        <w:rPr>
          <w:color w:val="auto"/>
          <w:highlight w:val="none"/>
        </w:rPr>
        <w:t>项目实施方案</w:t>
      </w:r>
    </w:p>
    <w:p w14:paraId="51EA0F77">
      <w:pPr>
        <w:tabs>
          <w:tab w:val="left" w:pos="6300"/>
        </w:tabs>
        <w:snapToGrid w:val="0"/>
        <w:spacing w:line="360" w:lineRule="auto"/>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w:t>
      </w:r>
      <w:r>
        <w:rPr>
          <w:rFonts w:hint="eastAsia" w:ascii="宋体" w:hAnsi="Times New Roman" w:cs="宋体"/>
          <w:snapToGrid w:val="0"/>
          <w:color w:val="auto"/>
          <w:kern w:val="0"/>
          <w:sz w:val="20"/>
          <w:highlight w:val="none"/>
        </w:rPr>
        <w:t>实施方案</w:t>
      </w:r>
      <w:r>
        <w:rPr>
          <w:rFonts w:ascii="宋体" w:hAnsi="Times New Roman" w:cs="宋体"/>
          <w:snapToGrid w:val="0"/>
          <w:color w:val="auto"/>
          <w:kern w:val="0"/>
          <w:sz w:val="20"/>
          <w:highlight w:val="none"/>
        </w:rPr>
        <w:t>包括</w:t>
      </w:r>
      <w:r>
        <w:rPr>
          <w:rFonts w:hint="eastAsia" w:ascii="宋体" w:hAnsi="Times New Roman" w:cs="宋体"/>
          <w:color w:val="auto"/>
          <w:kern w:val="0"/>
          <w:sz w:val="20"/>
          <w:highlight w:val="none"/>
        </w:rPr>
        <w:t>人员组织安排计划、</w:t>
      </w:r>
      <w:r>
        <w:rPr>
          <w:rFonts w:ascii="宋体" w:hAnsi="Times New Roman" w:cs="宋体"/>
          <w:color w:val="auto"/>
          <w:kern w:val="0"/>
          <w:sz w:val="20"/>
          <w:highlight w:val="none"/>
        </w:rPr>
        <w:t>信息安全风险评估、</w:t>
      </w:r>
      <w:r>
        <w:rPr>
          <w:rFonts w:ascii="宋体" w:cs="宋体"/>
          <w:color w:val="auto"/>
          <w:kern w:val="0"/>
          <w:sz w:val="20"/>
          <w:highlight w:val="none"/>
        </w:rPr>
        <w:t>信息安全管理体系设计方案、信息安全管理体系运行和优化方案、信息安全管理体系内审流程</w:t>
      </w:r>
      <w:r>
        <w:rPr>
          <w:rFonts w:hint="eastAsia" w:ascii="宋体" w:hAnsi="Times New Roman" w:cs="宋体"/>
          <w:color w:val="auto"/>
          <w:kern w:val="0"/>
          <w:sz w:val="20"/>
          <w:highlight w:val="none"/>
        </w:rPr>
        <w:t>、培</w:t>
      </w:r>
      <w:r>
        <w:rPr>
          <w:rFonts w:ascii="宋体" w:hAnsi="Times New Roman" w:cs="宋体"/>
          <w:color w:val="auto"/>
          <w:kern w:val="0"/>
          <w:sz w:val="20"/>
          <w:highlight w:val="none"/>
        </w:rPr>
        <w:t>训</w:t>
      </w:r>
      <w:r>
        <w:rPr>
          <w:rFonts w:hint="eastAsia" w:ascii="宋体" w:hAnsi="Times New Roman" w:cs="宋体"/>
          <w:color w:val="auto"/>
          <w:kern w:val="0"/>
          <w:sz w:val="20"/>
          <w:highlight w:val="none"/>
        </w:rPr>
        <w:t>等</w:t>
      </w:r>
      <w:r>
        <w:rPr>
          <w:rFonts w:hint="eastAsia" w:ascii="Times New Roman" w:hAnsi="Times New Roman" w:cs="宋体"/>
          <w:color w:val="auto"/>
          <w:kern w:val="0"/>
          <w:highlight w:val="none"/>
        </w:rPr>
        <w:t>。</w:t>
      </w:r>
      <w:r>
        <w:rPr>
          <w:rFonts w:hint="eastAsia" w:ascii="Times New Roman" w:hAnsi="Times New Roman"/>
          <w:snapToGrid w:val="0"/>
          <w:color w:val="auto"/>
          <w:kern w:val="0"/>
          <w:szCs w:val="24"/>
          <w:highlight w:val="none"/>
        </w:rPr>
        <w:t>）</w:t>
      </w:r>
    </w:p>
    <w:p w14:paraId="4F60946C">
      <w:pPr>
        <w:bidi w:val="0"/>
        <w:rPr>
          <w:color w:val="auto"/>
          <w:highlight w:val="none"/>
        </w:rPr>
      </w:pPr>
      <w:r>
        <w:rPr>
          <w:rFonts w:hint="eastAsia"/>
          <w:color w:val="auto"/>
          <w:highlight w:val="none"/>
        </w:rPr>
        <w:br w:type="page"/>
      </w:r>
    </w:p>
    <w:p w14:paraId="561F10DD">
      <w:pPr>
        <w:pStyle w:val="38"/>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九</w:t>
      </w:r>
      <w:r>
        <w:rPr>
          <w:rFonts w:hint="eastAsia"/>
          <w:color w:val="auto"/>
          <w:highlight w:val="none"/>
          <w:lang w:eastAsia="zh-CN"/>
        </w:rPr>
        <w:t>）</w:t>
      </w:r>
      <w:r>
        <w:rPr>
          <w:rFonts w:hint="eastAsia"/>
          <w:color w:val="auto"/>
          <w:highlight w:val="none"/>
          <w:lang w:val="en-US" w:eastAsia="zh-CN"/>
        </w:rPr>
        <w:t>其他（如有）</w:t>
      </w:r>
    </w:p>
    <w:p w14:paraId="652AE4A2">
      <w:pPr>
        <w:bidi w:val="0"/>
        <w:rPr>
          <w:rFonts w:hint="eastAsia"/>
          <w:color w:val="auto"/>
          <w:highlight w:val="none"/>
        </w:rPr>
      </w:pPr>
    </w:p>
    <w:p w14:paraId="247B3F7C">
      <w:pPr>
        <w:bidi w:val="0"/>
        <w:rPr>
          <w:color w:val="auto"/>
          <w:highlight w:val="none"/>
        </w:rPr>
      </w:pPr>
      <w:r>
        <w:rPr>
          <w:rFonts w:hint="eastAsia"/>
          <w:color w:val="auto"/>
          <w:highlight w:val="none"/>
        </w:rPr>
        <w:br w:type="page"/>
      </w:r>
    </w:p>
    <w:p w14:paraId="39887A5C">
      <w:pPr>
        <w:pStyle w:val="30"/>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ascii="Times New Roman" w:hAnsi="Times New Roman"/>
          <w:color w:val="auto"/>
          <w:highlight w:val="none"/>
          <w:lang w:val="en-US" w:eastAsia="zh-CN"/>
        </w:rPr>
        <w:t>五</w:t>
      </w:r>
      <w:r>
        <w:rPr>
          <w:rFonts w:ascii="Times New Roman" w:hAnsi="Times New Roman"/>
          <w:color w:val="auto"/>
          <w:highlight w:val="none"/>
        </w:rPr>
        <w:t>、</w:t>
      </w:r>
      <w:r>
        <w:rPr>
          <w:rFonts w:hint="eastAsia"/>
          <w:color w:val="auto"/>
          <w:highlight w:val="none"/>
          <w:lang w:val="en-US" w:eastAsia="zh-CN"/>
        </w:rPr>
        <w:t>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highlight w:val="none"/>
        </w:rPr>
        <w:t>）</w:t>
      </w:r>
    </w:p>
    <w:p w14:paraId="0B7CA9DD">
      <w:pPr>
        <w:rPr>
          <w:color w:val="auto"/>
          <w:highlight w:val="none"/>
        </w:rPr>
      </w:pPr>
    </w:p>
    <w:p w14:paraId="4B3644E5">
      <w:pPr>
        <w:rPr>
          <w:rFonts w:ascii="Times New Roman" w:hAnsi="Times New Roman"/>
          <w:color w:val="auto"/>
          <w:highlight w:val="none"/>
        </w:rPr>
      </w:pPr>
    </w:p>
    <w:p w14:paraId="64A496B2">
      <w:pPr>
        <w:rPr>
          <w:rFonts w:ascii="Times New Roman" w:hAnsi="Times New Roman"/>
          <w:color w:val="auto"/>
          <w:highlight w:val="none"/>
        </w:rPr>
        <w:sectPr>
          <w:pgSz w:w="11906" w:h="16838"/>
          <w:pgMar w:top="1440" w:right="1800" w:bottom="1440" w:left="1800" w:header="851" w:footer="992" w:gutter="0"/>
          <w:pgNumType w:fmt="decimal"/>
          <w:cols w:space="425" w:num="1"/>
          <w:docGrid w:type="lines" w:linePitch="312" w:charSpace="0"/>
        </w:sectPr>
      </w:pPr>
    </w:p>
    <w:p w14:paraId="48D8521B">
      <w:pPr>
        <w:pStyle w:val="30"/>
        <w:rPr>
          <w:rFonts w:ascii="Times New Roman" w:hAnsi="Times New Roman"/>
          <w:color w:val="auto"/>
          <w:highlight w:val="none"/>
        </w:rPr>
      </w:pPr>
      <w:r>
        <w:rPr>
          <w:rFonts w:hint="eastAsia" w:ascii="Times New Roman" w:hAnsi="Times New Roman"/>
          <w:color w:val="auto"/>
          <w:highlight w:val="none"/>
          <w:lang w:val="en-US" w:eastAsia="zh-CN"/>
        </w:rPr>
        <w:t>六</w:t>
      </w:r>
      <w:r>
        <w:rPr>
          <w:rFonts w:ascii="Times New Roman" w:hAnsi="Times New Roman"/>
          <w:color w:val="auto"/>
          <w:highlight w:val="none"/>
        </w:rPr>
        <w:t>、其他（如有）</w:t>
      </w:r>
    </w:p>
    <w:p w14:paraId="5AAD7068">
      <w:pPr>
        <w:rPr>
          <w:rFonts w:ascii="Times New Roman" w:hAnsi="Times New Roman"/>
          <w:color w:val="auto"/>
          <w:highlight w:val="none"/>
        </w:rPr>
      </w:pPr>
    </w:p>
    <w:p w14:paraId="5546BBAC">
      <w:pPr>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BCD2">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E664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2E664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3">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4BE0C95"/>
    <w:rsid w:val="072D4EF7"/>
    <w:rsid w:val="1BB715B9"/>
    <w:rsid w:val="1E0F4A61"/>
    <w:rsid w:val="26F5B695"/>
    <w:rsid w:val="3196159F"/>
    <w:rsid w:val="35E67B1D"/>
    <w:rsid w:val="36F445B4"/>
    <w:rsid w:val="392A36AD"/>
    <w:rsid w:val="5DD067F8"/>
    <w:rsid w:val="61E95546"/>
    <w:rsid w:val="6EF17976"/>
    <w:rsid w:val="6F87070A"/>
    <w:rsid w:val="EFFA9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9"/>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50"/>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51"/>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8"/>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2"/>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36"/>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6">
    <w:name w:val="Default Paragraph Font"/>
    <w:autoRedefine/>
    <w:semiHidden/>
    <w:unhideWhenUsed/>
    <w:qFormat/>
    <w:uiPriority w:val="1"/>
  </w:style>
  <w:style w:type="table" w:default="1" w:styleId="24">
    <w:name w:val="Normal Table"/>
    <w:semiHidden/>
    <w:qFormat/>
    <w:uiPriority w:val="0"/>
    <w:tblPr>
      <w:tblCellMar>
        <w:top w:w="0" w:type="dxa"/>
        <w:left w:w="108" w:type="dxa"/>
        <w:bottom w:w="0" w:type="dxa"/>
        <w:right w:w="108" w:type="dxa"/>
      </w:tblCellMar>
    </w:tblPr>
  </w:style>
  <w:style w:type="paragraph" w:styleId="9">
    <w:name w:val="toc 7"/>
    <w:basedOn w:val="1"/>
    <w:next w:val="1"/>
    <w:link w:val="45"/>
    <w:qFormat/>
    <w:uiPriority w:val="0"/>
    <w:pPr>
      <w:ind w:left="2520" w:leftChars="1200"/>
    </w:pPr>
  </w:style>
  <w:style w:type="paragraph" w:styleId="10">
    <w:name w:val="annotation text"/>
    <w:basedOn w:val="1"/>
    <w:qFormat/>
    <w:uiPriority w:val="0"/>
    <w:pPr>
      <w:jc w:val="left"/>
    </w:p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spacing w:after="120" w:afterLines="0" w:afterAutospacing="0"/>
      <w:ind w:left="420" w:leftChars="200"/>
    </w:pPr>
  </w:style>
  <w:style w:type="paragraph" w:styleId="13">
    <w:name w:val="toc 5"/>
    <w:basedOn w:val="1"/>
    <w:next w:val="1"/>
    <w:qFormat/>
    <w:uiPriority w:val="0"/>
    <w:pPr>
      <w:ind w:left="1680" w:leftChars="800"/>
    </w:pPr>
  </w:style>
  <w:style w:type="paragraph" w:styleId="14">
    <w:name w:val="toc 8"/>
    <w:basedOn w:val="1"/>
    <w:next w:val="1"/>
    <w:qFormat/>
    <w:uiPriority w:val="0"/>
    <w:pPr>
      <w:ind w:left="2940" w:leftChars="14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3">
    <w:name w:val="annotation subject"/>
    <w:basedOn w:val="10"/>
    <w:next w:val="10"/>
    <w:qFormat/>
    <w:uiPriority w:val="0"/>
    <w:rPr>
      <w:b/>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character" w:styleId="29">
    <w:name w:val="annotation reference"/>
    <w:basedOn w:val="26"/>
    <w:qFormat/>
    <w:uiPriority w:val="0"/>
    <w:rPr>
      <w:sz w:val="21"/>
    </w:rPr>
  </w:style>
  <w:style w:type="paragraph" w:customStyle="1" w:styleId="30">
    <w:name w:val="参选文件格式1"/>
    <w:basedOn w:val="1"/>
    <w:next w:val="1"/>
    <w:link w:val="37"/>
    <w:autoRedefine/>
    <w:qFormat/>
    <w:uiPriority w:val="0"/>
    <w:pPr>
      <w:spacing w:line="360" w:lineRule="auto"/>
      <w:ind w:firstLine="0" w:firstLineChars="0"/>
      <w:jc w:val="center"/>
      <w:outlineLvl w:val="1"/>
    </w:pPr>
    <w:rPr>
      <w:rFonts w:hint="eastAsia" w:eastAsia="宋体"/>
      <w:b/>
      <w:sz w:val="28"/>
    </w:rPr>
  </w:style>
  <w:style w:type="character" w:customStyle="1" w:styleId="31">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32">
    <w:name w:val="heading 2 Char"/>
    <w:link w:val="3"/>
    <w:autoRedefine/>
    <w:qFormat/>
    <w:uiPriority w:val="0"/>
    <w:rPr>
      <w:rFonts w:ascii="Times New Roman" w:hAnsi="Times New Roman" w:eastAsia="宋体" w:cstheme="majorBidi"/>
      <w:b/>
      <w:bCs/>
      <w:snapToGrid w:val="0"/>
      <w:szCs w:val="24"/>
    </w:rPr>
  </w:style>
  <w:style w:type="character" w:customStyle="1" w:styleId="33">
    <w:name w:val="heading 3 Char"/>
    <w:link w:val="4"/>
    <w:autoRedefine/>
    <w:qFormat/>
    <w:uiPriority w:val="0"/>
    <w:rPr>
      <w:b/>
      <w:bCs/>
      <w:szCs w:val="32"/>
    </w:rPr>
  </w:style>
  <w:style w:type="character" w:customStyle="1" w:styleId="34">
    <w:name w:val="heading 4 Char"/>
    <w:link w:val="5"/>
    <w:autoRedefine/>
    <w:qFormat/>
    <w:uiPriority w:val="0"/>
    <w:rPr>
      <w:rFonts w:cs="Times New Roman"/>
      <w:bCs/>
      <w:szCs w:val="28"/>
    </w:rPr>
  </w:style>
  <w:style w:type="character" w:customStyle="1" w:styleId="35">
    <w:name w:val="heading 5 Char"/>
    <w:link w:val="6"/>
    <w:autoRedefine/>
    <w:qFormat/>
    <w:uiPriority w:val="0"/>
    <w:rPr>
      <w:rFonts w:ascii="Times New Roman" w:hAnsi="Times New Roman" w:eastAsia="宋体"/>
      <w:b/>
      <w:sz w:val="28"/>
    </w:rPr>
  </w:style>
  <w:style w:type="character" w:customStyle="1" w:styleId="36">
    <w:name w:val="heading 6 Char"/>
    <w:link w:val="7"/>
    <w:autoRedefine/>
    <w:qFormat/>
    <w:uiPriority w:val="0"/>
    <w:rPr>
      <w:rFonts w:ascii="Times New Roman" w:hAnsi="Times New Roman" w:eastAsia="黑体"/>
      <w:b/>
    </w:rPr>
  </w:style>
  <w:style w:type="character" w:customStyle="1" w:styleId="37">
    <w:name w:val="参选文件格式1 Char"/>
    <w:link w:val="30"/>
    <w:autoRedefine/>
    <w:qFormat/>
    <w:uiPriority w:val="0"/>
    <w:rPr>
      <w:rFonts w:hint="eastAsia" w:eastAsia="宋体"/>
      <w:b/>
      <w:sz w:val="28"/>
    </w:rPr>
  </w:style>
  <w:style w:type="paragraph" w:customStyle="1" w:styleId="38">
    <w:name w:val="参选文件格式2"/>
    <w:basedOn w:val="1"/>
    <w:next w:val="1"/>
    <w:link w:val="53"/>
    <w:autoRedefine/>
    <w:qFormat/>
    <w:uiPriority w:val="0"/>
    <w:pPr>
      <w:ind w:firstLine="0" w:firstLineChars="0"/>
      <w:jc w:val="center"/>
      <w:outlineLvl w:val="2"/>
    </w:pPr>
    <w:rPr>
      <w:rFonts w:eastAsia="宋体"/>
      <w:bCs/>
      <w:szCs w:val="32"/>
    </w:rPr>
  </w:style>
  <w:style w:type="paragraph" w:customStyle="1" w:styleId="39">
    <w:name w:val="参选文件格式3"/>
    <w:basedOn w:val="1"/>
    <w:link w:val="40"/>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40">
    <w:name w:val="参选文件格式3 Char"/>
    <w:link w:val="39"/>
    <w:autoRedefine/>
    <w:qFormat/>
    <w:uiPriority w:val="0"/>
    <w:rPr>
      <w:rFonts w:hint="eastAsia" w:ascii="宋体" w:hAnsi="宋体" w:eastAsia="宋体"/>
      <w:b/>
      <w:snapToGrid w:val="0"/>
      <w:kern w:val="0"/>
      <w:u w:val="none"/>
    </w:rPr>
  </w:style>
  <w:style w:type="character" w:customStyle="1" w:styleId="41">
    <w:name w:val="font11"/>
    <w:basedOn w:val="26"/>
    <w:autoRedefine/>
    <w:qFormat/>
    <w:uiPriority w:val="0"/>
    <w:rPr>
      <w:rFonts w:ascii="宋体" w:hAnsi="宋体" w:eastAsia="宋体" w:cs="宋体"/>
      <w:b/>
      <w:bCs/>
      <w:color w:val="000000"/>
      <w:sz w:val="21"/>
      <w:szCs w:val="21"/>
      <w:u w:val="none"/>
    </w:rPr>
  </w:style>
  <w:style w:type="character" w:customStyle="1" w:styleId="42">
    <w:name w:val="font21"/>
    <w:basedOn w:val="26"/>
    <w:autoRedefine/>
    <w:qFormat/>
    <w:uiPriority w:val="0"/>
    <w:rPr>
      <w:rFonts w:ascii="宋体" w:hAnsi="宋体" w:eastAsia="宋体" w:cs="宋体"/>
      <w:color w:val="000000"/>
      <w:sz w:val="21"/>
      <w:szCs w:val="21"/>
      <w:u w:val="none"/>
    </w:rPr>
  </w:style>
  <w:style w:type="character" w:customStyle="1" w:styleId="43">
    <w:name w:val="font31"/>
    <w:basedOn w:val="26"/>
    <w:autoRedefine/>
    <w:qFormat/>
    <w:uiPriority w:val="0"/>
    <w:rPr>
      <w:rFonts w:ascii="宋体" w:hAnsi="宋体" w:eastAsia="宋体" w:cs="宋体"/>
      <w:color w:val="FF0000"/>
      <w:sz w:val="21"/>
      <w:szCs w:val="21"/>
      <w:u w:val="none"/>
    </w:rPr>
  </w:style>
  <w:style w:type="paragraph" w:styleId="44">
    <w:name w:val="List Paragraph"/>
    <w:basedOn w:val="1"/>
    <w:qFormat/>
    <w:uiPriority w:val="0"/>
  </w:style>
  <w:style w:type="character" w:customStyle="1" w:styleId="45">
    <w:name w:val="toc 7 Char"/>
    <w:link w:val="9"/>
    <w:autoRedefine/>
    <w:qFormat/>
    <w:uiPriority w:val="0"/>
  </w:style>
  <w:style w:type="paragraph" w:customStyle="1" w:styleId="46">
    <w:name w:val="a14"/>
    <w:basedOn w:val="1"/>
    <w:qFormat/>
    <w:uiPriority w:val="0"/>
    <w:pPr>
      <w:widowControl/>
      <w:autoSpaceDE w:val="0"/>
      <w:autoSpaceDN w:val="0"/>
      <w:spacing w:before="50" w:beforeLines="50" w:beforeAutospacing="1" w:after="100" w:afterAutospacing="1" w:line="300" w:lineRule="atLeast"/>
      <w:ind w:firstLine="200" w:firstLineChars="200"/>
      <w:jc w:val="left"/>
    </w:pPr>
    <w:rPr>
      <w:rFonts w:ascii="宋体" w:hAnsi="Times New Roman" w:eastAsia="宋体" w:cs="Times New Roman"/>
      <w:kern w:val="0"/>
      <w:sz w:val="24"/>
      <w:szCs w:val="21"/>
      <w:lang w:val="en-US" w:eastAsia="zh-CN" w:bidi="ar-SA"/>
    </w:rPr>
  </w:style>
  <w:style w:type="character" w:customStyle="1" w:styleId="47">
    <w:name w:val="font_text_1"/>
    <w:qFormat/>
    <w:uiPriority w:val="0"/>
  </w:style>
  <w:style w:type="character" w:customStyle="1" w:styleId="48">
    <w:name w:val="标题 4 Char"/>
    <w:link w:val="5"/>
    <w:autoRedefine/>
    <w:qFormat/>
    <w:uiPriority w:val="0"/>
    <w:rPr>
      <w:rFonts w:cs="Times New Roman"/>
      <w:bCs/>
      <w:szCs w:val="28"/>
    </w:rPr>
  </w:style>
  <w:style w:type="character" w:customStyle="1" w:styleId="49">
    <w:name w:val="标题 1 Char"/>
    <w:basedOn w:val="26"/>
    <w:link w:val="2"/>
    <w:autoRedefine/>
    <w:qFormat/>
    <w:uiPriority w:val="0"/>
    <w:rPr>
      <w:rFonts w:ascii="Times New Roman" w:hAnsi="Times New Roman" w:eastAsia="宋体" w:cs="等线 Light"/>
      <w:b/>
      <w:snapToGrid w:val="0"/>
      <w:kern w:val="0"/>
      <w:sz w:val="44"/>
      <w:szCs w:val="44"/>
    </w:rPr>
  </w:style>
  <w:style w:type="character" w:customStyle="1" w:styleId="50">
    <w:name w:val="标题 2 Char"/>
    <w:basedOn w:val="26"/>
    <w:link w:val="3"/>
    <w:autoRedefine/>
    <w:qFormat/>
    <w:uiPriority w:val="9"/>
    <w:rPr>
      <w:rFonts w:ascii="Times New Roman" w:hAnsi="Times New Roman" w:eastAsia="宋体" w:cstheme="majorBidi"/>
      <w:b/>
      <w:bCs/>
      <w:snapToGrid w:val="0"/>
      <w:szCs w:val="24"/>
    </w:rPr>
  </w:style>
  <w:style w:type="character" w:customStyle="1" w:styleId="51">
    <w:name w:val="标题 3 Char"/>
    <w:basedOn w:val="26"/>
    <w:link w:val="4"/>
    <w:autoRedefine/>
    <w:qFormat/>
    <w:uiPriority w:val="9"/>
    <w:rPr>
      <w:b/>
      <w:bCs/>
      <w:szCs w:val="32"/>
    </w:rPr>
  </w:style>
  <w:style w:type="character" w:customStyle="1" w:styleId="52">
    <w:name w:val="标题 5 Char"/>
    <w:link w:val="6"/>
    <w:autoRedefine/>
    <w:qFormat/>
    <w:uiPriority w:val="0"/>
    <w:rPr>
      <w:rFonts w:ascii="Times New Roman" w:hAnsi="Times New Roman" w:eastAsia="宋体"/>
      <w:b/>
      <w:sz w:val="28"/>
    </w:rPr>
  </w:style>
  <w:style w:type="character" w:customStyle="1" w:styleId="53">
    <w:name w:val="参选文件格式2 Char"/>
    <w:link w:val="38"/>
    <w:autoRedefine/>
    <w:qFormat/>
    <w:uiPriority w:val="0"/>
    <w:rPr>
      <w:rFonts w:eastAsia="宋体"/>
      <w:bCs/>
      <w:szCs w:val="32"/>
    </w:rPr>
  </w:style>
  <w:style w:type="paragraph" w:customStyle="1" w:styleId="54">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55">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6">
    <w:name w:val="标题2（无级别）"/>
    <w:basedOn w:val="1"/>
    <w:next w:val="1"/>
    <w:link w:val="58"/>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7">
    <w:name w:val="标题3（无级别）"/>
    <w:basedOn w:val="1"/>
    <w:next w:val="1"/>
    <w:qFormat/>
    <w:uiPriority w:val="0"/>
    <w:pPr>
      <w:outlineLvl w:val="9"/>
    </w:pPr>
    <w:rPr>
      <w:rFonts w:hint="eastAsia" w:ascii="Times New Roman" w:hAnsi="Times New Roman"/>
      <w:b/>
      <w:bCs/>
      <w:sz w:val="21"/>
      <w:szCs w:val="32"/>
    </w:rPr>
  </w:style>
  <w:style w:type="character" w:customStyle="1" w:styleId="58">
    <w:name w:val="标题2（无级别） Char"/>
    <w:link w:val="56"/>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64</Pages>
  <Words>9129</Words>
  <Characters>10035</Characters>
  <Lines>0</Lines>
  <Paragraphs>768</Paragraphs>
  <TotalTime>0</TotalTime>
  <ScaleCrop>false</ScaleCrop>
  <LinksUpToDate>false</LinksUpToDate>
  <CharactersWithSpaces>10317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2024-01-16T22:16:00Z</dcterms:created>
  <dc:creator>admin</dc:creator>
  <cp:lastModifiedBy>交易中心-杜</cp:lastModifiedBy>
  <cp:lastPrinted>2024-01-20T01:29:00Z</cp:lastPrinted>
  <dcterms:modified xsi:type="dcterms:W3CDTF">2024-12-10T01:50:29Z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8396628F50EB4CA283ACE196CA09EA6E_13</vt:lpwstr>
  </property>
</Properties>
</file>