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56577">
      <w:pPr>
        <w:tabs>
          <w:tab w:val="center" w:pos="4201"/>
          <w:tab w:val="right" w:leader="dot" w:pos="9298"/>
        </w:tabs>
        <w:spacing w:line="360" w:lineRule="auto"/>
        <w:ind w:firstLine="0" w:firstLineChars="0"/>
        <w:rPr>
          <w:rFonts w:ascii="Times New Roman" w:hAnsi="Times New Roman"/>
        </w:rPr>
      </w:pPr>
    </w:p>
    <w:p w14:paraId="02A00CEB">
      <w:pPr>
        <w:spacing w:line="360" w:lineRule="auto"/>
        <w:ind w:firstLine="0" w:firstLineChars="0"/>
        <w:rPr>
          <w:rFonts w:ascii="Times New Roman" w:hAnsi="Times New Roman" w:cs="Cambria"/>
          <w:b/>
          <w:snapToGrid w:val="0"/>
          <w:kern w:val="0"/>
          <w:sz w:val="52"/>
          <w:szCs w:val="84"/>
        </w:rPr>
      </w:pPr>
    </w:p>
    <w:p w14:paraId="592EEB54">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重庆三峡银行</w:t>
      </w:r>
    </w:p>
    <w:p w14:paraId="5FA93F22">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u w:val="none"/>
        </w:rPr>
        <w:t>2024年信创服务器采购</w:t>
      </w:r>
      <w:r>
        <w:rPr>
          <w:rFonts w:hint="eastAsia" w:ascii="Times New Roman" w:hAnsi="Times New Roman" w:cs="Times New Roman"/>
          <w:b/>
          <w:snapToGrid w:val="0"/>
          <w:kern w:val="0"/>
          <w:sz w:val="48"/>
          <w:szCs w:val="84"/>
        </w:rPr>
        <w:t>项目</w:t>
      </w:r>
    </w:p>
    <w:p w14:paraId="718CE40C">
      <w:pPr>
        <w:spacing w:line="360" w:lineRule="auto"/>
        <w:ind w:firstLine="0" w:firstLineChars="0"/>
        <w:jc w:val="left"/>
        <w:rPr>
          <w:rFonts w:ascii="Times New Roman" w:hAnsi="Times New Roman" w:cs="Times New Roman"/>
          <w:snapToGrid w:val="0"/>
          <w:kern w:val="0"/>
          <w:sz w:val="18"/>
        </w:rPr>
      </w:pPr>
    </w:p>
    <w:p w14:paraId="33BD587E">
      <w:pPr>
        <w:spacing w:line="360" w:lineRule="auto"/>
        <w:ind w:firstLine="0" w:firstLineChars="0"/>
        <w:jc w:val="left"/>
        <w:rPr>
          <w:rFonts w:ascii="Times New Roman" w:hAnsi="Times New Roman" w:cs="Times New Roman"/>
          <w:snapToGrid w:val="0"/>
          <w:kern w:val="0"/>
          <w:sz w:val="20"/>
        </w:rPr>
      </w:pPr>
    </w:p>
    <w:p w14:paraId="5F14D7C7">
      <w:pPr>
        <w:spacing w:line="360" w:lineRule="auto"/>
        <w:ind w:firstLine="0" w:firstLineChars="0"/>
        <w:jc w:val="left"/>
        <w:rPr>
          <w:rFonts w:ascii="Times New Roman" w:hAnsi="Times New Roman" w:cs="Times New Roman"/>
          <w:snapToGrid w:val="0"/>
          <w:kern w:val="0"/>
          <w:sz w:val="20"/>
        </w:rPr>
      </w:pPr>
    </w:p>
    <w:p w14:paraId="2AA29BC3">
      <w:pPr>
        <w:spacing w:line="360" w:lineRule="auto"/>
        <w:ind w:firstLine="0" w:firstLineChars="0"/>
        <w:jc w:val="left"/>
        <w:rPr>
          <w:rFonts w:ascii="Times New Roman" w:hAnsi="Times New Roman" w:cs="Times New Roman"/>
          <w:snapToGrid w:val="0"/>
          <w:kern w:val="0"/>
          <w:sz w:val="20"/>
        </w:rPr>
      </w:pPr>
    </w:p>
    <w:p w14:paraId="5BD1B921">
      <w:pPr>
        <w:spacing w:line="360" w:lineRule="auto"/>
        <w:ind w:firstLine="0" w:firstLineChars="0"/>
        <w:jc w:val="left"/>
        <w:rPr>
          <w:rFonts w:ascii="Times New Roman" w:hAnsi="Times New Roman" w:cs="Times New Roman"/>
          <w:snapToGrid w:val="0"/>
          <w:kern w:val="0"/>
          <w:sz w:val="20"/>
        </w:rPr>
      </w:pPr>
    </w:p>
    <w:p w14:paraId="13705707">
      <w:pPr>
        <w:spacing w:line="360" w:lineRule="auto"/>
        <w:ind w:firstLine="0" w:firstLineChars="0"/>
        <w:jc w:val="left"/>
        <w:rPr>
          <w:rFonts w:ascii="Times New Roman" w:hAnsi="Times New Roman" w:cs="Times New Roman"/>
          <w:snapToGrid w:val="0"/>
          <w:kern w:val="0"/>
          <w:sz w:val="20"/>
        </w:rPr>
      </w:pPr>
    </w:p>
    <w:p w14:paraId="232F5114">
      <w:pPr>
        <w:spacing w:line="360" w:lineRule="auto"/>
        <w:ind w:firstLine="0" w:firstLineChars="0"/>
        <w:jc w:val="left"/>
        <w:rPr>
          <w:rFonts w:ascii="Times New Roman" w:hAnsi="Times New Roman" w:cs="Times New Roman"/>
          <w:snapToGrid w:val="0"/>
          <w:kern w:val="0"/>
          <w:sz w:val="20"/>
        </w:rPr>
      </w:pPr>
    </w:p>
    <w:p w14:paraId="7D160DB8">
      <w:pPr>
        <w:spacing w:line="360" w:lineRule="auto"/>
        <w:ind w:firstLine="0" w:firstLineChars="0"/>
        <w:jc w:val="center"/>
        <w:rPr>
          <w:rFonts w:ascii="Times New Roman" w:hAnsi="Times New Roman" w:cs="Times New Roman"/>
          <w:b/>
          <w:snapToGrid w:val="0"/>
          <w:kern w:val="0"/>
          <w:sz w:val="84"/>
          <w:szCs w:val="84"/>
        </w:rPr>
      </w:pPr>
      <w:r>
        <w:rPr>
          <w:rFonts w:hint="eastAsia" w:ascii="Times New Roman" w:hAnsi="Times New Roman" w:cs="Times New Roman"/>
          <w:b/>
          <w:snapToGrid w:val="0"/>
          <w:kern w:val="0"/>
          <w:sz w:val="96"/>
          <w:szCs w:val="96"/>
        </w:rPr>
        <w:t>比选</w:t>
      </w:r>
      <w:r>
        <w:rPr>
          <w:rFonts w:ascii="Times New Roman" w:hAnsi="Times New Roman" w:cs="Times New Roman"/>
          <w:b/>
          <w:snapToGrid w:val="0"/>
          <w:kern w:val="0"/>
          <w:sz w:val="96"/>
          <w:szCs w:val="96"/>
        </w:rPr>
        <w:t>文件</w:t>
      </w:r>
    </w:p>
    <w:p w14:paraId="7B973F6B">
      <w:pPr>
        <w:spacing w:line="360" w:lineRule="auto"/>
        <w:ind w:firstLine="0" w:firstLineChars="0"/>
        <w:jc w:val="center"/>
        <w:rPr>
          <w:rFonts w:ascii="Times New Roman" w:hAnsi="Times New Roman" w:cs="Times New Roman"/>
          <w:b/>
          <w:snapToGrid w:val="0"/>
          <w:kern w:val="0"/>
          <w:szCs w:val="28"/>
        </w:rPr>
      </w:pPr>
    </w:p>
    <w:p w14:paraId="406CE44D">
      <w:pPr>
        <w:spacing w:line="360" w:lineRule="auto"/>
        <w:ind w:firstLine="0" w:firstLineChars="0"/>
        <w:jc w:val="center"/>
        <w:rPr>
          <w:rFonts w:ascii="Times New Roman" w:hAnsi="Times New Roman" w:cs="Times New Roman"/>
          <w:b/>
          <w:snapToGrid w:val="0"/>
          <w:kern w:val="0"/>
          <w:szCs w:val="28"/>
        </w:rPr>
      </w:pPr>
    </w:p>
    <w:p w14:paraId="3070EB61">
      <w:pPr>
        <w:spacing w:line="360" w:lineRule="auto"/>
        <w:ind w:firstLine="0" w:firstLineChars="0"/>
        <w:jc w:val="center"/>
        <w:rPr>
          <w:rFonts w:ascii="Times New Roman" w:hAnsi="Times New Roman" w:cs="Times New Roman"/>
          <w:b/>
          <w:snapToGrid w:val="0"/>
          <w:kern w:val="0"/>
          <w:szCs w:val="28"/>
        </w:rPr>
      </w:pPr>
    </w:p>
    <w:p w14:paraId="5C937FE3">
      <w:pPr>
        <w:ind w:firstLine="0" w:firstLineChars="0"/>
        <w:rPr>
          <w:rFonts w:ascii="Times New Roman" w:hAnsi="Times New Roman"/>
        </w:rPr>
      </w:pPr>
    </w:p>
    <w:p w14:paraId="064E835F">
      <w:pPr>
        <w:rPr>
          <w:rFonts w:ascii="Times New Roman" w:hAnsi="Times New Roman"/>
        </w:rPr>
      </w:pPr>
    </w:p>
    <w:p w14:paraId="6E437B68">
      <w:pPr>
        <w:rPr>
          <w:rFonts w:ascii="Times New Roman" w:hAnsi="Times New Roman"/>
        </w:rPr>
      </w:pPr>
    </w:p>
    <w:p w14:paraId="758744F0">
      <w:pPr>
        <w:rPr>
          <w:rFonts w:ascii="Times New Roman" w:hAnsi="Times New Roman"/>
        </w:rPr>
      </w:pPr>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7ADFF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0E35AF5B">
            <w:pPr>
              <w:spacing w:line="360" w:lineRule="auto"/>
              <w:ind w:firstLine="0" w:firstLineChars="0"/>
              <w:jc w:val="distribute"/>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比选人</w:t>
            </w:r>
          </w:p>
        </w:tc>
        <w:tc>
          <w:tcPr>
            <w:tcW w:w="4744" w:type="dxa"/>
            <w:tcBorders>
              <w:tl2br w:val="nil"/>
              <w:tr2bl w:val="nil"/>
            </w:tcBorders>
            <w:vAlign w:val="center"/>
          </w:tcPr>
          <w:p w14:paraId="29F93159">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重庆三峡银行股份有限公司</w:t>
            </w:r>
          </w:p>
        </w:tc>
        <w:tc>
          <w:tcPr>
            <w:tcW w:w="2020" w:type="dxa"/>
            <w:vMerge w:val="restart"/>
            <w:tcBorders>
              <w:tl2br w:val="nil"/>
              <w:tr2bl w:val="nil"/>
            </w:tcBorders>
            <w:vAlign w:val="center"/>
          </w:tcPr>
          <w:p w14:paraId="1D634538">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Cs/>
                <w:snapToGrid w:val="0"/>
                <w:kern w:val="0"/>
                <w:szCs w:val="24"/>
              </w:rPr>
              <w:t>（盖单位</w:t>
            </w:r>
            <w:r>
              <w:rPr>
                <w:rFonts w:hint="eastAsia" w:ascii="Times New Roman" w:hAnsi="Times New Roman" w:cs="Times New Roman"/>
                <w:bCs/>
                <w:snapToGrid w:val="0"/>
                <w:kern w:val="0"/>
                <w:szCs w:val="24"/>
                <w:lang w:val="en-US" w:eastAsia="zh-CN"/>
              </w:rPr>
              <w:t>公</w:t>
            </w:r>
            <w:r>
              <w:rPr>
                <w:rFonts w:hint="eastAsia" w:ascii="Times New Roman" w:hAnsi="Times New Roman" w:cs="Times New Roman"/>
                <w:bCs/>
                <w:snapToGrid w:val="0"/>
                <w:kern w:val="0"/>
                <w:szCs w:val="24"/>
              </w:rPr>
              <w:t>章）</w:t>
            </w:r>
          </w:p>
        </w:tc>
      </w:tr>
      <w:tr w14:paraId="13912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0099F1AD">
            <w:pPr>
              <w:spacing w:line="360" w:lineRule="auto"/>
              <w:ind w:firstLine="0" w:firstLineChars="0"/>
              <w:jc w:val="distribute"/>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发布时间</w:t>
            </w:r>
          </w:p>
        </w:tc>
        <w:tc>
          <w:tcPr>
            <w:tcW w:w="4744" w:type="dxa"/>
            <w:tcBorders>
              <w:tl2br w:val="nil"/>
              <w:tr2bl w:val="nil"/>
            </w:tcBorders>
            <w:vAlign w:val="center"/>
          </w:tcPr>
          <w:p w14:paraId="07870DCD">
            <w:pPr>
              <w:spacing w:line="360" w:lineRule="auto"/>
              <w:ind w:firstLine="0" w:firstLineChars="0"/>
              <w:jc w:val="center"/>
              <w:rPr>
                <w:rFonts w:ascii="Times New Roman" w:hAnsi="Times New Roman" w:cs="Times New Roman"/>
                <w:b/>
                <w:snapToGrid w:val="0"/>
                <w:kern w:val="0"/>
                <w:sz w:val="30"/>
                <w:szCs w:val="30"/>
              </w:rPr>
            </w:pPr>
            <w:r>
              <w:rPr>
                <w:rFonts w:hint="eastAsia" w:cs="Times New Roman"/>
                <w:b/>
                <w:snapToGrid w:val="0"/>
                <w:kern w:val="0"/>
                <w:sz w:val="30"/>
                <w:szCs w:val="30"/>
                <w:lang w:val="en-US" w:eastAsia="zh-CN"/>
              </w:rPr>
              <w:t>2024</w:t>
            </w:r>
            <w:r>
              <w:rPr>
                <w:rFonts w:ascii="Times New Roman" w:hAnsi="Times New Roman" w:cs="Times New Roman"/>
                <w:b/>
                <w:snapToGrid w:val="0"/>
                <w:kern w:val="0"/>
                <w:sz w:val="30"/>
                <w:szCs w:val="30"/>
              </w:rPr>
              <w:t>年</w:t>
            </w:r>
            <w:r>
              <w:rPr>
                <w:rFonts w:hint="eastAsia" w:cs="Times New Roman"/>
                <w:b/>
                <w:snapToGrid w:val="0"/>
                <w:kern w:val="0"/>
                <w:sz w:val="30"/>
                <w:szCs w:val="30"/>
                <w:lang w:val="en-US" w:eastAsia="zh-CN"/>
              </w:rPr>
              <w:t>12</w:t>
            </w:r>
            <w:r>
              <w:rPr>
                <w:rFonts w:ascii="Times New Roman" w:hAnsi="Times New Roman" w:cs="Times New Roman"/>
                <w:b/>
                <w:snapToGrid w:val="0"/>
                <w:kern w:val="0"/>
                <w:sz w:val="30"/>
                <w:szCs w:val="30"/>
              </w:rPr>
              <w:t>月</w:t>
            </w:r>
          </w:p>
        </w:tc>
        <w:tc>
          <w:tcPr>
            <w:tcW w:w="2020" w:type="dxa"/>
            <w:vMerge w:val="continue"/>
            <w:tcBorders>
              <w:tl2br w:val="nil"/>
              <w:tr2bl w:val="nil"/>
            </w:tcBorders>
            <w:vAlign w:val="center"/>
          </w:tcPr>
          <w:p w14:paraId="72931A13"/>
        </w:tc>
      </w:tr>
    </w:tbl>
    <w:p w14:paraId="6CCEA406">
      <w:pPr>
        <w:rPr>
          <w:rFonts w:ascii="Times New Roman" w:hAnsi="Times New Roman"/>
        </w:rPr>
      </w:pPr>
    </w:p>
    <w:p w14:paraId="1A11B2E6">
      <w:pPr>
        <w:rPr>
          <w:rFonts w:ascii="Times New Roman" w:hAnsi="Times New Roman"/>
        </w:rPr>
        <w:sectPr>
          <w:pgSz w:w="11906" w:h="16838"/>
          <w:pgMar w:top="1440" w:right="1800" w:bottom="1440" w:left="1800" w:header="851" w:footer="992" w:gutter="0"/>
          <w:pgNumType w:start="1"/>
          <w:cols w:space="720" w:num="1"/>
          <w:docGrid w:type="lines" w:linePitch="312" w:charSpace="0"/>
        </w:sectPr>
      </w:pPr>
    </w:p>
    <w:p w14:paraId="636248AC">
      <w:pPr>
        <w:snapToGrid w:val="0"/>
        <w:spacing w:line="360" w:lineRule="auto"/>
        <w:ind w:firstLine="0" w:firstLineChars="0"/>
        <w:jc w:val="center"/>
        <w:rPr>
          <w:rFonts w:ascii="Times New Roman" w:hAnsi="Times New Roman"/>
          <w:b/>
          <w:snapToGrid w:val="0"/>
          <w:kern w:val="0"/>
          <w:sz w:val="44"/>
          <w:szCs w:val="44"/>
        </w:rPr>
      </w:pPr>
      <w:r>
        <w:rPr>
          <w:rFonts w:hint="eastAsia" w:ascii="Times New Roman" w:hAnsi="Times New Roman"/>
          <w:b/>
          <w:snapToGrid w:val="0"/>
          <w:kern w:val="0"/>
          <w:sz w:val="44"/>
          <w:szCs w:val="44"/>
        </w:rPr>
        <w:t>目录</w:t>
      </w:r>
    </w:p>
    <w:p w14:paraId="215B2A07">
      <w:pPr>
        <w:pStyle w:val="12"/>
        <w:tabs>
          <w:tab w:val="right" w:leader="dot" w:pos="8306"/>
        </w:tabs>
      </w:pPr>
      <w:r>
        <w:rPr>
          <w:rFonts w:ascii="Times New Roman" w:hAnsi="Times New Roman"/>
          <w:snapToGrid w:val="0"/>
          <w:kern w:val="0"/>
          <w:szCs w:val="24"/>
        </w:rPr>
        <w:fldChar w:fldCharType="begin"/>
      </w:r>
      <w:r>
        <w:rPr>
          <w:rFonts w:hint="eastAsia" w:ascii="Times New Roman" w:hAnsi="Times New Roman"/>
          <w:snapToGrid w:val="0"/>
          <w:kern w:val="0"/>
          <w:szCs w:val="24"/>
        </w:rPr>
        <w:instrText xml:space="preserve">TOC \o "1-1" \h \z \u</w:instrText>
      </w:r>
      <w:r>
        <w:rPr>
          <w:rFonts w:ascii="Times New Roman" w:hAnsi="Times New Roman"/>
          <w:snapToGrid w:val="0"/>
          <w:kern w:val="0"/>
          <w:szCs w:val="24"/>
        </w:rPr>
        <w:instrText xml:space="preserve"> </w:instrText>
      </w:r>
      <w:r>
        <w:rPr>
          <w:rFonts w:ascii="Times New Roman" w:hAnsi="Times New Roman"/>
          <w:snapToGrid w:val="0"/>
          <w:kern w:val="0"/>
          <w:szCs w:val="24"/>
        </w:rPr>
        <w:fldChar w:fldCharType="separate"/>
      </w: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_Toc3653 </w:instrText>
      </w:r>
      <w:r>
        <w:rPr>
          <w:rFonts w:ascii="Times New Roman" w:hAnsi="Times New Roman"/>
          <w:snapToGrid w:val="0"/>
          <w:kern w:val="0"/>
          <w:szCs w:val="24"/>
        </w:rPr>
        <w:fldChar w:fldCharType="separate"/>
      </w:r>
      <w:r>
        <w:rPr>
          <w:rFonts w:hint="eastAsia" w:ascii="Times New Roman" w:hAnsi="Times New Roman"/>
        </w:rPr>
        <w:t>第一章 比选公告</w:t>
      </w:r>
      <w:r>
        <w:tab/>
      </w:r>
      <w:r>
        <w:fldChar w:fldCharType="begin"/>
      </w:r>
      <w:r>
        <w:instrText xml:space="preserve"> PAGEREF _Toc3653 \h </w:instrText>
      </w:r>
      <w:r>
        <w:fldChar w:fldCharType="separate"/>
      </w:r>
      <w:r>
        <w:t>2</w:t>
      </w:r>
      <w:r>
        <w:fldChar w:fldCharType="end"/>
      </w:r>
      <w:r>
        <w:rPr>
          <w:rFonts w:ascii="Times New Roman" w:hAnsi="Times New Roman"/>
          <w:snapToGrid w:val="0"/>
          <w:kern w:val="0"/>
          <w:szCs w:val="24"/>
        </w:rPr>
        <w:fldChar w:fldCharType="end"/>
      </w:r>
    </w:p>
    <w:p w14:paraId="71E2635D">
      <w:pPr>
        <w:pStyle w:val="12"/>
        <w:tabs>
          <w:tab w:val="right" w:leader="dot" w:pos="8306"/>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_Toc617 </w:instrText>
      </w:r>
      <w:r>
        <w:rPr>
          <w:rFonts w:ascii="Times New Roman" w:hAnsi="Times New Roman"/>
          <w:snapToGrid w:val="0"/>
          <w:kern w:val="0"/>
          <w:szCs w:val="24"/>
        </w:rPr>
        <w:fldChar w:fldCharType="separate"/>
      </w:r>
      <w:r>
        <w:rPr>
          <w:rFonts w:hint="eastAsia" w:ascii="Times New Roman" w:hAnsi="Times New Roman"/>
        </w:rPr>
        <w:t>第二章 参选人须知</w:t>
      </w:r>
      <w:r>
        <w:tab/>
      </w:r>
      <w:r>
        <w:fldChar w:fldCharType="begin"/>
      </w:r>
      <w:r>
        <w:instrText xml:space="preserve"> PAGEREF _Toc617 \h </w:instrText>
      </w:r>
      <w:r>
        <w:fldChar w:fldCharType="separate"/>
      </w:r>
      <w:r>
        <w:t>2</w:t>
      </w:r>
      <w:r>
        <w:fldChar w:fldCharType="end"/>
      </w:r>
      <w:r>
        <w:rPr>
          <w:rFonts w:ascii="Times New Roman" w:hAnsi="Times New Roman"/>
          <w:snapToGrid w:val="0"/>
          <w:kern w:val="0"/>
          <w:szCs w:val="24"/>
        </w:rPr>
        <w:fldChar w:fldCharType="end"/>
      </w:r>
    </w:p>
    <w:p w14:paraId="606AD0BD">
      <w:pPr>
        <w:pStyle w:val="12"/>
        <w:tabs>
          <w:tab w:val="right" w:leader="dot" w:pos="8306"/>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_Toc4532 </w:instrText>
      </w:r>
      <w:r>
        <w:rPr>
          <w:rFonts w:ascii="Times New Roman" w:hAnsi="Times New Roman"/>
          <w:snapToGrid w:val="0"/>
          <w:kern w:val="0"/>
          <w:szCs w:val="24"/>
        </w:rPr>
        <w:fldChar w:fldCharType="separate"/>
      </w:r>
      <w:r>
        <w:rPr>
          <w:rFonts w:hint="eastAsia" w:ascii="Times New Roman" w:hAnsi="Times New Roman"/>
        </w:rPr>
        <w:t>第三章 项目要求</w:t>
      </w:r>
      <w:r>
        <w:tab/>
      </w:r>
      <w:r>
        <w:fldChar w:fldCharType="begin"/>
      </w:r>
      <w:r>
        <w:instrText xml:space="preserve"> PAGEREF _Toc4532 \h </w:instrText>
      </w:r>
      <w:r>
        <w:fldChar w:fldCharType="separate"/>
      </w:r>
      <w:r>
        <w:t>15</w:t>
      </w:r>
      <w:r>
        <w:fldChar w:fldCharType="end"/>
      </w:r>
      <w:r>
        <w:rPr>
          <w:rFonts w:ascii="Times New Roman" w:hAnsi="Times New Roman"/>
          <w:snapToGrid w:val="0"/>
          <w:kern w:val="0"/>
          <w:szCs w:val="24"/>
        </w:rPr>
        <w:fldChar w:fldCharType="end"/>
      </w:r>
    </w:p>
    <w:p w14:paraId="0C9AB90B">
      <w:pPr>
        <w:pStyle w:val="12"/>
        <w:tabs>
          <w:tab w:val="right" w:leader="dot" w:pos="8306"/>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_Toc17565 </w:instrText>
      </w:r>
      <w:r>
        <w:rPr>
          <w:rFonts w:ascii="Times New Roman" w:hAnsi="Times New Roman"/>
          <w:snapToGrid w:val="0"/>
          <w:kern w:val="0"/>
          <w:szCs w:val="24"/>
        </w:rPr>
        <w:fldChar w:fldCharType="separate"/>
      </w:r>
      <w:r>
        <w:rPr>
          <w:rFonts w:hint="eastAsia" w:ascii="Times New Roman" w:hAnsi="Times New Roman"/>
        </w:rPr>
        <w:t xml:space="preserve">第四章 </w:t>
      </w:r>
      <w:r>
        <w:rPr>
          <w:rFonts w:hint="eastAsia"/>
          <w:highlight w:val="none"/>
          <w:lang w:val="en-US" w:eastAsia="zh-CN"/>
        </w:rPr>
        <w:t>评审办法（经评审的最低价法）</w:t>
      </w:r>
      <w:r>
        <w:tab/>
      </w:r>
      <w:r>
        <w:fldChar w:fldCharType="begin"/>
      </w:r>
      <w:r>
        <w:instrText xml:space="preserve"> PAGEREF _Toc17565 \h </w:instrText>
      </w:r>
      <w:r>
        <w:fldChar w:fldCharType="separate"/>
      </w:r>
      <w:r>
        <w:t>31</w:t>
      </w:r>
      <w:r>
        <w:fldChar w:fldCharType="end"/>
      </w:r>
      <w:r>
        <w:rPr>
          <w:rFonts w:ascii="Times New Roman" w:hAnsi="Times New Roman"/>
          <w:snapToGrid w:val="0"/>
          <w:kern w:val="0"/>
          <w:szCs w:val="24"/>
        </w:rPr>
        <w:fldChar w:fldCharType="end"/>
      </w:r>
    </w:p>
    <w:p w14:paraId="40427901">
      <w:pPr>
        <w:pStyle w:val="12"/>
        <w:tabs>
          <w:tab w:val="right" w:leader="dot" w:pos="8306"/>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_Toc23995 </w:instrText>
      </w:r>
      <w:r>
        <w:rPr>
          <w:rFonts w:ascii="Times New Roman" w:hAnsi="Times New Roman"/>
          <w:snapToGrid w:val="0"/>
          <w:kern w:val="0"/>
          <w:szCs w:val="24"/>
        </w:rPr>
        <w:fldChar w:fldCharType="separate"/>
      </w:r>
      <w:r>
        <w:rPr>
          <w:rFonts w:hint="eastAsia" w:ascii="Times New Roman" w:hAnsi="Times New Roman"/>
        </w:rPr>
        <w:t>第五章 合同</w:t>
      </w:r>
      <w:r>
        <w:rPr>
          <w:rFonts w:ascii="Times New Roman" w:hAnsi="Times New Roman"/>
        </w:rPr>
        <w:t>模板</w:t>
      </w:r>
      <w:r>
        <w:tab/>
      </w:r>
      <w:r>
        <w:fldChar w:fldCharType="begin"/>
      </w:r>
      <w:r>
        <w:instrText xml:space="preserve"> PAGEREF _Toc23995 \h </w:instrText>
      </w:r>
      <w:r>
        <w:fldChar w:fldCharType="separate"/>
      </w:r>
      <w:r>
        <w:t>35</w:t>
      </w:r>
      <w:r>
        <w:fldChar w:fldCharType="end"/>
      </w:r>
      <w:r>
        <w:rPr>
          <w:rFonts w:ascii="Times New Roman" w:hAnsi="Times New Roman"/>
          <w:snapToGrid w:val="0"/>
          <w:kern w:val="0"/>
          <w:szCs w:val="24"/>
        </w:rPr>
        <w:fldChar w:fldCharType="end"/>
      </w:r>
    </w:p>
    <w:p w14:paraId="1CF52E7E">
      <w:pPr>
        <w:pStyle w:val="12"/>
        <w:tabs>
          <w:tab w:val="right" w:leader="dot" w:pos="8306"/>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_Toc16449 </w:instrText>
      </w:r>
      <w:r>
        <w:rPr>
          <w:rFonts w:ascii="Times New Roman" w:hAnsi="Times New Roman"/>
          <w:snapToGrid w:val="0"/>
          <w:kern w:val="0"/>
          <w:szCs w:val="24"/>
        </w:rPr>
        <w:fldChar w:fldCharType="separate"/>
      </w:r>
      <w:r>
        <w:rPr>
          <w:rFonts w:hint="eastAsia" w:ascii="Times New Roman" w:hAnsi="Times New Roman"/>
        </w:rPr>
        <w:t>第六章 参选文件格式</w:t>
      </w:r>
      <w:r>
        <w:tab/>
      </w:r>
      <w:r>
        <w:fldChar w:fldCharType="begin"/>
      </w:r>
      <w:r>
        <w:instrText xml:space="preserve"> PAGEREF _Toc16449 \h </w:instrText>
      </w:r>
      <w:r>
        <w:fldChar w:fldCharType="separate"/>
      </w:r>
      <w:r>
        <w:t>47</w:t>
      </w:r>
      <w:r>
        <w:fldChar w:fldCharType="end"/>
      </w:r>
      <w:r>
        <w:rPr>
          <w:rFonts w:ascii="Times New Roman" w:hAnsi="Times New Roman"/>
          <w:snapToGrid w:val="0"/>
          <w:kern w:val="0"/>
          <w:szCs w:val="24"/>
        </w:rPr>
        <w:fldChar w:fldCharType="end"/>
      </w:r>
    </w:p>
    <w:p w14:paraId="1C4C40C2">
      <w:pPr>
        <w:widowControl/>
        <w:jc w:val="left"/>
        <w:rPr>
          <w:rFonts w:ascii="Times New Roman" w:hAnsi="Times New Roman"/>
          <w:snapToGrid w:val="0"/>
          <w:kern w:val="0"/>
          <w:szCs w:val="24"/>
        </w:rPr>
      </w:pPr>
      <w:r>
        <w:rPr>
          <w:rFonts w:ascii="Times New Roman" w:hAnsi="Times New Roman"/>
          <w:snapToGrid w:val="0"/>
          <w:kern w:val="0"/>
          <w:szCs w:val="24"/>
        </w:rPr>
        <w:fldChar w:fldCharType="end"/>
      </w:r>
    </w:p>
    <w:p w14:paraId="2790D0B9">
      <w:pPr>
        <w:widowControl/>
        <w:jc w:val="left"/>
        <w:rPr>
          <w:rFonts w:ascii="Times New Roman" w:hAnsi="Times New Roman"/>
          <w:snapToGrid w:val="0"/>
          <w:kern w:val="0"/>
          <w:szCs w:val="24"/>
        </w:rPr>
        <w:sectPr>
          <w:pgSz w:w="11906" w:h="16838"/>
          <w:pgMar w:top="1440" w:right="1800" w:bottom="1440" w:left="1800" w:header="851" w:footer="992" w:gutter="0"/>
          <w:pgNumType w:start="1"/>
          <w:cols w:space="720" w:num="1"/>
          <w:docGrid w:type="lines" w:linePitch="312" w:charSpace="0"/>
        </w:sectPr>
      </w:pPr>
    </w:p>
    <w:p w14:paraId="1156134D">
      <w:pPr>
        <w:pStyle w:val="2"/>
        <w:rPr>
          <w:rFonts w:ascii="Times New Roman" w:hAnsi="Times New Roman"/>
        </w:rPr>
      </w:pPr>
      <w:bookmarkStart w:id="0" w:name="_Toc440628903"/>
      <w:bookmarkStart w:id="1" w:name="_Toc6745"/>
      <w:bookmarkStart w:id="2" w:name="_Toc469574661"/>
      <w:bookmarkStart w:id="3" w:name="_Toc3653"/>
      <w:r>
        <w:rPr>
          <w:rFonts w:hint="eastAsia" w:ascii="Times New Roman" w:hAnsi="Times New Roman"/>
        </w:rPr>
        <w:t>第一章</w:t>
      </w:r>
      <w:bookmarkEnd w:id="0"/>
      <w:r>
        <w:rPr>
          <w:rFonts w:hint="eastAsia" w:ascii="Times New Roman" w:hAnsi="Times New Roman"/>
        </w:rPr>
        <w:t xml:space="preserve"> 比选公告</w:t>
      </w:r>
      <w:bookmarkEnd w:id="1"/>
      <w:bookmarkEnd w:id="2"/>
      <w:bookmarkEnd w:id="3"/>
    </w:p>
    <w:p w14:paraId="58C3C887">
      <w:pPr>
        <w:bidi w:val="0"/>
      </w:pPr>
      <w:bookmarkStart w:id="4" w:name="_Toc89675127"/>
      <w:bookmarkStart w:id="5" w:name="_Toc55379218"/>
      <w:bookmarkStart w:id="6" w:name="_Toc89675159"/>
      <w:bookmarkStart w:id="7" w:name="_Toc617"/>
      <w:bookmarkStart w:id="8" w:name="_Toc303066033"/>
      <w:r>
        <w:t>为了更好的支撑未来两年的IT系统建设</w:t>
      </w:r>
      <w:r>
        <w:rPr>
          <w:rFonts w:hint="eastAsia"/>
        </w:rPr>
        <w:t>，</w:t>
      </w:r>
      <w:r>
        <w:t>我行</w:t>
      </w:r>
      <w:r>
        <w:rPr>
          <w:rFonts w:hint="eastAsia"/>
        </w:rPr>
        <w:t>需要采购多种配置的</w:t>
      </w:r>
      <w:r>
        <w:t>信创</w:t>
      </w:r>
      <w:r>
        <w:rPr>
          <w:rFonts w:hint="eastAsia"/>
        </w:rPr>
        <w:t>服务器提供基础资源。现对重庆三峡银行</w:t>
      </w:r>
      <w:r>
        <w:t>2024年信创服务器采购</w:t>
      </w:r>
      <w:r>
        <w:rPr>
          <w:rFonts w:hint="eastAsia"/>
        </w:rPr>
        <w:t>项目进行公开比选，</w:t>
      </w:r>
      <w:r>
        <w:t>特邀请有</w:t>
      </w:r>
      <w:bookmarkStart w:id="9" w:name="_Hlk59455120"/>
      <w:r>
        <w:t>意向</w:t>
      </w:r>
      <w:bookmarkEnd w:id="9"/>
      <w:r>
        <w:t>的潜在</w:t>
      </w:r>
      <w:r>
        <w:rPr>
          <w:rFonts w:hint="eastAsia"/>
        </w:rPr>
        <w:t>参选</w:t>
      </w:r>
      <w:r>
        <w:t>人进行</w:t>
      </w:r>
      <w:r>
        <w:rPr>
          <w:rFonts w:hint="eastAsia"/>
        </w:rPr>
        <w:t>参选</w:t>
      </w:r>
      <w:r>
        <w:t>。</w:t>
      </w:r>
    </w:p>
    <w:p w14:paraId="2A63A6A5">
      <w:pPr>
        <w:pStyle w:val="3"/>
        <w:rPr>
          <w:rFonts w:ascii="Times New Roman" w:hAnsi="Times New Roman"/>
        </w:rPr>
      </w:pPr>
      <w:r>
        <w:rPr>
          <w:rFonts w:hint="eastAsia" w:ascii="Times New Roman" w:hAnsi="Times New Roman"/>
        </w:rPr>
        <w:t>1. 比选项目内容</w:t>
      </w:r>
      <w:bookmarkEnd w:id="4"/>
      <w:bookmarkEnd w:id="5"/>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4252"/>
        <w:gridCol w:w="2200"/>
        <w:gridCol w:w="1419"/>
      </w:tblGrid>
      <w:tr w14:paraId="6228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14:paraId="640FA00A">
            <w:pPr>
              <w:pStyle w:val="34"/>
              <w:bidi w:val="0"/>
            </w:pPr>
            <w:r>
              <w:rPr>
                <w:rFonts w:hint="eastAsia"/>
              </w:rPr>
              <w:t>序号</w:t>
            </w:r>
          </w:p>
        </w:tc>
        <w:tc>
          <w:tcPr>
            <w:tcW w:w="2495" w:type="pct"/>
            <w:vAlign w:val="center"/>
          </w:tcPr>
          <w:p w14:paraId="22AB5448">
            <w:pPr>
              <w:pStyle w:val="34"/>
              <w:bidi w:val="0"/>
            </w:pPr>
            <w:r>
              <w:rPr>
                <w:rFonts w:hint="eastAsia"/>
              </w:rPr>
              <w:t>项目名称</w:t>
            </w:r>
          </w:p>
        </w:tc>
        <w:tc>
          <w:tcPr>
            <w:tcW w:w="1291" w:type="pct"/>
            <w:vAlign w:val="center"/>
          </w:tcPr>
          <w:p w14:paraId="4F679074">
            <w:pPr>
              <w:pStyle w:val="34"/>
              <w:bidi w:val="0"/>
              <w:rPr>
                <w:rFonts w:hint="eastAsia"/>
                <w:lang w:eastAsia="zh-CN"/>
              </w:rPr>
            </w:pPr>
            <w:r>
              <w:rPr>
                <w:rFonts w:hint="eastAsia"/>
              </w:rPr>
              <w:t>最高限价</w:t>
            </w:r>
            <w:r>
              <w:rPr>
                <w:rFonts w:hint="eastAsia"/>
                <w:lang w:eastAsia="zh-CN"/>
              </w:rPr>
              <w:t>（</w:t>
            </w:r>
            <w:r>
              <w:rPr>
                <w:rFonts w:hint="eastAsia"/>
                <w:lang w:val="en-US" w:eastAsia="zh-CN"/>
              </w:rPr>
              <w:t>含税</w:t>
            </w:r>
            <w:r>
              <w:rPr>
                <w:rFonts w:hint="eastAsia"/>
                <w:lang w:eastAsia="zh-CN"/>
              </w:rPr>
              <w:t>）</w:t>
            </w:r>
          </w:p>
        </w:tc>
        <w:tc>
          <w:tcPr>
            <w:tcW w:w="832" w:type="pct"/>
            <w:vAlign w:val="center"/>
          </w:tcPr>
          <w:p w14:paraId="3AE704B7">
            <w:pPr>
              <w:pStyle w:val="34"/>
              <w:bidi w:val="0"/>
            </w:pPr>
            <w:r>
              <w:rPr>
                <w:rFonts w:hint="eastAsia"/>
              </w:rPr>
              <w:t>中选人数量</w:t>
            </w:r>
          </w:p>
        </w:tc>
      </w:tr>
      <w:tr w14:paraId="725A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80" w:type="pct"/>
            <w:vAlign w:val="center"/>
          </w:tcPr>
          <w:p w14:paraId="1DC38AAD">
            <w:pPr>
              <w:pStyle w:val="33"/>
              <w:bidi w:val="0"/>
              <w:jc w:val="center"/>
            </w:pPr>
            <w:bookmarkStart w:id="82" w:name="_GoBack" w:colFirst="0" w:colLast="0"/>
            <w:r>
              <w:rPr>
                <w:rFonts w:hint="eastAsia"/>
              </w:rPr>
              <w:t>1</w:t>
            </w:r>
          </w:p>
        </w:tc>
        <w:tc>
          <w:tcPr>
            <w:tcW w:w="2495" w:type="pct"/>
            <w:tcBorders>
              <w:top w:val="single" w:color="auto" w:sz="4" w:space="0"/>
              <w:left w:val="single" w:color="auto" w:sz="4" w:space="0"/>
              <w:right w:val="single" w:color="auto" w:sz="4" w:space="0"/>
            </w:tcBorders>
            <w:vAlign w:val="center"/>
          </w:tcPr>
          <w:p w14:paraId="58A0FAE5">
            <w:pPr>
              <w:pStyle w:val="33"/>
              <w:bidi w:val="0"/>
              <w:rPr>
                <w:rFonts w:hint="eastAsia"/>
                <w:lang w:eastAsia="zh-CN"/>
              </w:rPr>
            </w:pPr>
            <w:r>
              <w:t>重庆三峡银行2024</w:t>
            </w:r>
            <w:r>
              <w:rPr>
                <w:rFonts w:hint="eastAsia"/>
              </w:rPr>
              <w:t>年</w:t>
            </w:r>
            <w:r>
              <w:t>信创</w:t>
            </w:r>
            <w:r>
              <w:rPr>
                <w:rFonts w:hint="eastAsia"/>
              </w:rPr>
              <w:t>服务器采购项目</w:t>
            </w:r>
            <w:r>
              <w:rPr>
                <w:rFonts w:hint="eastAsia"/>
                <w:lang w:eastAsia="zh-CN"/>
              </w:rPr>
              <w:t>（</w:t>
            </w:r>
            <w:r>
              <w:rPr>
                <w:rFonts w:hint="eastAsia"/>
                <w:lang w:val="en-US" w:eastAsia="zh-CN"/>
              </w:rPr>
              <w:t>标段1：鲲鹏服务器需求一</w:t>
            </w:r>
            <w:r>
              <w:rPr>
                <w:rFonts w:hint="eastAsia"/>
                <w:lang w:eastAsia="zh-CN"/>
              </w:rPr>
              <w:t>）</w:t>
            </w:r>
          </w:p>
        </w:tc>
        <w:tc>
          <w:tcPr>
            <w:tcW w:w="1291" w:type="pct"/>
            <w:tcBorders>
              <w:top w:val="single" w:color="auto" w:sz="4" w:space="0"/>
              <w:left w:val="single" w:color="auto" w:sz="4" w:space="0"/>
              <w:right w:val="single" w:color="auto" w:sz="4" w:space="0"/>
            </w:tcBorders>
            <w:vAlign w:val="center"/>
          </w:tcPr>
          <w:p w14:paraId="746401A3">
            <w:pPr>
              <w:pStyle w:val="33"/>
              <w:bidi w:val="0"/>
              <w:jc w:val="center"/>
            </w:pPr>
            <w:r>
              <w:t>972万元</w:t>
            </w:r>
          </w:p>
        </w:tc>
        <w:tc>
          <w:tcPr>
            <w:tcW w:w="832" w:type="pct"/>
            <w:tcBorders>
              <w:top w:val="single" w:color="auto" w:sz="4" w:space="0"/>
              <w:left w:val="single" w:color="auto" w:sz="4" w:space="0"/>
              <w:right w:val="single" w:color="auto" w:sz="4" w:space="0"/>
            </w:tcBorders>
            <w:vAlign w:val="center"/>
          </w:tcPr>
          <w:p w14:paraId="064FF3B1">
            <w:pPr>
              <w:pStyle w:val="33"/>
              <w:bidi w:val="0"/>
              <w:jc w:val="center"/>
            </w:pPr>
            <w:r>
              <w:t>1</w:t>
            </w:r>
          </w:p>
        </w:tc>
      </w:tr>
      <w:tr w14:paraId="423D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80" w:type="pct"/>
            <w:tcBorders>
              <w:right w:val="single" w:color="auto" w:sz="4" w:space="0"/>
            </w:tcBorders>
            <w:vAlign w:val="center"/>
          </w:tcPr>
          <w:p w14:paraId="7AA888A0">
            <w:pPr>
              <w:pStyle w:val="33"/>
              <w:bidi w:val="0"/>
              <w:jc w:val="center"/>
            </w:pPr>
            <w:r>
              <w:t>2</w:t>
            </w:r>
          </w:p>
        </w:tc>
        <w:tc>
          <w:tcPr>
            <w:tcW w:w="2495" w:type="pct"/>
            <w:tcBorders>
              <w:top w:val="single" w:color="auto" w:sz="4" w:space="0"/>
              <w:left w:val="single" w:color="auto" w:sz="4" w:space="0"/>
              <w:right w:val="single" w:color="auto" w:sz="4" w:space="0"/>
            </w:tcBorders>
            <w:vAlign w:val="center"/>
          </w:tcPr>
          <w:p w14:paraId="038BC97C">
            <w:pPr>
              <w:pStyle w:val="33"/>
              <w:bidi w:val="0"/>
            </w:pPr>
            <w:r>
              <w:t>重庆三峡银行2024</w:t>
            </w:r>
            <w:r>
              <w:rPr>
                <w:rFonts w:hint="eastAsia"/>
              </w:rPr>
              <w:t>年</w:t>
            </w:r>
            <w:r>
              <w:t>信创</w:t>
            </w:r>
            <w:r>
              <w:rPr>
                <w:rFonts w:hint="eastAsia"/>
              </w:rPr>
              <w:t>服务器采购项目</w:t>
            </w:r>
            <w:r>
              <w:rPr>
                <w:rFonts w:hint="eastAsia"/>
                <w:lang w:eastAsia="zh-CN"/>
              </w:rPr>
              <w:t>（</w:t>
            </w:r>
            <w:r>
              <w:rPr>
                <w:rFonts w:hint="eastAsia"/>
                <w:lang w:val="en-US" w:eastAsia="zh-CN"/>
              </w:rPr>
              <w:t>标段2：鲲鹏服务器需求二</w:t>
            </w:r>
            <w:r>
              <w:rPr>
                <w:rFonts w:hint="eastAsia"/>
                <w:lang w:eastAsia="zh-CN"/>
              </w:rPr>
              <w:t>）</w:t>
            </w:r>
          </w:p>
        </w:tc>
        <w:tc>
          <w:tcPr>
            <w:tcW w:w="1291" w:type="pct"/>
            <w:tcBorders>
              <w:top w:val="single" w:color="auto" w:sz="4" w:space="0"/>
              <w:left w:val="single" w:color="auto" w:sz="4" w:space="0"/>
              <w:right w:val="single" w:color="auto" w:sz="4" w:space="0"/>
            </w:tcBorders>
            <w:vAlign w:val="center"/>
          </w:tcPr>
          <w:p w14:paraId="315D0255">
            <w:pPr>
              <w:pStyle w:val="33"/>
              <w:bidi w:val="0"/>
              <w:jc w:val="center"/>
            </w:pPr>
            <w:r>
              <w:t>714.38万元</w:t>
            </w:r>
          </w:p>
        </w:tc>
        <w:tc>
          <w:tcPr>
            <w:tcW w:w="832" w:type="pct"/>
            <w:tcBorders>
              <w:top w:val="single" w:color="auto" w:sz="4" w:space="0"/>
              <w:left w:val="single" w:color="auto" w:sz="4" w:space="0"/>
              <w:right w:val="single" w:color="auto" w:sz="4" w:space="0"/>
            </w:tcBorders>
            <w:vAlign w:val="center"/>
          </w:tcPr>
          <w:p w14:paraId="2FA29AAA">
            <w:pPr>
              <w:pStyle w:val="33"/>
              <w:bidi w:val="0"/>
              <w:jc w:val="center"/>
            </w:pPr>
            <w:r>
              <w:t>1</w:t>
            </w:r>
          </w:p>
        </w:tc>
      </w:tr>
      <w:tr w14:paraId="287F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80" w:type="pct"/>
            <w:tcBorders>
              <w:right w:val="single" w:color="auto" w:sz="4" w:space="0"/>
            </w:tcBorders>
            <w:vAlign w:val="center"/>
          </w:tcPr>
          <w:p w14:paraId="14162037">
            <w:pPr>
              <w:pStyle w:val="33"/>
              <w:bidi w:val="0"/>
              <w:jc w:val="center"/>
            </w:pPr>
            <w:r>
              <w:t>3</w:t>
            </w:r>
          </w:p>
        </w:tc>
        <w:tc>
          <w:tcPr>
            <w:tcW w:w="2495" w:type="pct"/>
            <w:tcBorders>
              <w:top w:val="single" w:color="auto" w:sz="4" w:space="0"/>
              <w:left w:val="single" w:color="auto" w:sz="4" w:space="0"/>
              <w:right w:val="single" w:color="auto" w:sz="4" w:space="0"/>
            </w:tcBorders>
            <w:vAlign w:val="center"/>
          </w:tcPr>
          <w:p w14:paraId="48604724">
            <w:pPr>
              <w:pStyle w:val="33"/>
              <w:bidi w:val="0"/>
            </w:pPr>
            <w:r>
              <w:t>重庆三峡银行2024</w:t>
            </w:r>
            <w:r>
              <w:rPr>
                <w:rFonts w:hint="eastAsia"/>
              </w:rPr>
              <w:t>年</w:t>
            </w:r>
            <w:r>
              <w:t>信创</w:t>
            </w:r>
            <w:r>
              <w:rPr>
                <w:rFonts w:hint="eastAsia"/>
              </w:rPr>
              <w:t>服务器采购项目</w:t>
            </w:r>
            <w:r>
              <w:rPr>
                <w:rFonts w:hint="eastAsia"/>
                <w:lang w:eastAsia="zh-CN"/>
              </w:rPr>
              <w:t>（</w:t>
            </w:r>
            <w:r>
              <w:rPr>
                <w:rFonts w:hint="eastAsia"/>
                <w:lang w:val="en-US" w:eastAsia="zh-CN"/>
              </w:rPr>
              <w:t>标段3：鲲鹏服务器需求三</w:t>
            </w:r>
            <w:r>
              <w:rPr>
                <w:rFonts w:hint="eastAsia"/>
                <w:lang w:eastAsia="zh-CN"/>
              </w:rPr>
              <w:t>）</w:t>
            </w:r>
          </w:p>
        </w:tc>
        <w:tc>
          <w:tcPr>
            <w:tcW w:w="1291" w:type="pct"/>
            <w:tcBorders>
              <w:top w:val="single" w:color="auto" w:sz="4" w:space="0"/>
              <w:left w:val="single" w:color="auto" w:sz="4" w:space="0"/>
              <w:right w:val="single" w:color="auto" w:sz="4" w:space="0"/>
            </w:tcBorders>
            <w:vAlign w:val="center"/>
          </w:tcPr>
          <w:p w14:paraId="1EDD69CB">
            <w:pPr>
              <w:pStyle w:val="33"/>
              <w:bidi w:val="0"/>
              <w:jc w:val="center"/>
            </w:pPr>
            <w:r>
              <w:t>686万元</w:t>
            </w:r>
          </w:p>
        </w:tc>
        <w:tc>
          <w:tcPr>
            <w:tcW w:w="832" w:type="pct"/>
            <w:tcBorders>
              <w:top w:val="single" w:color="auto" w:sz="4" w:space="0"/>
              <w:left w:val="single" w:color="auto" w:sz="4" w:space="0"/>
              <w:right w:val="single" w:color="auto" w:sz="4" w:space="0"/>
            </w:tcBorders>
            <w:vAlign w:val="center"/>
          </w:tcPr>
          <w:p w14:paraId="6F744655">
            <w:pPr>
              <w:pStyle w:val="33"/>
              <w:bidi w:val="0"/>
              <w:jc w:val="center"/>
            </w:pPr>
            <w:r>
              <w:t>1</w:t>
            </w:r>
          </w:p>
        </w:tc>
      </w:tr>
      <w:tr w14:paraId="3F9C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80" w:type="pct"/>
            <w:tcBorders>
              <w:right w:val="single" w:color="auto" w:sz="4" w:space="0"/>
            </w:tcBorders>
            <w:vAlign w:val="center"/>
          </w:tcPr>
          <w:p w14:paraId="2E5D7AEA">
            <w:pPr>
              <w:pStyle w:val="33"/>
              <w:bidi w:val="0"/>
              <w:jc w:val="center"/>
            </w:pPr>
            <w:r>
              <w:t>4</w:t>
            </w:r>
          </w:p>
        </w:tc>
        <w:tc>
          <w:tcPr>
            <w:tcW w:w="2495" w:type="pct"/>
            <w:tcBorders>
              <w:top w:val="single" w:color="auto" w:sz="4" w:space="0"/>
              <w:left w:val="single" w:color="auto" w:sz="4" w:space="0"/>
              <w:right w:val="single" w:color="auto" w:sz="4" w:space="0"/>
            </w:tcBorders>
            <w:vAlign w:val="center"/>
          </w:tcPr>
          <w:p w14:paraId="70BBAC86">
            <w:pPr>
              <w:pStyle w:val="33"/>
              <w:bidi w:val="0"/>
            </w:pPr>
            <w:r>
              <w:t>重庆三峡银行2024</w:t>
            </w:r>
            <w:r>
              <w:rPr>
                <w:rFonts w:hint="eastAsia"/>
              </w:rPr>
              <w:t>年</w:t>
            </w:r>
            <w:r>
              <w:t>信创</w:t>
            </w:r>
            <w:r>
              <w:rPr>
                <w:rFonts w:hint="eastAsia"/>
              </w:rPr>
              <w:t>服务器采购项目</w:t>
            </w:r>
            <w:r>
              <w:rPr>
                <w:rFonts w:hint="eastAsia"/>
                <w:lang w:eastAsia="zh-CN"/>
              </w:rPr>
              <w:t>（</w:t>
            </w:r>
            <w:r>
              <w:rPr>
                <w:rFonts w:hint="eastAsia"/>
                <w:lang w:val="en-US" w:eastAsia="zh-CN"/>
              </w:rPr>
              <w:t>标段4：海光服务器需求一</w:t>
            </w:r>
            <w:r>
              <w:rPr>
                <w:rFonts w:hint="eastAsia"/>
                <w:lang w:eastAsia="zh-CN"/>
              </w:rPr>
              <w:t>）</w:t>
            </w:r>
          </w:p>
        </w:tc>
        <w:tc>
          <w:tcPr>
            <w:tcW w:w="1291" w:type="pct"/>
            <w:tcBorders>
              <w:top w:val="single" w:color="auto" w:sz="4" w:space="0"/>
              <w:left w:val="single" w:color="auto" w:sz="4" w:space="0"/>
              <w:right w:val="single" w:color="auto" w:sz="4" w:space="0"/>
            </w:tcBorders>
            <w:vAlign w:val="center"/>
          </w:tcPr>
          <w:p w14:paraId="234CC589">
            <w:pPr>
              <w:pStyle w:val="33"/>
              <w:bidi w:val="0"/>
              <w:jc w:val="center"/>
            </w:pPr>
            <w:r>
              <w:t>459.55万元</w:t>
            </w:r>
          </w:p>
        </w:tc>
        <w:tc>
          <w:tcPr>
            <w:tcW w:w="832" w:type="pct"/>
            <w:tcBorders>
              <w:top w:val="single" w:color="auto" w:sz="4" w:space="0"/>
              <w:left w:val="single" w:color="auto" w:sz="4" w:space="0"/>
              <w:right w:val="single" w:color="auto" w:sz="4" w:space="0"/>
            </w:tcBorders>
            <w:vAlign w:val="center"/>
          </w:tcPr>
          <w:p w14:paraId="00DA5D2B">
            <w:pPr>
              <w:pStyle w:val="33"/>
              <w:bidi w:val="0"/>
              <w:jc w:val="center"/>
            </w:pPr>
            <w:r>
              <w:t>1</w:t>
            </w:r>
          </w:p>
        </w:tc>
      </w:tr>
      <w:bookmarkEnd w:id="82"/>
    </w:tbl>
    <w:p w14:paraId="4B4FEC92">
      <w:pPr>
        <w:pStyle w:val="3"/>
        <w:rPr>
          <w:rFonts w:ascii="Times New Roman" w:hAnsi="Times New Roman"/>
        </w:rPr>
      </w:pPr>
      <w:bookmarkStart w:id="10" w:name="_Toc469574664"/>
      <w:bookmarkStart w:id="11" w:name="_Toc288224935"/>
      <w:bookmarkStart w:id="12" w:name="_Toc89675128"/>
      <w:bookmarkStart w:id="13" w:name="_Toc55379219"/>
      <w:bookmarkStart w:id="14" w:name="_Toc297817088"/>
      <w:r>
        <w:rPr>
          <w:rFonts w:hint="eastAsia" w:ascii="Times New Roman" w:hAnsi="Times New Roman"/>
        </w:rPr>
        <w:t>2. 参选人资格要求</w:t>
      </w:r>
      <w:bookmarkEnd w:id="10"/>
      <w:bookmarkEnd w:id="11"/>
      <w:bookmarkEnd w:id="12"/>
      <w:bookmarkEnd w:id="13"/>
      <w:bookmarkEnd w:id="14"/>
    </w:p>
    <w:p w14:paraId="28EC5E5F">
      <w:pPr>
        <w:bidi w:val="0"/>
        <w:rPr>
          <w:rFonts w:hint="eastAsia"/>
          <w:color w:val="auto"/>
          <w:highlight w:val="none"/>
          <w:lang w:val="en-US" w:eastAsia="zh-CN"/>
        </w:rPr>
      </w:pPr>
      <w:bookmarkStart w:id="15" w:name="_Hlk55488870"/>
      <w:r>
        <w:rPr>
          <w:rFonts w:hint="eastAsia"/>
          <w:color w:val="auto"/>
          <w:highlight w:val="none"/>
          <w:lang w:val="en-US" w:eastAsia="zh-CN"/>
        </w:rPr>
        <w:t>2.1 具有独立承担民事责任的能力</w:t>
      </w:r>
    </w:p>
    <w:p w14:paraId="39888896">
      <w:pPr>
        <w:bidi w:val="0"/>
        <w:rPr>
          <w:rFonts w:hint="eastAsia"/>
          <w:color w:val="auto"/>
          <w:highlight w:val="none"/>
          <w:lang w:val="en-US" w:eastAsia="zh-CN"/>
        </w:rPr>
      </w:pPr>
      <w:r>
        <w:rPr>
          <w:rFonts w:hint="eastAsia"/>
          <w:color w:val="auto"/>
          <w:highlight w:val="none"/>
          <w:lang w:val="en-US" w:eastAsia="zh-CN"/>
        </w:rPr>
        <w:t>【提供参选人有效营业执照（副本）或事业单位法人证书（副本）或个体工商户营业执照或有效的自然人身份证明；参选人法定代表人身份证明和法定代表人授权委托书。】</w:t>
      </w:r>
    </w:p>
    <w:p w14:paraId="052C3329">
      <w:pPr>
        <w:bidi w:val="0"/>
        <w:rPr>
          <w:rFonts w:hint="default"/>
          <w:color w:val="auto"/>
          <w:highlight w:val="none"/>
          <w:lang w:val="en-US" w:eastAsia="zh-CN"/>
        </w:rPr>
      </w:pPr>
      <w:r>
        <w:rPr>
          <w:rFonts w:hint="eastAsia"/>
          <w:color w:val="auto"/>
          <w:highlight w:val="none"/>
          <w:lang w:val="en-US" w:eastAsia="zh-CN"/>
        </w:rPr>
        <w:t>注：若为法定代表人办理并签署参选文件的，不提供授权委托书。</w:t>
      </w:r>
    </w:p>
    <w:p w14:paraId="2E819FED">
      <w:pPr>
        <w:rPr>
          <w:rFonts w:ascii="Times New Roman" w:hAnsi="Times New Roman"/>
          <w:highlight w:val="lightGray"/>
          <w:shd w:val="clear" w:color="auto" w:fill="auto"/>
        </w:rPr>
      </w:pPr>
      <w:r>
        <w:rPr>
          <w:rFonts w:hint="eastAsia" w:ascii="Times New Roman" w:hAnsi="Times New Roman"/>
        </w:rPr>
        <w:t>2.2 具有良好的商业信誉和健全的财务会计制度【提供书面声明】；</w:t>
      </w:r>
    </w:p>
    <w:p w14:paraId="10F71785">
      <w:pPr>
        <w:rPr>
          <w:rFonts w:hint="eastAsia" w:ascii="Times New Roman" w:hAnsi="Times New Roman"/>
        </w:rPr>
      </w:pPr>
      <w:r>
        <w:rPr>
          <w:rFonts w:hint="eastAsia" w:ascii="Times New Roman" w:hAnsi="Times New Roman"/>
        </w:rPr>
        <w:t>2.3 具有履行合同所必需的设备和专业技术能力【提供书面声明】；</w:t>
      </w:r>
    </w:p>
    <w:p w14:paraId="5B9E5340">
      <w:pPr>
        <w:rPr>
          <w:rFonts w:hint="eastAsia" w:ascii="Times New Roman" w:hAnsi="Times New Roman"/>
        </w:rPr>
      </w:pPr>
      <w:r>
        <w:rPr>
          <w:rFonts w:hint="eastAsia" w:ascii="Times New Roman" w:hAnsi="Times New Roman"/>
        </w:rPr>
        <w:t>2.4 有依法缴纳税收和社会保障金的良好记录【提供书面声明】；</w:t>
      </w:r>
    </w:p>
    <w:p w14:paraId="30E97383">
      <w:pPr>
        <w:rPr>
          <w:rFonts w:hint="eastAsia" w:ascii="Times New Roman" w:hAnsi="Times New Roman"/>
        </w:rPr>
      </w:pPr>
      <w:r>
        <w:rPr>
          <w:rFonts w:hint="eastAsia" w:ascii="Times New Roman" w:hAnsi="Times New Roman"/>
        </w:rPr>
        <w:t>2.5 三年内在经营活动中没有重大违法记录【提供书面声明】；</w:t>
      </w:r>
    </w:p>
    <w:p w14:paraId="33AE2238">
      <w:pPr>
        <w:rPr>
          <w:rFonts w:hint="eastAsia" w:ascii="Times New Roman" w:hAnsi="Times New Roman"/>
        </w:rPr>
      </w:pPr>
      <w:r>
        <w:rPr>
          <w:rFonts w:hint="eastAsia" w:ascii="Times New Roman" w:hAnsi="Times New Roman"/>
        </w:rPr>
        <w:t>2.6 法人及法定代表人没有被人民法院列为失信被执行人名单【提供中国执行信息公开网截图并加盖单位鲜章】；</w:t>
      </w:r>
    </w:p>
    <w:p w14:paraId="6C4DE32A">
      <w:pPr>
        <w:rPr>
          <w:rFonts w:hint="eastAsia" w:ascii="Times New Roman" w:hAnsi="Times New Roman"/>
        </w:rPr>
      </w:pPr>
      <w:r>
        <w:rPr>
          <w:rFonts w:hint="eastAsia" w:ascii="Times New Roman" w:hAnsi="Times New Roman"/>
        </w:rPr>
        <w:t>2.7 本项目不允许任何形式的转包【提供书面声明】。</w:t>
      </w:r>
    </w:p>
    <w:p w14:paraId="47A8C382">
      <w:pPr>
        <w:bidi w:val="0"/>
        <w:rPr>
          <w:rFonts w:hint="eastAsia"/>
          <w:color w:val="auto"/>
          <w:highlight w:val="none"/>
          <w:lang w:val="en-US" w:eastAsia="zh-CN"/>
        </w:rPr>
      </w:pPr>
      <w:r>
        <w:rPr>
          <w:rFonts w:hint="eastAsia"/>
          <w:color w:val="auto"/>
          <w:highlight w:val="none"/>
          <w:lang w:val="en-US" w:eastAsia="zh-CN"/>
        </w:rPr>
        <w:t>2.8 本次比选不接受联合体参选。</w:t>
      </w:r>
    </w:p>
    <w:p w14:paraId="3FF62964">
      <w:pPr>
        <w:rPr>
          <w:rFonts w:ascii="Times New Roman" w:hAnsi="Times New Roman"/>
          <w:highlight w:val="lightGray"/>
        </w:rPr>
      </w:pPr>
      <w:r>
        <w:rPr>
          <w:rFonts w:ascii="Times New Roman" w:hAnsi="Times New Roman"/>
        </w:rPr>
        <w:t>2.9 参选品牌（服务器设备原厂商）在重庆具备分公司或办事处</w:t>
      </w:r>
      <w:r>
        <w:rPr>
          <w:rFonts w:hint="eastAsia" w:ascii="Times New Roman" w:hAnsi="Times New Roman"/>
        </w:rPr>
        <w:t>【提供</w:t>
      </w:r>
      <w:r>
        <w:rPr>
          <w:rFonts w:ascii="宋体" w:hAnsi="Times New Roman" w:cs="宋体"/>
          <w:sz w:val="21"/>
          <w:szCs w:val="21"/>
        </w:rPr>
        <w:t>参选品牌在重庆具备分公司或办事处</w:t>
      </w:r>
      <w:r>
        <w:rPr>
          <w:rFonts w:hint="eastAsia" w:ascii="Times New Roman" w:hAnsi="Times New Roman"/>
          <w:lang w:val="en-US" w:eastAsia="zh-CN"/>
        </w:rPr>
        <w:t>证明材料，证明材料为</w:t>
      </w:r>
      <w:r>
        <w:rPr>
          <w:rFonts w:ascii="Times New Roman" w:hAnsi="Times New Roman"/>
        </w:rPr>
        <w:t>分公司或办事处地址和照片信息，并加盖参选品牌公章</w:t>
      </w:r>
      <w:r>
        <w:rPr>
          <w:rFonts w:hint="eastAsia" w:ascii="Times New Roman" w:hAnsi="Times New Roman"/>
        </w:rPr>
        <w:t>】</w:t>
      </w:r>
      <w:r>
        <w:rPr>
          <w:rFonts w:ascii="Times New Roman" w:hAnsi="Times New Roman"/>
        </w:rPr>
        <w:t>。</w:t>
      </w:r>
    </w:p>
    <w:p w14:paraId="4C37842D">
      <w:pPr>
        <w:rPr>
          <w:rFonts w:hint="eastAsia" w:ascii="Times New Roman" w:hAnsi="Times New Roman" w:eastAsia="宋体"/>
          <w:lang w:eastAsia="zh-CN"/>
        </w:rPr>
      </w:pPr>
      <w:r>
        <w:rPr>
          <w:rFonts w:ascii="Times New Roman" w:hAnsi="Times New Roman"/>
        </w:rPr>
        <w:t>2.1</w:t>
      </w:r>
      <w:r>
        <w:rPr>
          <w:rFonts w:hint="eastAsia" w:ascii="Times New Roman" w:hAnsi="Times New Roman"/>
          <w:lang w:val="en-US" w:eastAsia="zh-CN"/>
        </w:rPr>
        <w:t>0</w:t>
      </w:r>
      <w:r>
        <w:rPr>
          <w:rFonts w:ascii="Times New Roman" w:hAnsi="Times New Roman"/>
        </w:rPr>
        <w:t xml:space="preserve"> 参选品牌在重庆具有备件库，须提供备品备件库的详细情况：库房租赁合同（或产权证明）复印件以及地址、常规备件等信息说明，并加盖参选品牌公章。</w:t>
      </w:r>
      <w:r>
        <w:rPr>
          <w:rFonts w:hint="eastAsia"/>
          <w:lang w:eastAsia="zh-CN"/>
        </w:rPr>
        <w:t>【</w:t>
      </w:r>
      <w:r>
        <w:rPr>
          <w:rFonts w:hint="eastAsia"/>
          <w:lang w:val="en-US" w:eastAsia="zh-CN"/>
        </w:rPr>
        <w:t>提供</w:t>
      </w:r>
      <w:r>
        <w:rPr>
          <w:rFonts w:ascii="宋体" w:hAnsi="Times New Roman" w:cs="宋体"/>
          <w:sz w:val="21"/>
          <w:szCs w:val="21"/>
        </w:rPr>
        <w:t>参选品牌在重庆具有备件库</w:t>
      </w:r>
      <w:r>
        <w:rPr>
          <w:rFonts w:hint="eastAsia" w:ascii="宋体" w:hAnsi="Times New Roman" w:cs="宋体"/>
          <w:sz w:val="21"/>
          <w:szCs w:val="21"/>
          <w:lang w:val="en-US" w:eastAsia="zh-CN"/>
        </w:rPr>
        <w:t>的证明材料</w:t>
      </w:r>
      <w:r>
        <w:rPr>
          <w:rFonts w:hint="eastAsia"/>
          <w:lang w:eastAsia="zh-CN"/>
        </w:rPr>
        <w:t>】</w:t>
      </w:r>
    </w:p>
    <w:p w14:paraId="59B1EB76">
      <w:pPr>
        <w:rPr>
          <w:rFonts w:ascii="Times New Roman" w:hAnsi="Times New Roman"/>
        </w:rPr>
      </w:pPr>
      <w:r>
        <w:rPr>
          <w:rFonts w:hint="eastAsia" w:ascii="Times New Roman" w:hAnsi="Times New Roman"/>
        </w:rPr>
        <w:t>2.1</w:t>
      </w:r>
      <w:r>
        <w:rPr>
          <w:rFonts w:hint="eastAsia" w:ascii="Times New Roman" w:hAnsi="Times New Roman"/>
          <w:lang w:val="en-US" w:eastAsia="zh-CN"/>
        </w:rPr>
        <w:t>1</w:t>
      </w:r>
      <w:r>
        <w:rPr>
          <w:rFonts w:hint="eastAsia" w:ascii="Times New Roman" w:hAnsi="Times New Roman"/>
        </w:rPr>
        <w:t xml:space="preserve"> </w:t>
      </w:r>
      <w:r>
        <w:rPr>
          <w:rFonts w:ascii="Times New Roman" w:hAnsi="Times New Roman"/>
        </w:rPr>
        <w:t>参选人注册成立时间不少于3年</w:t>
      </w:r>
      <w:r>
        <w:rPr>
          <w:rFonts w:hint="eastAsia" w:ascii="Times New Roman" w:hAnsi="Times New Roman"/>
          <w:lang w:eastAsia="zh-CN"/>
        </w:rPr>
        <w:t>；【</w:t>
      </w:r>
      <w:r>
        <w:rPr>
          <w:rFonts w:hint="eastAsia" w:ascii="Times New Roman" w:hAnsi="Times New Roman"/>
          <w:lang w:val="en-US" w:eastAsia="zh-CN"/>
        </w:rPr>
        <w:t>提供营业执照</w:t>
      </w:r>
      <w:r>
        <w:rPr>
          <w:rFonts w:ascii="Times New Roman" w:hAnsi="Times New Roman"/>
        </w:rPr>
        <w:t>复印件</w:t>
      </w:r>
      <w:r>
        <w:rPr>
          <w:rFonts w:hint="eastAsia" w:ascii="Times New Roman" w:hAnsi="Times New Roman"/>
          <w:lang w:eastAsia="zh-CN"/>
        </w:rPr>
        <w:t>】</w:t>
      </w:r>
    </w:p>
    <w:p w14:paraId="62724E5A">
      <w:pPr>
        <w:rPr>
          <w:rFonts w:ascii="Times New Roman" w:hAnsi="Times New Roman"/>
        </w:rPr>
      </w:pPr>
      <w:r>
        <w:rPr>
          <w:rFonts w:hint="eastAsia" w:ascii="Times New Roman" w:hAnsi="Times New Roman"/>
          <w:lang w:val="en-US" w:eastAsia="zh-CN"/>
        </w:rPr>
        <w:t xml:space="preserve">2.12 </w:t>
      </w:r>
      <w:r>
        <w:rPr>
          <w:rFonts w:ascii="Times New Roman" w:hAnsi="Times New Roman"/>
        </w:rPr>
        <w:t>注册资本不低于1000万元【提供营业执照复印件，如营业执照无法体现注册资本，则提供网页截图等第三方证明】</w:t>
      </w:r>
    </w:p>
    <w:p w14:paraId="0870EABE">
      <w:pPr>
        <w:rPr>
          <w:rFonts w:ascii="Times New Roman" w:hAnsi="Times New Roman"/>
        </w:rPr>
      </w:pPr>
      <w:r>
        <w:rPr>
          <w:rFonts w:ascii="Times New Roman" w:hAnsi="Times New Roman"/>
        </w:rPr>
        <w:t>2.1</w:t>
      </w:r>
      <w:r>
        <w:rPr>
          <w:rFonts w:hint="eastAsia" w:ascii="Times New Roman" w:hAnsi="Times New Roman"/>
          <w:lang w:val="en-US" w:eastAsia="zh-CN"/>
        </w:rPr>
        <w:t>3</w:t>
      </w:r>
      <w:r>
        <w:rPr>
          <w:rFonts w:ascii="Times New Roman" w:hAnsi="Times New Roman"/>
        </w:rPr>
        <w:t xml:space="preserve"> </w:t>
      </w:r>
      <w:r>
        <w:rPr>
          <w:rFonts w:hint="eastAsia" w:ascii="Times New Roman" w:hAnsi="Times New Roman"/>
        </w:rPr>
        <w:t>员工社保缴纳总人数不低于</w:t>
      </w:r>
      <w:r>
        <w:rPr>
          <w:rFonts w:ascii="Times New Roman" w:hAnsi="Times New Roman"/>
        </w:rPr>
        <w:t>5</w:t>
      </w:r>
      <w:r>
        <w:rPr>
          <w:rFonts w:hint="eastAsia" w:ascii="Times New Roman" w:hAnsi="Times New Roman"/>
        </w:rPr>
        <w:t>0人</w:t>
      </w:r>
      <w:r>
        <w:rPr>
          <w:rFonts w:ascii="Times New Roman" w:hAnsi="Times New Roman"/>
        </w:rPr>
        <w:t>，</w:t>
      </w:r>
      <w:r>
        <w:rPr>
          <w:rFonts w:hint="eastAsia" w:ascii="Times New Roman" w:hAnsi="Times New Roman"/>
        </w:rPr>
        <w:t>员工参保单位须为参选人，委托第三方公司代缴的不予认定。【提供：2024年8月1日至今任意月份的员工社保缴纳总人数及社保缴纳材料证明。】</w:t>
      </w:r>
    </w:p>
    <w:p w14:paraId="3B2EAB0D">
      <w:pPr>
        <w:rPr>
          <w:rFonts w:ascii="Times New Roman" w:hAnsi="Times New Roman"/>
        </w:rPr>
      </w:pPr>
      <w:r>
        <w:rPr>
          <w:rFonts w:ascii="Times New Roman" w:hAnsi="Times New Roman"/>
        </w:rPr>
        <w:t>2.1</w:t>
      </w:r>
      <w:r>
        <w:rPr>
          <w:rFonts w:hint="eastAsia" w:ascii="Times New Roman" w:hAnsi="Times New Roman"/>
          <w:lang w:val="en-US" w:eastAsia="zh-CN"/>
        </w:rPr>
        <w:t>4</w:t>
      </w:r>
      <w:r>
        <w:rPr>
          <w:rFonts w:ascii="Times New Roman" w:hAnsi="Times New Roman"/>
        </w:rPr>
        <w:t xml:space="preserve"> 案例要求：</w:t>
      </w:r>
    </w:p>
    <w:p w14:paraId="34B53D5D">
      <w:pPr>
        <w:bidi w:val="0"/>
      </w:pPr>
      <w:r>
        <w:t>（1）参选人案例：2021年1月1日至本比选文件发出日期间，参选人至少具有1个单个合同或框架协议下累计销售金额达</w:t>
      </w:r>
      <w:r>
        <w:rPr>
          <w:lang w:val="en-US" w:eastAsia="zh-CN"/>
        </w:rPr>
        <w:t>如下要求</w:t>
      </w:r>
      <w:r>
        <w:t>的服务器销售案例：</w:t>
      </w:r>
      <w:r>
        <w:rPr>
          <w:rFonts w:hint="eastAsia"/>
          <w:lang w:eastAsia="zh-CN"/>
        </w:rPr>
        <w:t>标段1：</w:t>
      </w:r>
      <w:r>
        <w:t>1000万元（含）以上、</w:t>
      </w:r>
      <w:r>
        <w:rPr>
          <w:rFonts w:hint="eastAsia"/>
          <w:lang w:eastAsia="zh-CN"/>
        </w:rPr>
        <w:t>标段2：</w:t>
      </w:r>
      <w:r>
        <w:t>800万元（含）以上、</w:t>
      </w:r>
      <w:r>
        <w:rPr>
          <w:rFonts w:hint="eastAsia"/>
          <w:lang w:eastAsia="zh-CN"/>
        </w:rPr>
        <w:t>标段3：</w:t>
      </w:r>
      <w:r>
        <w:t>700万元（含）以上、</w:t>
      </w:r>
      <w:r>
        <w:rPr>
          <w:rFonts w:hint="eastAsia"/>
          <w:lang w:eastAsia="zh-CN"/>
        </w:rPr>
        <w:t>标段4：</w:t>
      </w:r>
      <w:r>
        <w:t>500万元（含）以上；</w:t>
      </w:r>
    </w:p>
    <w:p w14:paraId="068D4725">
      <w:pPr>
        <w:bidi w:val="0"/>
      </w:pPr>
      <w:r>
        <w:t>（2）参选品牌案例：2021年1月1日至本比选文件发出日期间，参选品牌至少具有1个单个合同或框架协议下累计销售金额达</w:t>
      </w:r>
      <w:r>
        <w:rPr>
          <w:lang w:val="en-US" w:eastAsia="zh-CN"/>
        </w:rPr>
        <w:t>1</w:t>
      </w:r>
      <w:r>
        <w:t>000万元（含）以上的相同系列服务器（</w:t>
      </w:r>
      <w:r>
        <w:rPr>
          <w:rFonts w:hint="eastAsia"/>
          <w:lang w:eastAsia="zh-CN"/>
        </w:rPr>
        <w:t>标段1</w:t>
      </w:r>
      <w:r>
        <w:t>、</w:t>
      </w:r>
      <w:r>
        <w:rPr>
          <w:rFonts w:hint="eastAsia"/>
          <w:lang w:val="en-US" w:eastAsia="zh-CN"/>
        </w:rPr>
        <w:t>2</w:t>
      </w:r>
      <w:r>
        <w:t>、</w:t>
      </w:r>
      <w:r>
        <w:rPr>
          <w:rFonts w:hint="eastAsia"/>
          <w:lang w:val="en-US" w:eastAsia="zh-CN"/>
        </w:rPr>
        <w:t>3</w:t>
      </w:r>
      <w:r>
        <w:t>要求为鲲鹏系列服务器；</w:t>
      </w:r>
      <w:r>
        <w:rPr>
          <w:rFonts w:hint="eastAsia"/>
          <w:lang w:eastAsia="zh-CN"/>
        </w:rPr>
        <w:t>标段4：</w:t>
      </w:r>
      <w:r>
        <w:t>要求为海光3号系列服务器）销售案例（最终用户限：银行总行或证券总部或保险总部机构）；</w:t>
      </w:r>
    </w:p>
    <w:p w14:paraId="592C91CA">
      <w:pPr>
        <w:rPr>
          <w:rFonts w:ascii="Times New Roman" w:hAnsi="Times New Roman"/>
        </w:rPr>
      </w:pPr>
      <w:r>
        <w:rPr>
          <w:rFonts w:ascii="Times New Roman" w:hAnsi="Times New Roman"/>
        </w:rPr>
        <w:t>证明材料：</w:t>
      </w:r>
    </w:p>
    <w:p w14:paraId="689626A5">
      <w:pPr>
        <w:ind w:firstLine="420" w:firstLineChars="200"/>
        <w:rPr>
          <w:rFonts w:hint="eastAsia" w:ascii="Times New Roman" w:hAnsi="Times New Roman" w:eastAsia="宋体"/>
          <w:lang w:eastAsia="zh-CN"/>
        </w:rPr>
      </w:pPr>
      <w:r>
        <w:rPr>
          <w:rFonts w:ascii="Times New Roman" w:hAnsi="Times New Roman"/>
        </w:rPr>
        <w:t>（1）参选人案例：提供案例相关的项目简介；提供案例合同复印件（加盖参选人公章），或框架协议及该协议对应订货单的复印件（加盖参选人公章），同时提供案例</w:t>
      </w:r>
      <w:r>
        <w:rPr>
          <w:rFonts w:hint="eastAsia" w:ascii="Times New Roman" w:hAnsi="Times New Roman"/>
        </w:rPr>
        <w:t>对应的发票</w:t>
      </w:r>
      <w:r>
        <w:rPr>
          <w:rFonts w:ascii="Times New Roman" w:hAnsi="Times New Roman"/>
        </w:rPr>
        <w:t>复印件</w:t>
      </w:r>
      <w:r>
        <w:rPr>
          <w:rFonts w:hint="eastAsia" w:ascii="Times New Roman" w:hAnsi="Times New Roman"/>
        </w:rPr>
        <w:t>和网上税务系统查询（</w:t>
      </w:r>
      <w:r>
        <w:rPr>
          <w:rFonts w:ascii="Times New Roman" w:hAnsi="Times New Roman"/>
        </w:rPr>
        <w:t>https://inv-veri.chinatax.gov.cn/</w:t>
      </w:r>
      <w:r>
        <w:rPr>
          <w:rFonts w:hint="eastAsia" w:ascii="Times New Roman" w:hAnsi="Times New Roman"/>
        </w:rPr>
        <w:t>）该发票截图</w:t>
      </w:r>
      <w:r>
        <w:rPr>
          <w:rFonts w:ascii="Times New Roman" w:hAnsi="Times New Roman"/>
        </w:rPr>
        <w:t>（发票复印件及发票截图加盖参选人公章）。</w:t>
      </w:r>
      <w:r>
        <w:rPr>
          <w:rFonts w:hint="eastAsia" w:ascii="Times New Roman" w:hAnsi="Times New Roman"/>
          <w:lang w:eastAsia="zh-CN"/>
        </w:rPr>
        <w:t>【</w:t>
      </w:r>
      <w:r>
        <w:rPr>
          <w:rFonts w:hint="eastAsia" w:ascii="Times New Roman" w:hAnsi="Times New Roman"/>
          <w:lang w:val="en-US" w:eastAsia="zh-CN"/>
        </w:rPr>
        <w:t>提供参选人案例</w:t>
      </w:r>
      <w:r>
        <w:rPr>
          <w:rFonts w:hint="eastAsia" w:ascii="Times New Roman" w:hAnsi="Times New Roman"/>
          <w:lang w:eastAsia="zh-CN"/>
        </w:rPr>
        <w:t>】</w:t>
      </w:r>
    </w:p>
    <w:p w14:paraId="7C4EC968">
      <w:pPr>
        <w:ind w:firstLine="420" w:firstLineChars="200"/>
        <w:rPr>
          <w:rFonts w:hint="eastAsia" w:ascii="Times New Roman" w:hAnsi="Times New Roman" w:eastAsia="宋体"/>
          <w:lang w:eastAsia="zh-CN"/>
        </w:rPr>
      </w:pPr>
      <w:r>
        <w:rPr>
          <w:rFonts w:ascii="Times New Roman" w:hAnsi="Times New Roman"/>
        </w:rPr>
        <w:t>（2）参选品牌案例：提供案例相关的项目简介；提供案例合同复印件（加盖参选品牌公章），或框架协议及该协议对应订货单的复印件（加盖参选品牌公章）。</w:t>
      </w:r>
      <w:r>
        <w:rPr>
          <w:rFonts w:hint="eastAsia" w:ascii="Times New Roman" w:hAnsi="Times New Roman"/>
          <w:lang w:eastAsia="zh-CN"/>
        </w:rPr>
        <w:t>【</w:t>
      </w:r>
      <w:r>
        <w:rPr>
          <w:rFonts w:hint="eastAsia" w:ascii="Times New Roman" w:hAnsi="Times New Roman"/>
          <w:lang w:val="en-US" w:eastAsia="zh-CN"/>
        </w:rPr>
        <w:t>提供参选品牌案例</w:t>
      </w:r>
      <w:r>
        <w:rPr>
          <w:rFonts w:hint="eastAsia" w:ascii="Times New Roman" w:hAnsi="Times New Roman"/>
          <w:lang w:eastAsia="zh-CN"/>
        </w:rPr>
        <w:t>】</w:t>
      </w:r>
    </w:p>
    <w:p w14:paraId="6561B2C0">
      <w:pPr>
        <w:rPr>
          <w:rFonts w:ascii="Times New Roman" w:hAnsi="Times New Roman"/>
        </w:rPr>
      </w:pPr>
      <w:r>
        <w:rPr>
          <w:rFonts w:ascii="Times New Roman" w:hAnsi="Times New Roman"/>
        </w:rPr>
        <w:t>案例认定标准：</w:t>
      </w:r>
    </w:p>
    <w:p w14:paraId="739DC48B">
      <w:pPr>
        <w:spacing w:beforeAutospacing="0" w:afterAutospacing="0"/>
        <w:rPr>
          <w:rFonts w:ascii="Times New Roman" w:hAnsi="Times New Roman"/>
        </w:rPr>
      </w:pPr>
      <w:r>
        <w:rPr>
          <w:rFonts w:ascii="Times New Roman" w:hAnsi="Times New Roman"/>
        </w:rPr>
        <w:t>（1）满足以上案例要求中所规定的内容；</w:t>
      </w:r>
    </w:p>
    <w:p w14:paraId="642C5910">
      <w:pPr>
        <w:spacing w:beforeAutospacing="0" w:afterAutospacing="0"/>
        <w:rPr>
          <w:rFonts w:ascii="Times New Roman" w:hAnsi="Times New Roman"/>
        </w:rPr>
      </w:pPr>
      <w:r>
        <w:rPr>
          <w:rFonts w:ascii="Times New Roman" w:hAnsi="Times New Roman"/>
        </w:rPr>
        <w:t>（2）案例金额：提供有实际销售金额的合同，或框架协议及协议对应的订货单，金额只计算服务器产品及其相关配件；</w:t>
      </w:r>
    </w:p>
    <w:p w14:paraId="14162E40">
      <w:pPr>
        <w:spacing w:beforeAutospacing="0" w:afterAutospacing="0"/>
        <w:rPr>
          <w:rFonts w:ascii="Times New Roman" w:hAnsi="Times New Roman"/>
        </w:rPr>
      </w:pPr>
      <w:r>
        <w:rPr>
          <w:rFonts w:ascii="Times New Roman" w:hAnsi="Times New Roman"/>
        </w:rPr>
        <w:t>（3）案例时间：若提供有实际销售金额的合同，则以合同签订时间为准，若提供框架协议，则以该协议对应的订货单下单时间为准；</w:t>
      </w:r>
    </w:p>
    <w:p w14:paraId="1B81D512">
      <w:pPr>
        <w:ind w:firstLine="420" w:firstLineChars="200"/>
        <w:rPr>
          <w:rFonts w:ascii="Times New Roman" w:hAnsi="Times New Roman"/>
        </w:rPr>
      </w:pPr>
      <w:r>
        <w:rPr>
          <w:rFonts w:ascii="Times New Roman" w:hAnsi="Times New Roman"/>
        </w:rPr>
        <w:t>（4）合同或框架协议须包含首页、甲乙双方盖章页及关键内容页（须包含服务器产品关键信息，至少包括服务器品牌型号及CPU型号信息）；</w:t>
      </w:r>
    </w:p>
    <w:p w14:paraId="6D5FA8C7">
      <w:pPr>
        <w:bidi w:val="0"/>
      </w:pPr>
      <w:r>
        <w:t>（5）参选人若提供有实际销售金额的案例合同复印件则</w:t>
      </w:r>
      <w:r>
        <w:rPr>
          <w:rFonts w:hint="eastAsia"/>
        </w:rPr>
        <w:t>发票开具日期须晚于合同签订日期</w:t>
      </w:r>
      <w:r>
        <w:t>，若提供框架协议及对应的订货单复印件则发票</w:t>
      </w:r>
      <w:r>
        <w:rPr>
          <w:rFonts w:hint="eastAsia"/>
        </w:rPr>
        <w:t>开具</w:t>
      </w:r>
      <w:r>
        <w:t>日期须晚于订货单下单日期，</w:t>
      </w:r>
      <w:r>
        <w:rPr>
          <w:rFonts w:hint="eastAsia"/>
        </w:rPr>
        <w:t>发票购买方须与合同</w:t>
      </w:r>
      <w:r>
        <w:t>（或框架协议）</w:t>
      </w:r>
      <w:r>
        <w:rPr>
          <w:rFonts w:hint="eastAsia"/>
        </w:rPr>
        <w:t>买方一致</w:t>
      </w:r>
      <w:r>
        <w:t>，</w:t>
      </w:r>
      <w:r>
        <w:rPr>
          <w:rFonts w:hint="eastAsia"/>
        </w:rPr>
        <w:t>发票销售方须与合同卖方（参选人）一致）</w:t>
      </w:r>
      <w:r>
        <w:t>；</w:t>
      </w:r>
    </w:p>
    <w:p w14:paraId="09773B86">
      <w:pPr>
        <w:bidi w:val="0"/>
      </w:pPr>
      <w:r>
        <w:t>（6）如合同或框架协议的关键内容页、或订货单的关键信息不齐全，无法直接证明其符合性的，参选人还须同时提供其他相关证明材料供评标委员会认定。</w:t>
      </w:r>
    </w:p>
    <w:p w14:paraId="39D6B83E">
      <w:pPr>
        <w:bidi w:val="0"/>
        <w:rPr>
          <w:rFonts w:hint="eastAsia"/>
        </w:rPr>
      </w:pPr>
      <w:r>
        <w:rPr>
          <w:rFonts w:hint="eastAsia"/>
        </w:rPr>
        <w:t>2.1</w:t>
      </w:r>
      <w:r>
        <w:rPr>
          <w:rFonts w:hint="eastAsia"/>
          <w:lang w:val="en-US" w:eastAsia="zh-CN"/>
        </w:rPr>
        <w:t>5</w:t>
      </w:r>
      <w:r>
        <w:rPr>
          <w:lang w:val="en-US" w:eastAsia="zh-CN"/>
        </w:rPr>
        <w:t xml:space="preserve"> </w:t>
      </w:r>
      <w:r>
        <w:t>参选人为服务器设备原厂商直投或其合法代理商</w:t>
      </w:r>
    </w:p>
    <w:p w14:paraId="53551960">
      <w:pPr>
        <w:bidi w:val="0"/>
        <w:rPr>
          <w:rFonts w:hint="eastAsia"/>
          <w:lang w:eastAsia="zh-CN"/>
        </w:rPr>
      </w:pPr>
      <w:r>
        <w:t>（1）若为服务器设备原厂商直接参与比选，需提供维保服务承诺函（包括原厂维保时间及售后服务等级）原件。</w:t>
      </w:r>
      <w:r>
        <w:rPr>
          <w:rFonts w:hint="eastAsia"/>
          <w:lang w:eastAsia="zh-CN"/>
        </w:rPr>
        <w:t>【</w:t>
      </w:r>
      <w:r>
        <w:rPr>
          <w:rFonts w:hint="eastAsia"/>
          <w:lang w:val="en-US" w:eastAsia="zh-CN"/>
        </w:rPr>
        <w:t>提供</w:t>
      </w:r>
      <w:r>
        <w:t>维保服务承诺函</w:t>
      </w:r>
      <w:r>
        <w:rPr>
          <w:rFonts w:hint="eastAsia"/>
          <w:lang w:val="en-US" w:eastAsia="zh-CN"/>
        </w:rPr>
        <w:t>原件</w:t>
      </w:r>
      <w:r>
        <w:rPr>
          <w:rFonts w:hint="eastAsia"/>
          <w:lang w:eastAsia="zh-CN"/>
        </w:rPr>
        <w:t>】</w:t>
      </w:r>
    </w:p>
    <w:p w14:paraId="4948659B">
      <w:pPr>
        <w:bidi w:val="0"/>
        <w:rPr>
          <w:rFonts w:hint="eastAsia"/>
          <w:lang w:eastAsia="zh-CN"/>
        </w:rPr>
      </w:pPr>
      <w:r>
        <w:t>（2）若为代理商参与比选，参选人须提供比选产品设备原厂商对本项目出具的参选授权函原件及维保服务承诺函（包括原厂维保时间及售后维保服务等级）原件。</w:t>
      </w:r>
      <w:r>
        <w:rPr>
          <w:rFonts w:hint="eastAsia"/>
          <w:lang w:eastAsia="zh-CN"/>
        </w:rPr>
        <w:t>【</w:t>
      </w:r>
      <w:r>
        <w:rPr>
          <w:rFonts w:hint="eastAsia"/>
          <w:lang w:val="en-US" w:eastAsia="zh-CN"/>
        </w:rPr>
        <w:t>提供：1、</w:t>
      </w:r>
      <w:r>
        <w:t>参选授权函原件</w:t>
      </w:r>
      <w:r>
        <w:rPr>
          <w:rFonts w:hint="eastAsia"/>
          <w:lang w:eastAsia="zh-CN"/>
        </w:rPr>
        <w:t>；</w:t>
      </w:r>
      <w:r>
        <w:rPr>
          <w:rFonts w:hint="eastAsia"/>
          <w:lang w:val="en-US" w:eastAsia="zh-CN"/>
        </w:rPr>
        <w:t>2、</w:t>
      </w:r>
      <w:r>
        <w:t>维保服务承诺函</w:t>
      </w:r>
      <w:r>
        <w:rPr>
          <w:rFonts w:hint="eastAsia"/>
          <w:lang w:val="en-US" w:eastAsia="zh-CN"/>
        </w:rPr>
        <w:t>原件</w:t>
      </w:r>
      <w:r>
        <w:rPr>
          <w:rFonts w:hint="eastAsia"/>
          <w:lang w:eastAsia="zh-CN"/>
        </w:rPr>
        <w:t>】</w:t>
      </w:r>
    </w:p>
    <w:p w14:paraId="2B719AD0">
      <w:pPr>
        <w:bidi w:val="0"/>
        <w:rPr>
          <w:rFonts w:hint="eastAsia"/>
        </w:rPr>
      </w:pPr>
      <w:r>
        <w:t>(注：一个原厂对所有标段的产品，仅能委托一个代理商参与本项目）</w:t>
      </w:r>
    </w:p>
    <w:p w14:paraId="113F8669">
      <w:pPr>
        <w:bidi w:val="0"/>
        <w:rPr>
          <w:rFonts w:hint="eastAsia"/>
        </w:rPr>
      </w:pPr>
      <w:r>
        <w:t>（3）</w:t>
      </w:r>
      <w:r>
        <w:rPr>
          <w:rFonts w:hint="eastAsia"/>
        </w:rPr>
        <w:t>同一品牌的</w:t>
      </w:r>
      <w:r>
        <w:t>设备原厂</w:t>
      </w:r>
      <w:r>
        <w:rPr>
          <w:rFonts w:hint="eastAsia"/>
        </w:rPr>
        <w:t>商和代理商不能同时参与比选。</w:t>
      </w:r>
    </w:p>
    <w:p w14:paraId="0E2CA208">
      <w:pPr>
        <w:bidi w:val="0"/>
        <w:rPr>
          <w:rFonts w:hint="eastAsia"/>
          <w:lang w:eastAsia="zh-CN"/>
        </w:rPr>
      </w:pPr>
      <w:r>
        <w:rPr>
          <w:rFonts w:hint="eastAsia"/>
        </w:rPr>
        <w:t>2.1</w:t>
      </w:r>
      <w:r>
        <w:rPr>
          <w:rFonts w:hint="eastAsia"/>
          <w:lang w:val="en-US" w:eastAsia="zh-CN"/>
        </w:rPr>
        <w:t>6</w:t>
      </w:r>
      <w:r>
        <w:rPr>
          <w:lang w:val="en-US" w:eastAsia="zh-CN"/>
        </w:rPr>
        <w:t xml:space="preserve"> </w:t>
      </w:r>
      <w:r>
        <w:t>为保障本项目的供应连续性及项目交付，参选人需提供参选产品的服务器设备原厂商和参选服务器所用到的CPU原厂商针对本次项目出具的供应保障函，函件内容必须明确CPU原厂商和服务器设备原厂商保障本次采购的CPU及服务器供应，并加盖CPU原厂商和服务器设备原厂商公章</w:t>
      </w:r>
      <w:r>
        <w:rPr>
          <w:rFonts w:hint="eastAsia"/>
        </w:rPr>
        <w:t>。</w:t>
      </w:r>
      <w:r>
        <w:rPr>
          <w:rFonts w:hint="eastAsia"/>
          <w:lang w:eastAsia="zh-CN"/>
        </w:rPr>
        <w:t>【</w:t>
      </w:r>
      <w:r>
        <w:rPr>
          <w:rFonts w:hint="eastAsia"/>
          <w:lang w:val="en-US" w:eastAsia="zh-CN"/>
        </w:rPr>
        <w:t>提供</w:t>
      </w:r>
      <w:r>
        <w:t>供应保障函</w:t>
      </w:r>
      <w:r>
        <w:rPr>
          <w:rFonts w:hint="eastAsia"/>
          <w:lang w:eastAsia="zh-CN"/>
        </w:rPr>
        <w:t>】</w:t>
      </w:r>
    </w:p>
    <w:p w14:paraId="0ABC5042">
      <w:pPr>
        <w:bidi w:val="0"/>
      </w:pPr>
      <w:r>
        <w:rPr>
          <w:rFonts w:hint="eastAsia"/>
        </w:rPr>
        <w:t>注:以上证明文件若比选人存疑，参选人需提供原件备查，参选文件中须附相关证明文件复印件并逐页加盖公章。</w:t>
      </w:r>
    </w:p>
    <w:p w14:paraId="7D1DA103">
      <w:pPr>
        <w:bidi w:val="0"/>
      </w:pPr>
      <w:r>
        <w:rPr>
          <w:rFonts w:hint="eastAsia"/>
        </w:rPr>
        <w:t>本次</w:t>
      </w:r>
      <w:r>
        <w:t>比选</w:t>
      </w:r>
      <w:r>
        <w:rPr>
          <w:rFonts w:hint="eastAsia"/>
        </w:rPr>
        <w:t>不接受曾因参选人的违约行为与比选人发生过纠纷的参选人；</w:t>
      </w:r>
      <w:r>
        <w:t>不接受</w:t>
      </w:r>
      <w:r>
        <w:rPr>
          <w:rFonts w:hint="eastAsia"/>
        </w:rPr>
        <w:t>与比选人合作过程中不遵守比选文件及合同约定的</w:t>
      </w:r>
      <w:r>
        <w:t>参选人</w:t>
      </w:r>
      <w:r>
        <w:rPr>
          <w:rFonts w:hint="eastAsia"/>
        </w:rPr>
        <w:t>；</w:t>
      </w:r>
      <w:r>
        <w:t>不接受</w:t>
      </w:r>
      <w:r>
        <w:rPr>
          <w:rFonts w:hint="eastAsia"/>
        </w:rPr>
        <w:t>曾在</w:t>
      </w:r>
      <w:r>
        <w:t>比选人</w:t>
      </w:r>
      <w:r>
        <w:rPr>
          <w:rFonts w:hint="eastAsia"/>
        </w:rPr>
        <w:t>项目</w:t>
      </w:r>
      <w:r>
        <w:t>中存在</w:t>
      </w:r>
      <w:r>
        <w:rPr>
          <w:rFonts w:hint="eastAsia"/>
        </w:rPr>
        <w:t>弄虚作假行为的</w:t>
      </w:r>
      <w:r>
        <w:t>参选人。若</w:t>
      </w:r>
      <w:r>
        <w:rPr>
          <w:rFonts w:hint="eastAsia"/>
        </w:rPr>
        <w:t>参选人</w:t>
      </w:r>
      <w:r>
        <w:t>存在上述情况，比选人</w:t>
      </w:r>
      <w:r>
        <w:rPr>
          <w:rFonts w:hint="eastAsia"/>
        </w:rPr>
        <w:t>将</w:t>
      </w:r>
      <w:r>
        <w:t>有权</w:t>
      </w:r>
      <w:r>
        <w:rPr>
          <w:rFonts w:hint="eastAsia"/>
        </w:rPr>
        <w:t>随时</w:t>
      </w:r>
      <w:r>
        <w:t>取消其参选资格或</w:t>
      </w:r>
      <w:r>
        <w:rPr>
          <w:rFonts w:hint="eastAsia"/>
        </w:rPr>
        <w:t>中选</w:t>
      </w:r>
      <w:r>
        <w:t>资格（</w:t>
      </w:r>
      <w:r>
        <w:rPr>
          <w:rFonts w:hint="eastAsia"/>
        </w:rPr>
        <w:t>若</w:t>
      </w:r>
      <w:r>
        <w:t>签署合同后发现的则有权解除合同）</w:t>
      </w:r>
      <w:r>
        <w:rPr>
          <w:rFonts w:hint="eastAsia"/>
        </w:rPr>
        <w:t>，没收</w:t>
      </w:r>
      <w:r>
        <w:t>其</w:t>
      </w:r>
      <w:r>
        <w:rPr>
          <w:rFonts w:hint="eastAsia"/>
        </w:rPr>
        <w:t>参选</w:t>
      </w:r>
      <w:r>
        <w:t>保证金，并追究其相应的法律责任。</w:t>
      </w:r>
      <w:r>
        <w:rPr>
          <w:rFonts w:hint="eastAsia"/>
        </w:rPr>
        <w:t>截</w:t>
      </w:r>
      <w:r>
        <w:rPr>
          <w:rFonts w:hint="eastAsia"/>
          <w:lang w:val="en-US" w:eastAsia="zh-CN"/>
        </w:rPr>
        <w:t>至</w:t>
      </w:r>
      <w:r>
        <w:t>挂网日，</w:t>
      </w:r>
      <w:r>
        <w:rPr>
          <w:rFonts w:hint="eastAsia"/>
        </w:rPr>
        <w:t>存在</w:t>
      </w:r>
      <w:r>
        <w:t>上述情况的公司</w:t>
      </w:r>
      <w:r>
        <w:rPr>
          <w:rFonts w:hint="eastAsia"/>
        </w:rPr>
        <w:t>已纳入</w:t>
      </w:r>
      <w:r>
        <w:t>下列清单</w:t>
      </w:r>
      <w:r>
        <w:rPr>
          <w:rFonts w:hint="eastAsia"/>
        </w:rPr>
        <w:t>。</w:t>
      </w:r>
    </w:p>
    <w:tbl>
      <w:tblPr>
        <w:tblStyle w:val="14"/>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4B54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6255F265">
            <w:pPr>
              <w:spacing w:line="360" w:lineRule="auto"/>
              <w:ind w:firstLine="0" w:firstLineChars="0"/>
              <w:jc w:val="center"/>
              <w:rPr>
                <w:rFonts w:ascii="Times New Roman" w:hAnsi="Times New Roman" w:cs="宋体"/>
                <w:b/>
                <w:bCs/>
                <w:sz w:val="21"/>
                <w:szCs w:val="21"/>
              </w:rPr>
            </w:pPr>
            <w:r>
              <w:rPr>
                <w:rFonts w:hint="eastAsia" w:ascii="Times New Roman" w:hAnsi="Times New Roman" w:cs="宋体"/>
                <w:b/>
                <w:bCs/>
                <w:sz w:val="21"/>
                <w:szCs w:val="21"/>
              </w:rPr>
              <w:t>序号</w:t>
            </w:r>
          </w:p>
        </w:tc>
        <w:tc>
          <w:tcPr>
            <w:tcW w:w="4933" w:type="dxa"/>
          </w:tcPr>
          <w:p w14:paraId="1DBCE49B">
            <w:pPr>
              <w:spacing w:line="360" w:lineRule="auto"/>
              <w:ind w:firstLine="0" w:firstLineChars="0"/>
              <w:jc w:val="center"/>
              <w:rPr>
                <w:rFonts w:ascii="Times New Roman" w:hAnsi="Times New Roman" w:cs="宋体"/>
                <w:b/>
                <w:bCs/>
                <w:sz w:val="21"/>
                <w:szCs w:val="21"/>
              </w:rPr>
            </w:pPr>
            <w:r>
              <w:rPr>
                <w:rFonts w:hint="eastAsia" w:ascii="Times New Roman" w:hAnsi="Times New Roman" w:cs="宋体"/>
                <w:b/>
                <w:bCs/>
                <w:sz w:val="21"/>
                <w:szCs w:val="21"/>
              </w:rPr>
              <w:t>公司</w:t>
            </w:r>
          </w:p>
        </w:tc>
      </w:tr>
      <w:tr w14:paraId="7F9E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19577443">
            <w:pPr>
              <w:spacing w:line="360" w:lineRule="auto"/>
              <w:ind w:firstLine="0" w:firstLineChars="0"/>
              <w:jc w:val="center"/>
              <w:rPr>
                <w:rFonts w:ascii="Times New Roman" w:hAnsi="Times New Roman" w:cs="宋体"/>
                <w:sz w:val="21"/>
                <w:szCs w:val="21"/>
              </w:rPr>
            </w:pPr>
            <w:r>
              <w:rPr>
                <w:rFonts w:hint="eastAsia" w:ascii="Times New Roman" w:hAnsi="Times New Roman" w:cs="宋体"/>
                <w:sz w:val="21"/>
                <w:szCs w:val="21"/>
              </w:rPr>
              <w:t>1</w:t>
            </w:r>
          </w:p>
        </w:tc>
        <w:tc>
          <w:tcPr>
            <w:tcW w:w="4933" w:type="dxa"/>
            <w:tcBorders>
              <w:left w:val="single" w:color="auto" w:sz="4" w:space="0"/>
            </w:tcBorders>
          </w:tcPr>
          <w:p w14:paraId="00754143">
            <w:pPr>
              <w:spacing w:line="360" w:lineRule="auto"/>
              <w:ind w:firstLine="0" w:firstLineChars="0"/>
              <w:jc w:val="center"/>
              <w:rPr>
                <w:rFonts w:ascii="Times New Roman" w:hAnsi="Times New Roman" w:cs="宋体"/>
                <w:sz w:val="21"/>
                <w:szCs w:val="21"/>
              </w:rPr>
            </w:pPr>
            <w:r>
              <w:rPr>
                <w:rFonts w:hint="eastAsia" w:ascii="Times New Roman" w:hAnsi="Times New Roman" w:cs="宋体"/>
                <w:sz w:val="21"/>
                <w:szCs w:val="21"/>
              </w:rPr>
              <w:t>依米康软件技术（深圳）有限责任公司</w:t>
            </w:r>
          </w:p>
        </w:tc>
      </w:tr>
      <w:bookmarkEnd w:id="15"/>
    </w:tbl>
    <w:p w14:paraId="79E076FD">
      <w:pPr>
        <w:pStyle w:val="3"/>
        <w:rPr>
          <w:rFonts w:ascii="Times New Roman" w:hAnsi="Times New Roman"/>
        </w:rPr>
      </w:pPr>
      <w:bookmarkStart w:id="16" w:name="_Toc55379220"/>
      <w:bookmarkStart w:id="17" w:name="_Toc469574667"/>
      <w:bookmarkStart w:id="18" w:name="_Toc297817090"/>
      <w:bookmarkStart w:id="19" w:name="_Toc89675130"/>
      <w:r>
        <w:rPr>
          <w:rFonts w:hint="eastAsia" w:ascii="Times New Roman" w:hAnsi="Times New Roman"/>
        </w:rPr>
        <w:t>3. 比选文件的获取</w:t>
      </w:r>
      <w:bookmarkEnd w:id="16"/>
    </w:p>
    <w:p w14:paraId="6FB2F859">
      <w:pPr>
        <w:bidi w:val="0"/>
        <w:rPr>
          <w:rFonts w:hint="default"/>
          <w:color w:val="auto"/>
          <w:highlight w:val="none"/>
          <w:lang w:val="en-US" w:eastAsia="zh-CN"/>
        </w:rPr>
      </w:pPr>
      <w:r>
        <w:rPr>
          <w:rFonts w:hint="eastAsia"/>
          <w:color w:val="auto"/>
          <w:highlight w:val="none"/>
          <w:lang w:val="en-US" w:eastAsia="zh-CN"/>
        </w:rPr>
        <w:t>3.1 参选截止时间：</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18</w:t>
      </w:r>
      <w:r>
        <w:rPr>
          <w:rFonts w:hint="eastAsia"/>
          <w:color w:val="auto"/>
          <w:highlight w:val="none"/>
        </w:rPr>
        <w:t>日</w:t>
      </w:r>
      <w:r>
        <w:rPr>
          <w:rFonts w:hint="eastAsia"/>
          <w:color w:val="auto"/>
          <w:highlight w:val="none"/>
          <w:u w:val="single"/>
          <w:lang w:val="en-US" w:eastAsia="zh-CN"/>
        </w:rPr>
        <w:t>11</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w:t>
      </w:r>
    </w:p>
    <w:p w14:paraId="2B05D1B8">
      <w:pPr>
        <w:bidi w:val="0"/>
        <w:rPr>
          <w:rFonts w:hint="eastAsia"/>
          <w:color w:val="auto"/>
          <w:highlight w:val="none"/>
        </w:rPr>
      </w:pPr>
      <w:r>
        <w:rPr>
          <w:rFonts w:hint="eastAsia"/>
          <w:color w:val="auto"/>
          <w:highlight w:val="none"/>
          <w:lang w:val="en-US" w:eastAsia="zh-CN"/>
        </w:rPr>
        <w:t xml:space="preserve">3.2 </w:t>
      </w:r>
      <w:r>
        <w:rPr>
          <w:rFonts w:hint="eastAsia"/>
          <w:color w:val="auto"/>
          <w:highlight w:val="none"/>
        </w:rPr>
        <w:t>获取时间和方式：从</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2</w:t>
      </w:r>
      <w:r>
        <w:rPr>
          <w:rFonts w:hint="eastAsia"/>
          <w:color w:val="auto"/>
          <w:highlight w:val="none"/>
        </w:rPr>
        <w:t>日到</w:t>
      </w:r>
      <w:r>
        <w:rPr>
          <w:rFonts w:hint="eastAsia"/>
          <w:color w:val="auto"/>
          <w:highlight w:val="none"/>
          <w:u w:val="none"/>
          <w:lang w:val="en-US" w:eastAsia="zh-CN"/>
        </w:rPr>
        <w:t>参选截止时间</w:t>
      </w:r>
      <w:r>
        <w:rPr>
          <w:rFonts w:hint="eastAsia"/>
          <w:color w:val="auto"/>
          <w:highlight w:val="none"/>
        </w:rPr>
        <w:t>，在重庆市公共资源交易网（www.cqggzy.com）下载比选文件。</w:t>
      </w:r>
    </w:p>
    <w:p w14:paraId="5ED0D87C">
      <w:pPr>
        <w:bidi w:val="0"/>
        <w:rPr>
          <w:rFonts w:hint="eastAsia"/>
          <w:color w:val="auto"/>
          <w:highlight w:val="none"/>
        </w:rPr>
      </w:pPr>
      <w:r>
        <w:rPr>
          <w:rFonts w:hint="eastAsia"/>
          <w:color w:val="auto"/>
          <w:highlight w:val="none"/>
          <w:lang w:val="en-US" w:eastAsia="zh-CN"/>
        </w:rPr>
        <w:t xml:space="preserve">3.3 </w:t>
      </w:r>
      <w:r>
        <w:rPr>
          <w:rFonts w:hint="eastAsia"/>
          <w:color w:val="auto"/>
          <w:highlight w:val="none"/>
        </w:rPr>
        <w:t>参选人在下载比选文件后，应仔细检查比选文件的所有内容，如有残缺或文字表述不清，以及存在错、碰、漏、缺、概念模糊和有可能出现歧义或理解上的偏差的内容等应在</w:t>
      </w:r>
      <w:r>
        <w:rPr>
          <w:rFonts w:hint="eastAsia"/>
          <w:color w:val="auto"/>
          <w:highlight w:val="none"/>
          <w:lang w:val="en-US" w:eastAsia="zh-CN"/>
        </w:rPr>
        <w:t>2024</w:t>
      </w:r>
      <w:r>
        <w:rPr>
          <w:rFonts w:hint="eastAsia"/>
          <w:color w:val="auto"/>
          <w:highlight w:val="none"/>
        </w:rPr>
        <w:t>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5</w:t>
      </w:r>
      <w:r>
        <w:rPr>
          <w:rFonts w:hint="eastAsia"/>
          <w:color w:val="auto"/>
          <w:highlight w:val="none"/>
        </w:rPr>
        <w:t>日</w:t>
      </w:r>
      <w:r>
        <w:rPr>
          <w:rFonts w:hint="eastAsia"/>
          <w:color w:val="auto"/>
          <w:highlight w:val="none"/>
          <w:lang w:val="en-US" w:eastAsia="zh-CN"/>
        </w:rPr>
        <w:t>17</w:t>
      </w:r>
      <w:r>
        <w:rPr>
          <w:rFonts w:hint="eastAsia"/>
          <w:color w:val="auto"/>
          <w:highlight w:val="none"/>
        </w:rPr>
        <w:t>时</w:t>
      </w:r>
      <w:r>
        <w:rPr>
          <w:rFonts w:hint="eastAsia"/>
          <w:color w:val="auto"/>
          <w:highlight w:val="none"/>
          <w:lang w:val="en-US" w:eastAsia="zh-CN"/>
        </w:rPr>
        <w:t>00</w:t>
      </w:r>
      <w:r>
        <w:rPr>
          <w:rFonts w:hint="eastAsia"/>
          <w:color w:val="auto"/>
          <w:highlight w:val="none"/>
        </w:rPr>
        <w:t>分（北京时间）前自行在重庆市公共资源交易网（http://www.cqggzy.com/）比选公告的“我要提问”栏目匿名提出。参选人未提出，则视为参选人已全面确认比选文件内容。</w:t>
      </w:r>
    </w:p>
    <w:p w14:paraId="26081048">
      <w:pPr>
        <w:bidi w:val="0"/>
        <w:rPr>
          <w:rFonts w:hint="eastAsia"/>
          <w:color w:val="auto"/>
          <w:highlight w:val="none"/>
        </w:rPr>
      </w:pPr>
      <w:r>
        <w:rPr>
          <w:rFonts w:hint="eastAsia"/>
          <w:color w:val="auto"/>
          <w:highlight w:val="none"/>
          <w:lang w:val="en-US" w:eastAsia="zh-CN"/>
        </w:rPr>
        <w:t xml:space="preserve">3.4 </w:t>
      </w:r>
      <w:r>
        <w:rPr>
          <w:rFonts w:hint="eastAsia"/>
          <w:color w:val="auto"/>
          <w:highlight w:val="none"/>
        </w:rPr>
        <w:t>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4372B92F">
      <w:pPr>
        <w:pStyle w:val="3"/>
        <w:rPr>
          <w:rFonts w:ascii="Times New Roman" w:hAnsi="Times New Roman"/>
        </w:rPr>
      </w:pPr>
      <w:bookmarkStart w:id="20" w:name="_Toc55379221"/>
      <w:r>
        <w:rPr>
          <w:rFonts w:hint="eastAsia" w:ascii="Times New Roman" w:hAnsi="Times New Roman"/>
        </w:rPr>
        <w:t>4. 参选保证金的递交</w:t>
      </w:r>
      <w:bookmarkEnd w:id="17"/>
      <w:bookmarkEnd w:id="18"/>
      <w:bookmarkEnd w:id="19"/>
      <w:bookmarkEnd w:id="20"/>
    </w:p>
    <w:p w14:paraId="128F56C1">
      <w:pPr>
        <w:ind w:firstLine="420" w:firstLineChars="200"/>
        <w:rPr>
          <w:rFonts w:ascii="Times New Roman" w:hAnsi="Times New Roman"/>
        </w:rPr>
      </w:pPr>
      <w:bookmarkStart w:id="21" w:name="_Toc297817091"/>
      <w:bookmarkStart w:id="22" w:name="_Toc89675131"/>
      <w:bookmarkStart w:id="23" w:name="_Toc469574668"/>
      <w:bookmarkStart w:id="24" w:name="_Toc55379222"/>
      <w:r>
        <w:rPr>
          <w:rFonts w:ascii="Times New Roman" w:hAnsi="Times New Roman" w:cs="Times New Roman"/>
          <w:szCs w:val="24"/>
        </w:rPr>
        <w:t>4.1</w:t>
      </w:r>
      <w:r>
        <w:rPr>
          <w:rFonts w:hint="eastAsia" w:ascii="宋体" w:hAnsi="Times New Roman" w:cs="Cambria"/>
          <w:szCs w:val="24"/>
        </w:rPr>
        <w:t xml:space="preserve"> 参选保证金的金额：每个标段</w:t>
      </w:r>
      <w:r>
        <w:rPr>
          <w:rFonts w:ascii="Times New Roman" w:hAnsi="Times New Roman"/>
          <w:b/>
          <w:bCs/>
          <w:u w:val="single"/>
        </w:rPr>
        <w:t>100,000</w:t>
      </w:r>
      <w:r>
        <w:rPr>
          <w:rFonts w:hint="eastAsia" w:ascii="Times New Roman" w:hAnsi="Times New Roman"/>
          <w:b/>
          <w:bCs/>
        </w:rPr>
        <w:t>元整（大写：</w:t>
      </w:r>
      <w:r>
        <w:rPr>
          <w:rFonts w:ascii="Times New Roman" w:hAnsi="Times New Roman"/>
          <w:b/>
          <w:bCs/>
          <w:u w:val="single"/>
        </w:rPr>
        <w:t>拾万元整</w:t>
      </w:r>
      <w:r>
        <w:rPr>
          <w:rFonts w:hint="eastAsia" w:ascii="Times New Roman" w:hAnsi="Times New Roman"/>
          <w:b/>
          <w:bCs/>
        </w:rPr>
        <w:t>）</w:t>
      </w:r>
      <w:r>
        <w:rPr>
          <w:rFonts w:hint="eastAsia" w:ascii="Times New Roman" w:hAnsi="Times New Roman"/>
        </w:rPr>
        <w:t>。</w:t>
      </w:r>
    </w:p>
    <w:p w14:paraId="7AFC31FC">
      <w:pPr>
        <w:rPr>
          <w:rFonts w:ascii="Times New Roman" w:hAnsi="Times New Roman"/>
          <w:highlight w:val="lightGray"/>
        </w:rPr>
      </w:pPr>
      <w:r>
        <w:rPr>
          <w:rFonts w:ascii="Times New Roman" w:hAnsi="Times New Roman" w:cs="Times New Roman"/>
          <w:szCs w:val="24"/>
        </w:rPr>
        <w:t>4.2</w:t>
      </w:r>
      <w:r>
        <w:rPr>
          <w:rFonts w:hint="eastAsia" w:ascii="宋体" w:hAnsi="Times New Roman" w:cs="Cambria"/>
          <w:szCs w:val="24"/>
        </w:rPr>
        <w:t xml:space="preserve"> 参选保证金缴纳方式：参选人从参选人的银行账户，通过转账或电汇方式直接划付至下面指定的账户（任选其一）</w:t>
      </w:r>
      <w:r>
        <w:rPr>
          <w:rFonts w:hint="eastAsia" w:asciiTheme="minorEastAsia" w:hAnsiTheme="minorEastAsia" w:eastAsiaTheme="minorEastAsia" w:cstheme="minorEastAsia"/>
          <w:b/>
          <w:bCs/>
          <w:snapToGrid/>
          <w:color w:val="auto"/>
          <w:kern w:val="2"/>
          <w:sz w:val="21"/>
          <w:szCs w:val="21"/>
          <w:highlight w:val="none"/>
          <w:lang w:val="en-US" w:eastAsia="zh-CN" w:bidi="ar-SA"/>
        </w:rPr>
        <w:t>（注：不同标段保证金账户可能不同，请仔细核实所参加标段的参选保证金账户）</w:t>
      </w:r>
      <w:r>
        <w:rPr>
          <w:rFonts w:hint="eastAsia" w:ascii="宋体" w:hAnsi="Times New Roman" w:cs="Cambria"/>
          <w:szCs w:val="24"/>
        </w:rPr>
        <w:t>，否则，参选保证金无效。参选人自行考虑汇入到账时间风险，本项目参选保证金不接受任何形式保函（包括电子保函）；</w:t>
      </w:r>
    </w:p>
    <w:p w14:paraId="7C97B999">
      <w:pPr>
        <w:ind w:firstLine="422" w:firstLineChars="200"/>
        <w:rPr>
          <w:rFonts w:ascii="Times New Roman" w:hAnsi="Times New Roman"/>
          <w:b/>
          <w:bCs/>
          <w:u w:val="single"/>
          <w:bdr w:val="single" w:color="FFFFFF" w:sz="4" w:space="0"/>
        </w:rPr>
      </w:pPr>
      <w:r>
        <w:rPr>
          <w:rFonts w:hint="eastAsia" w:ascii="Times New Roman" w:hAnsi="Times New Roman"/>
          <w:b/>
          <w:bCs/>
          <w:bdr w:val="single" w:color="FFFFFF" w:sz="4" w:space="0"/>
        </w:rPr>
        <w:t>参选人必须在付款凭证备注栏中注明项目简称。可简写成：</w:t>
      </w:r>
      <w:r>
        <w:rPr>
          <w:rFonts w:ascii="Times New Roman" w:hAnsi="Times New Roman"/>
          <w:b/>
          <w:bCs/>
          <w:u w:val="single"/>
          <w:bdr w:val="single" w:color="FFFFFF" w:sz="4" w:space="0"/>
        </w:rPr>
        <w:t>三峡银行2024服务器采购</w:t>
      </w:r>
      <w:r>
        <w:rPr>
          <w:rFonts w:hint="eastAsia" w:ascii="Times New Roman" w:hAnsi="Times New Roman"/>
          <w:b/>
          <w:bCs/>
          <w:u w:val="single"/>
          <w:bdr w:val="single" w:color="FFFFFF" w:sz="4" w:space="0"/>
        </w:rPr>
        <w:t>项目</w:t>
      </w:r>
      <w:r>
        <w:rPr>
          <w:rFonts w:ascii="Times New Roman" w:hAnsi="Times New Roman"/>
          <w:b/>
          <w:bCs/>
          <w:u w:val="single"/>
          <w:bdr w:val="single" w:color="FFFFFF" w:sz="4" w:space="0"/>
        </w:rPr>
        <w:t>标段X</w:t>
      </w:r>
      <w:r>
        <w:rPr>
          <w:rFonts w:hint="eastAsia" w:ascii="Times New Roman" w:hAnsi="Times New Roman"/>
          <w:b/>
          <w:bCs/>
          <w:u w:val="single"/>
          <w:bdr w:val="single" w:color="FFFFFF" w:sz="4" w:space="0"/>
        </w:rPr>
        <w:t>。</w:t>
      </w:r>
    </w:p>
    <w:p w14:paraId="30D52506">
      <w:pPr>
        <w:rPr>
          <w:rFonts w:ascii="Times New Roman" w:hAnsi="Times New Roman"/>
          <w:highlight w:val="none"/>
          <w:bdr w:val="single" w:color="FFFFFF" w:sz="4" w:space="0"/>
        </w:rPr>
      </w:pPr>
      <w:r>
        <w:rPr>
          <w:rFonts w:hint="eastAsia" w:ascii="Times New Roman" w:hAnsi="Times New Roman"/>
          <w:highlight w:val="none"/>
          <w:bdr w:val="single" w:color="FFFFFF" w:sz="4" w:space="0"/>
        </w:rPr>
        <w:t xml:space="preserve">4.3 </w:t>
      </w:r>
      <w:r>
        <w:rPr>
          <w:rFonts w:hint="eastAsia"/>
          <w:color w:val="auto"/>
          <w:highlight w:val="none"/>
        </w:rPr>
        <w:t>参选保证金递交的截止时间</w:t>
      </w:r>
      <w:r>
        <w:rPr>
          <w:rFonts w:hint="eastAsia"/>
          <w:color w:val="auto"/>
          <w:highlight w:val="none"/>
          <w:lang w:val="en-US" w:eastAsia="zh-CN"/>
        </w:rPr>
        <w:t>同参选截止时间</w:t>
      </w:r>
      <w:r>
        <w:rPr>
          <w:rFonts w:hint="eastAsia" w:ascii="Times New Roman" w:hAnsi="Times New Roman"/>
          <w:highlight w:val="none"/>
          <w:bdr w:val="single" w:color="FFFFFF" w:sz="4" w:space="0"/>
        </w:rPr>
        <w:t>。</w:t>
      </w:r>
    </w:p>
    <w:p w14:paraId="23B32B89">
      <w:pPr>
        <w:rPr>
          <w:rFonts w:ascii="Times New Roman" w:hAnsi="Times New Roman"/>
          <w:bdr w:val="single" w:color="FFFFFF" w:sz="4" w:space="0"/>
        </w:rPr>
      </w:pPr>
      <w:r>
        <w:rPr>
          <w:rFonts w:hint="eastAsia" w:ascii="Times New Roman" w:hAnsi="Times New Roman"/>
          <w:bdr w:val="single" w:color="FFFFFF" w:sz="4" w:space="0"/>
        </w:rPr>
        <w:t>4.</w:t>
      </w:r>
      <w:r>
        <w:rPr>
          <w:rFonts w:ascii="Times New Roman" w:hAnsi="Times New Roman"/>
          <w:bdr w:val="single" w:color="FFFFFF" w:sz="4" w:space="0"/>
        </w:rPr>
        <w:t>4</w:t>
      </w:r>
      <w:r>
        <w:rPr>
          <w:rFonts w:hint="eastAsia" w:ascii="Times New Roman" w:hAnsi="Times New Roman"/>
          <w:bdr w:val="single" w:color="FFFFFF" w:sz="4" w:space="0"/>
        </w:rPr>
        <w:t xml:space="preserve"> 参选保证金专用账户如下：</w:t>
      </w:r>
    </w:p>
    <w:p w14:paraId="73F31E34">
      <w:pPr>
        <w:rPr>
          <w:rFonts w:ascii="Times New Roman" w:hAnsi="Times New Roman"/>
          <w:bdr w:val="single" w:color="FFFFFF" w:sz="4" w:space="0"/>
        </w:rPr>
      </w:pPr>
      <w:r>
        <w:rPr>
          <w:rFonts w:hint="eastAsia" w:ascii="Times New Roman" w:hAnsi="Times New Roman"/>
          <w:bdr w:val="single" w:color="FFFFFF" w:sz="4" w:space="0"/>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32373131">
      <w:pPr>
        <w:rPr>
          <w:rFonts w:hint="eastAsia" w:hAnsi="Times New Roman"/>
          <w:bdr w:val="single" w:color="FFFFFF" w:sz="4" w:space="0"/>
        </w:rPr>
      </w:pPr>
      <w:r>
        <w:rPr>
          <w:rFonts w:hint="eastAsia" w:hAnsi="Times New Roman"/>
          <w:bdr w:val="single" w:color="FFFFFF" w:sz="4" w:space="0"/>
        </w:rPr>
        <w:t>参选保证金以重庆市公共资源交易中心比选现场展示的保证金交纳情况为准。</w:t>
      </w:r>
    </w:p>
    <w:bookmarkEnd w:id="21"/>
    <w:bookmarkEnd w:id="22"/>
    <w:bookmarkEnd w:id="23"/>
    <w:bookmarkEnd w:id="24"/>
    <w:p w14:paraId="1FEEC3F7">
      <w:pPr>
        <w:pStyle w:val="3"/>
        <w:rPr>
          <w:rFonts w:ascii="Times New Roman" w:hAnsi="Times New Roman"/>
          <w:bdr w:val="single" w:color="FFFFFF" w:sz="4" w:space="0"/>
        </w:rPr>
      </w:pPr>
      <w:r>
        <w:rPr>
          <w:rFonts w:hint="eastAsia" w:ascii="Times New Roman" w:hAnsi="Times New Roman"/>
          <w:bdr w:val="single" w:color="FFFFFF" w:sz="4" w:space="0"/>
        </w:rPr>
        <w:t>5. 参选文件的递交</w:t>
      </w:r>
    </w:p>
    <w:p w14:paraId="2777692C">
      <w:pPr>
        <w:bidi w:val="0"/>
        <w:rPr>
          <w:color w:val="auto"/>
          <w:highlight w:val="none"/>
        </w:rPr>
      </w:pPr>
      <w:bookmarkStart w:id="25" w:name="_Toc469574669"/>
      <w:bookmarkStart w:id="26" w:name="_Toc89675132"/>
      <w:bookmarkStart w:id="27" w:name="_Toc55379223"/>
      <w:r>
        <w:rPr>
          <w:rFonts w:hint="eastAsia"/>
          <w:color w:val="auto"/>
          <w:highlight w:val="none"/>
          <w:lang w:val="en-US" w:eastAsia="zh-CN"/>
        </w:rPr>
        <w:t xml:space="preserve">5.1 </w:t>
      </w:r>
      <w:r>
        <w:rPr>
          <w:rFonts w:hint="eastAsia"/>
          <w:color w:val="auto"/>
          <w:highlight w:val="none"/>
        </w:rPr>
        <w:t>参选文件现场递交时间为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18</w:t>
      </w:r>
      <w:r>
        <w:rPr>
          <w:rFonts w:hint="eastAsia"/>
          <w:color w:val="auto"/>
          <w:highlight w:val="none"/>
        </w:rPr>
        <w:t>日</w:t>
      </w:r>
      <w:r>
        <w:rPr>
          <w:rFonts w:hint="eastAsia"/>
          <w:color w:val="auto"/>
          <w:highlight w:val="none"/>
          <w:u w:val="single"/>
          <w:lang w:val="en-US" w:eastAsia="zh-CN"/>
        </w:rPr>
        <w:t>10</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w:t>
      </w:r>
      <w:r>
        <w:rPr>
          <w:rFonts w:hint="eastAsia"/>
          <w:color w:val="auto"/>
          <w:highlight w:val="none"/>
          <w:u w:val="none"/>
          <w:lang w:val="en-US" w:eastAsia="zh-CN"/>
        </w:rPr>
        <w:t>至参选截止时间</w:t>
      </w:r>
      <w:r>
        <w:rPr>
          <w:rFonts w:hint="eastAsia"/>
          <w:color w:val="auto"/>
          <w:highlight w:val="none"/>
        </w:rPr>
        <w:t>。</w:t>
      </w:r>
    </w:p>
    <w:p w14:paraId="77F650EF">
      <w:pPr>
        <w:bidi w:val="0"/>
        <w:rPr>
          <w:color w:val="auto"/>
          <w:highlight w:val="none"/>
        </w:rPr>
      </w:pPr>
      <w:r>
        <w:rPr>
          <w:rFonts w:hint="eastAsia"/>
          <w:color w:val="auto"/>
          <w:highlight w:val="none"/>
          <w:lang w:val="en-US" w:eastAsia="zh-CN"/>
        </w:rPr>
        <w:t xml:space="preserve">5.2 </w:t>
      </w:r>
      <w:r>
        <w:rPr>
          <w:rFonts w:hint="eastAsia"/>
          <w:color w:val="auto"/>
          <w:highlight w:val="none"/>
        </w:rPr>
        <w:t>递交地点为重庆市渝北区青枫北路6号渝兴广场B10栋重庆市公共资源交易中心开标区（具体请</w:t>
      </w:r>
      <w:r>
        <w:rPr>
          <w:rFonts w:hint="eastAsia"/>
          <w:highlight w:val="none"/>
          <w:lang w:eastAsia="zh-CN"/>
        </w:rPr>
        <w:t>登录</w:t>
      </w:r>
      <w:r>
        <w:rPr>
          <w:rFonts w:hint="eastAsia"/>
          <w:color w:val="auto"/>
          <w:highlight w:val="none"/>
        </w:rPr>
        <w:t>重庆市公共资源交易网（www.cqggzy.com）查询或递交文件当日见交易中心大厅电子显示屏）。</w:t>
      </w:r>
    </w:p>
    <w:p w14:paraId="624C1DF7">
      <w:pPr>
        <w:bidi w:val="0"/>
        <w:rPr>
          <w:color w:val="auto"/>
          <w:highlight w:val="none"/>
        </w:rPr>
      </w:pPr>
      <w:r>
        <w:rPr>
          <w:rFonts w:hint="eastAsia"/>
          <w:color w:val="auto"/>
          <w:highlight w:val="none"/>
          <w:lang w:val="en-US" w:eastAsia="zh-CN"/>
        </w:rPr>
        <w:t xml:space="preserve">5.3 </w:t>
      </w:r>
      <w:r>
        <w:rPr>
          <w:rFonts w:hint="eastAsia"/>
          <w:color w:val="auto"/>
          <w:highlight w:val="none"/>
        </w:rPr>
        <w:t>逾期送达的参选文件，不予接收。</w:t>
      </w:r>
    </w:p>
    <w:p w14:paraId="26500CC9">
      <w:pPr>
        <w:pStyle w:val="3"/>
        <w:rPr>
          <w:rFonts w:ascii="Times New Roman" w:hAnsi="Times New Roman"/>
          <w:highlight w:val="none"/>
          <w:bdr w:val="single" w:color="FFFFFF" w:sz="4" w:space="0"/>
        </w:rPr>
      </w:pPr>
      <w:r>
        <w:rPr>
          <w:rFonts w:hint="eastAsia" w:ascii="Times New Roman" w:hAnsi="Times New Roman"/>
          <w:highlight w:val="none"/>
          <w:bdr w:val="single" w:color="FFFFFF" w:sz="4" w:space="0"/>
        </w:rPr>
        <w:t>6. 发布公告的媒介</w:t>
      </w:r>
      <w:bookmarkEnd w:id="25"/>
      <w:bookmarkEnd w:id="26"/>
      <w:bookmarkEnd w:id="27"/>
    </w:p>
    <w:p w14:paraId="62D54135">
      <w:pPr>
        <w:bidi w:val="0"/>
        <w:rPr>
          <w:rFonts w:hint="eastAsia"/>
          <w:color w:val="auto"/>
          <w:highlight w:val="none"/>
        </w:rPr>
      </w:pPr>
      <w:bookmarkStart w:id="28" w:name="_Toc89675133"/>
      <w:bookmarkStart w:id="29" w:name="_Toc55379224"/>
      <w:bookmarkStart w:id="30" w:name="_Toc469574670"/>
      <w:bookmarkStart w:id="31" w:name="_Toc250565211"/>
      <w:r>
        <w:rPr>
          <w:rFonts w:hint="eastAsia"/>
          <w:color w:val="auto"/>
          <w:highlight w:val="none"/>
        </w:rPr>
        <w:t>本次比选公告同时在《重庆市公共资源交易网（www.cqggzy.com）》《重庆三峡银行官网（https://www.ccqtgb.com）》和《中国</w:t>
      </w:r>
      <w:r>
        <w:rPr>
          <w:rFonts w:hint="eastAsia"/>
          <w:color w:val="auto"/>
          <w:highlight w:val="none"/>
          <w:lang w:val="en-US" w:eastAsia="zh-CN"/>
        </w:rPr>
        <w:t>招标投标</w:t>
      </w:r>
      <w:r>
        <w:rPr>
          <w:rFonts w:hint="eastAsia"/>
          <w:color w:val="auto"/>
          <w:highlight w:val="none"/>
        </w:rPr>
        <w:t>公共服务平台（http://www.cebpubservice.com）》上发布。</w:t>
      </w:r>
    </w:p>
    <w:p w14:paraId="4557A130">
      <w:pPr>
        <w:pStyle w:val="3"/>
        <w:bidi w:val="0"/>
        <w:rPr>
          <w:rFonts w:hint="default" w:eastAsia="宋体"/>
          <w:color w:val="auto"/>
          <w:highlight w:val="none"/>
          <w:lang w:val="en-US" w:eastAsia="zh-CN"/>
        </w:rPr>
      </w:pPr>
      <w:r>
        <w:rPr>
          <w:rFonts w:hint="eastAsia"/>
          <w:color w:val="auto"/>
          <w:highlight w:val="none"/>
          <w:lang w:val="en-US" w:eastAsia="zh-CN"/>
        </w:rPr>
        <w:t>7. 特别说明</w:t>
      </w:r>
    </w:p>
    <w:p w14:paraId="34DB134C">
      <w:pPr>
        <w:bidi w:val="0"/>
        <w:rPr>
          <w:color w:val="auto"/>
          <w:highlight w:val="none"/>
        </w:rPr>
      </w:pPr>
      <w:r>
        <w:rPr>
          <w:rFonts w:hint="eastAsia"/>
          <w:color w:val="auto"/>
          <w:highlight w:val="none"/>
        </w:rPr>
        <w:t>同一参选人参与不同标段时，</w:t>
      </w:r>
      <w:r>
        <w:rPr>
          <w:rFonts w:hint="eastAsia"/>
          <w:b/>
          <w:bCs/>
          <w:color w:val="auto"/>
          <w:highlight w:val="none"/>
        </w:rPr>
        <w:t>各标段分别制作参选文件</w:t>
      </w:r>
      <w:r>
        <w:rPr>
          <w:rFonts w:hint="eastAsia"/>
          <w:color w:val="auto"/>
          <w:highlight w:val="none"/>
        </w:rPr>
        <w:t>，各标段均有中选资格；比选文件中未按标段分别表述的要求、规则、评审办法等内容，均视为适用于所有分包。</w:t>
      </w:r>
    </w:p>
    <w:p w14:paraId="50B3EDB7">
      <w:pPr>
        <w:pStyle w:val="3"/>
        <w:rPr>
          <w:rFonts w:ascii="Times New Roman" w:hAnsi="Times New Roman"/>
        </w:rPr>
      </w:pPr>
      <w:r>
        <w:rPr>
          <w:rFonts w:hint="eastAsia"/>
          <w:lang w:val="en-US" w:eastAsia="zh-CN"/>
        </w:rPr>
        <w:t>8</w:t>
      </w:r>
      <w:r>
        <w:rPr>
          <w:rFonts w:hint="eastAsia" w:ascii="Times New Roman" w:hAnsi="Times New Roman"/>
        </w:rPr>
        <w:t>. 联系方式</w:t>
      </w:r>
      <w:bookmarkEnd w:id="28"/>
      <w:bookmarkEnd w:id="29"/>
      <w:bookmarkEnd w:id="30"/>
      <w:bookmarkEnd w:id="31"/>
    </w:p>
    <w:tbl>
      <w:tblPr>
        <w:tblStyle w:val="14"/>
        <w:tblW w:w="0" w:type="auto"/>
        <w:tblInd w:w="0" w:type="dxa"/>
        <w:tblLayout w:type="fixed"/>
        <w:tblCellMar>
          <w:top w:w="0" w:type="dxa"/>
          <w:left w:w="108" w:type="dxa"/>
          <w:bottom w:w="0" w:type="dxa"/>
          <w:right w:w="108" w:type="dxa"/>
        </w:tblCellMar>
      </w:tblPr>
      <w:tblGrid>
        <w:gridCol w:w="3943"/>
        <w:gridCol w:w="4480"/>
      </w:tblGrid>
      <w:tr w14:paraId="088A1566">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vAlign w:val="top"/>
          </w:tcPr>
          <w:p w14:paraId="47BC909A">
            <w:pPr>
              <w:spacing w:line="360" w:lineRule="auto"/>
              <w:ind w:firstLine="0" w:firstLineChars="0"/>
              <w:jc w:val="left"/>
              <w:rPr>
                <w:rFonts w:hint="eastAsia"/>
                <w:color w:val="auto"/>
                <w:highlight w:val="none"/>
              </w:rPr>
            </w:pPr>
            <w:r>
              <w:rPr>
                <w:rFonts w:hint="eastAsia"/>
                <w:color w:val="auto"/>
                <w:highlight w:val="none"/>
                <w:lang w:val="en-US" w:eastAsia="zh-CN"/>
              </w:rPr>
              <w:t>8</w:t>
            </w:r>
            <w:r>
              <w:rPr>
                <w:rFonts w:hint="eastAsia"/>
                <w:color w:val="auto"/>
                <w:highlight w:val="none"/>
              </w:rPr>
              <w:t>.1 项目需求咨询</w:t>
            </w:r>
          </w:p>
        </w:tc>
      </w:tr>
      <w:tr w14:paraId="2F129863">
        <w:tblPrEx>
          <w:tblCellMar>
            <w:top w:w="0" w:type="dxa"/>
            <w:left w:w="108" w:type="dxa"/>
            <w:bottom w:w="0" w:type="dxa"/>
            <w:right w:w="108" w:type="dxa"/>
          </w:tblCellMar>
        </w:tblPrEx>
        <w:tc>
          <w:tcPr>
            <w:tcW w:w="3943" w:type="dxa"/>
            <w:tcBorders>
              <w:top w:val="nil"/>
              <w:left w:val="single" w:color="auto" w:sz="4" w:space="0"/>
              <w:bottom w:val="nil"/>
              <w:right w:val="nil"/>
            </w:tcBorders>
            <w:vAlign w:val="top"/>
          </w:tcPr>
          <w:p w14:paraId="6BB1CF4C">
            <w:pPr>
              <w:spacing w:line="360" w:lineRule="auto"/>
              <w:ind w:firstLine="0" w:firstLineChars="0"/>
              <w:jc w:val="left"/>
              <w:rPr>
                <w:rFonts w:hint="eastAsia" w:cs="宋体"/>
                <w:color w:val="auto"/>
                <w:sz w:val="21"/>
                <w:szCs w:val="21"/>
                <w:highlight w:val="none"/>
              </w:rPr>
            </w:pPr>
            <w:r>
              <w:rPr>
                <w:rFonts w:hint="eastAsia"/>
                <w:color w:val="auto"/>
                <w:highlight w:val="none"/>
              </w:rPr>
              <w:t>项目联系人：魏恩</w:t>
            </w:r>
          </w:p>
        </w:tc>
        <w:tc>
          <w:tcPr>
            <w:tcW w:w="4480" w:type="dxa"/>
            <w:tcBorders>
              <w:top w:val="nil"/>
              <w:left w:val="nil"/>
              <w:bottom w:val="nil"/>
              <w:right w:val="single" w:color="auto" w:sz="4" w:space="0"/>
            </w:tcBorders>
            <w:vAlign w:val="top"/>
          </w:tcPr>
          <w:p w14:paraId="007D24D7">
            <w:pPr>
              <w:spacing w:line="360" w:lineRule="auto"/>
              <w:ind w:firstLine="0" w:firstLineChars="0"/>
              <w:jc w:val="left"/>
              <w:rPr>
                <w:rFonts w:hint="eastAsia" w:cs="宋体"/>
                <w:color w:val="auto"/>
                <w:sz w:val="21"/>
                <w:szCs w:val="21"/>
                <w:highlight w:val="none"/>
              </w:rPr>
            </w:pPr>
            <w:r>
              <w:rPr>
                <w:rFonts w:hint="eastAsia"/>
                <w:color w:val="auto"/>
                <w:highlight w:val="none"/>
              </w:rPr>
              <w:t>联系方式：</w:t>
            </w:r>
            <w:r>
              <w:rPr>
                <w:rFonts w:hint="eastAsia"/>
              </w:rPr>
              <w:t>17783826559</w:t>
            </w:r>
          </w:p>
        </w:tc>
      </w:tr>
      <w:tr w14:paraId="45F35BA1">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08D05873">
            <w:pPr>
              <w:spacing w:line="360" w:lineRule="auto"/>
              <w:ind w:firstLine="0" w:firstLineChars="0"/>
              <w:jc w:val="left"/>
              <w:rPr>
                <w:rFonts w:hint="eastAsia"/>
                <w:color w:val="auto"/>
                <w:highlight w:val="none"/>
              </w:rPr>
            </w:pPr>
          </w:p>
        </w:tc>
      </w:tr>
      <w:tr w14:paraId="211F9B5C">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58BBCC2D">
            <w:pPr>
              <w:spacing w:line="360" w:lineRule="auto"/>
              <w:ind w:firstLine="0" w:firstLineChars="0"/>
              <w:jc w:val="left"/>
              <w:rPr>
                <w:rFonts w:hint="eastAsia"/>
                <w:color w:val="auto"/>
                <w:highlight w:val="none"/>
              </w:rPr>
            </w:pPr>
            <w:r>
              <w:rPr>
                <w:rFonts w:hint="eastAsia"/>
                <w:color w:val="auto"/>
                <w:highlight w:val="none"/>
                <w:lang w:val="en-US" w:eastAsia="zh-CN"/>
              </w:rPr>
              <w:t>8</w:t>
            </w:r>
            <w:r>
              <w:rPr>
                <w:rFonts w:hint="eastAsia"/>
                <w:color w:val="auto"/>
                <w:highlight w:val="none"/>
              </w:rPr>
              <w:t>.2 项目流程咨询</w:t>
            </w:r>
          </w:p>
        </w:tc>
      </w:tr>
      <w:tr w14:paraId="7B7F29CA">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72DA1E06">
            <w:pPr>
              <w:spacing w:line="360" w:lineRule="auto"/>
              <w:ind w:firstLine="0" w:firstLineChars="0"/>
              <w:jc w:val="left"/>
              <w:rPr>
                <w:rFonts w:hint="eastAsia"/>
                <w:color w:val="auto"/>
                <w:highlight w:val="none"/>
              </w:rPr>
            </w:pPr>
            <w:r>
              <w:rPr>
                <w:rFonts w:hint="eastAsia"/>
                <w:color w:val="auto"/>
                <w:highlight w:val="none"/>
              </w:rPr>
              <w:t>平台服务机构：重庆联合产权交易所集团股份有限公司</w:t>
            </w:r>
          </w:p>
        </w:tc>
      </w:tr>
      <w:tr w14:paraId="60B559FD">
        <w:tblPrEx>
          <w:tblCellMar>
            <w:top w:w="0" w:type="dxa"/>
            <w:left w:w="108" w:type="dxa"/>
            <w:bottom w:w="0" w:type="dxa"/>
            <w:right w:w="108" w:type="dxa"/>
          </w:tblCellMar>
        </w:tblPrEx>
        <w:tc>
          <w:tcPr>
            <w:tcW w:w="3943" w:type="dxa"/>
            <w:tcBorders>
              <w:top w:val="nil"/>
              <w:left w:val="single" w:color="auto" w:sz="4" w:space="0"/>
              <w:bottom w:val="nil"/>
              <w:right w:val="nil"/>
            </w:tcBorders>
            <w:vAlign w:val="top"/>
          </w:tcPr>
          <w:p w14:paraId="5F1D10AF">
            <w:pPr>
              <w:spacing w:line="360" w:lineRule="auto"/>
              <w:ind w:firstLine="0" w:firstLineChars="0"/>
              <w:jc w:val="left"/>
              <w:rPr>
                <w:rFonts w:hint="default" w:eastAsia="宋体" w:cs="宋体"/>
                <w:color w:val="auto"/>
                <w:sz w:val="21"/>
                <w:szCs w:val="21"/>
                <w:highlight w:val="none"/>
                <w:lang w:val="en-US" w:eastAsia="zh-CN"/>
              </w:rPr>
            </w:pPr>
            <w:r>
              <w:rPr>
                <w:rFonts w:hint="eastAsia"/>
                <w:color w:val="auto"/>
                <w:highlight w:val="none"/>
              </w:rPr>
              <w:t>平台联系人：罗老师</w:t>
            </w:r>
            <w:r>
              <w:rPr>
                <w:rFonts w:hint="eastAsia"/>
                <w:color w:val="auto"/>
                <w:highlight w:val="none"/>
                <w:lang w:eastAsia="zh-CN"/>
              </w:rPr>
              <w:t>、</w:t>
            </w:r>
            <w:r>
              <w:rPr>
                <w:rFonts w:hint="eastAsia"/>
                <w:color w:val="auto"/>
                <w:highlight w:val="none"/>
                <w:lang w:val="en-US" w:eastAsia="zh-CN"/>
              </w:rPr>
              <w:t>杜老师</w:t>
            </w:r>
          </w:p>
        </w:tc>
        <w:tc>
          <w:tcPr>
            <w:tcW w:w="4480" w:type="dxa"/>
            <w:tcBorders>
              <w:top w:val="nil"/>
              <w:left w:val="nil"/>
              <w:bottom w:val="nil"/>
              <w:right w:val="single" w:color="auto" w:sz="4" w:space="0"/>
            </w:tcBorders>
            <w:vAlign w:val="top"/>
          </w:tcPr>
          <w:p w14:paraId="10F5F0E5">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联系方式：023-63621694</w:t>
            </w:r>
          </w:p>
        </w:tc>
      </w:tr>
      <w:tr w14:paraId="6A08EFC8">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61B152D3">
            <w:pPr>
              <w:spacing w:line="360" w:lineRule="auto"/>
              <w:ind w:firstLine="0" w:firstLineChars="0"/>
              <w:jc w:val="left"/>
              <w:rPr>
                <w:rFonts w:hint="eastAsia"/>
                <w:color w:val="auto"/>
                <w:highlight w:val="none"/>
              </w:rPr>
            </w:pPr>
          </w:p>
        </w:tc>
      </w:tr>
      <w:tr w14:paraId="2C280C8D">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1CA1560D">
            <w:pPr>
              <w:spacing w:line="360" w:lineRule="auto"/>
              <w:ind w:firstLine="0" w:firstLineChars="0"/>
              <w:jc w:val="left"/>
              <w:rPr>
                <w:rFonts w:hint="eastAsia"/>
                <w:color w:val="auto"/>
                <w:highlight w:val="none"/>
              </w:rPr>
            </w:pPr>
            <w:r>
              <w:rPr>
                <w:rFonts w:hint="eastAsia"/>
                <w:color w:val="auto"/>
                <w:highlight w:val="none"/>
                <w:lang w:val="en-US" w:eastAsia="zh-CN"/>
              </w:rPr>
              <w:t>8</w:t>
            </w:r>
            <w:r>
              <w:rPr>
                <w:rFonts w:hint="eastAsia"/>
                <w:color w:val="auto"/>
                <w:highlight w:val="none"/>
              </w:rPr>
              <w:t>.3 比选人联系方式</w:t>
            </w:r>
          </w:p>
        </w:tc>
      </w:tr>
      <w:tr w14:paraId="6844561D">
        <w:tblPrEx>
          <w:tblCellMar>
            <w:top w:w="0" w:type="dxa"/>
            <w:left w:w="108" w:type="dxa"/>
            <w:bottom w:w="0" w:type="dxa"/>
            <w:right w:w="108" w:type="dxa"/>
          </w:tblCellMar>
        </w:tblPrEx>
        <w:tc>
          <w:tcPr>
            <w:tcW w:w="3943" w:type="dxa"/>
            <w:tcBorders>
              <w:top w:val="nil"/>
              <w:left w:val="single" w:color="auto" w:sz="4" w:space="0"/>
              <w:bottom w:val="nil"/>
              <w:right w:val="nil"/>
            </w:tcBorders>
            <w:vAlign w:val="top"/>
          </w:tcPr>
          <w:p w14:paraId="66F7DD9B">
            <w:pPr>
              <w:spacing w:line="360" w:lineRule="auto"/>
              <w:ind w:firstLine="0" w:firstLineChars="0"/>
              <w:jc w:val="left"/>
              <w:rPr>
                <w:rFonts w:hint="eastAsia" w:eastAsia="宋体" w:cs="宋体"/>
                <w:color w:val="auto"/>
                <w:sz w:val="21"/>
                <w:szCs w:val="21"/>
                <w:highlight w:val="none"/>
                <w:lang w:eastAsia="zh-CN"/>
              </w:rPr>
            </w:pPr>
            <w:r>
              <w:rPr>
                <w:rFonts w:hint="eastAsia"/>
                <w:color w:val="auto"/>
                <w:highlight w:val="none"/>
              </w:rPr>
              <w:t>联系人：敬</w:t>
            </w:r>
            <w:r>
              <w:rPr>
                <w:rFonts w:hint="eastAsia"/>
                <w:color w:val="auto"/>
                <w:highlight w:val="none"/>
                <w:lang w:val="en-US" w:eastAsia="zh-CN"/>
              </w:rPr>
              <w:t>老师</w:t>
            </w:r>
          </w:p>
        </w:tc>
        <w:tc>
          <w:tcPr>
            <w:tcW w:w="4480" w:type="dxa"/>
            <w:tcBorders>
              <w:top w:val="nil"/>
              <w:left w:val="nil"/>
              <w:bottom w:val="nil"/>
              <w:right w:val="single" w:color="auto" w:sz="4" w:space="0"/>
            </w:tcBorders>
            <w:vAlign w:val="top"/>
          </w:tcPr>
          <w:p w14:paraId="6C7F0028">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联系方式：023-88890395</w:t>
            </w:r>
          </w:p>
        </w:tc>
      </w:tr>
      <w:tr w14:paraId="0FAA44A3">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vAlign w:val="top"/>
          </w:tcPr>
          <w:p w14:paraId="2803EF15">
            <w:pPr>
              <w:spacing w:line="360" w:lineRule="auto"/>
              <w:ind w:firstLine="0" w:firstLineChars="0"/>
              <w:jc w:val="left"/>
              <w:rPr>
                <w:rFonts w:hint="eastAsia"/>
                <w:color w:val="auto"/>
                <w:highlight w:val="none"/>
              </w:rPr>
            </w:pPr>
            <w:r>
              <w:rPr>
                <w:rFonts w:hint="eastAsia"/>
                <w:color w:val="auto"/>
                <w:highlight w:val="none"/>
              </w:rPr>
              <w:t>比选人地址：重庆市渝北区嘉州路88号中渝国际都会4号写字楼21层</w:t>
            </w:r>
          </w:p>
        </w:tc>
      </w:tr>
    </w:tbl>
    <w:p w14:paraId="0FC08407">
      <w:pPr>
        <w:spacing w:line="240" w:lineRule="auto"/>
        <w:ind w:firstLine="0" w:firstLineChars="0"/>
        <w:jc w:val="right"/>
        <w:rPr>
          <w:rFonts w:hint="eastAsia" w:ascii="Times New Roman" w:hAnsi="Times New Roman"/>
        </w:rPr>
      </w:pPr>
    </w:p>
    <w:p w14:paraId="5F757C56">
      <w:pPr>
        <w:spacing w:line="240" w:lineRule="auto"/>
        <w:ind w:firstLine="0" w:firstLineChars="0"/>
        <w:jc w:val="right"/>
        <w:rPr>
          <w:rFonts w:hint="eastAsia" w:ascii="Times New Roman" w:hAnsi="Times New Roman"/>
        </w:rPr>
      </w:pPr>
    </w:p>
    <w:p w14:paraId="4C39CB7A">
      <w:pPr>
        <w:spacing w:line="240" w:lineRule="auto"/>
        <w:ind w:firstLine="0" w:firstLineChars="0"/>
        <w:jc w:val="right"/>
        <w:rPr>
          <w:rFonts w:ascii="Times New Roman" w:hAnsi="Times New Roman"/>
        </w:rPr>
      </w:pPr>
      <w:r>
        <w:rPr>
          <w:rFonts w:hint="eastAsia" w:ascii="Times New Roman" w:hAnsi="Times New Roman"/>
        </w:rPr>
        <w:t>重庆三峡银行股份有限公司</w:t>
      </w:r>
    </w:p>
    <w:p w14:paraId="07F358E8">
      <w:pPr>
        <w:jc w:val="right"/>
        <w:rPr>
          <w:rFonts w:ascii="Times New Roman" w:hAnsi="Times New Roman"/>
        </w:rPr>
      </w:pPr>
      <w:r>
        <w:rPr>
          <w:rFonts w:hint="eastAsia" w:ascii="Times New Roman" w:hAnsi="Times New Roman"/>
        </w:rPr>
        <w:t>202</w:t>
      </w:r>
      <w:r>
        <w:rPr>
          <w:rFonts w:hint="eastAsia"/>
          <w:lang w:val="en-US" w:eastAsia="zh-CN"/>
        </w:rPr>
        <w:t>4</w:t>
      </w:r>
      <w:r>
        <w:rPr>
          <w:rFonts w:hint="eastAsia" w:ascii="Times New Roman" w:hAnsi="Times New Roman"/>
        </w:rPr>
        <w:t>年</w:t>
      </w:r>
      <w:r>
        <w:rPr>
          <w:rFonts w:hint="eastAsia"/>
          <w:lang w:val="en-US" w:eastAsia="zh-CN"/>
        </w:rPr>
        <w:t>12</w:t>
      </w:r>
      <w:r>
        <w:rPr>
          <w:rFonts w:hint="eastAsia" w:ascii="Times New Roman" w:hAnsi="Times New Roman"/>
        </w:rPr>
        <w:t>月</w:t>
      </w:r>
      <w:r>
        <w:rPr>
          <w:rFonts w:hint="eastAsia"/>
          <w:lang w:val="en-US" w:eastAsia="zh-CN"/>
        </w:rPr>
        <w:t>2</w:t>
      </w:r>
      <w:r>
        <w:rPr>
          <w:rFonts w:hint="eastAsia" w:ascii="Times New Roman" w:hAnsi="Times New Roman"/>
        </w:rPr>
        <w:t>日</w:t>
      </w:r>
    </w:p>
    <w:p w14:paraId="66BBEB0A">
      <w:pPr>
        <w:pStyle w:val="2"/>
        <w:rPr>
          <w:rFonts w:ascii="Times New Roman" w:hAnsi="Times New Roman"/>
        </w:rPr>
      </w:pPr>
      <w:r>
        <w:rPr>
          <w:rFonts w:hint="eastAsia" w:ascii="Times New Roman" w:hAnsi="Times New Roman"/>
        </w:rPr>
        <w:t>第二章 参选人须知</w:t>
      </w:r>
      <w:bookmarkEnd w:id="6"/>
      <w:bookmarkEnd w:id="7"/>
      <w:bookmarkEnd w:id="8"/>
    </w:p>
    <w:p w14:paraId="1F029F1E">
      <w:pPr>
        <w:pStyle w:val="3"/>
        <w:rPr>
          <w:rFonts w:ascii="Times New Roman" w:hAnsi="Times New Roman"/>
        </w:rPr>
      </w:pPr>
      <w:bookmarkStart w:id="32" w:name="_Toc89675160"/>
      <w:r>
        <w:rPr>
          <w:rFonts w:hint="eastAsia" w:ascii="Times New Roman" w:hAnsi="Times New Roman"/>
        </w:rPr>
        <w:t>1. 项目信息</w:t>
      </w:r>
    </w:p>
    <w:p w14:paraId="2E853F2E">
      <w:pPr>
        <w:pStyle w:val="4"/>
        <w:rPr>
          <w:rFonts w:ascii="Times New Roman" w:hAnsi="Times New Roman"/>
        </w:rPr>
      </w:pPr>
      <w:r>
        <w:rPr>
          <w:rFonts w:hint="eastAsia" w:ascii="Times New Roman" w:hAnsi="Times New Roman"/>
        </w:rPr>
        <w:t>1.1 比选人</w:t>
      </w:r>
    </w:p>
    <w:p w14:paraId="0E1162F2">
      <w:pPr>
        <w:rPr>
          <w:rFonts w:ascii="Times New Roman" w:hAnsi="Times New Roman"/>
        </w:rPr>
      </w:pPr>
      <w:r>
        <w:rPr>
          <w:rFonts w:ascii="Times New Roman" w:hAnsi="Times New Roman"/>
        </w:rPr>
        <w:t>重庆三峡银行股份有限公司</w:t>
      </w:r>
      <w:r>
        <w:rPr>
          <w:rFonts w:hint="eastAsia" w:ascii="Times New Roman" w:hAnsi="Times New Roman"/>
        </w:rPr>
        <w:t>。</w:t>
      </w:r>
    </w:p>
    <w:p w14:paraId="4D96EB97">
      <w:pPr>
        <w:pStyle w:val="4"/>
        <w:rPr>
          <w:rFonts w:ascii="Times New Roman" w:hAnsi="Times New Roman"/>
        </w:rPr>
      </w:pPr>
      <w:r>
        <w:rPr>
          <w:rFonts w:hint="eastAsia" w:ascii="Times New Roman" w:hAnsi="Times New Roman"/>
        </w:rPr>
        <w:t>1.2 最高限价</w:t>
      </w:r>
    </w:p>
    <w:p w14:paraId="29F1D018">
      <w:pPr>
        <w:bidi w:val="0"/>
      </w:pPr>
      <w:r>
        <w:rPr>
          <w:rFonts w:hint="eastAsia"/>
        </w:rPr>
        <w:t>本项目最高限价：</w:t>
      </w:r>
      <w:r>
        <w:rPr>
          <w:rFonts w:hint="eastAsia"/>
          <w:lang w:eastAsia="zh-CN"/>
        </w:rPr>
        <w:t>标段1：</w:t>
      </w:r>
      <w:r>
        <w:t>为9,720,000元</w:t>
      </w:r>
      <w:r>
        <w:rPr>
          <w:rFonts w:hint="eastAsia"/>
        </w:rPr>
        <w:t>（人民币大写：</w:t>
      </w:r>
      <w:r>
        <w:t>玖佰柒拾贰万元整</w:t>
      </w:r>
      <w:r>
        <w:rPr>
          <w:rFonts w:hint="eastAsia"/>
        </w:rPr>
        <w:t>）</w:t>
      </w:r>
      <w:r>
        <w:t>；</w:t>
      </w:r>
      <w:r>
        <w:rPr>
          <w:rFonts w:hint="eastAsia"/>
          <w:lang w:eastAsia="zh-CN"/>
        </w:rPr>
        <w:t>标段2：</w:t>
      </w:r>
      <w:r>
        <w:t>为</w:t>
      </w:r>
      <w:r>
        <w:rPr>
          <w:rFonts w:hint="eastAsia"/>
        </w:rPr>
        <w:t xml:space="preserve"> </w:t>
      </w:r>
      <w:r>
        <w:t>7,143,800.00元</w:t>
      </w:r>
      <w:r>
        <w:rPr>
          <w:rFonts w:hint="eastAsia"/>
        </w:rPr>
        <w:t>（人民币大写：</w:t>
      </w:r>
      <w:r>
        <w:t>柒佰壹拾肆万叁仟捌佰元整</w:t>
      </w:r>
      <w:r>
        <w:rPr>
          <w:rFonts w:hint="eastAsia"/>
        </w:rPr>
        <w:t>）</w:t>
      </w:r>
      <w:r>
        <w:t>；</w:t>
      </w:r>
      <w:r>
        <w:rPr>
          <w:rFonts w:hint="eastAsia"/>
          <w:lang w:eastAsia="zh-CN"/>
        </w:rPr>
        <w:t>标段3：</w:t>
      </w:r>
      <w:r>
        <w:t>为</w:t>
      </w:r>
      <w:r>
        <w:rPr>
          <w:rFonts w:hint="eastAsia"/>
        </w:rPr>
        <w:t xml:space="preserve"> </w:t>
      </w:r>
      <w:r>
        <w:t>6,860,000.00元</w:t>
      </w:r>
      <w:r>
        <w:rPr>
          <w:rFonts w:hint="eastAsia"/>
        </w:rPr>
        <w:t>（人民币大写：</w:t>
      </w:r>
      <w:r>
        <w:t>陆佰捌拾陆万元整</w:t>
      </w:r>
      <w:r>
        <w:rPr>
          <w:rFonts w:hint="eastAsia"/>
        </w:rPr>
        <w:t>）</w:t>
      </w:r>
      <w:r>
        <w:t>；</w:t>
      </w:r>
      <w:r>
        <w:rPr>
          <w:rFonts w:hint="eastAsia"/>
          <w:lang w:eastAsia="zh-CN"/>
        </w:rPr>
        <w:t>标段4：</w:t>
      </w:r>
      <w:r>
        <w:t>为</w:t>
      </w:r>
      <w:r>
        <w:rPr>
          <w:rFonts w:hint="eastAsia"/>
        </w:rPr>
        <w:t xml:space="preserve"> </w:t>
      </w:r>
      <w:r>
        <w:t>4,595,500.00元</w:t>
      </w:r>
      <w:r>
        <w:rPr>
          <w:rFonts w:hint="eastAsia"/>
        </w:rPr>
        <w:t>（人民币大写：</w:t>
      </w:r>
      <w:r>
        <w:t>肆佰伍拾玖万伍仟伍佰元整</w:t>
      </w:r>
      <w:r>
        <w:rPr>
          <w:rFonts w:hint="eastAsia"/>
        </w:rPr>
        <w:t>）。</w:t>
      </w:r>
    </w:p>
    <w:p w14:paraId="6A5E4BCF">
      <w:pPr>
        <w:pStyle w:val="4"/>
        <w:bidi w:val="0"/>
      </w:pPr>
      <w:r>
        <w:rPr>
          <w:rFonts w:hint="eastAsia"/>
        </w:rPr>
        <w:t>1.3 项目概况</w:t>
      </w:r>
    </w:p>
    <w:bookmarkEnd w:id="32"/>
    <w:p w14:paraId="38748F5C">
      <w:pPr>
        <w:bidi w:val="0"/>
      </w:pPr>
      <w:bookmarkStart w:id="33" w:name="_Toc89675161"/>
      <w:r>
        <w:t>为了更好的支撑未来两年我行的IT系统建设，我行计划进行</w:t>
      </w:r>
      <w:r>
        <w:rPr>
          <w:rFonts w:hint="eastAsia"/>
        </w:rPr>
        <w:t>“</w:t>
      </w:r>
      <w:r>
        <w:t>2024年信创服务器采购</w:t>
      </w:r>
      <w:r>
        <w:rPr>
          <w:rFonts w:hint="eastAsia"/>
        </w:rPr>
        <w:t>”</w:t>
      </w:r>
      <w:r>
        <w:t>项目，各标段服务器采购数量具体如下：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2000"/>
        <w:gridCol w:w="1902"/>
        <w:gridCol w:w="2316"/>
      </w:tblGrid>
      <w:tr w14:paraId="65E3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14:paraId="55FBDB31">
            <w:pPr>
              <w:pStyle w:val="34"/>
              <w:bidi w:val="0"/>
            </w:pPr>
            <w:r>
              <w:t>标段</w:t>
            </w:r>
          </w:p>
        </w:tc>
        <w:tc>
          <w:tcPr>
            <w:tcW w:w="2000" w:type="dxa"/>
          </w:tcPr>
          <w:p w14:paraId="4F469E36">
            <w:pPr>
              <w:pStyle w:val="34"/>
              <w:bidi w:val="0"/>
            </w:pPr>
            <w:r>
              <w:t>服务器配置</w:t>
            </w:r>
          </w:p>
        </w:tc>
        <w:tc>
          <w:tcPr>
            <w:tcW w:w="1902" w:type="dxa"/>
          </w:tcPr>
          <w:p w14:paraId="73339349">
            <w:pPr>
              <w:pStyle w:val="34"/>
              <w:bidi w:val="0"/>
            </w:pPr>
            <w:r>
              <w:t>采购数量（台）</w:t>
            </w:r>
          </w:p>
        </w:tc>
        <w:tc>
          <w:tcPr>
            <w:tcW w:w="2316" w:type="dxa"/>
          </w:tcPr>
          <w:p w14:paraId="2E81FF64">
            <w:pPr>
              <w:pStyle w:val="34"/>
              <w:bidi w:val="0"/>
            </w:pPr>
            <w:r>
              <w:t>备注</w:t>
            </w:r>
          </w:p>
        </w:tc>
      </w:tr>
      <w:tr w14:paraId="76EA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14:paraId="5C70D1BE">
            <w:pPr>
              <w:pStyle w:val="33"/>
              <w:bidi w:val="0"/>
              <w:rPr>
                <w:rFonts w:hint="eastAsia" w:eastAsia="宋体"/>
                <w:lang w:eastAsia="zh-CN"/>
              </w:rPr>
            </w:pPr>
            <w:r>
              <w:rPr>
                <w:rFonts w:hint="eastAsia"/>
                <w:lang w:eastAsia="zh-CN"/>
              </w:rPr>
              <w:t>标段1：</w:t>
            </w:r>
          </w:p>
        </w:tc>
        <w:tc>
          <w:tcPr>
            <w:tcW w:w="2000" w:type="dxa"/>
            <w:tcBorders>
              <w:left w:val="single" w:color="auto" w:sz="4" w:space="0"/>
            </w:tcBorders>
          </w:tcPr>
          <w:p w14:paraId="15E30693">
            <w:pPr>
              <w:pStyle w:val="33"/>
              <w:bidi w:val="0"/>
            </w:pPr>
            <w:r>
              <w:t>配置一</w:t>
            </w:r>
          </w:p>
        </w:tc>
        <w:tc>
          <w:tcPr>
            <w:tcW w:w="1902" w:type="dxa"/>
            <w:tcBorders>
              <w:left w:val="single" w:color="auto" w:sz="4" w:space="0"/>
            </w:tcBorders>
          </w:tcPr>
          <w:p w14:paraId="444F6321">
            <w:pPr>
              <w:pStyle w:val="33"/>
              <w:bidi w:val="0"/>
            </w:pPr>
            <w:r>
              <w:t>81</w:t>
            </w:r>
          </w:p>
        </w:tc>
        <w:tc>
          <w:tcPr>
            <w:tcW w:w="2316" w:type="dxa"/>
            <w:vMerge w:val="restart"/>
            <w:tcBorders>
              <w:left w:val="single" w:color="auto" w:sz="4" w:space="0"/>
            </w:tcBorders>
            <w:vAlign w:val="center"/>
          </w:tcPr>
          <w:p w14:paraId="36E99F20">
            <w:pPr>
              <w:pStyle w:val="33"/>
              <w:bidi w:val="0"/>
              <w:ind w:left="0" w:leftChars="0" w:right="0" w:rightChars="0" w:firstLine="0" w:firstLineChars="0"/>
              <w:jc w:val="center"/>
            </w:pPr>
            <w:r>
              <w:t>具体配置要求见第三章技术要求部分</w:t>
            </w:r>
          </w:p>
        </w:tc>
      </w:tr>
      <w:tr w14:paraId="1AB7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Merge w:val="restart"/>
          </w:tcPr>
          <w:p w14:paraId="4B72BB4F">
            <w:pPr>
              <w:pStyle w:val="33"/>
              <w:bidi w:val="0"/>
            </w:pPr>
          </w:p>
          <w:p w14:paraId="44953135">
            <w:pPr>
              <w:pStyle w:val="33"/>
              <w:bidi w:val="0"/>
              <w:rPr>
                <w:rFonts w:hint="eastAsia" w:eastAsia="宋体"/>
                <w:lang w:eastAsia="zh-CN"/>
              </w:rPr>
            </w:pPr>
            <w:r>
              <w:rPr>
                <w:rFonts w:hint="eastAsia"/>
                <w:lang w:eastAsia="zh-CN"/>
              </w:rPr>
              <w:t>标段2：</w:t>
            </w:r>
          </w:p>
        </w:tc>
        <w:tc>
          <w:tcPr>
            <w:tcW w:w="2000" w:type="dxa"/>
            <w:tcBorders>
              <w:left w:val="single" w:color="auto" w:sz="4" w:space="0"/>
            </w:tcBorders>
          </w:tcPr>
          <w:p w14:paraId="20C87902">
            <w:pPr>
              <w:pStyle w:val="33"/>
              <w:bidi w:val="0"/>
            </w:pPr>
            <w:r>
              <w:t>配置一</w:t>
            </w:r>
          </w:p>
        </w:tc>
        <w:tc>
          <w:tcPr>
            <w:tcW w:w="1902" w:type="dxa"/>
            <w:tcBorders>
              <w:left w:val="single" w:color="auto" w:sz="4" w:space="0"/>
            </w:tcBorders>
          </w:tcPr>
          <w:p w14:paraId="501959EE">
            <w:pPr>
              <w:pStyle w:val="33"/>
              <w:bidi w:val="0"/>
            </w:pPr>
            <w:r>
              <w:t>34</w:t>
            </w:r>
          </w:p>
        </w:tc>
        <w:tc>
          <w:tcPr>
            <w:tcW w:w="2992" w:type="dxa"/>
            <w:vMerge w:val="continue"/>
            <w:tcBorders>
              <w:left w:val="single" w:color="auto" w:sz="4" w:space="0"/>
            </w:tcBorders>
          </w:tcPr>
          <w:p w14:paraId="1DB7CEDD"/>
        </w:tc>
      </w:tr>
      <w:tr w14:paraId="633D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Merge w:val="continue"/>
          </w:tcPr>
          <w:p w14:paraId="4BF3EEE5">
            <w:pPr>
              <w:pStyle w:val="33"/>
              <w:bidi w:val="0"/>
            </w:pPr>
          </w:p>
        </w:tc>
        <w:tc>
          <w:tcPr>
            <w:tcW w:w="2000" w:type="dxa"/>
            <w:tcBorders>
              <w:left w:val="single" w:color="auto" w:sz="4" w:space="0"/>
            </w:tcBorders>
          </w:tcPr>
          <w:p w14:paraId="229E76DD">
            <w:pPr>
              <w:pStyle w:val="33"/>
              <w:bidi w:val="0"/>
            </w:pPr>
            <w:r>
              <w:t>配置二</w:t>
            </w:r>
          </w:p>
        </w:tc>
        <w:tc>
          <w:tcPr>
            <w:tcW w:w="1902" w:type="dxa"/>
            <w:tcBorders>
              <w:left w:val="single" w:color="auto" w:sz="4" w:space="0"/>
            </w:tcBorders>
          </w:tcPr>
          <w:p w14:paraId="0368E847">
            <w:pPr>
              <w:pStyle w:val="33"/>
              <w:bidi w:val="0"/>
            </w:pPr>
            <w:r>
              <w:t>8</w:t>
            </w:r>
          </w:p>
        </w:tc>
        <w:tc>
          <w:tcPr>
            <w:tcW w:w="2992" w:type="dxa"/>
            <w:vMerge w:val="continue"/>
            <w:tcBorders>
              <w:left w:val="single" w:color="auto" w:sz="4" w:space="0"/>
            </w:tcBorders>
          </w:tcPr>
          <w:p w14:paraId="62CBDD99"/>
        </w:tc>
      </w:tr>
      <w:tr w14:paraId="344F3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Merge w:val="continue"/>
          </w:tcPr>
          <w:p w14:paraId="38E5FDB8">
            <w:pPr>
              <w:pStyle w:val="33"/>
              <w:bidi w:val="0"/>
            </w:pPr>
          </w:p>
        </w:tc>
        <w:tc>
          <w:tcPr>
            <w:tcW w:w="2000" w:type="dxa"/>
            <w:tcBorders>
              <w:left w:val="single" w:color="auto" w:sz="4" w:space="0"/>
            </w:tcBorders>
          </w:tcPr>
          <w:p w14:paraId="3C44AC04">
            <w:pPr>
              <w:pStyle w:val="33"/>
              <w:bidi w:val="0"/>
            </w:pPr>
            <w:r>
              <w:t>配置三</w:t>
            </w:r>
          </w:p>
        </w:tc>
        <w:tc>
          <w:tcPr>
            <w:tcW w:w="1902" w:type="dxa"/>
            <w:tcBorders>
              <w:left w:val="single" w:color="auto" w:sz="4" w:space="0"/>
            </w:tcBorders>
          </w:tcPr>
          <w:p w14:paraId="239D31D4">
            <w:pPr>
              <w:pStyle w:val="33"/>
              <w:bidi w:val="0"/>
            </w:pPr>
            <w:r>
              <w:t>24</w:t>
            </w:r>
          </w:p>
        </w:tc>
        <w:tc>
          <w:tcPr>
            <w:tcW w:w="2992" w:type="dxa"/>
            <w:vMerge w:val="continue"/>
            <w:tcBorders>
              <w:left w:val="single" w:color="auto" w:sz="4" w:space="0"/>
            </w:tcBorders>
          </w:tcPr>
          <w:p w14:paraId="7D6300A4"/>
        </w:tc>
      </w:tr>
      <w:tr w14:paraId="366B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Merge w:val="continue"/>
          </w:tcPr>
          <w:p w14:paraId="0DE5ACE0">
            <w:pPr>
              <w:pStyle w:val="33"/>
              <w:bidi w:val="0"/>
            </w:pPr>
          </w:p>
        </w:tc>
        <w:tc>
          <w:tcPr>
            <w:tcW w:w="2000" w:type="dxa"/>
            <w:tcBorders>
              <w:left w:val="single" w:color="auto" w:sz="4" w:space="0"/>
            </w:tcBorders>
          </w:tcPr>
          <w:p w14:paraId="6B5315F0">
            <w:pPr>
              <w:pStyle w:val="33"/>
              <w:bidi w:val="0"/>
            </w:pPr>
            <w:r>
              <w:t>配置四</w:t>
            </w:r>
          </w:p>
        </w:tc>
        <w:tc>
          <w:tcPr>
            <w:tcW w:w="1902" w:type="dxa"/>
            <w:tcBorders>
              <w:left w:val="single" w:color="auto" w:sz="4" w:space="0"/>
            </w:tcBorders>
          </w:tcPr>
          <w:p w14:paraId="2DB74CCE">
            <w:pPr>
              <w:pStyle w:val="33"/>
              <w:bidi w:val="0"/>
            </w:pPr>
            <w:r>
              <w:t>4</w:t>
            </w:r>
          </w:p>
        </w:tc>
        <w:tc>
          <w:tcPr>
            <w:tcW w:w="2992" w:type="dxa"/>
            <w:vMerge w:val="continue"/>
            <w:tcBorders>
              <w:left w:val="single" w:color="auto" w:sz="4" w:space="0"/>
            </w:tcBorders>
          </w:tcPr>
          <w:p w14:paraId="2F288850"/>
        </w:tc>
      </w:tr>
      <w:tr w14:paraId="40E1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Merge w:val="restart"/>
          </w:tcPr>
          <w:p w14:paraId="1AF68C5D">
            <w:pPr>
              <w:pStyle w:val="33"/>
              <w:bidi w:val="0"/>
            </w:pPr>
          </w:p>
          <w:p w14:paraId="56789F04">
            <w:pPr>
              <w:pStyle w:val="33"/>
              <w:bidi w:val="0"/>
              <w:rPr>
                <w:rFonts w:hint="eastAsia" w:eastAsia="宋体"/>
                <w:lang w:eastAsia="zh-CN"/>
              </w:rPr>
            </w:pPr>
            <w:r>
              <w:rPr>
                <w:rFonts w:hint="eastAsia"/>
                <w:lang w:eastAsia="zh-CN"/>
              </w:rPr>
              <w:t>标段3：</w:t>
            </w:r>
          </w:p>
        </w:tc>
        <w:tc>
          <w:tcPr>
            <w:tcW w:w="2000" w:type="dxa"/>
            <w:tcBorders>
              <w:left w:val="single" w:color="auto" w:sz="4" w:space="0"/>
            </w:tcBorders>
          </w:tcPr>
          <w:p w14:paraId="28EDAE3C">
            <w:pPr>
              <w:pStyle w:val="33"/>
              <w:bidi w:val="0"/>
            </w:pPr>
            <w:r>
              <w:t>配置一</w:t>
            </w:r>
          </w:p>
        </w:tc>
        <w:tc>
          <w:tcPr>
            <w:tcW w:w="1902" w:type="dxa"/>
            <w:tcBorders>
              <w:left w:val="single" w:color="auto" w:sz="4" w:space="0"/>
            </w:tcBorders>
          </w:tcPr>
          <w:p w14:paraId="7206858A">
            <w:pPr>
              <w:pStyle w:val="33"/>
              <w:bidi w:val="0"/>
            </w:pPr>
            <w:r>
              <w:t>35</w:t>
            </w:r>
          </w:p>
        </w:tc>
        <w:tc>
          <w:tcPr>
            <w:tcW w:w="2992" w:type="dxa"/>
            <w:vMerge w:val="continue"/>
            <w:tcBorders>
              <w:left w:val="single" w:color="auto" w:sz="4" w:space="0"/>
            </w:tcBorders>
          </w:tcPr>
          <w:p w14:paraId="6C0CCEDF"/>
        </w:tc>
      </w:tr>
      <w:tr w14:paraId="61F5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Merge w:val="continue"/>
          </w:tcPr>
          <w:p w14:paraId="18AF775F">
            <w:pPr>
              <w:pStyle w:val="33"/>
              <w:bidi w:val="0"/>
            </w:pPr>
          </w:p>
        </w:tc>
        <w:tc>
          <w:tcPr>
            <w:tcW w:w="2000" w:type="dxa"/>
            <w:tcBorders>
              <w:left w:val="single" w:color="auto" w:sz="4" w:space="0"/>
            </w:tcBorders>
          </w:tcPr>
          <w:p w14:paraId="7103ADF2">
            <w:pPr>
              <w:pStyle w:val="33"/>
              <w:bidi w:val="0"/>
            </w:pPr>
            <w:r>
              <w:t>配置二</w:t>
            </w:r>
          </w:p>
        </w:tc>
        <w:tc>
          <w:tcPr>
            <w:tcW w:w="1902" w:type="dxa"/>
            <w:tcBorders>
              <w:left w:val="single" w:color="auto" w:sz="4" w:space="0"/>
            </w:tcBorders>
          </w:tcPr>
          <w:p w14:paraId="15AE6E0B">
            <w:pPr>
              <w:pStyle w:val="33"/>
              <w:bidi w:val="0"/>
            </w:pPr>
            <w:r>
              <w:t>16</w:t>
            </w:r>
          </w:p>
        </w:tc>
        <w:tc>
          <w:tcPr>
            <w:tcW w:w="2992" w:type="dxa"/>
            <w:vMerge w:val="continue"/>
            <w:tcBorders>
              <w:left w:val="single" w:color="auto" w:sz="4" w:space="0"/>
            </w:tcBorders>
          </w:tcPr>
          <w:p w14:paraId="71A3D255"/>
        </w:tc>
      </w:tr>
      <w:tr w14:paraId="5197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Merge w:val="continue"/>
          </w:tcPr>
          <w:p w14:paraId="6E4947A2">
            <w:pPr>
              <w:pStyle w:val="33"/>
              <w:bidi w:val="0"/>
            </w:pPr>
          </w:p>
        </w:tc>
        <w:tc>
          <w:tcPr>
            <w:tcW w:w="2000" w:type="dxa"/>
            <w:tcBorders>
              <w:left w:val="single" w:color="auto" w:sz="4" w:space="0"/>
            </w:tcBorders>
          </w:tcPr>
          <w:p w14:paraId="29BB9D12">
            <w:pPr>
              <w:pStyle w:val="33"/>
              <w:bidi w:val="0"/>
            </w:pPr>
            <w:r>
              <w:t>配置三</w:t>
            </w:r>
          </w:p>
        </w:tc>
        <w:tc>
          <w:tcPr>
            <w:tcW w:w="1902" w:type="dxa"/>
            <w:tcBorders>
              <w:left w:val="single" w:color="auto" w:sz="4" w:space="0"/>
            </w:tcBorders>
          </w:tcPr>
          <w:p w14:paraId="2516B5DE">
            <w:pPr>
              <w:pStyle w:val="33"/>
              <w:bidi w:val="0"/>
            </w:pPr>
            <w:r>
              <w:t>6</w:t>
            </w:r>
          </w:p>
        </w:tc>
        <w:tc>
          <w:tcPr>
            <w:tcW w:w="2992" w:type="dxa"/>
            <w:vMerge w:val="continue"/>
            <w:tcBorders>
              <w:left w:val="single" w:color="auto" w:sz="4" w:space="0"/>
            </w:tcBorders>
          </w:tcPr>
          <w:p w14:paraId="02956B9D"/>
        </w:tc>
      </w:tr>
      <w:tr w14:paraId="1710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Merge w:val="restart"/>
          </w:tcPr>
          <w:p w14:paraId="674C7B1B">
            <w:pPr>
              <w:pStyle w:val="33"/>
              <w:bidi w:val="0"/>
            </w:pPr>
          </w:p>
          <w:p w14:paraId="57A933F5">
            <w:pPr>
              <w:pStyle w:val="33"/>
              <w:bidi w:val="0"/>
              <w:rPr>
                <w:rFonts w:hint="eastAsia" w:eastAsia="宋体"/>
                <w:lang w:eastAsia="zh-CN"/>
              </w:rPr>
            </w:pPr>
            <w:r>
              <w:rPr>
                <w:rFonts w:hint="eastAsia"/>
                <w:lang w:eastAsia="zh-CN"/>
              </w:rPr>
              <w:t>标段4：</w:t>
            </w:r>
          </w:p>
        </w:tc>
        <w:tc>
          <w:tcPr>
            <w:tcW w:w="2000" w:type="dxa"/>
            <w:tcBorders>
              <w:left w:val="single" w:color="auto" w:sz="4" w:space="0"/>
            </w:tcBorders>
          </w:tcPr>
          <w:p w14:paraId="5158E711">
            <w:pPr>
              <w:pStyle w:val="33"/>
              <w:bidi w:val="0"/>
            </w:pPr>
            <w:r>
              <w:t>配置一</w:t>
            </w:r>
          </w:p>
        </w:tc>
        <w:tc>
          <w:tcPr>
            <w:tcW w:w="1902" w:type="dxa"/>
            <w:tcBorders>
              <w:left w:val="single" w:color="auto" w:sz="4" w:space="0"/>
            </w:tcBorders>
          </w:tcPr>
          <w:p w14:paraId="247C6B7F">
            <w:pPr>
              <w:pStyle w:val="33"/>
              <w:bidi w:val="0"/>
            </w:pPr>
            <w:r>
              <w:t>16</w:t>
            </w:r>
          </w:p>
        </w:tc>
        <w:tc>
          <w:tcPr>
            <w:tcW w:w="2992" w:type="dxa"/>
            <w:vMerge w:val="continue"/>
            <w:tcBorders>
              <w:left w:val="single" w:color="auto" w:sz="4" w:space="0"/>
            </w:tcBorders>
          </w:tcPr>
          <w:p w14:paraId="477BB866"/>
        </w:tc>
      </w:tr>
      <w:tr w14:paraId="38EF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Merge w:val="continue"/>
          </w:tcPr>
          <w:p w14:paraId="1612D4B0">
            <w:pPr>
              <w:pStyle w:val="33"/>
              <w:bidi w:val="0"/>
            </w:pPr>
          </w:p>
        </w:tc>
        <w:tc>
          <w:tcPr>
            <w:tcW w:w="2000" w:type="dxa"/>
            <w:tcBorders>
              <w:left w:val="single" w:color="auto" w:sz="4" w:space="0"/>
            </w:tcBorders>
          </w:tcPr>
          <w:p w14:paraId="01052575">
            <w:pPr>
              <w:pStyle w:val="33"/>
              <w:bidi w:val="0"/>
            </w:pPr>
            <w:r>
              <w:t>配置二</w:t>
            </w:r>
          </w:p>
        </w:tc>
        <w:tc>
          <w:tcPr>
            <w:tcW w:w="1902" w:type="dxa"/>
            <w:tcBorders>
              <w:left w:val="single" w:color="auto" w:sz="4" w:space="0"/>
            </w:tcBorders>
          </w:tcPr>
          <w:p w14:paraId="02DAACBD">
            <w:pPr>
              <w:pStyle w:val="33"/>
              <w:bidi w:val="0"/>
            </w:pPr>
            <w:r>
              <w:t>8</w:t>
            </w:r>
          </w:p>
        </w:tc>
        <w:tc>
          <w:tcPr>
            <w:tcW w:w="2992" w:type="dxa"/>
            <w:vMerge w:val="continue"/>
            <w:tcBorders>
              <w:left w:val="single" w:color="auto" w:sz="4" w:space="0"/>
            </w:tcBorders>
          </w:tcPr>
          <w:p w14:paraId="57C40C85"/>
        </w:tc>
      </w:tr>
      <w:tr w14:paraId="2698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Merge w:val="continue"/>
          </w:tcPr>
          <w:p w14:paraId="086A6A50">
            <w:pPr>
              <w:pStyle w:val="33"/>
              <w:bidi w:val="0"/>
            </w:pPr>
          </w:p>
        </w:tc>
        <w:tc>
          <w:tcPr>
            <w:tcW w:w="2000" w:type="dxa"/>
            <w:tcBorders>
              <w:left w:val="single" w:color="auto" w:sz="4" w:space="0"/>
            </w:tcBorders>
          </w:tcPr>
          <w:p w14:paraId="1B7DE3A8">
            <w:pPr>
              <w:pStyle w:val="33"/>
              <w:bidi w:val="0"/>
            </w:pPr>
            <w:r>
              <w:t>配置三</w:t>
            </w:r>
          </w:p>
        </w:tc>
        <w:tc>
          <w:tcPr>
            <w:tcW w:w="1902" w:type="dxa"/>
            <w:tcBorders>
              <w:left w:val="single" w:color="auto" w:sz="4" w:space="0"/>
            </w:tcBorders>
          </w:tcPr>
          <w:p w14:paraId="13A6CBF8">
            <w:pPr>
              <w:pStyle w:val="33"/>
              <w:bidi w:val="0"/>
            </w:pPr>
            <w:r>
              <w:t>15</w:t>
            </w:r>
          </w:p>
        </w:tc>
        <w:tc>
          <w:tcPr>
            <w:tcW w:w="2992" w:type="dxa"/>
            <w:vMerge w:val="continue"/>
            <w:tcBorders>
              <w:left w:val="single" w:color="auto" w:sz="4" w:space="0"/>
            </w:tcBorders>
          </w:tcPr>
          <w:p w14:paraId="3B20D247"/>
        </w:tc>
      </w:tr>
      <w:tr w14:paraId="5814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Merge w:val="continue"/>
          </w:tcPr>
          <w:p w14:paraId="5507091C">
            <w:pPr>
              <w:pStyle w:val="33"/>
              <w:bidi w:val="0"/>
            </w:pPr>
          </w:p>
        </w:tc>
        <w:tc>
          <w:tcPr>
            <w:tcW w:w="2000" w:type="dxa"/>
            <w:tcBorders>
              <w:left w:val="single" w:color="auto" w:sz="4" w:space="0"/>
            </w:tcBorders>
          </w:tcPr>
          <w:p w14:paraId="6EA0BECE">
            <w:pPr>
              <w:pStyle w:val="33"/>
              <w:bidi w:val="0"/>
            </w:pPr>
            <w:r>
              <w:t>配置四</w:t>
            </w:r>
          </w:p>
        </w:tc>
        <w:tc>
          <w:tcPr>
            <w:tcW w:w="1902" w:type="dxa"/>
            <w:tcBorders>
              <w:left w:val="single" w:color="auto" w:sz="4" w:space="0"/>
            </w:tcBorders>
          </w:tcPr>
          <w:p w14:paraId="244E7202">
            <w:pPr>
              <w:pStyle w:val="33"/>
              <w:bidi w:val="0"/>
            </w:pPr>
            <w:r>
              <w:t>4</w:t>
            </w:r>
          </w:p>
        </w:tc>
        <w:tc>
          <w:tcPr>
            <w:tcW w:w="2992" w:type="dxa"/>
            <w:vMerge w:val="continue"/>
            <w:tcBorders>
              <w:left w:val="single" w:color="auto" w:sz="4" w:space="0"/>
            </w:tcBorders>
          </w:tcPr>
          <w:p w14:paraId="744329BF"/>
        </w:tc>
      </w:tr>
    </w:tbl>
    <w:p w14:paraId="442E71D9">
      <w:pPr>
        <w:pStyle w:val="4"/>
        <w:rPr>
          <w:rFonts w:ascii="Times New Roman" w:hAnsi="Times New Roman"/>
        </w:rPr>
      </w:pPr>
      <w:r>
        <w:rPr>
          <w:rFonts w:hint="eastAsia" w:ascii="Times New Roman" w:hAnsi="Times New Roman"/>
        </w:rPr>
        <w:t>1.4 项目目标</w:t>
      </w:r>
    </w:p>
    <w:p w14:paraId="7CEAF077">
      <w:pPr>
        <w:bidi w:val="0"/>
      </w:pPr>
      <w:r>
        <w:rPr>
          <w:rFonts w:hint="eastAsia"/>
        </w:rPr>
        <w:t>202</w:t>
      </w:r>
      <w:r>
        <w:t>4年信创</w:t>
      </w:r>
      <w:r>
        <w:rPr>
          <w:rFonts w:hint="eastAsia"/>
        </w:rPr>
        <w:t>服务器采购主要是对数据中心常用的</w:t>
      </w:r>
      <w:r>
        <w:t>服务器设备</w:t>
      </w:r>
      <w:r>
        <w:rPr>
          <w:rFonts w:hint="eastAsia"/>
        </w:rPr>
        <w:t>进行</w:t>
      </w:r>
      <w:r>
        <w:t>公开比选采购，以提升数据中心基础算力，同时要求服务器设备原厂商后期能持续提供优质的售后维保服务</w:t>
      </w:r>
      <w:r>
        <w:rPr>
          <w:rFonts w:hint="eastAsia"/>
        </w:rPr>
        <w:t>。</w:t>
      </w:r>
    </w:p>
    <w:bookmarkEnd w:id="33"/>
    <w:p w14:paraId="78D27E40">
      <w:pPr>
        <w:pStyle w:val="3"/>
        <w:bidi w:val="0"/>
        <w:rPr>
          <w:color w:val="auto"/>
          <w:highlight w:val="none"/>
        </w:rPr>
      </w:pPr>
      <w:r>
        <w:rPr>
          <w:rFonts w:hint="eastAsia"/>
          <w:color w:val="auto"/>
          <w:highlight w:val="none"/>
          <w:lang w:val="en-US" w:eastAsia="zh-CN"/>
        </w:rPr>
        <w:t xml:space="preserve">2. </w:t>
      </w:r>
      <w:r>
        <w:rPr>
          <w:color w:val="auto"/>
          <w:highlight w:val="none"/>
        </w:rPr>
        <w:t>参选</w:t>
      </w:r>
      <w:r>
        <w:rPr>
          <w:rFonts w:hint="eastAsia"/>
          <w:color w:val="auto"/>
          <w:highlight w:val="none"/>
        </w:rPr>
        <w:t>人</w:t>
      </w:r>
    </w:p>
    <w:p w14:paraId="188736F1">
      <w:pPr>
        <w:bidi w:val="0"/>
        <w:rPr>
          <w:color w:val="auto"/>
          <w:highlight w:val="none"/>
        </w:rPr>
      </w:pPr>
      <w:r>
        <w:rPr>
          <w:rFonts w:hint="eastAsia"/>
          <w:color w:val="auto"/>
          <w:highlight w:val="none"/>
          <w:lang w:val="en-US" w:eastAsia="zh-CN"/>
        </w:rPr>
        <w:t xml:space="preserve">2.1 </w:t>
      </w:r>
      <w:r>
        <w:rPr>
          <w:rFonts w:hint="eastAsia"/>
          <w:color w:val="auto"/>
          <w:highlight w:val="none"/>
        </w:rPr>
        <w:t>合格参选人条件</w:t>
      </w:r>
    </w:p>
    <w:p w14:paraId="1CD7314A">
      <w:pPr>
        <w:bidi w:val="0"/>
        <w:rPr>
          <w:color w:val="auto"/>
          <w:highlight w:val="none"/>
        </w:rPr>
      </w:pPr>
      <w:r>
        <w:rPr>
          <w:rFonts w:hint="eastAsia"/>
          <w:color w:val="auto"/>
          <w:highlight w:val="none"/>
        </w:rPr>
        <w:t>合格参选人应完全符合比选文件第一章中规定的参选人资格条件，并对比选文件作出实质性响应。</w:t>
      </w:r>
    </w:p>
    <w:p w14:paraId="5E79CC81">
      <w:pPr>
        <w:bidi w:val="0"/>
        <w:rPr>
          <w:color w:val="auto"/>
          <w:highlight w:val="none"/>
        </w:rPr>
      </w:pPr>
      <w:r>
        <w:rPr>
          <w:rFonts w:hint="eastAsia"/>
          <w:color w:val="auto"/>
          <w:highlight w:val="none"/>
          <w:lang w:val="en-US" w:eastAsia="zh-CN"/>
        </w:rPr>
        <w:t xml:space="preserve">2.2 </w:t>
      </w:r>
      <w:r>
        <w:rPr>
          <w:rFonts w:hint="eastAsia"/>
          <w:color w:val="auto"/>
          <w:highlight w:val="none"/>
        </w:rPr>
        <w:t>参选人的风险</w:t>
      </w:r>
    </w:p>
    <w:p w14:paraId="5E5A64DD">
      <w:pPr>
        <w:bidi w:val="0"/>
        <w:rPr>
          <w:color w:val="auto"/>
          <w:highlight w:val="none"/>
        </w:rPr>
      </w:pPr>
      <w:r>
        <w:rPr>
          <w:rFonts w:hint="eastAsia"/>
          <w:color w:val="auto"/>
          <w:highlight w:val="none"/>
        </w:rPr>
        <w:t>参选人没有按照比选文件要求提供全部资料，或者参选人没有对比选文件在各方面作出实质性响应，可能导致参选被拒绝或评定为无效参选。</w:t>
      </w:r>
    </w:p>
    <w:p w14:paraId="6EFB78C9">
      <w:pPr>
        <w:pStyle w:val="3"/>
        <w:bidi w:val="0"/>
        <w:rPr>
          <w:color w:val="auto"/>
          <w:highlight w:val="none"/>
        </w:rPr>
      </w:pPr>
      <w:bookmarkStart w:id="34" w:name="_Toc89675162"/>
      <w:r>
        <w:rPr>
          <w:rFonts w:hint="eastAsia"/>
          <w:color w:val="auto"/>
          <w:highlight w:val="none"/>
          <w:lang w:val="en-US" w:eastAsia="zh-CN"/>
        </w:rPr>
        <w:t xml:space="preserve">3. </w:t>
      </w:r>
      <w:r>
        <w:rPr>
          <w:rFonts w:hint="eastAsia"/>
          <w:color w:val="auto"/>
          <w:highlight w:val="none"/>
        </w:rPr>
        <w:t>比选文件</w:t>
      </w:r>
      <w:bookmarkEnd w:id="34"/>
    </w:p>
    <w:p w14:paraId="7C746612">
      <w:pPr>
        <w:bidi w:val="0"/>
        <w:rPr>
          <w:color w:val="auto"/>
          <w:highlight w:val="none"/>
        </w:rPr>
      </w:pPr>
      <w:r>
        <w:rPr>
          <w:rFonts w:hint="eastAsia"/>
          <w:color w:val="auto"/>
          <w:highlight w:val="none"/>
        </w:rPr>
        <w:t>比选文件是参选人编制参选文件的依据，是</w:t>
      </w:r>
      <w:r>
        <w:rPr>
          <w:rFonts w:hint="eastAsia"/>
          <w:color w:val="auto"/>
          <w:highlight w:val="none"/>
          <w:lang w:eastAsia="zh-CN"/>
        </w:rPr>
        <w:t>评审</w:t>
      </w:r>
      <w:r>
        <w:rPr>
          <w:rFonts w:hint="eastAsia"/>
          <w:color w:val="auto"/>
          <w:highlight w:val="none"/>
        </w:rPr>
        <w:t>委员会评判依据和标准。比选文件也是比选人与中选人签订合同的基础。</w:t>
      </w:r>
    </w:p>
    <w:p w14:paraId="64382875">
      <w:pPr>
        <w:bidi w:val="0"/>
        <w:rPr>
          <w:color w:val="auto"/>
          <w:highlight w:val="none"/>
        </w:rPr>
      </w:pPr>
      <w:r>
        <w:rPr>
          <w:rFonts w:hint="eastAsia"/>
          <w:color w:val="auto"/>
          <w:highlight w:val="none"/>
        </w:rPr>
        <w:t>本行对比选文件所作的一切有效的书面通知、修改及补充，都是比选文件不可分割的部分。</w:t>
      </w:r>
    </w:p>
    <w:p w14:paraId="742DA57C">
      <w:pPr>
        <w:pStyle w:val="3"/>
        <w:bidi w:val="0"/>
        <w:rPr>
          <w:color w:val="auto"/>
          <w:highlight w:val="none"/>
        </w:rPr>
      </w:pPr>
      <w:bookmarkStart w:id="35" w:name="_Toc89675163"/>
      <w:r>
        <w:rPr>
          <w:rFonts w:hint="eastAsia"/>
          <w:color w:val="auto"/>
          <w:highlight w:val="none"/>
          <w:lang w:val="en-US" w:eastAsia="zh-CN"/>
        </w:rPr>
        <w:t xml:space="preserve">4. </w:t>
      </w:r>
      <w:r>
        <w:rPr>
          <w:color w:val="auto"/>
          <w:highlight w:val="none"/>
        </w:rPr>
        <w:t>参选</w:t>
      </w:r>
      <w:bookmarkEnd w:id="35"/>
    </w:p>
    <w:p w14:paraId="430229E6">
      <w:pPr>
        <w:bidi w:val="0"/>
        <w:rPr>
          <w:color w:val="auto"/>
          <w:highlight w:val="none"/>
        </w:rPr>
      </w:pPr>
      <w:r>
        <w:rPr>
          <w:rFonts w:hint="eastAsia"/>
          <w:color w:val="auto"/>
          <w:highlight w:val="none"/>
        </w:rPr>
        <w:t>参选人应当按照比选文件的要求编制参选文件，并对比选文件提出的要求和条件作出实质性响应。</w:t>
      </w:r>
    </w:p>
    <w:p w14:paraId="1CD8A8D6">
      <w:pPr>
        <w:pStyle w:val="4"/>
        <w:bidi w:val="0"/>
        <w:rPr>
          <w:color w:val="auto"/>
          <w:highlight w:val="none"/>
        </w:rPr>
      </w:pPr>
      <w:r>
        <w:rPr>
          <w:rFonts w:hint="eastAsia"/>
          <w:color w:val="auto"/>
          <w:highlight w:val="none"/>
          <w:lang w:val="en-US" w:eastAsia="zh-CN"/>
        </w:rPr>
        <w:t xml:space="preserve">4.1 </w:t>
      </w:r>
      <w:r>
        <w:rPr>
          <w:rFonts w:hint="eastAsia"/>
          <w:color w:val="auto"/>
          <w:highlight w:val="none"/>
        </w:rPr>
        <w:t>参选文件组成</w:t>
      </w:r>
    </w:p>
    <w:p w14:paraId="44FA4E7A">
      <w:pPr>
        <w:bidi w:val="0"/>
        <w:rPr>
          <w:rFonts w:hint="eastAsia"/>
          <w:color w:val="auto"/>
          <w:highlight w:val="none"/>
        </w:rPr>
      </w:pPr>
      <w:r>
        <w:rPr>
          <w:rFonts w:hint="eastAsia"/>
          <w:color w:val="auto"/>
          <w:highlight w:val="none"/>
        </w:rPr>
        <w:t>参选文件</w:t>
      </w:r>
      <w:r>
        <w:rPr>
          <w:rFonts w:hint="eastAsia"/>
          <w:color w:val="auto"/>
          <w:highlight w:val="none"/>
          <w:lang w:val="en-US" w:eastAsia="zh-CN"/>
        </w:rPr>
        <w:t>由</w:t>
      </w:r>
      <w:r>
        <w:rPr>
          <w:rFonts w:hint="eastAsia"/>
          <w:color w:val="auto"/>
          <w:highlight w:val="none"/>
        </w:rPr>
        <w:t>参选人所作的一切有效补充、修改和承诺等文件组成，参选人应按照第</w:t>
      </w:r>
      <w:r>
        <w:rPr>
          <w:rFonts w:hint="eastAsia"/>
          <w:color w:val="auto"/>
          <w:highlight w:val="none"/>
          <w:lang w:val="en-US" w:eastAsia="zh-CN"/>
        </w:rPr>
        <w:t>六</w:t>
      </w:r>
      <w:r>
        <w:rPr>
          <w:rFonts w:hint="eastAsia"/>
          <w:color w:val="auto"/>
          <w:highlight w:val="none"/>
        </w:rPr>
        <w:t>章“参选文件格式”规定的目录顺序组织编写和装订，否则有可能影响参选人的参选文件评审。</w:t>
      </w:r>
    </w:p>
    <w:p w14:paraId="419D89C3">
      <w:pPr>
        <w:pStyle w:val="4"/>
        <w:bidi w:val="0"/>
        <w:rPr>
          <w:rFonts w:hint="eastAsia"/>
          <w:color w:val="auto"/>
          <w:highlight w:val="none"/>
          <w:lang w:val="en-US" w:eastAsia="zh-CN"/>
        </w:rPr>
      </w:pPr>
      <w:r>
        <w:rPr>
          <w:rFonts w:hint="eastAsia"/>
          <w:color w:val="auto"/>
          <w:highlight w:val="none"/>
          <w:lang w:val="en-US" w:eastAsia="zh-CN"/>
        </w:rPr>
        <w:t>4.2 联合参选</w:t>
      </w:r>
    </w:p>
    <w:p w14:paraId="54DCE8FF">
      <w:pPr>
        <w:bidi w:val="0"/>
        <w:rPr>
          <w:rFonts w:hint="eastAsia"/>
          <w:color w:val="auto"/>
          <w:highlight w:val="none"/>
        </w:rPr>
      </w:pPr>
      <w:r>
        <w:rPr>
          <w:rFonts w:hint="eastAsia"/>
          <w:color w:val="auto"/>
          <w:highlight w:val="none"/>
        </w:rPr>
        <w:t>本比选项目不接受联合参选</w:t>
      </w:r>
    </w:p>
    <w:p w14:paraId="5142BABD">
      <w:pPr>
        <w:pStyle w:val="4"/>
        <w:bidi w:val="0"/>
        <w:rPr>
          <w:color w:val="auto"/>
          <w:highlight w:val="none"/>
        </w:rPr>
      </w:pPr>
      <w:r>
        <w:rPr>
          <w:rFonts w:hint="eastAsia"/>
          <w:color w:val="auto"/>
          <w:highlight w:val="none"/>
          <w:lang w:val="en-US" w:eastAsia="zh-CN"/>
        </w:rPr>
        <w:t xml:space="preserve">4.3 </w:t>
      </w:r>
      <w:r>
        <w:rPr>
          <w:rFonts w:hint="eastAsia"/>
          <w:color w:val="auto"/>
          <w:highlight w:val="none"/>
        </w:rPr>
        <w:t>参选有效期</w:t>
      </w:r>
    </w:p>
    <w:p w14:paraId="1BAEC545">
      <w:pPr>
        <w:bidi w:val="0"/>
        <w:rPr>
          <w:color w:val="auto"/>
          <w:highlight w:val="none"/>
        </w:rPr>
      </w:pPr>
      <w:r>
        <w:rPr>
          <w:rFonts w:hint="eastAsia"/>
          <w:color w:val="auto"/>
          <w:highlight w:val="none"/>
        </w:rPr>
        <w:t>参选有效期为参选截止日期后90天内。</w:t>
      </w:r>
    </w:p>
    <w:p w14:paraId="3F014722">
      <w:pPr>
        <w:pStyle w:val="4"/>
        <w:bidi w:val="0"/>
        <w:rPr>
          <w:color w:val="auto"/>
          <w:highlight w:val="none"/>
        </w:rPr>
      </w:pPr>
      <w:r>
        <w:rPr>
          <w:rFonts w:hint="eastAsia"/>
          <w:color w:val="auto"/>
          <w:highlight w:val="none"/>
          <w:lang w:val="en-US" w:eastAsia="zh-CN"/>
        </w:rPr>
        <w:t xml:space="preserve">4.4 </w:t>
      </w:r>
      <w:r>
        <w:rPr>
          <w:rFonts w:hint="eastAsia"/>
          <w:color w:val="auto"/>
          <w:highlight w:val="none"/>
        </w:rPr>
        <w:t>参选保证金</w:t>
      </w:r>
    </w:p>
    <w:p w14:paraId="249C65EE">
      <w:pPr>
        <w:bidi w:val="0"/>
        <w:rPr>
          <w:color w:val="auto"/>
          <w:highlight w:val="none"/>
        </w:rPr>
      </w:pPr>
      <w:r>
        <w:rPr>
          <w:rFonts w:hint="eastAsia"/>
          <w:color w:val="auto"/>
          <w:highlight w:val="none"/>
          <w:lang w:val="en-US" w:eastAsia="zh-CN"/>
        </w:rPr>
        <w:t xml:space="preserve">4.4.1 </w:t>
      </w:r>
      <w:r>
        <w:rPr>
          <w:rFonts w:hint="eastAsia"/>
          <w:color w:val="auto"/>
          <w:highlight w:val="none"/>
        </w:rPr>
        <w:t>参选人应在参选截止时间前，按比选文件第一章规定向比选人缴纳参选保证金。</w:t>
      </w:r>
    </w:p>
    <w:p w14:paraId="220700F4">
      <w:pPr>
        <w:bidi w:val="0"/>
        <w:rPr>
          <w:color w:val="auto"/>
          <w:highlight w:val="none"/>
        </w:rPr>
      </w:pPr>
      <w:r>
        <w:rPr>
          <w:rFonts w:hint="eastAsia"/>
          <w:color w:val="auto"/>
          <w:highlight w:val="none"/>
          <w:lang w:val="en-US" w:eastAsia="zh-CN"/>
        </w:rPr>
        <w:t xml:space="preserve">4.4.2 </w:t>
      </w:r>
      <w:r>
        <w:rPr>
          <w:rFonts w:hint="eastAsia"/>
          <w:color w:val="auto"/>
          <w:highlight w:val="none"/>
        </w:rPr>
        <w:t>参选保证金为参选的有效约束条件。</w:t>
      </w:r>
    </w:p>
    <w:p w14:paraId="08B82355">
      <w:pPr>
        <w:bidi w:val="0"/>
        <w:rPr>
          <w:color w:val="auto"/>
          <w:highlight w:val="none"/>
        </w:rPr>
      </w:pPr>
      <w:r>
        <w:rPr>
          <w:rFonts w:hint="eastAsia"/>
          <w:color w:val="auto"/>
          <w:highlight w:val="none"/>
          <w:lang w:val="en-US" w:eastAsia="zh-CN"/>
        </w:rPr>
        <w:t xml:space="preserve">4.4.3 </w:t>
      </w:r>
      <w:r>
        <w:rPr>
          <w:rFonts w:hint="eastAsia"/>
          <w:color w:val="auto"/>
          <w:highlight w:val="none"/>
        </w:rPr>
        <w:t>参选保证金有效期与参选文件有效期一致。</w:t>
      </w:r>
    </w:p>
    <w:p w14:paraId="56273E6C">
      <w:pPr>
        <w:bidi w:val="0"/>
        <w:rPr>
          <w:color w:val="auto"/>
          <w:highlight w:val="none"/>
        </w:rPr>
      </w:pPr>
      <w:r>
        <w:rPr>
          <w:rFonts w:hint="eastAsia"/>
          <w:color w:val="auto"/>
          <w:highlight w:val="none"/>
          <w:lang w:val="en-US" w:eastAsia="zh-CN"/>
        </w:rPr>
        <w:t xml:space="preserve">4.4.4 </w:t>
      </w:r>
      <w:r>
        <w:rPr>
          <w:rFonts w:hint="eastAsia"/>
          <w:color w:val="auto"/>
          <w:highlight w:val="none"/>
        </w:rPr>
        <w:t>参选保证金币种应与参选报价币种相同。</w:t>
      </w:r>
    </w:p>
    <w:p w14:paraId="2FB53711">
      <w:pPr>
        <w:bidi w:val="0"/>
        <w:rPr>
          <w:rFonts w:hint="eastAsia"/>
          <w:color w:val="auto"/>
          <w:highlight w:val="none"/>
          <w:lang w:eastAsia="zh-CN"/>
        </w:rPr>
      </w:pPr>
      <w:r>
        <w:rPr>
          <w:rFonts w:hint="eastAsia"/>
          <w:color w:val="auto"/>
          <w:highlight w:val="none"/>
          <w:lang w:val="en-US" w:eastAsia="zh-CN"/>
        </w:rPr>
        <w:t xml:space="preserve">4.4.5 </w:t>
      </w:r>
      <w:r>
        <w:rPr>
          <w:rFonts w:hint="eastAsia"/>
          <w:color w:val="auto"/>
          <w:highlight w:val="none"/>
        </w:rPr>
        <w:t>参选保证金的退还</w:t>
      </w:r>
      <w:r>
        <w:rPr>
          <w:rFonts w:hint="eastAsia"/>
          <w:color w:val="auto"/>
          <w:highlight w:val="none"/>
          <w:lang w:eastAsia="zh-CN"/>
        </w:rPr>
        <w:t>：</w:t>
      </w:r>
    </w:p>
    <w:p w14:paraId="0B0E1127">
      <w:pPr>
        <w:bidi w:val="0"/>
        <w:rPr>
          <w:color w:val="auto"/>
          <w:highlight w:val="none"/>
        </w:rPr>
      </w:pPr>
      <w:r>
        <w:rPr>
          <w:rFonts w:hint="eastAsia"/>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68724EDD">
      <w:pPr>
        <w:bidi w:val="0"/>
        <w:rPr>
          <w:color w:val="auto"/>
          <w:highlight w:val="none"/>
        </w:rPr>
      </w:pPr>
      <w:r>
        <w:rPr>
          <w:rFonts w:hint="eastAsia"/>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31D2B4CE">
      <w:pPr>
        <w:bidi w:val="0"/>
        <w:rPr>
          <w:color w:val="auto"/>
          <w:highlight w:val="none"/>
        </w:rPr>
      </w:pPr>
      <w:r>
        <w:rPr>
          <w:rFonts w:hint="eastAsia"/>
          <w:color w:val="auto"/>
          <w:highlight w:val="none"/>
        </w:rPr>
        <w:t>参选保证金专用账户由重庆市公共资源交易中心制定，关于保证金相关情况的问题请咨询重庆市公共资源交易中心，联系电话023-63621694。</w:t>
      </w:r>
    </w:p>
    <w:p w14:paraId="46FD3EB7">
      <w:pPr>
        <w:bidi w:val="0"/>
        <w:rPr>
          <w:color w:val="auto"/>
          <w:highlight w:val="none"/>
        </w:rPr>
      </w:pPr>
      <w:r>
        <w:rPr>
          <w:rFonts w:hint="eastAsia"/>
          <w:color w:val="auto"/>
          <w:highlight w:val="none"/>
          <w:lang w:val="en-US" w:eastAsia="zh-CN"/>
        </w:rPr>
        <w:t xml:space="preserve">4.4.6 </w:t>
      </w:r>
      <w:r>
        <w:rPr>
          <w:rFonts w:hint="eastAsia"/>
          <w:color w:val="auto"/>
          <w:highlight w:val="none"/>
        </w:rPr>
        <w:t>参选人有下列情形之一的，参选保证金将不予退还：</w:t>
      </w:r>
    </w:p>
    <w:p w14:paraId="02556B1E">
      <w:pPr>
        <w:bidi w:val="0"/>
        <w:rPr>
          <w:color w:val="auto"/>
          <w:highlight w:val="none"/>
        </w:rPr>
      </w:pPr>
      <w:r>
        <w:rPr>
          <w:rFonts w:hint="eastAsia"/>
          <w:color w:val="auto"/>
          <w:highlight w:val="none"/>
          <w:lang w:val="en-US" w:eastAsia="zh-CN"/>
        </w:rPr>
        <w:t xml:space="preserve">4.4.6.1 </w:t>
      </w:r>
      <w:r>
        <w:rPr>
          <w:rFonts w:hint="eastAsia"/>
          <w:color w:val="auto"/>
          <w:highlight w:val="none"/>
        </w:rPr>
        <w:t>参选人在参选有效期内</w:t>
      </w:r>
      <w:r>
        <w:rPr>
          <w:rFonts w:hint="eastAsia"/>
          <w:color w:val="auto"/>
          <w:highlight w:val="none"/>
          <w:lang w:val="en-US" w:eastAsia="zh-CN"/>
        </w:rPr>
        <w:t>撤销</w:t>
      </w:r>
      <w:r>
        <w:rPr>
          <w:rFonts w:hint="eastAsia"/>
          <w:color w:val="auto"/>
          <w:highlight w:val="none"/>
        </w:rPr>
        <w:t>参选文件的；</w:t>
      </w:r>
    </w:p>
    <w:p w14:paraId="138F9E20">
      <w:pPr>
        <w:bidi w:val="0"/>
        <w:rPr>
          <w:color w:val="auto"/>
          <w:highlight w:val="none"/>
        </w:rPr>
      </w:pPr>
      <w:r>
        <w:rPr>
          <w:rFonts w:hint="eastAsia"/>
          <w:color w:val="auto"/>
          <w:highlight w:val="none"/>
          <w:lang w:val="en-US" w:eastAsia="zh-CN"/>
        </w:rPr>
        <w:t xml:space="preserve">4.4.6.2 </w:t>
      </w:r>
      <w:r>
        <w:rPr>
          <w:rFonts w:hint="eastAsia"/>
          <w:color w:val="auto"/>
          <w:highlight w:val="none"/>
        </w:rPr>
        <w:t>参选人在参选过程中弄虚作假，提供虚假材料的；</w:t>
      </w:r>
    </w:p>
    <w:p w14:paraId="583C5D04">
      <w:pPr>
        <w:bidi w:val="0"/>
        <w:rPr>
          <w:color w:val="auto"/>
          <w:highlight w:val="none"/>
        </w:rPr>
      </w:pPr>
      <w:r>
        <w:rPr>
          <w:rFonts w:hint="eastAsia"/>
          <w:color w:val="auto"/>
          <w:highlight w:val="none"/>
          <w:lang w:val="en-US" w:eastAsia="zh-CN"/>
        </w:rPr>
        <w:t xml:space="preserve">4.4.6.3 </w:t>
      </w:r>
      <w:r>
        <w:rPr>
          <w:rFonts w:hint="eastAsia"/>
          <w:color w:val="auto"/>
          <w:highlight w:val="none"/>
        </w:rPr>
        <w:t>中选人无正当理由不与比选人签订合同的；</w:t>
      </w:r>
    </w:p>
    <w:p w14:paraId="1C80C228">
      <w:pPr>
        <w:bidi w:val="0"/>
        <w:rPr>
          <w:color w:val="auto"/>
          <w:highlight w:val="none"/>
        </w:rPr>
      </w:pPr>
      <w:r>
        <w:rPr>
          <w:rFonts w:hint="eastAsia"/>
          <w:color w:val="auto"/>
          <w:highlight w:val="none"/>
          <w:lang w:val="en-US" w:eastAsia="zh-CN"/>
        </w:rPr>
        <w:t xml:space="preserve">4.4.6.4 </w:t>
      </w:r>
      <w:r>
        <w:rPr>
          <w:rFonts w:hint="eastAsia"/>
          <w:color w:val="auto"/>
          <w:highlight w:val="none"/>
        </w:rPr>
        <w:t>中选人将中选项目转让给他人或者在参选文件中未说明且未经比选单位同意，将中选项目分包给他人的；</w:t>
      </w:r>
    </w:p>
    <w:p w14:paraId="3AF56F01">
      <w:pPr>
        <w:bidi w:val="0"/>
        <w:rPr>
          <w:color w:val="auto"/>
          <w:highlight w:val="none"/>
        </w:rPr>
      </w:pPr>
      <w:r>
        <w:rPr>
          <w:rFonts w:hint="eastAsia"/>
          <w:color w:val="auto"/>
          <w:highlight w:val="none"/>
          <w:lang w:val="en-US" w:eastAsia="zh-CN"/>
        </w:rPr>
        <w:t xml:space="preserve">4.4.6.5 </w:t>
      </w:r>
      <w:r>
        <w:rPr>
          <w:rFonts w:hint="eastAsia"/>
          <w:color w:val="auto"/>
          <w:highlight w:val="none"/>
        </w:rPr>
        <w:t>中选人拒绝履行合同义务的；</w:t>
      </w:r>
    </w:p>
    <w:p w14:paraId="44B4000E">
      <w:pPr>
        <w:bidi w:val="0"/>
        <w:rPr>
          <w:color w:val="auto"/>
          <w:highlight w:val="none"/>
        </w:rPr>
      </w:pPr>
      <w:r>
        <w:rPr>
          <w:rFonts w:hint="eastAsia"/>
          <w:color w:val="auto"/>
          <w:highlight w:val="none"/>
          <w:lang w:val="en-US" w:eastAsia="zh-CN"/>
        </w:rPr>
        <w:t xml:space="preserve">4.4.6.6 </w:t>
      </w:r>
      <w:r>
        <w:rPr>
          <w:rFonts w:hint="eastAsia"/>
          <w:color w:val="auto"/>
          <w:highlight w:val="none"/>
        </w:rPr>
        <w:t>其他严重扰乱比选程序的；</w:t>
      </w:r>
    </w:p>
    <w:p w14:paraId="152531BB">
      <w:pPr>
        <w:pStyle w:val="4"/>
        <w:bidi w:val="0"/>
        <w:rPr>
          <w:color w:val="auto"/>
          <w:highlight w:val="none"/>
        </w:rPr>
      </w:pPr>
      <w:r>
        <w:rPr>
          <w:rFonts w:hint="eastAsia"/>
          <w:color w:val="auto"/>
          <w:highlight w:val="none"/>
          <w:lang w:val="en-US" w:eastAsia="zh-CN"/>
        </w:rPr>
        <w:t xml:space="preserve">4.5 </w:t>
      </w:r>
      <w:r>
        <w:rPr>
          <w:rFonts w:hint="eastAsia"/>
          <w:color w:val="auto"/>
          <w:highlight w:val="none"/>
        </w:rPr>
        <w:t>参选文件的份数和签署</w:t>
      </w:r>
    </w:p>
    <w:p w14:paraId="4E909A30">
      <w:pPr>
        <w:bidi w:val="0"/>
        <w:rPr>
          <w:rFonts w:hint="eastAsia"/>
          <w:color w:val="auto"/>
          <w:highlight w:val="none"/>
        </w:rPr>
      </w:pPr>
      <w:r>
        <w:rPr>
          <w:rFonts w:hint="eastAsia"/>
          <w:color w:val="auto"/>
          <w:highlight w:val="none"/>
          <w:lang w:val="en-US" w:eastAsia="zh-CN"/>
        </w:rPr>
        <w:t xml:space="preserve">4.5.1 </w:t>
      </w:r>
      <w:r>
        <w:rPr>
          <w:rFonts w:hint="eastAsia"/>
          <w:color w:val="auto"/>
          <w:highlight w:val="none"/>
        </w:rPr>
        <w:t>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5F9367E5">
      <w:pPr>
        <w:bidi w:val="0"/>
        <w:rPr>
          <w:color w:val="auto"/>
          <w:highlight w:val="none"/>
        </w:rPr>
      </w:pPr>
      <w:r>
        <w:rPr>
          <w:rFonts w:hint="eastAsia"/>
          <w:color w:val="auto"/>
          <w:highlight w:val="none"/>
          <w:lang w:val="en-US" w:eastAsia="zh-CN"/>
        </w:rPr>
        <w:t xml:space="preserve">4.5.2 </w:t>
      </w:r>
      <w:r>
        <w:rPr>
          <w:rFonts w:hint="eastAsia"/>
          <w:color w:val="auto"/>
          <w:highlight w:val="none"/>
        </w:rPr>
        <w:t>参选文件正本中，每一页均应由参选人加盖公章，其中规定格式的文件应当按要求签名和加盖参选人公章。</w:t>
      </w:r>
    </w:p>
    <w:p w14:paraId="1BD4078C">
      <w:pPr>
        <w:bidi w:val="0"/>
        <w:rPr>
          <w:color w:val="auto"/>
          <w:highlight w:val="none"/>
        </w:rPr>
      </w:pPr>
      <w:r>
        <w:rPr>
          <w:rFonts w:hint="eastAsia"/>
          <w:color w:val="auto"/>
          <w:highlight w:val="none"/>
          <w:lang w:val="en-US" w:eastAsia="zh-CN"/>
        </w:rPr>
        <w:t xml:space="preserve">4.5.3 </w:t>
      </w:r>
      <w:r>
        <w:rPr>
          <w:rFonts w:hint="eastAsia"/>
          <w:color w:val="auto"/>
          <w:highlight w:val="none"/>
        </w:rPr>
        <w:t>若参选人对参选文件的错处作必要修改，则应在修改处加盖参选人公章或由法人或法人授权代表签字确认。</w:t>
      </w:r>
    </w:p>
    <w:p w14:paraId="55E2DCD2">
      <w:pPr>
        <w:bidi w:val="0"/>
        <w:rPr>
          <w:color w:val="auto"/>
          <w:highlight w:val="none"/>
        </w:rPr>
      </w:pPr>
      <w:r>
        <w:rPr>
          <w:rFonts w:hint="eastAsia"/>
          <w:color w:val="auto"/>
          <w:highlight w:val="none"/>
          <w:lang w:val="en-US" w:eastAsia="zh-CN"/>
        </w:rPr>
        <w:t xml:space="preserve">4.5.4 </w:t>
      </w:r>
      <w:r>
        <w:rPr>
          <w:rFonts w:hint="eastAsia"/>
          <w:color w:val="auto"/>
          <w:highlight w:val="none"/>
        </w:rPr>
        <w:t>电报、电话、</w:t>
      </w:r>
      <w:r>
        <w:rPr>
          <w:rFonts w:hint="eastAsia"/>
          <w:color w:val="auto"/>
          <w:highlight w:val="none"/>
          <w:lang w:val="en-US" w:eastAsia="zh-CN"/>
        </w:rPr>
        <w:t>邮寄、</w:t>
      </w:r>
      <w:r>
        <w:rPr>
          <w:rFonts w:hint="eastAsia"/>
          <w:color w:val="auto"/>
          <w:highlight w:val="none"/>
        </w:rPr>
        <w:t>传真形式的参选文件概不接受。</w:t>
      </w:r>
    </w:p>
    <w:p w14:paraId="394BA181">
      <w:pPr>
        <w:pStyle w:val="4"/>
        <w:bidi w:val="0"/>
        <w:rPr>
          <w:color w:val="auto"/>
          <w:highlight w:val="none"/>
        </w:rPr>
      </w:pPr>
      <w:r>
        <w:rPr>
          <w:rFonts w:hint="eastAsia"/>
          <w:color w:val="auto"/>
          <w:highlight w:val="none"/>
          <w:lang w:val="en-US" w:eastAsia="zh-CN"/>
        </w:rPr>
        <w:t xml:space="preserve">4.6 </w:t>
      </w:r>
      <w:r>
        <w:rPr>
          <w:rFonts w:hint="eastAsia"/>
          <w:color w:val="auto"/>
          <w:highlight w:val="none"/>
        </w:rPr>
        <w:t>参选文件的密封与标记</w:t>
      </w:r>
    </w:p>
    <w:p w14:paraId="087DAF72">
      <w:pPr>
        <w:bidi w:val="0"/>
        <w:rPr>
          <w:color w:val="auto"/>
          <w:highlight w:val="none"/>
        </w:rPr>
      </w:pPr>
      <w:r>
        <w:rPr>
          <w:rFonts w:hint="eastAsia"/>
          <w:color w:val="auto"/>
          <w:highlight w:val="none"/>
        </w:rPr>
        <w:t>参选文件的正本、副本、电子文件装入一个文件大袋进行密封。密封袋上注明项目名称、参选人名称及“不准提前启封”字样。信封的封口须加盖参选人公章或授权代表签字。</w:t>
      </w:r>
    </w:p>
    <w:p w14:paraId="0394A957">
      <w:pPr>
        <w:bidi w:val="0"/>
        <w:rPr>
          <w:rFonts w:hint="eastAsia"/>
          <w:color w:val="auto"/>
          <w:highlight w:val="none"/>
          <w:lang w:val="en-US" w:eastAsia="zh-CN"/>
        </w:rPr>
      </w:pPr>
      <w:r>
        <w:rPr>
          <w:rFonts w:hint="eastAsia"/>
          <w:color w:val="auto"/>
          <w:highlight w:val="none"/>
        </w:rPr>
        <w:t>如果未按上述规定进行密封和标记，则其参选将作为无效参选处理。</w:t>
      </w:r>
    </w:p>
    <w:p w14:paraId="353C84BF">
      <w:pPr>
        <w:pStyle w:val="4"/>
        <w:bidi w:val="0"/>
        <w:rPr>
          <w:color w:val="auto"/>
          <w:highlight w:val="none"/>
        </w:rPr>
      </w:pPr>
      <w:r>
        <w:rPr>
          <w:rFonts w:hint="eastAsia"/>
          <w:color w:val="auto"/>
          <w:highlight w:val="none"/>
          <w:lang w:val="en-US" w:eastAsia="zh-CN"/>
        </w:rPr>
        <w:t xml:space="preserve">4.7 </w:t>
      </w:r>
      <w:r>
        <w:rPr>
          <w:rFonts w:hint="eastAsia"/>
          <w:color w:val="auto"/>
          <w:highlight w:val="none"/>
        </w:rPr>
        <w:t>参选报价</w:t>
      </w:r>
    </w:p>
    <w:p w14:paraId="07C44605">
      <w:pPr>
        <w:bidi w:val="0"/>
        <w:rPr>
          <w:color w:val="auto"/>
          <w:highlight w:val="none"/>
        </w:rPr>
      </w:pPr>
      <w:r>
        <w:rPr>
          <w:rFonts w:hint="eastAsia"/>
          <w:color w:val="auto"/>
          <w:highlight w:val="none"/>
          <w:lang w:val="en-US" w:eastAsia="zh-CN"/>
        </w:rPr>
        <w:t xml:space="preserve">4.7.1 </w:t>
      </w:r>
      <w:r>
        <w:rPr>
          <w:rFonts w:hint="eastAsia"/>
          <w:color w:val="auto"/>
          <w:highlight w:val="none"/>
        </w:rPr>
        <w:t>参选人应严格按照“参选文件格式”填写报价。</w:t>
      </w:r>
    </w:p>
    <w:p w14:paraId="56E51F53">
      <w:pPr>
        <w:bidi w:val="0"/>
        <w:rPr>
          <w:color w:val="auto"/>
          <w:highlight w:val="none"/>
        </w:rPr>
      </w:pPr>
      <w:r>
        <w:rPr>
          <w:rFonts w:hint="eastAsia"/>
          <w:color w:val="auto"/>
          <w:highlight w:val="none"/>
          <w:lang w:val="en-US" w:eastAsia="zh-CN"/>
        </w:rPr>
        <w:t xml:space="preserve">4.7.2 </w:t>
      </w:r>
      <w:r>
        <w:rPr>
          <w:rFonts w:hint="eastAsia"/>
          <w:color w:val="auto"/>
          <w:highlight w:val="none"/>
        </w:rPr>
        <w:t>参选人的报价为一次性报价，即在参选有效期内参选价格固定不变。</w:t>
      </w:r>
    </w:p>
    <w:p w14:paraId="75FED30B">
      <w:pPr>
        <w:bidi w:val="0"/>
        <w:rPr>
          <w:rFonts w:hint="eastAsia"/>
          <w:color w:val="auto"/>
          <w:highlight w:val="none"/>
        </w:rPr>
      </w:pPr>
      <w:r>
        <w:rPr>
          <w:rFonts w:hint="eastAsia"/>
          <w:color w:val="auto"/>
          <w:highlight w:val="none"/>
          <w:lang w:val="en-US" w:eastAsia="zh-CN"/>
        </w:rPr>
        <w:t xml:space="preserve">4.7.3 </w:t>
      </w:r>
      <w:r>
        <w:rPr>
          <w:rFonts w:hint="eastAsia"/>
          <w:color w:val="auto"/>
          <w:highlight w:val="none"/>
        </w:rPr>
        <w:t>本项目只接受一个参选报价，有选择的或有条件的参选将不予接受。</w:t>
      </w:r>
    </w:p>
    <w:p w14:paraId="218D3B42">
      <w:pPr>
        <w:bidi w:val="0"/>
        <w:rPr>
          <w:rFonts w:hint="eastAsia"/>
          <w:color w:val="auto"/>
          <w:highlight w:val="none"/>
        </w:rPr>
      </w:pPr>
      <w:r>
        <w:rPr>
          <w:rFonts w:hint="eastAsia"/>
          <w:color w:val="auto"/>
          <w:highlight w:val="none"/>
        </w:rPr>
        <w:t>4.7.4 参选报价不得高于最高限价。</w:t>
      </w:r>
    </w:p>
    <w:p w14:paraId="6F18CC66">
      <w:pPr>
        <w:pStyle w:val="4"/>
        <w:bidi w:val="0"/>
        <w:rPr>
          <w:color w:val="auto"/>
          <w:highlight w:val="none"/>
        </w:rPr>
      </w:pPr>
      <w:r>
        <w:rPr>
          <w:rFonts w:hint="eastAsia"/>
          <w:color w:val="auto"/>
          <w:highlight w:val="none"/>
          <w:lang w:val="en-US" w:eastAsia="zh-CN"/>
        </w:rPr>
        <w:t xml:space="preserve">4.8 </w:t>
      </w:r>
      <w:r>
        <w:rPr>
          <w:rFonts w:hint="eastAsia"/>
          <w:color w:val="auto"/>
          <w:highlight w:val="none"/>
        </w:rPr>
        <w:t>修正错误</w:t>
      </w:r>
    </w:p>
    <w:p w14:paraId="660CDAEF">
      <w:pPr>
        <w:bidi w:val="0"/>
        <w:rPr>
          <w:color w:val="auto"/>
          <w:highlight w:val="none"/>
        </w:rPr>
      </w:pPr>
      <w:r>
        <w:rPr>
          <w:rFonts w:hint="eastAsia"/>
          <w:color w:val="auto"/>
          <w:highlight w:val="none"/>
        </w:rPr>
        <w:t>若参选文件出现计算或表达上的错误，修正错误的原则如下：</w:t>
      </w:r>
    </w:p>
    <w:p w14:paraId="57D15A62">
      <w:pPr>
        <w:bidi w:val="0"/>
        <w:rPr>
          <w:color w:val="auto"/>
          <w:highlight w:val="none"/>
        </w:rPr>
      </w:pPr>
      <w:r>
        <w:rPr>
          <w:rFonts w:hint="eastAsia"/>
          <w:color w:val="auto"/>
          <w:highlight w:val="none"/>
          <w:lang w:val="en-US" w:eastAsia="zh-CN"/>
        </w:rPr>
        <w:t xml:space="preserve">4.8.1 </w:t>
      </w:r>
      <w:r>
        <w:rPr>
          <w:rFonts w:hint="eastAsia"/>
          <w:color w:val="auto"/>
          <w:highlight w:val="none"/>
        </w:rPr>
        <w:t>参选文件的大写金额和小写金额不一致的，以大写金额为准；</w:t>
      </w:r>
    </w:p>
    <w:p w14:paraId="4088C802">
      <w:pPr>
        <w:bidi w:val="0"/>
        <w:rPr>
          <w:color w:val="auto"/>
          <w:highlight w:val="none"/>
        </w:rPr>
      </w:pPr>
      <w:r>
        <w:rPr>
          <w:rFonts w:hint="eastAsia"/>
          <w:color w:val="auto"/>
          <w:highlight w:val="none"/>
          <w:lang w:val="en-US" w:eastAsia="zh-CN"/>
        </w:rPr>
        <w:t xml:space="preserve">4.8.2 </w:t>
      </w:r>
      <w:r>
        <w:rPr>
          <w:rFonts w:hint="eastAsia"/>
          <w:color w:val="auto"/>
          <w:highlight w:val="none"/>
        </w:rPr>
        <w:t>总价金额与按单价汇总金额不一致的，以单价金额计算结果为准；</w:t>
      </w:r>
    </w:p>
    <w:p w14:paraId="1EC872B6">
      <w:pPr>
        <w:bidi w:val="0"/>
        <w:rPr>
          <w:color w:val="auto"/>
          <w:highlight w:val="none"/>
        </w:rPr>
      </w:pPr>
      <w:r>
        <w:rPr>
          <w:rFonts w:hint="eastAsia"/>
          <w:color w:val="auto"/>
          <w:highlight w:val="none"/>
          <w:lang w:val="en-US" w:eastAsia="zh-CN"/>
        </w:rPr>
        <w:t xml:space="preserve">4.8.3 </w:t>
      </w:r>
      <w:r>
        <w:rPr>
          <w:rFonts w:hint="eastAsia"/>
          <w:color w:val="auto"/>
          <w:highlight w:val="none"/>
        </w:rPr>
        <w:t>单价金额小数点有明显错位的，应以总价为准，并修正单价；</w:t>
      </w:r>
    </w:p>
    <w:p w14:paraId="34D0FD4B">
      <w:pPr>
        <w:bidi w:val="0"/>
        <w:rPr>
          <w:rFonts w:hint="eastAsia"/>
          <w:color w:val="auto"/>
          <w:highlight w:val="none"/>
        </w:rPr>
      </w:pPr>
      <w:r>
        <w:rPr>
          <w:rFonts w:hint="eastAsia"/>
          <w:color w:val="auto"/>
          <w:highlight w:val="none"/>
          <w:lang w:val="en-US" w:eastAsia="zh-CN"/>
        </w:rPr>
        <w:t xml:space="preserve">4.8.4 </w:t>
      </w:r>
      <w:r>
        <w:rPr>
          <w:rFonts w:hint="eastAsia"/>
          <w:color w:val="auto"/>
          <w:highlight w:val="none"/>
        </w:rPr>
        <w:t>对不同文字文本参选文件的解释发生异议的，以中文文本为准。</w:t>
      </w:r>
    </w:p>
    <w:p w14:paraId="6F5E6EF2">
      <w:pPr>
        <w:ind w:firstLine="480"/>
        <w:rPr>
          <w:rFonts w:hint="eastAsia" w:ascii="Times New Roman" w:hAnsi="Times New Roman"/>
          <w:color w:val="auto"/>
          <w:highlight w:val="none"/>
        </w:rPr>
      </w:pPr>
      <w:r>
        <w:rPr>
          <w:rFonts w:hint="eastAsia"/>
          <w:color w:val="auto"/>
          <w:highlight w:val="none"/>
          <w:lang w:val="en-US" w:eastAsia="zh-CN"/>
        </w:rPr>
        <w:t>4.8.5 含税金额与不含税金额不一致的，以含税金额为准。</w:t>
      </w:r>
    </w:p>
    <w:p w14:paraId="026FDAAE">
      <w:pPr>
        <w:bidi w:val="0"/>
        <w:rPr>
          <w:color w:val="auto"/>
          <w:highlight w:val="none"/>
        </w:rPr>
      </w:pPr>
      <w:r>
        <w:rPr>
          <w:rFonts w:hint="eastAsia"/>
          <w:color w:val="auto"/>
          <w:highlight w:val="none"/>
          <w:lang w:eastAsia="zh-CN"/>
        </w:rPr>
        <w:t>评审</w:t>
      </w:r>
      <w:r>
        <w:rPr>
          <w:rFonts w:hint="eastAsia"/>
          <w:color w:val="auto"/>
          <w:highlight w:val="none"/>
        </w:rPr>
        <w:t>委员会按上述修正错误的原则及方法调整或修正参选人参选报价，参选人</w:t>
      </w:r>
      <w:r>
        <w:rPr>
          <w:rFonts w:hint="eastAsia"/>
          <w:color w:val="auto"/>
          <w:highlight w:val="none"/>
          <w:lang w:val="en-US" w:eastAsia="zh-CN"/>
        </w:rPr>
        <w:t>授权代表</w:t>
      </w:r>
      <w:r>
        <w:rPr>
          <w:rFonts w:hint="eastAsia"/>
          <w:color w:val="auto"/>
          <w:highlight w:val="none"/>
        </w:rPr>
        <w:t>同意并签字确认后，调整后的参选报价对参选人具有约束作用。如果参选人不接受修正后的报价，则其参选将作为无效参选处理。</w:t>
      </w:r>
    </w:p>
    <w:p w14:paraId="1CA16A07">
      <w:pPr>
        <w:pStyle w:val="3"/>
        <w:bidi w:val="0"/>
        <w:rPr>
          <w:color w:val="auto"/>
          <w:highlight w:val="none"/>
        </w:rPr>
      </w:pPr>
      <w:bookmarkStart w:id="36" w:name="_Toc89675166"/>
      <w:r>
        <w:rPr>
          <w:rFonts w:hint="eastAsia"/>
          <w:color w:val="auto"/>
          <w:highlight w:val="none"/>
          <w:lang w:val="en-US" w:eastAsia="zh-CN"/>
        </w:rPr>
        <w:t xml:space="preserve">5. </w:t>
      </w:r>
      <w:r>
        <w:rPr>
          <w:rFonts w:hint="eastAsia"/>
          <w:color w:val="auto"/>
          <w:highlight w:val="none"/>
        </w:rPr>
        <w:t>比选程序</w:t>
      </w:r>
    </w:p>
    <w:p w14:paraId="5818556F">
      <w:pPr>
        <w:bidi w:val="0"/>
        <w:rPr>
          <w:color w:val="auto"/>
          <w:highlight w:val="none"/>
        </w:rPr>
      </w:pPr>
      <w:r>
        <w:rPr>
          <w:rFonts w:hint="eastAsia"/>
          <w:color w:val="auto"/>
          <w:highlight w:val="none"/>
        </w:rPr>
        <w:t>主持人按下列程序进行比选：</w:t>
      </w:r>
    </w:p>
    <w:p w14:paraId="20A43910">
      <w:pPr>
        <w:bidi w:val="0"/>
        <w:rPr>
          <w:color w:val="auto"/>
          <w:highlight w:val="none"/>
        </w:rPr>
      </w:pPr>
      <w:r>
        <w:rPr>
          <w:rFonts w:hint="eastAsia"/>
          <w:color w:val="auto"/>
          <w:highlight w:val="none"/>
          <w:lang w:val="en-US" w:eastAsia="zh-CN"/>
        </w:rPr>
        <w:t xml:space="preserve">5.1 </w:t>
      </w:r>
      <w:r>
        <w:rPr>
          <w:rFonts w:hint="eastAsia"/>
          <w:color w:val="auto"/>
          <w:highlight w:val="none"/>
        </w:rPr>
        <w:t>宣布比选纪律；</w:t>
      </w:r>
    </w:p>
    <w:p w14:paraId="1F19F43C">
      <w:pPr>
        <w:bidi w:val="0"/>
        <w:rPr>
          <w:color w:val="auto"/>
          <w:highlight w:val="none"/>
        </w:rPr>
      </w:pPr>
      <w:r>
        <w:rPr>
          <w:rFonts w:hint="eastAsia"/>
          <w:color w:val="auto"/>
          <w:highlight w:val="none"/>
          <w:lang w:val="en-US" w:eastAsia="zh-CN"/>
        </w:rPr>
        <w:t xml:space="preserve">5.2 </w:t>
      </w:r>
      <w:r>
        <w:rPr>
          <w:rFonts w:hint="eastAsia"/>
          <w:color w:val="auto"/>
          <w:highlight w:val="none"/>
        </w:rPr>
        <w:t>宣布比选人、唱标人、记录人、监</w:t>
      </w:r>
      <w:r>
        <w:rPr>
          <w:rFonts w:hint="eastAsia"/>
          <w:color w:val="auto"/>
          <w:highlight w:val="none"/>
          <w:lang w:val="en-US" w:eastAsia="zh-CN"/>
        </w:rPr>
        <w:t>督</w:t>
      </w:r>
      <w:r>
        <w:rPr>
          <w:rFonts w:hint="eastAsia"/>
          <w:color w:val="auto"/>
          <w:highlight w:val="none"/>
        </w:rPr>
        <w:t>人等有关人员姓名；</w:t>
      </w:r>
    </w:p>
    <w:p w14:paraId="7789C01F">
      <w:pPr>
        <w:bidi w:val="0"/>
        <w:rPr>
          <w:color w:val="auto"/>
          <w:highlight w:val="none"/>
        </w:rPr>
      </w:pPr>
      <w:r>
        <w:rPr>
          <w:rFonts w:hint="eastAsia"/>
          <w:color w:val="auto"/>
          <w:highlight w:val="none"/>
          <w:lang w:val="en-US" w:eastAsia="zh-CN"/>
        </w:rPr>
        <w:t xml:space="preserve">5.3 </w:t>
      </w:r>
      <w:r>
        <w:rPr>
          <w:rFonts w:hint="eastAsia"/>
          <w:color w:val="auto"/>
          <w:highlight w:val="none"/>
        </w:rPr>
        <w:t>公布在</w:t>
      </w:r>
      <w:r>
        <w:rPr>
          <w:rFonts w:hint="eastAsia"/>
          <w:color w:val="auto"/>
          <w:highlight w:val="none"/>
          <w:lang w:eastAsia="zh-CN"/>
        </w:rPr>
        <w:t>参选截止</w:t>
      </w:r>
      <w:r>
        <w:rPr>
          <w:rFonts w:hint="eastAsia"/>
          <w:color w:val="auto"/>
          <w:highlight w:val="none"/>
        </w:rPr>
        <w:t>时间前递交参选文件的参选人名称，并点名确认参选人是否派人到场；</w:t>
      </w:r>
    </w:p>
    <w:p w14:paraId="7771530A">
      <w:pPr>
        <w:bidi w:val="0"/>
        <w:rPr>
          <w:color w:val="auto"/>
          <w:highlight w:val="none"/>
        </w:rPr>
      </w:pPr>
      <w:r>
        <w:rPr>
          <w:rFonts w:hint="eastAsia"/>
          <w:color w:val="auto"/>
          <w:highlight w:val="none"/>
          <w:lang w:val="en-US" w:eastAsia="zh-CN"/>
        </w:rPr>
        <w:t xml:space="preserve">5.4 </w:t>
      </w:r>
      <w:r>
        <w:rPr>
          <w:rFonts w:hint="eastAsia"/>
          <w:color w:val="auto"/>
          <w:highlight w:val="none"/>
        </w:rPr>
        <w:t>展示参选保证金，参选保证金缴款不全或有误的，则记录在案交由评审委员会评审；</w:t>
      </w:r>
    </w:p>
    <w:p w14:paraId="7ABA4E64">
      <w:pPr>
        <w:bidi w:val="0"/>
        <w:rPr>
          <w:color w:val="auto"/>
          <w:highlight w:val="none"/>
        </w:rPr>
      </w:pPr>
      <w:r>
        <w:rPr>
          <w:rFonts w:hint="eastAsia"/>
          <w:color w:val="auto"/>
          <w:highlight w:val="none"/>
          <w:lang w:val="en-US" w:eastAsia="zh-CN"/>
        </w:rPr>
        <w:t xml:space="preserve">5.5 </w:t>
      </w:r>
      <w:r>
        <w:rPr>
          <w:rFonts w:hint="eastAsia"/>
          <w:color w:val="auto"/>
          <w:highlight w:val="none"/>
        </w:rPr>
        <w:t>封装情况检查：参选人或者其推选的代表检查各参选文件的封装情况并确认；</w:t>
      </w:r>
    </w:p>
    <w:p w14:paraId="6DBB3E0E">
      <w:pPr>
        <w:bidi w:val="0"/>
        <w:rPr>
          <w:color w:val="auto"/>
          <w:highlight w:val="none"/>
        </w:rPr>
      </w:pPr>
      <w:r>
        <w:rPr>
          <w:rFonts w:hint="eastAsia"/>
          <w:color w:val="auto"/>
          <w:highlight w:val="none"/>
          <w:lang w:val="en-US" w:eastAsia="zh-CN"/>
        </w:rPr>
        <w:t xml:space="preserve">5.6 </w:t>
      </w:r>
      <w:r>
        <w:rPr>
          <w:rFonts w:hint="eastAsia"/>
          <w:color w:val="auto"/>
          <w:highlight w:val="none"/>
        </w:rPr>
        <w:t>设有最高限价的，公布最高限价；</w:t>
      </w:r>
    </w:p>
    <w:p w14:paraId="1CF6DCA7">
      <w:pPr>
        <w:bidi w:val="0"/>
        <w:rPr>
          <w:color w:val="auto"/>
          <w:highlight w:val="none"/>
        </w:rPr>
      </w:pPr>
      <w:r>
        <w:rPr>
          <w:rFonts w:hint="eastAsia"/>
          <w:color w:val="auto"/>
          <w:highlight w:val="none"/>
          <w:lang w:val="en-US" w:eastAsia="zh-CN"/>
        </w:rPr>
        <w:t xml:space="preserve">5.7 </w:t>
      </w:r>
      <w:r>
        <w:rPr>
          <w:rFonts w:hint="eastAsia"/>
          <w:color w:val="auto"/>
          <w:highlight w:val="none"/>
        </w:rPr>
        <w:t>开启参选文件；</w:t>
      </w:r>
    </w:p>
    <w:p w14:paraId="746AA7A5">
      <w:pPr>
        <w:bidi w:val="0"/>
        <w:rPr>
          <w:color w:val="auto"/>
          <w:highlight w:val="none"/>
        </w:rPr>
      </w:pPr>
      <w:r>
        <w:rPr>
          <w:rFonts w:hint="eastAsia"/>
          <w:color w:val="auto"/>
          <w:highlight w:val="none"/>
          <w:lang w:val="en-US" w:eastAsia="zh-CN"/>
        </w:rPr>
        <w:t>5.8 比</w:t>
      </w:r>
      <w:r>
        <w:rPr>
          <w:rFonts w:hint="eastAsia"/>
          <w:color w:val="auto"/>
          <w:highlight w:val="none"/>
        </w:rPr>
        <w:t>选人代表、参选人代表、监</w:t>
      </w:r>
      <w:r>
        <w:rPr>
          <w:rFonts w:hint="eastAsia"/>
          <w:color w:val="auto"/>
          <w:highlight w:val="none"/>
          <w:lang w:val="en-US" w:eastAsia="zh-CN"/>
        </w:rPr>
        <w:t>督</w:t>
      </w:r>
      <w:r>
        <w:rPr>
          <w:rFonts w:hint="eastAsia"/>
          <w:color w:val="auto"/>
          <w:highlight w:val="none"/>
        </w:rPr>
        <w:t>人、记录人等有关人员在比选记录上签字确认；</w:t>
      </w:r>
    </w:p>
    <w:p w14:paraId="1F3F5B3E">
      <w:pPr>
        <w:bidi w:val="0"/>
        <w:rPr>
          <w:color w:val="auto"/>
          <w:highlight w:val="none"/>
        </w:rPr>
      </w:pPr>
      <w:r>
        <w:rPr>
          <w:rFonts w:hint="eastAsia"/>
          <w:color w:val="auto"/>
          <w:highlight w:val="none"/>
          <w:lang w:val="en-US" w:eastAsia="zh-CN"/>
        </w:rPr>
        <w:t xml:space="preserve">5.9 </w:t>
      </w:r>
      <w:r>
        <w:rPr>
          <w:rFonts w:hint="eastAsia"/>
          <w:color w:val="auto"/>
          <w:highlight w:val="none"/>
        </w:rPr>
        <w:t>比选结束。</w:t>
      </w:r>
    </w:p>
    <w:p w14:paraId="1D6CB7CF">
      <w:pPr>
        <w:pStyle w:val="3"/>
        <w:bidi w:val="0"/>
        <w:rPr>
          <w:color w:val="auto"/>
          <w:highlight w:val="none"/>
        </w:rPr>
      </w:pPr>
      <w:r>
        <w:rPr>
          <w:rFonts w:hint="eastAsia"/>
          <w:color w:val="auto"/>
          <w:highlight w:val="none"/>
          <w:lang w:val="en-US" w:eastAsia="zh-CN"/>
        </w:rPr>
        <w:t xml:space="preserve">6. </w:t>
      </w:r>
      <w:r>
        <w:rPr>
          <w:rFonts w:hint="eastAsia"/>
          <w:color w:val="auto"/>
          <w:highlight w:val="none"/>
        </w:rPr>
        <w:t>评审</w:t>
      </w:r>
    </w:p>
    <w:p w14:paraId="2AB30CB7">
      <w:pPr>
        <w:bidi w:val="0"/>
        <w:rPr>
          <w:color w:val="auto"/>
          <w:highlight w:val="none"/>
        </w:rPr>
      </w:pPr>
      <w:r>
        <w:rPr>
          <w:rFonts w:hint="eastAsia"/>
          <w:color w:val="auto"/>
          <w:highlight w:val="none"/>
        </w:rPr>
        <w:t>见第</w:t>
      </w:r>
      <w:r>
        <w:rPr>
          <w:rFonts w:hint="eastAsia"/>
          <w:color w:val="auto"/>
          <w:highlight w:val="none"/>
          <w:lang w:val="en-US" w:eastAsia="zh-CN"/>
        </w:rPr>
        <w:t>四</w:t>
      </w:r>
      <w:r>
        <w:rPr>
          <w:rFonts w:hint="eastAsia"/>
          <w:color w:val="auto"/>
          <w:highlight w:val="none"/>
        </w:rPr>
        <w:t>章内容。</w:t>
      </w:r>
    </w:p>
    <w:p w14:paraId="1E680967">
      <w:pPr>
        <w:pStyle w:val="3"/>
        <w:bidi w:val="0"/>
        <w:rPr>
          <w:color w:val="auto"/>
          <w:highlight w:val="none"/>
        </w:rPr>
      </w:pPr>
      <w:r>
        <w:rPr>
          <w:rFonts w:hint="eastAsia"/>
          <w:color w:val="auto"/>
          <w:highlight w:val="none"/>
          <w:lang w:val="en-US" w:eastAsia="zh-CN"/>
        </w:rPr>
        <w:t xml:space="preserve">7. </w:t>
      </w:r>
      <w:r>
        <w:rPr>
          <w:rFonts w:hint="eastAsia"/>
          <w:color w:val="auto"/>
          <w:highlight w:val="none"/>
        </w:rPr>
        <w:t>定</w:t>
      </w:r>
      <w:r>
        <w:rPr>
          <w:color w:val="auto"/>
          <w:highlight w:val="none"/>
        </w:rPr>
        <w:t>选</w:t>
      </w:r>
      <w:bookmarkEnd w:id="36"/>
    </w:p>
    <w:p w14:paraId="4E852C00">
      <w:pPr>
        <w:bidi w:val="0"/>
        <w:rPr>
          <w:color w:val="auto"/>
          <w:highlight w:val="none"/>
        </w:rPr>
      </w:pPr>
      <w:r>
        <w:rPr>
          <w:rFonts w:hint="eastAsia"/>
          <w:color w:val="auto"/>
          <w:highlight w:val="none"/>
          <w:lang w:val="en-US" w:eastAsia="zh-CN"/>
        </w:rPr>
        <w:t xml:space="preserve">7.1 </w:t>
      </w:r>
      <w:r>
        <w:rPr>
          <w:rFonts w:hint="eastAsia"/>
          <w:color w:val="auto"/>
          <w:highlight w:val="none"/>
        </w:rPr>
        <w:t>定选原则</w:t>
      </w:r>
    </w:p>
    <w:p w14:paraId="6461D2D8">
      <w:pPr>
        <w:bidi w:val="0"/>
        <w:rPr>
          <w:color w:val="auto"/>
          <w:highlight w:val="none"/>
        </w:rPr>
      </w:pPr>
      <w:r>
        <w:rPr>
          <w:rFonts w:hint="eastAsia"/>
          <w:color w:val="auto"/>
          <w:highlight w:val="none"/>
        </w:rPr>
        <w:t>比选人按照</w:t>
      </w:r>
      <w:r>
        <w:rPr>
          <w:rFonts w:hint="eastAsia"/>
          <w:color w:val="auto"/>
          <w:highlight w:val="none"/>
          <w:lang w:eastAsia="zh-CN"/>
        </w:rPr>
        <w:t>评审</w:t>
      </w:r>
      <w:r>
        <w:rPr>
          <w:rFonts w:hint="eastAsia"/>
          <w:color w:val="auto"/>
          <w:highlight w:val="none"/>
        </w:rPr>
        <w:t>报告中推荐的中选候选人排名顺序确定中选人，如中选人因不可抗力或者自身原因不能履行合同的，比选人可以确定依次其后的候选人为中选人，以此类推。</w:t>
      </w:r>
    </w:p>
    <w:p w14:paraId="452EB1DD">
      <w:pPr>
        <w:bidi w:val="0"/>
        <w:rPr>
          <w:color w:val="auto"/>
          <w:highlight w:val="none"/>
        </w:rPr>
      </w:pPr>
      <w:r>
        <w:rPr>
          <w:rFonts w:hint="eastAsia"/>
          <w:color w:val="auto"/>
          <w:highlight w:val="none"/>
          <w:lang w:val="en-US" w:eastAsia="zh-CN"/>
        </w:rPr>
        <w:t xml:space="preserve">7.2 </w:t>
      </w:r>
      <w:r>
        <w:rPr>
          <w:rFonts w:hint="eastAsia"/>
          <w:color w:val="auto"/>
          <w:highlight w:val="none"/>
        </w:rPr>
        <w:t>不承诺最低价格中选。</w:t>
      </w:r>
    </w:p>
    <w:p w14:paraId="31180EF6">
      <w:pPr>
        <w:bidi w:val="0"/>
        <w:rPr>
          <w:color w:val="auto"/>
          <w:highlight w:val="none"/>
        </w:rPr>
      </w:pPr>
      <w:r>
        <w:rPr>
          <w:rFonts w:hint="eastAsia"/>
          <w:color w:val="auto"/>
          <w:highlight w:val="none"/>
          <w:lang w:val="en-US" w:eastAsia="zh-CN"/>
        </w:rPr>
        <w:t xml:space="preserve">7.3 </w:t>
      </w:r>
      <w:r>
        <w:rPr>
          <w:rFonts w:hint="eastAsia"/>
          <w:color w:val="auto"/>
          <w:highlight w:val="none"/>
        </w:rPr>
        <w:t>若中选人参选材料出现造假、不实等与实际查询结果不符或无故弃选的情况，比选人有权选择重新比选或顺延下一中选候选人，由此带来的损失比选人有权通过没收参选保证金等方式进行追溯。</w:t>
      </w:r>
    </w:p>
    <w:p w14:paraId="40D3C8BA">
      <w:pPr>
        <w:pStyle w:val="3"/>
        <w:bidi w:val="0"/>
        <w:rPr>
          <w:color w:val="auto"/>
          <w:highlight w:val="none"/>
        </w:rPr>
      </w:pPr>
      <w:bookmarkStart w:id="37" w:name="_Toc12245"/>
      <w:bookmarkStart w:id="38" w:name="_Toc89675168"/>
      <w:r>
        <w:rPr>
          <w:rFonts w:hint="eastAsia"/>
          <w:color w:val="auto"/>
          <w:highlight w:val="none"/>
          <w:lang w:val="en-US" w:eastAsia="zh-CN"/>
        </w:rPr>
        <w:t xml:space="preserve">8. </w:t>
      </w:r>
      <w:r>
        <w:rPr>
          <w:rFonts w:hint="eastAsia"/>
          <w:color w:val="auto"/>
          <w:highlight w:val="none"/>
        </w:rPr>
        <w:t>签订合同</w:t>
      </w:r>
      <w:bookmarkEnd w:id="37"/>
      <w:bookmarkEnd w:id="38"/>
    </w:p>
    <w:p w14:paraId="50673AD4">
      <w:pPr>
        <w:bidi w:val="0"/>
        <w:rPr>
          <w:color w:val="auto"/>
          <w:highlight w:val="none"/>
        </w:rPr>
      </w:pPr>
      <w:r>
        <w:rPr>
          <w:rFonts w:hint="eastAsia"/>
          <w:color w:val="auto"/>
          <w:highlight w:val="none"/>
          <w:lang w:val="en-US" w:eastAsia="zh-CN"/>
        </w:rPr>
        <w:t xml:space="preserve">8.1 </w:t>
      </w:r>
      <w:r>
        <w:rPr>
          <w:rFonts w:hint="eastAsia"/>
          <w:color w:val="auto"/>
          <w:highlight w:val="none"/>
        </w:rPr>
        <w:t>比选人指定的使用单位将在自中选通知发出之日起，依据比选文件和中选人参选文件的约定，按照比选人内部流程与中选人签订书面合同。所签订的合同不得对比选文件和中选人参选文件作实质性修改。</w:t>
      </w:r>
    </w:p>
    <w:p w14:paraId="2EE3362E">
      <w:pPr>
        <w:bidi w:val="0"/>
        <w:rPr>
          <w:color w:val="auto"/>
          <w:highlight w:val="none"/>
        </w:rPr>
      </w:pPr>
      <w:r>
        <w:rPr>
          <w:rFonts w:hint="eastAsia"/>
          <w:color w:val="auto"/>
          <w:highlight w:val="none"/>
          <w:lang w:val="en-US" w:eastAsia="zh-CN"/>
        </w:rPr>
        <w:t xml:space="preserve">8.2 </w:t>
      </w:r>
      <w:r>
        <w:rPr>
          <w:rFonts w:hint="eastAsia"/>
          <w:color w:val="auto"/>
          <w:highlight w:val="none"/>
        </w:rPr>
        <w:t>比选文件、中选人的参选文件及澄清文件等，均为签订合同的依据。</w:t>
      </w:r>
    </w:p>
    <w:p w14:paraId="6CCE66A6">
      <w:pPr>
        <w:bidi w:val="0"/>
        <w:rPr>
          <w:color w:val="auto"/>
          <w:highlight w:val="none"/>
        </w:rPr>
      </w:pPr>
      <w:r>
        <w:rPr>
          <w:rFonts w:hint="eastAsia"/>
          <w:color w:val="auto"/>
          <w:highlight w:val="none"/>
          <w:lang w:val="en-US" w:eastAsia="zh-CN"/>
        </w:rPr>
        <w:t xml:space="preserve">8.3 </w:t>
      </w:r>
      <w:r>
        <w:rPr>
          <w:rFonts w:hint="eastAsia"/>
          <w:color w:val="auto"/>
          <w:highlight w:val="none"/>
        </w:rPr>
        <w:t>合同生效条款由供需双方约定，法律、行政法规规定应当办理批准、登记等手续后生效的合同，依照其规定。</w:t>
      </w:r>
    </w:p>
    <w:p w14:paraId="5ABD57F2">
      <w:pPr>
        <w:bidi w:val="0"/>
        <w:rPr>
          <w:rFonts w:hint="eastAsia"/>
          <w:color w:val="auto"/>
          <w:highlight w:val="none"/>
          <w:lang w:val="en-US" w:eastAsia="zh-CN"/>
        </w:rPr>
      </w:pPr>
      <w:r>
        <w:rPr>
          <w:rFonts w:hint="eastAsia"/>
          <w:color w:val="auto"/>
          <w:highlight w:val="none"/>
          <w:lang w:val="en-US" w:eastAsia="zh-CN"/>
        </w:rPr>
        <w:t>8.4 签订合同前后，若中选人无法按要求履约或中选单位提供的产品测试不合格或与参选文件中的产品不一致，比选人可以废除中选人资格，并可选择按照中选候选人顺位与下一候选人签订合同。</w:t>
      </w:r>
    </w:p>
    <w:p w14:paraId="67A578AD">
      <w:pPr>
        <w:bidi w:val="0"/>
        <w:rPr>
          <w:rFonts w:hint="default"/>
          <w:color w:val="auto"/>
          <w:highlight w:val="none"/>
          <w:lang w:val="en-US" w:eastAsia="zh-CN"/>
        </w:rPr>
      </w:pPr>
      <w:r>
        <w:rPr>
          <w:rFonts w:hint="eastAsia"/>
          <w:color w:val="auto"/>
          <w:highlight w:val="none"/>
          <w:lang w:val="en-US" w:eastAsia="zh-CN"/>
        </w:rPr>
        <w:t>8.5 该项目不允许任何形式的转包。</w:t>
      </w:r>
    </w:p>
    <w:p w14:paraId="5E5B26D1">
      <w:pPr>
        <w:pStyle w:val="3"/>
        <w:bidi w:val="0"/>
        <w:rPr>
          <w:color w:val="auto"/>
          <w:highlight w:val="none"/>
        </w:rPr>
      </w:pPr>
      <w:r>
        <w:rPr>
          <w:rFonts w:hint="eastAsia"/>
          <w:color w:val="auto"/>
          <w:highlight w:val="none"/>
          <w:lang w:val="en-US" w:eastAsia="zh-CN"/>
        </w:rPr>
        <w:t xml:space="preserve">9. </w:t>
      </w:r>
      <w:r>
        <w:rPr>
          <w:rFonts w:hint="eastAsia"/>
          <w:color w:val="auto"/>
          <w:highlight w:val="none"/>
        </w:rPr>
        <w:t>纪律与要求</w:t>
      </w:r>
    </w:p>
    <w:p w14:paraId="62C1242C">
      <w:pPr>
        <w:bidi w:val="0"/>
        <w:rPr>
          <w:color w:val="auto"/>
          <w:highlight w:val="none"/>
        </w:rPr>
      </w:pPr>
      <w:r>
        <w:rPr>
          <w:rFonts w:hint="eastAsia"/>
          <w:color w:val="auto"/>
          <w:highlight w:val="none"/>
        </w:rPr>
        <w:t>参选人不得相互串通参选或者与比选人串通参选，不得向比选人行贿谋取中选，不得以他人名义参选或者以其他方式弄虚作假骗取中选；参选人不得以任何方式干扰、影响</w:t>
      </w:r>
      <w:r>
        <w:rPr>
          <w:rFonts w:hint="eastAsia"/>
          <w:color w:val="auto"/>
          <w:highlight w:val="none"/>
          <w:lang w:eastAsia="zh-CN"/>
        </w:rPr>
        <w:t>评审</w:t>
      </w:r>
      <w:r>
        <w:rPr>
          <w:rFonts w:hint="eastAsia"/>
          <w:color w:val="auto"/>
          <w:highlight w:val="none"/>
        </w:rPr>
        <w:t>工作。</w:t>
      </w:r>
    </w:p>
    <w:p w14:paraId="79D6D6C3">
      <w:pPr>
        <w:bidi w:val="0"/>
        <w:rPr>
          <w:color w:val="auto"/>
          <w:highlight w:val="none"/>
        </w:rPr>
      </w:pPr>
      <w:r>
        <w:rPr>
          <w:rFonts w:hint="eastAsia"/>
          <w:color w:val="auto"/>
          <w:highlight w:val="none"/>
          <w:lang w:val="en-US" w:eastAsia="zh-CN"/>
        </w:rPr>
        <w:t xml:space="preserve">9.1 </w:t>
      </w:r>
      <w:r>
        <w:rPr>
          <w:rFonts w:hint="eastAsia"/>
          <w:color w:val="auto"/>
          <w:highlight w:val="none"/>
        </w:rPr>
        <w:t>有下列情形之一的，属于参选人相互串通参选：</w:t>
      </w:r>
    </w:p>
    <w:p w14:paraId="18B872CC">
      <w:pPr>
        <w:bidi w:val="0"/>
        <w:rPr>
          <w:color w:val="auto"/>
          <w:highlight w:val="none"/>
        </w:rPr>
      </w:pPr>
      <w:r>
        <w:rPr>
          <w:rFonts w:hint="eastAsia"/>
          <w:color w:val="auto"/>
          <w:highlight w:val="none"/>
          <w:lang w:val="en-US" w:eastAsia="zh-CN"/>
        </w:rPr>
        <w:t xml:space="preserve">9.1.1 </w:t>
      </w:r>
      <w:r>
        <w:rPr>
          <w:rFonts w:hint="eastAsia"/>
          <w:color w:val="auto"/>
          <w:highlight w:val="none"/>
        </w:rPr>
        <w:t>参选人之间协商参选报价等参选文件的实质性内容；</w:t>
      </w:r>
    </w:p>
    <w:p w14:paraId="31AEB2EF">
      <w:pPr>
        <w:bidi w:val="0"/>
        <w:rPr>
          <w:color w:val="auto"/>
          <w:highlight w:val="none"/>
        </w:rPr>
      </w:pPr>
      <w:r>
        <w:rPr>
          <w:rFonts w:hint="eastAsia"/>
          <w:color w:val="auto"/>
          <w:highlight w:val="none"/>
          <w:lang w:val="en-US" w:eastAsia="zh-CN"/>
        </w:rPr>
        <w:t xml:space="preserve">9.1.2 </w:t>
      </w:r>
      <w:r>
        <w:rPr>
          <w:rFonts w:hint="eastAsia"/>
          <w:color w:val="auto"/>
          <w:highlight w:val="none"/>
        </w:rPr>
        <w:t>参选人之间约定中选人；</w:t>
      </w:r>
    </w:p>
    <w:p w14:paraId="57B01E1D">
      <w:pPr>
        <w:bidi w:val="0"/>
        <w:rPr>
          <w:color w:val="auto"/>
          <w:highlight w:val="none"/>
        </w:rPr>
      </w:pPr>
      <w:r>
        <w:rPr>
          <w:rFonts w:hint="eastAsia"/>
          <w:color w:val="auto"/>
          <w:highlight w:val="none"/>
          <w:lang w:val="en-US" w:eastAsia="zh-CN"/>
        </w:rPr>
        <w:t xml:space="preserve">9.1.3 </w:t>
      </w:r>
      <w:r>
        <w:rPr>
          <w:rFonts w:hint="eastAsia"/>
          <w:color w:val="auto"/>
          <w:highlight w:val="none"/>
        </w:rPr>
        <w:t>参选人之间约定部分参选人放弃参选或者中选；</w:t>
      </w:r>
    </w:p>
    <w:p w14:paraId="1052B19D">
      <w:pPr>
        <w:bidi w:val="0"/>
        <w:rPr>
          <w:color w:val="auto"/>
          <w:highlight w:val="none"/>
        </w:rPr>
      </w:pPr>
      <w:r>
        <w:rPr>
          <w:rFonts w:hint="eastAsia"/>
          <w:color w:val="auto"/>
          <w:highlight w:val="none"/>
          <w:lang w:val="en-US" w:eastAsia="zh-CN"/>
        </w:rPr>
        <w:t xml:space="preserve">9.1.4 </w:t>
      </w:r>
      <w:r>
        <w:rPr>
          <w:rFonts w:hint="eastAsia"/>
          <w:color w:val="auto"/>
          <w:highlight w:val="none"/>
        </w:rPr>
        <w:t>属于同一集团、协会、商会等组织成员的参选人按照该组织要求协同参选；</w:t>
      </w:r>
    </w:p>
    <w:p w14:paraId="1BE79D93">
      <w:pPr>
        <w:bidi w:val="0"/>
        <w:rPr>
          <w:color w:val="auto"/>
          <w:highlight w:val="none"/>
        </w:rPr>
      </w:pPr>
      <w:r>
        <w:rPr>
          <w:rFonts w:hint="eastAsia"/>
          <w:color w:val="auto"/>
          <w:highlight w:val="none"/>
          <w:lang w:val="en-US" w:eastAsia="zh-CN"/>
        </w:rPr>
        <w:t xml:space="preserve">9.1.5 </w:t>
      </w:r>
      <w:r>
        <w:rPr>
          <w:rFonts w:hint="eastAsia"/>
          <w:color w:val="auto"/>
          <w:highlight w:val="none"/>
        </w:rPr>
        <w:t>参选人之间为谋取中选或者排斥特定参选人而采取的其他联合行动。</w:t>
      </w:r>
    </w:p>
    <w:p w14:paraId="3CCBDFCC">
      <w:pPr>
        <w:bidi w:val="0"/>
        <w:rPr>
          <w:color w:val="auto"/>
          <w:highlight w:val="none"/>
        </w:rPr>
      </w:pPr>
      <w:r>
        <w:rPr>
          <w:rFonts w:hint="eastAsia"/>
          <w:color w:val="auto"/>
          <w:highlight w:val="none"/>
          <w:lang w:val="en-US" w:eastAsia="zh-CN"/>
        </w:rPr>
        <w:t xml:space="preserve">9.2 </w:t>
      </w:r>
      <w:r>
        <w:rPr>
          <w:rFonts w:hint="eastAsia"/>
          <w:color w:val="auto"/>
          <w:highlight w:val="none"/>
        </w:rPr>
        <w:t>有下列情形之一的，视为参选人相互串通参选：</w:t>
      </w:r>
    </w:p>
    <w:p w14:paraId="16F85214">
      <w:pPr>
        <w:bidi w:val="0"/>
        <w:rPr>
          <w:color w:val="auto"/>
          <w:highlight w:val="none"/>
        </w:rPr>
      </w:pPr>
      <w:r>
        <w:rPr>
          <w:rFonts w:hint="eastAsia"/>
          <w:color w:val="auto"/>
          <w:highlight w:val="none"/>
          <w:lang w:val="en-US" w:eastAsia="zh-CN"/>
        </w:rPr>
        <w:t xml:space="preserve">9.2.1 </w:t>
      </w:r>
      <w:r>
        <w:rPr>
          <w:rFonts w:hint="eastAsia"/>
          <w:color w:val="auto"/>
          <w:highlight w:val="none"/>
        </w:rPr>
        <w:t>不同参选人的参选文件由同一单位或者个人编制；</w:t>
      </w:r>
    </w:p>
    <w:p w14:paraId="41BBBC86">
      <w:pPr>
        <w:bidi w:val="0"/>
        <w:rPr>
          <w:color w:val="auto"/>
          <w:highlight w:val="none"/>
        </w:rPr>
      </w:pPr>
      <w:r>
        <w:rPr>
          <w:rFonts w:hint="eastAsia"/>
          <w:color w:val="auto"/>
          <w:highlight w:val="none"/>
          <w:lang w:val="en-US" w:eastAsia="zh-CN"/>
        </w:rPr>
        <w:t xml:space="preserve">9.2.2 </w:t>
      </w:r>
      <w:r>
        <w:rPr>
          <w:rFonts w:hint="eastAsia"/>
          <w:color w:val="auto"/>
          <w:highlight w:val="none"/>
        </w:rPr>
        <w:t>不同参选人委托同一单位或者个人办理参选事宜；</w:t>
      </w:r>
    </w:p>
    <w:p w14:paraId="2CCB0E57">
      <w:pPr>
        <w:bidi w:val="0"/>
        <w:rPr>
          <w:color w:val="auto"/>
          <w:highlight w:val="none"/>
        </w:rPr>
      </w:pPr>
      <w:r>
        <w:rPr>
          <w:rFonts w:hint="eastAsia"/>
          <w:color w:val="auto"/>
          <w:highlight w:val="none"/>
          <w:lang w:val="en-US" w:eastAsia="zh-CN"/>
        </w:rPr>
        <w:t xml:space="preserve">9.2.3 </w:t>
      </w:r>
      <w:r>
        <w:rPr>
          <w:rFonts w:hint="eastAsia"/>
          <w:color w:val="auto"/>
          <w:highlight w:val="none"/>
        </w:rPr>
        <w:t>不同参选人的参选文件载明的项目管理成员为同一人；</w:t>
      </w:r>
    </w:p>
    <w:p w14:paraId="7C5746E7">
      <w:pPr>
        <w:bidi w:val="0"/>
        <w:rPr>
          <w:color w:val="auto"/>
          <w:highlight w:val="none"/>
        </w:rPr>
      </w:pPr>
      <w:r>
        <w:rPr>
          <w:rFonts w:hint="eastAsia"/>
          <w:color w:val="auto"/>
          <w:highlight w:val="none"/>
          <w:lang w:val="en-US" w:eastAsia="zh-CN"/>
        </w:rPr>
        <w:t xml:space="preserve">9.2.4 </w:t>
      </w:r>
      <w:r>
        <w:rPr>
          <w:rFonts w:hint="eastAsia"/>
          <w:color w:val="auto"/>
          <w:highlight w:val="none"/>
        </w:rPr>
        <w:t>不同参选人的参选文件相互混装；</w:t>
      </w:r>
    </w:p>
    <w:p w14:paraId="21237180">
      <w:pPr>
        <w:bidi w:val="0"/>
        <w:rPr>
          <w:color w:val="auto"/>
          <w:highlight w:val="none"/>
        </w:rPr>
      </w:pPr>
      <w:r>
        <w:rPr>
          <w:rFonts w:hint="eastAsia"/>
          <w:color w:val="auto"/>
          <w:highlight w:val="none"/>
          <w:lang w:val="en-US" w:eastAsia="zh-CN"/>
        </w:rPr>
        <w:t xml:space="preserve">9.2.5 </w:t>
      </w:r>
      <w:r>
        <w:rPr>
          <w:rFonts w:hint="eastAsia"/>
          <w:color w:val="auto"/>
          <w:highlight w:val="none"/>
        </w:rPr>
        <w:t>不同参选人的参选保证金从同一单位或者个人的账户转出。</w:t>
      </w:r>
    </w:p>
    <w:p w14:paraId="28EB7C4F">
      <w:pPr>
        <w:bidi w:val="0"/>
        <w:rPr>
          <w:color w:val="auto"/>
          <w:highlight w:val="none"/>
        </w:rPr>
      </w:pPr>
      <w:r>
        <w:rPr>
          <w:rFonts w:hint="eastAsia"/>
          <w:color w:val="auto"/>
          <w:highlight w:val="none"/>
          <w:lang w:val="en-US" w:eastAsia="zh-CN"/>
        </w:rPr>
        <w:t xml:space="preserve">9.3 </w:t>
      </w:r>
      <w:r>
        <w:rPr>
          <w:rFonts w:hint="eastAsia"/>
          <w:color w:val="auto"/>
          <w:highlight w:val="none"/>
        </w:rPr>
        <w:t>使用通过受让或者租借等方式获取的资格、资质证书参选的，属于以他人名义参选。</w:t>
      </w:r>
    </w:p>
    <w:p w14:paraId="7B0BFB1D">
      <w:pPr>
        <w:bidi w:val="0"/>
        <w:rPr>
          <w:color w:val="auto"/>
          <w:highlight w:val="none"/>
        </w:rPr>
      </w:pPr>
      <w:r>
        <w:rPr>
          <w:rFonts w:hint="eastAsia"/>
          <w:color w:val="auto"/>
          <w:highlight w:val="none"/>
          <w:lang w:val="en-US" w:eastAsia="zh-CN"/>
        </w:rPr>
        <w:t xml:space="preserve">9.4 </w:t>
      </w:r>
      <w:r>
        <w:rPr>
          <w:rFonts w:hint="eastAsia"/>
          <w:color w:val="auto"/>
          <w:highlight w:val="none"/>
        </w:rPr>
        <w:t>参选人有下列情形之一的，属于弄虚作假的行为：</w:t>
      </w:r>
    </w:p>
    <w:p w14:paraId="255C5B09">
      <w:pPr>
        <w:bidi w:val="0"/>
        <w:rPr>
          <w:color w:val="auto"/>
          <w:highlight w:val="none"/>
        </w:rPr>
      </w:pPr>
      <w:r>
        <w:rPr>
          <w:rFonts w:hint="eastAsia"/>
          <w:color w:val="auto"/>
          <w:highlight w:val="none"/>
          <w:lang w:val="en-US" w:eastAsia="zh-CN"/>
        </w:rPr>
        <w:t xml:space="preserve">9.4.1 </w:t>
      </w:r>
      <w:r>
        <w:rPr>
          <w:rFonts w:hint="eastAsia"/>
          <w:color w:val="auto"/>
          <w:highlight w:val="none"/>
        </w:rPr>
        <w:t>使用伪造、变造的许可证件；</w:t>
      </w:r>
    </w:p>
    <w:p w14:paraId="0A594AD8">
      <w:pPr>
        <w:bidi w:val="0"/>
        <w:rPr>
          <w:color w:val="auto"/>
          <w:highlight w:val="none"/>
        </w:rPr>
      </w:pPr>
      <w:r>
        <w:rPr>
          <w:rFonts w:hint="eastAsia"/>
          <w:color w:val="auto"/>
          <w:highlight w:val="none"/>
          <w:lang w:val="en-US" w:eastAsia="zh-CN"/>
        </w:rPr>
        <w:t xml:space="preserve">9.4.2 </w:t>
      </w:r>
      <w:r>
        <w:rPr>
          <w:rFonts w:hint="eastAsia"/>
          <w:color w:val="auto"/>
          <w:highlight w:val="none"/>
        </w:rPr>
        <w:t>提供虚假的财务状况或者虚假业绩；</w:t>
      </w:r>
    </w:p>
    <w:p w14:paraId="30A04672">
      <w:pPr>
        <w:bidi w:val="0"/>
        <w:rPr>
          <w:color w:val="auto"/>
          <w:highlight w:val="none"/>
        </w:rPr>
      </w:pPr>
      <w:r>
        <w:rPr>
          <w:rFonts w:hint="eastAsia"/>
          <w:color w:val="auto"/>
          <w:highlight w:val="none"/>
          <w:lang w:val="en-US" w:eastAsia="zh-CN"/>
        </w:rPr>
        <w:t xml:space="preserve">9.4.3 </w:t>
      </w:r>
      <w:r>
        <w:rPr>
          <w:rFonts w:hint="eastAsia"/>
          <w:color w:val="auto"/>
          <w:highlight w:val="none"/>
        </w:rPr>
        <w:t>提供虚假的项目负责人或者主要技术人员简历、劳动关系证明；</w:t>
      </w:r>
    </w:p>
    <w:p w14:paraId="442C2254">
      <w:pPr>
        <w:bidi w:val="0"/>
        <w:rPr>
          <w:color w:val="auto"/>
          <w:highlight w:val="none"/>
        </w:rPr>
      </w:pPr>
      <w:r>
        <w:rPr>
          <w:rFonts w:hint="eastAsia"/>
          <w:color w:val="auto"/>
          <w:highlight w:val="none"/>
          <w:lang w:val="en-US" w:eastAsia="zh-CN"/>
        </w:rPr>
        <w:t xml:space="preserve">9.4.4 </w:t>
      </w:r>
      <w:r>
        <w:rPr>
          <w:rFonts w:hint="eastAsia"/>
          <w:color w:val="auto"/>
          <w:highlight w:val="none"/>
        </w:rPr>
        <w:t>提供虚假的信用状况；</w:t>
      </w:r>
    </w:p>
    <w:p w14:paraId="59D5F4C4">
      <w:pPr>
        <w:bidi w:val="0"/>
        <w:rPr>
          <w:color w:val="auto"/>
          <w:highlight w:val="none"/>
        </w:rPr>
      </w:pPr>
      <w:r>
        <w:rPr>
          <w:rFonts w:hint="eastAsia"/>
          <w:color w:val="auto"/>
          <w:highlight w:val="none"/>
          <w:lang w:val="en-US" w:eastAsia="zh-CN"/>
        </w:rPr>
        <w:t xml:space="preserve">9.4.5 </w:t>
      </w:r>
      <w:r>
        <w:rPr>
          <w:rFonts w:hint="eastAsia"/>
          <w:color w:val="auto"/>
          <w:highlight w:val="none"/>
        </w:rPr>
        <w:t>其它弄虚作假的行为。</w:t>
      </w:r>
    </w:p>
    <w:p w14:paraId="55ADEADB">
      <w:pPr>
        <w:bidi w:val="0"/>
        <w:rPr>
          <w:color w:val="auto"/>
          <w:highlight w:val="none"/>
        </w:rPr>
      </w:pPr>
      <w:r>
        <w:rPr>
          <w:rFonts w:hint="eastAsia"/>
          <w:color w:val="auto"/>
          <w:highlight w:val="none"/>
        </w:rPr>
        <w:t>针对以上情况，比选人有权没收参选人的参选保证金，并保留进一步追究由此带来损失的权利。</w:t>
      </w:r>
    </w:p>
    <w:p w14:paraId="6B057856">
      <w:pPr>
        <w:pStyle w:val="3"/>
        <w:bidi w:val="0"/>
        <w:rPr>
          <w:color w:val="auto"/>
          <w:highlight w:val="none"/>
        </w:rPr>
      </w:pPr>
      <w:bookmarkStart w:id="39" w:name="_Toc89675169"/>
      <w:r>
        <w:rPr>
          <w:rFonts w:hint="eastAsia"/>
          <w:color w:val="auto"/>
          <w:highlight w:val="none"/>
          <w:lang w:val="en-US" w:eastAsia="zh-CN"/>
        </w:rPr>
        <w:t xml:space="preserve">10. </w:t>
      </w:r>
      <w:r>
        <w:rPr>
          <w:rFonts w:hint="eastAsia"/>
          <w:color w:val="auto"/>
          <w:highlight w:val="none"/>
        </w:rPr>
        <w:t>提问、质疑、投诉</w:t>
      </w:r>
    </w:p>
    <w:p w14:paraId="40ED3AF2">
      <w:pPr>
        <w:bidi w:val="0"/>
        <w:rPr>
          <w:color w:val="auto"/>
          <w:highlight w:val="none"/>
        </w:rPr>
      </w:pPr>
      <w:r>
        <w:rPr>
          <w:rFonts w:hint="eastAsia"/>
          <w:color w:val="auto"/>
          <w:highlight w:val="none"/>
          <w:lang w:val="en-US" w:eastAsia="zh-CN"/>
        </w:rPr>
        <w:t xml:space="preserve">10.1 </w:t>
      </w:r>
      <w:r>
        <w:rPr>
          <w:rFonts w:hint="eastAsia"/>
          <w:color w:val="auto"/>
          <w:highlight w:val="none"/>
        </w:rPr>
        <w:t>补遗内容可能影响参选文件编制的，须在</w:t>
      </w:r>
      <w:r>
        <w:rPr>
          <w:rFonts w:hint="eastAsia"/>
          <w:color w:val="auto"/>
          <w:highlight w:val="none"/>
          <w:lang w:eastAsia="zh-CN"/>
        </w:rPr>
        <w:t>参选截止</w:t>
      </w:r>
      <w:r>
        <w:rPr>
          <w:rFonts w:hint="eastAsia"/>
          <w:color w:val="auto"/>
          <w:highlight w:val="none"/>
        </w:rPr>
        <w:t>时间3日前发布，发布时间至</w:t>
      </w:r>
      <w:r>
        <w:rPr>
          <w:rFonts w:hint="eastAsia"/>
          <w:color w:val="auto"/>
          <w:highlight w:val="none"/>
          <w:lang w:eastAsia="zh-CN"/>
        </w:rPr>
        <w:t>参选截止</w:t>
      </w:r>
      <w:r>
        <w:rPr>
          <w:rFonts w:hint="eastAsia"/>
          <w:color w:val="auto"/>
          <w:highlight w:val="none"/>
        </w:rPr>
        <w:t>时间不足3日的，须相应延后</w:t>
      </w:r>
      <w:r>
        <w:rPr>
          <w:rFonts w:hint="eastAsia"/>
          <w:color w:val="auto"/>
          <w:highlight w:val="none"/>
          <w:lang w:eastAsia="zh-CN"/>
        </w:rPr>
        <w:t>参选截止</w:t>
      </w:r>
      <w:r>
        <w:rPr>
          <w:rFonts w:hint="eastAsia"/>
          <w:color w:val="auto"/>
          <w:highlight w:val="none"/>
        </w:rPr>
        <w:t>时间。</w:t>
      </w:r>
    </w:p>
    <w:p w14:paraId="39A6EB38">
      <w:pPr>
        <w:bidi w:val="0"/>
        <w:rPr>
          <w:rFonts w:hint="eastAsia"/>
          <w:color w:val="auto"/>
          <w:highlight w:val="none"/>
        </w:rPr>
      </w:pPr>
      <w:r>
        <w:rPr>
          <w:rFonts w:hint="eastAsia"/>
          <w:color w:val="auto"/>
          <w:highlight w:val="none"/>
          <w:lang w:val="en-US" w:eastAsia="zh-CN"/>
        </w:rPr>
        <w:t xml:space="preserve">10.2 </w:t>
      </w:r>
      <w:r>
        <w:rPr>
          <w:rFonts w:hint="eastAsia"/>
          <w:color w:val="auto"/>
          <w:highlight w:val="none"/>
        </w:rPr>
        <w:t>参选人对比选文件和答疑补遗有质疑的，应当在</w:t>
      </w:r>
      <w:r>
        <w:rPr>
          <w:rFonts w:hint="eastAsia"/>
          <w:color w:val="auto"/>
          <w:highlight w:val="none"/>
          <w:lang w:eastAsia="zh-CN"/>
        </w:rPr>
        <w:t>参选截止</w:t>
      </w:r>
      <w:r>
        <w:rPr>
          <w:rFonts w:hint="eastAsia"/>
          <w:color w:val="auto"/>
          <w:highlight w:val="none"/>
        </w:rPr>
        <w:t>时间3日前，以书面形式通知比选人。比选人认为有必要对参选人所提问题进行答复或对比选文件进行补充时，将答复内容以补遗的形式发布。</w:t>
      </w:r>
    </w:p>
    <w:p w14:paraId="2C795166">
      <w:pPr>
        <w:bidi w:val="0"/>
        <w:rPr>
          <w:color w:val="auto"/>
          <w:highlight w:val="none"/>
        </w:rPr>
      </w:pPr>
      <w:r>
        <w:rPr>
          <w:rFonts w:hint="eastAsia"/>
          <w:color w:val="auto"/>
          <w:highlight w:val="none"/>
          <w:lang w:val="en-US" w:eastAsia="zh-CN"/>
        </w:rPr>
        <w:t xml:space="preserve">10.3 </w:t>
      </w:r>
      <w:r>
        <w:rPr>
          <w:rFonts w:hint="eastAsia"/>
          <w:color w:val="auto"/>
          <w:highlight w:val="none"/>
        </w:rPr>
        <w:t>参选人对公示的中选结果有质疑，参选人需在公示期内以书面形式向比选人提出质疑。比选人认为有必要对参选人所提</w:t>
      </w:r>
      <w:r>
        <w:rPr>
          <w:rFonts w:hint="eastAsia"/>
          <w:color w:val="auto"/>
          <w:highlight w:val="none"/>
          <w:lang w:val="en-US" w:eastAsia="zh-CN"/>
        </w:rPr>
        <w:t>质疑</w:t>
      </w:r>
      <w:r>
        <w:rPr>
          <w:rFonts w:hint="eastAsia"/>
          <w:color w:val="auto"/>
          <w:highlight w:val="none"/>
        </w:rPr>
        <w:t>进行答复时，</w:t>
      </w:r>
      <w:r>
        <w:rPr>
          <w:rFonts w:hint="eastAsia"/>
          <w:color w:val="auto"/>
          <w:highlight w:val="none"/>
          <w:lang w:val="en-US" w:eastAsia="zh-CN"/>
        </w:rPr>
        <w:t>将以书面形式进行答复</w:t>
      </w:r>
      <w:r>
        <w:rPr>
          <w:rFonts w:hint="eastAsia"/>
          <w:color w:val="auto"/>
          <w:highlight w:val="none"/>
        </w:rPr>
        <w:t>。</w:t>
      </w:r>
    </w:p>
    <w:p w14:paraId="0F053DE7">
      <w:pPr>
        <w:bidi w:val="0"/>
        <w:rPr>
          <w:color w:val="auto"/>
          <w:highlight w:val="none"/>
        </w:rPr>
      </w:pPr>
      <w:r>
        <w:rPr>
          <w:rFonts w:hint="eastAsia"/>
          <w:color w:val="auto"/>
          <w:highlight w:val="none"/>
          <w:lang w:val="en-US" w:eastAsia="zh-CN"/>
        </w:rPr>
        <w:t xml:space="preserve">10.4 </w:t>
      </w:r>
      <w:r>
        <w:rPr>
          <w:rFonts w:hint="eastAsia"/>
          <w:color w:val="auto"/>
          <w:highlight w:val="none"/>
        </w:rPr>
        <w:t>参选人对比选人的答复不满意或者有质疑，可向本行纪检监察部投诉。</w:t>
      </w:r>
    </w:p>
    <w:p w14:paraId="2669C6CC">
      <w:pPr>
        <w:bidi w:val="0"/>
      </w:pPr>
      <w:r>
        <w:rPr>
          <w:rFonts w:hint="eastAsia"/>
        </w:rPr>
        <w:t>采购质疑邮箱：</w:t>
      </w:r>
      <w:r>
        <w:t>sx.jcb@ccqtgb.com</w:t>
      </w:r>
    </w:p>
    <w:p w14:paraId="182846CA">
      <w:pPr>
        <w:bidi w:val="0"/>
        <w:rPr>
          <w:rFonts w:hint="eastAsia"/>
        </w:rPr>
      </w:pPr>
      <w:r>
        <w:rPr>
          <w:rFonts w:hint="eastAsia"/>
        </w:rPr>
        <w:t>采购投诉邮箱：</w:t>
      </w:r>
      <w:bookmarkStart w:id="40" w:name="_Hlk74215856"/>
      <w:r>
        <w:rPr>
          <w:rFonts w:hint="eastAsia"/>
        </w:rPr>
        <w:t>sxyhjjz@</w:t>
      </w:r>
      <w:r>
        <w:t>ccqtgb</w:t>
      </w:r>
      <w:r>
        <w:rPr>
          <w:rFonts w:hint="eastAsia"/>
        </w:rPr>
        <w:t>.com</w:t>
      </w:r>
      <w:bookmarkEnd w:id="40"/>
    </w:p>
    <w:p w14:paraId="69334E8C">
      <w:pPr>
        <w:pStyle w:val="3"/>
        <w:bidi w:val="0"/>
        <w:rPr>
          <w:rFonts w:hint="eastAsia"/>
          <w:color w:val="auto"/>
          <w:highlight w:val="none"/>
        </w:rPr>
      </w:pPr>
      <w:bookmarkStart w:id="41" w:name="_Toc89675157"/>
      <w:bookmarkStart w:id="42" w:name="_Toc275199618"/>
      <w:bookmarkStart w:id="43" w:name="_Toc11439"/>
      <w:bookmarkStart w:id="44" w:name="_Toc15059431"/>
      <w:bookmarkStart w:id="45" w:name="_Toc440628924"/>
      <w:r>
        <w:rPr>
          <w:rFonts w:hint="eastAsia"/>
          <w:color w:val="auto"/>
          <w:highlight w:val="none"/>
          <w:lang w:val="en-US" w:eastAsia="zh-CN"/>
        </w:rPr>
        <w:t xml:space="preserve">11. </w:t>
      </w:r>
      <w:r>
        <w:rPr>
          <w:rFonts w:hint="eastAsia"/>
          <w:color w:val="auto"/>
          <w:highlight w:val="none"/>
        </w:rPr>
        <w:t>无效参选条款</w:t>
      </w:r>
      <w:bookmarkEnd w:id="41"/>
      <w:bookmarkEnd w:id="42"/>
      <w:bookmarkEnd w:id="43"/>
      <w:bookmarkEnd w:id="44"/>
      <w:bookmarkEnd w:id="45"/>
    </w:p>
    <w:p w14:paraId="76036DE2">
      <w:pPr>
        <w:bidi w:val="0"/>
        <w:rPr>
          <w:color w:val="auto"/>
          <w:highlight w:val="none"/>
        </w:rPr>
      </w:pPr>
      <w:r>
        <w:rPr>
          <w:rFonts w:hint="eastAsia"/>
          <w:color w:val="auto"/>
          <w:highlight w:val="none"/>
        </w:rPr>
        <w:t>参选人或其参选文件出现下列情况之一者，应为无效参选：</w:t>
      </w:r>
    </w:p>
    <w:p w14:paraId="53F492C5">
      <w:pPr>
        <w:bidi w:val="0"/>
        <w:rPr>
          <w:color w:val="auto"/>
          <w:highlight w:val="none"/>
        </w:rPr>
      </w:pPr>
      <w:r>
        <w:rPr>
          <w:rFonts w:hint="eastAsia"/>
          <w:color w:val="auto"/>
          <w:highlight w:val="none"/>
          <w:lang w:val="en-US" w:eastAsia="zh-CN"/>
        </w:rPr>
        <w:t xml:space="preserve">11.1 </w:t>
      </w:r>
      <w:r>
        <w:rPr>
          <w:color w:val="auto"/>
          <w:highlight w:val="none"/>
        </w:rPr>
        <w:t>参选人未按比选文件规定提交足额参选保证金的</w:t>
      </w:r>
      <w:r>
        <w:rPr>
          <w:rFonts w:hint="eastAsia"/>
          <w:color w:val="auto"/>
          <w:highlight w:val="none"/>
        </w:rPr>
        <w:t>。</w:t>
      </w:r>
    </w:p>
    <w:p w14:paraId="1CDC40ED">
      <w:pPr>
        <w:bidi w:val="0"/>
        <w:rPr>
          <w:color w:val="auto"/>
          <w:highlight w:val="none"/>
        </w:rPr>
      </w:pPr>
      <w:r>
        <w:rPr>
          <w:rFonts w:hint="eastAsia"/>
          <w:color w:val="auto"/>
          <w:highlight w:val="none"/>
          <w:lang w:val="en-US" w:eastAsia="zh-CN"/>
        </w:rPr>
        <w:t xml:space="preserve">11.2 </w:t>
      </w:r>
      <w:r>
        <w:rPr>
          <w:color w:val="auto"/>
          <w:highlight w:val="none"/>
        </w:rPr>
        <w:t>参选人未通过资格性检查，参选文件未通过符合性检查或参选文件经证实存在弄虚作假的</w:t>
      </w:r>
      <w:r>
        <w:rPr>
          <w:rFonts w:hint="eastAsia"/>
          <w:color w:val="auto"/>
          <w:highlight w:val="none"/>
        </w:rPr>
        <w:t>。</w:t>
      </w:r>
    </w:p>
    <w:p w14:paraId="7E44074B">
      <w:pPr>
        <w:bidi w:val="0"/>
        <w:rPr>
          <w:color w:val="auto"/>
          <w:highlight w:val="none"/>
        </w:rPr>
      </w:pPr>
      <w:r>
        <w:rPr>
          <w:rFonts w:hint="eastAsia"/>
          <w:color w:val="auto"/>
          <w:highlight w:val="none"/>
          <w:lang w:val="en-US" w:eastAsia="zh-CN"/>
        </w:rPr>
        <w:t xml:space="preserve">11.3 </w:t>
      </w:r>
      <w:r>
        <w:rPr>
          <w:rFonts w:hint="eastAsia"/>
          <w:color w:val="auto"/>
          <w:highlight w:val="none"/>
        </w:rPr>
        <w:t>参选人超出其营业执照或事业单位法人证书上经营范围（业务范围）参选的。</w:t>
      </w:r>
    </w:p>
    <w:p w14:paraId="54A3F31E">
      <w:pPr>
        <w:bidi w:val="0"/>
        <w:rPr>
          <w:color w:val="auto"/>
          <w:highlight w:val="none"/>
        </w:rPr>
      </w:pPr>
      <w:r>
        <w:rPr>
          <w:rFonts w:hint="eastAsia"/>
          <w:color w:val="auto"/>
          <w:highlight w:val="none"/>
          <w:lang w:val="en-US" w:eastAsia="zh-CN"/>
        </w:rPr>
        <w:t xml:space="preserve">11.4 </w:t>
      </w:r>
      <w:r>
        <w:rPr>
          <w:rFonts w:hint="eastAsia"/>
          <w:color w:val="auto"/>
          <w:highlight w:val="none"/>
        </w:rPr>
        <w:t>单位负责人为同一人或者存在直接控股、管理关系的不同参选人，不得参加同一合同项下的采购活动。</w:t>
      </w:r>
    </w:p>
    <w:p w14:paraId="0890D3B7">
      <w:pPr>
        <w:bidi w:val="0"/>
        <w:rPr>
          <w:color w:val="auto"/>
          <w:highlight w:val="none"/>
        </w:rPr>
      </w:pPr>
      <w:r>
        <w:rPr>
          <w:rFonts w:hint="eastAsia"/>
          <w:color w:val="auto"/>
          <w:highlight w:val="none"/>
          <w:lang w:val="en-US" w:eastAsia="zh-CN"/>
        </w:rPr>
        <w:t xml:space="preserve">11.5 </w:t>
      </w:r>
      <w:r>
        <w:rPr>
          <w:color w:val="auto"/>
          <w:highlight w:val="none"/>
        </w:rPr>
        <w:t>同一分包的软件，制造商参与参选，再委托代理商参与参选的</w:t>
      </w:r>
      <w:r>
        <w:rPr>
          <w:rFonts w:hint="eastAsia"/>
          <w:color w:val="auto"/>
          <w:highlight w:val="none"/>
        </w:rPr>
        <w:t>。</w:t>
      </w:r>
    </w:p>
    <w:p w14:paraId="7CCADDFA">
      <w:pPr>
        <w:bidi w:val="0"/>
        <w:rPr>
          <w:color w:val="auto"/>
          <w:highlight w:val="none"/>
        </w:rPr>
      </w:pPr>
      <w:r>
        <w:rPr>
          <w:rFonts w:hint="eastAsia"/>
          <w:color w:val="auto"/>
          <w:highlight w:val="none"/>
          <w:lang w:val="en-US" w:eastAsia="zh-CN"/>
        </w:rPr>
        <w:t xml:space="preserve">11.6 </w:t>
      </w:r>
      <w:r>
        <w:rPr>
          <w:color w:val="auto"/>
          <w:highlight w:val="none"/>
        </w:rPr>
        <w:t>参选文件不满足比选文件第</w:t>
      </w:r>
      <w:r>
        <w:rPr>
          <w:rFonts w:hint="eastAsia"/>
          <w:color w:val="auto"/>
          <w:highlight w:val="none"/>
          <w:lang w:val="en-US" w:eastAsia="zh-CN"/>
        </w:rPr>
        <w:t>六</w:t>
      </w:r>
      <w:r>
        <w:rPr>
          <w:color w:val="auto"/>
          <w:highlight w:val="none"/>
        </w:rPr>
        <w:t>章参选文件格式中所规定签字、盖章的</w:t>
      </w:r>
      <w:r>
        <w:rPr>
          <w:rFonts w:hint="eastAsia"/>
          <w:color w:val="auto"/>
          <w:highlight w:val="none"/>
        </w:rPr>
        <w:t>。</w:t>
      </w:r>
    </w:p>
    <w:p w14:paraId="34AC2FEC">
      <w:pPr>
        <w:bidi w:val="0"/>
        <w:rPr>
          <w:color w:val="auto"/>
          <w:highlight w:val="none"/>
        </w:rPr>
      </w:pPr>
      <w:r>
        <w:rPr>
          <w:rFonts w:hint="eastAsia"/>
          <w:color w:val="auto"/>
          <w:highlight w:val="none"/>
          <w:lang w:val="en-US" w:eastAsia="zh-CN"/>
        </w:rPr>
        <w:t xml:space="preserve">11.7 </w:t>
      </w:r>
      <w:r>
        <w:rPr>
          <w:color w:val="auto"/>
          <w:highlight w:val="none"/>
        </w:rPr>
        <w:t>参选文件出现多个参选方案或参选报价的</w:t>
      </w:r>
      <w:r>
        <w:rPr>
          <w:rFonts w:hint="eastAsia"/>
          <w:color w:val="auto"/>
          <w:highlight w:val="none"/>
        </w:rPr>
        <w:t>。</w:t>
      </w:r>
    </w:p>
    <w:p w14:paraId="71FDB6B9">
      <w:pPr>
        <w:bidi w:val="0"/>
        <w:rPr>
          <w:color w:val="auto"/>
          <w:highlight w:val="none"/>
        </w:rPr>
      </w:pPr>
      <w:r>
        <w:rPr>
          <w:rFonts w:hint="eastAsia"/>
          <w:color w:val="auto"/>
          <w:highlight w:val="none"/>
          <w:lang w:val="en-US" w:eastAsia="zh-CN"/>
        </w:rPr>
        <w:t xml:space="preserve">11.8 </w:t>
      </w:r>
      <w:r>
        <w:rPr>
          <w:color w:val="auto"/>
          <w:highlight w:val="none"/>
        </w:rPr>
        <w:t>参选报价超出最高限价的</w:t>
      </w:r>
      <w:r>
        <w:rPr>
          <w:rFonts w:hint="eastAsia"/>
          <w:color w:val="auto"/>
          <w:highlight w:val="none"/>
        </w:rPr>
        <w:t>。</w:t>
      </w:r>
    </w:p>
    <w:p w14:paraId="2B3C0CB8">
      <w:pPr>
        <w:bidi w:val="0"/>
        <w:rPr>
          <w:color w:val="auto"/>
          <w:highlight w:val="none"/>
        </w:rPr>
      </w:pPr>
      <w:r>
        <w:rPr>
          <w:rFonts w:hint="eastAsia"/>
          <w:color w:val="auto"/>
          <w:highlight w:val="none"/>
          <w:lang w:val="en-US" w:eastAsia="zh-CN"/>
        </w:rPr>
        <w:t xml:space="preserve">11.9 </w:t>
      </w:r>
      <w:r>
        <w:rPr>
          <w:color w:val="auto"/>
          <w:highlight w:val="none"/>
        </w:rPr>
        <w:t>参选文件含有违反国家法律、法规的内容，或附有比选人不能接受的条件的。</w:t>
      </w:r>
    </w:p>
    <w:p w14:paraId="3641E687">
      <w:pPr>
        <w:bidi w:val="0"/>
        <w:rPr>
          <w:color w:val="auto"/>
          <w:highlight w:val="none"/>
        </w:rPr>
      </w:pPr>
      <w:r>
        <w:rPr>
          <w:rFonts w:hint="eastAsia"/>
          <w:color w:val="auto"/>
          <w:highlight w:val="none"/>
          <w:lang w:val="en-US" w:eastAsia="zh-CN"/>
        </w:rPr>
        <w:t xml:space="preserve">11.10 </w:t>
      </w:r>
      <w:r>
        <w:rPr>
          <w:rFonts w:hint="eastAsia"/>
          <w:color w:val="auto"/>
          <w:highlight w:val="none"/>
        </w:rPr>
        <w:t>出现影响比选公正的违法、违规行为的。</w:t>
      </w:r>
    </w:p>
    <w:p w14:paraId="77BEA317">
      <w:pPr>
        <w:bidi w:val="0"/>
        <w:rPr>
          <w:color w:val="auto"/>
          <w:highlight w:val="none"/>
        </w:rPr>
      </w:pPr>
      <w:r>
        <w:rPr>
          <w:rFonts w:hint="eastAsia"/>
          <w:color w:val="auto"/>
          <w:highlight w:val="none"/>
          <w:lang w:val="en-US" w:eastAsia="zh-CN"/>
        </w:rPr>
        <w:t xml:space="preserve">11.11 </w:t>
      </w:r>
      <w:r>
        <w:rPr>
          <w:rFonts w:hint="eastAsia"/>
          <w:color w:val="auto"/>
          <w:highlight w:val="none"/>
        </w:rPr>
        <w:t>与比选人、评审专家、其他参选人恶意串通。</w:t>
      </w:r>
    </w:p>
    <w:p w14:paraId="0094E92C">
      <w:pPr>
        <w:bidi w:val="0"/>
        <w:rPr>
          <w:color w:val="auto"/>
          <w:highlight w:val="none"/>
        </w:rPr>
      </w:pPr>
      <w:r>
        <w:rPr>
          <w:rFonts w:hint="eastAsia"/>
          <w:color w:val="auto"/>
          <w:highlight w:val="none"/>
          <w:lang w:val="en-US" w:eastAsia="zh-CN"/>
        </w:rPr>
        <w:t xml:space="preserve">11.12 </w:t>
      </w:r>
      <w:r>
        <w:rPr>
          <w:rFonts w:hint="eastAsia"/>
          <w:color w:val="auto"/>
          <w:highlight w:val="none"/>
        </w:rPr>
        <w:t>参选法人发生合并、分立、破产等重大变化后，不再具备比选要求的资格条件的。</w:t>
      </w:r>
    </w:p>
    <w:p w14:paraId="4B184D15">
      <w:pPr>
        <w:bidi w:val="0"/>
        <w:rPr>
          <w:color w:val="auto"/>
          <w:highlight w:val="none"/>
        </w:rPr>
      </w:pPr>
      <w:r>
        <w:rPr>
          <w:rFonts w:hint="eastAsia"/>
          <w:color w:val="auto"/>
          <w:highlight w:val="none"/>
          <w:lang w:val="en-US" w:eastAsia="zh-CN"/>
        </w:rPr>
        <w:t xml:space="preserve">11.13 </w:t>
      </w:r>
      <w:r>
        <w:rPr>
          <w:rFonts w:hint="eastAsia"/>
          <w:color w:val="auto"/>
          <w:highlight w:val="none"/>
        </w:rPr>
        <w:t>提供虚假材料谋取中选资格的。</w:t>
      </w:r>
    </w:p>
    <w:p w14:paraId="121331E6">
      <w:pPr>
        <w:bidi w:val="0"/>
        <w:rPr>
          <w:rFonts w:hint="eastAsia"/>
          <w:color w:val="auto"/>
          <w:highlight w:val="none"/>
          <w:lang w:val="en-US" w:eastAsia="zh-CN"/>
        </w:rPr>
      </w:pPr>
      <w:r>
        <w:rPr>
          <w:rFonts w:hint="eastAsia"/>
          <w:color w:val="auto"/>
          <w:highlight w:val="none"/>
          <w:lang w:val="en-US" w:eastAsia="zh-CN"/>
        </w:rPr>
        <w:t>11.14 参选文件含有比选人不能接受的附件条件的。</w:t>
      </w:r>
    </w:p>
    <w:p w14:paraId="0E150E10">
      <w:pPr>
        <w:pStyle w:val="3"/>
        <w:keepNext w:val="0"/>
        <w:keepLines w:val="0"/>
        <w:pageBreakBefore w:val="0"/>
        <w:widowControl w:val="0"/>
        <w:kinsoku/>
        <w:wordWrap/>
        <w:overflowPunct/>
        <w:topLinePunct w:val="0"/>
        <w:autoSpaceDE w:val="0"/>
        <w:autoSpaceDN w:val="0"/>
        <w:bidi w:val="0"/>
        <w:adjustRightInd/>
        <w:spacing w:line="600" w:lineRule="exact"/>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 比选失败情形</w:t>
      </w:r>
    </w:p>
    <w:p w14:paraId="1D4F129E">
      <w:pPr>
        <w:keepNext w:val="0"/>
        <w:keepLines w:val="0"/>
        <w:pageBreakBefore w:val="0"/>
        <w:widowControl w:val="0"/>
        <w:kinsoku/>
        <w:wordWrap/>
        <w:overflowPunct/>
        <w:topLinePunct w:val="0"/>
        <w:autoSpaceDE w:val="0"/>
        <w:autoSpaceDN w:val="0"/>
        <w:bidi w:val="0"/>
        <w:adjustRightInd/>
        <w:snapToGrid w:val="0"/>
        <w:spacing w:line="60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出现以下情形本次比选失败：</w:t>
      </w:r>
    </w:p>
    <w:p w14:paraId="4D67F1C5">
      <w:pPr>
        <w:keepNext w:val="0"/>
        <w:keepLines w:val="0"/>
        <w:pageBreakBefore w:val="0"/>
        <w:widowControl w:val="0"/>
        <w:kinsoku/>
        <w:wordWrap/>
        <w:overflowPunct/>
        <w:topLinePunct w:val="0"/>
        <w:autoSpaceDE w:val="0"/>
        <w:autoSpaceDN w:val="0"/>
        <w:bidi w:val="0"/>
        <w:adjustRightInd/>
        <w:snapToGrid w:val="0"/>
        <w:spacing w:line="600" w:lineRule="exact"/>
        <w:ind w:firstLine="420" w:firstLineChars="200"/>
        <w:textAlignment w:val="auto"/>
        <w:rPr>
          <w:rFonts w:hint="eastAsia"/>
          <w:color w:val="auto"/>
          <w:highlight w:val="none"/>
        </w:rPr>
      </w:pPr>
      <w:r>
        <w:rPr>
          <w:rFonts w:hint="eastAsia"/>
          <w:color w:val="auto"/>
          <w:highlight w:val="none"/>
          <w:lang w:val="en-US" w:eastAsia="zh-CN"/>
        </w:rPr>
        <w:t>12.</w:t>
      </w:r>
      <w:r>
        <w:rPr>
          <w:rFonts w:hint="eastAsia"/>
          <w:color w:val="auto"/>
          <w:highlight w:val="none"/>
        </w:rPr>
        <w:t>1</w:t>
      </w:r>
      <w:r>
        <w:rPr>
          <w:rFonts w:hint="eastAsia"/>
          <w:color w:val="auto"/>
          <w:highlight w:val="none"/>
          <w:lang w:eastAsia="zh-CN"/>
        </w:rPr>
        <w:t xml:space="preserve"> 参选截止</w:t>
      </w:r>
      <w:r>
        <w:rPr>
          <w:rFonts w:hint="eastAsia"/>
          <w:color w:val="auto"/>
          <w:highlight w:val="none"/>
        </w:rPr>
        <w:t>时间止，</w:t>
      </w:r>
      <w:r>
        <w:rPr>
          <w:rFonts w:hint="eastAsia"/>
          <w:color w:val="auto"/>
          <w:highlight w:val="none"/>
          <w:lang w:val="en-US" w:eastAsia="zh-CN"/>
        </w:rPr>
        <w:t>参选</w:t>
      </w:r>
      <w:r>
        <w:rPr>
          <w:rFonts w:hint="eastAsia"/>
          <w:color w:val="auto"/>
          <w:highlight w:val="none"/>
        </w:rPr>
        <w:t>人少于2个的</w:t>
      </w:r>
      <w:r>
        <w:rPr>
          <w:rFonts w:hint="eastAsia"/>
          <w:color w:val="auto"/>
          <w:highlight w:val="none"/>
          <w:lang w:eastAsia="zh-CN"/>
        </w:rPr>
        <w:t>。</w:t>
      </w:r>
    </w:p>
    <w:p w14:paraId="02A4BE77">
      <w:pPr>
        <w:bidi w:val="0"/>
        <w:rPr>
          <w:rFonts w:hint="eastAsia"/>
          <w:color w:val="auto"/>
          <w:highlight w:val="none"/>
          <w:lang w:val="en-US" w:eastAsia="zh-CN"/>
        </w:rPr>
      </w:pPr>
      <w:r>
        <w:rPr>
          <w:rFonts w:hint="eastAsia"/>
          <w:color w:val="auto"/>
          <w:highlight w:val="none"/>
          <w:lang w:eastAsia="zh-CN"/>
        </w:rPr>
        <w:t>1</w:t>
      </w:r>
      <w:r>
        <w:rPr>
          <w:rFonts w:hint="eastAsia"/>
          <w:color w:val="auto"/>
          <w:highlight w:val="none"/>
          <w:lang w:val="en-US" w:eastAsia="zh-CN"/>
        </w:rPr>
        <w:t xml:space="preserve">2.2 </w:t>
      </w:r>
      <w:r>
        <w:rPr>
          <w:rFonts w:hint="eastAsia"/>
          <w:color w:val="auto"/>
          <w:highlight w:val="none"/>
        </w:rPr>
        <w:t>经</w:t>
      </w:r>
      <w:r>
        <w:rPr>
          <w:rFonts w:hint="eastAsia"/>
          <w:color w:val="auto"/>
          <w:highlight w:val="none"/>
          <w:lang w:val="en-US" w:eastAsia="zh-CN"/>
        </w:rPr>
        <w:t>评审委员会</w:t>
      </w:r>
      <w:r>
        <w:rPr>
          <w:rFonts w:hint="eastAsia"/>
          <w:color w:val="auto"/>
          <w:highlight w:val="none"/>
        </w:rPr>
        <w:t>评审后否决所有</w:t>
      </w:r>
      <w:r>
        <w:rPr>
          <w:rFonts w:hint="eastAsia"/>
          <w:color w:val="auto"/>
          <w:highlight w:val="none"/>
          <w:lang w:val="en-US" w:eastAsia="zh-CN"/>
        </w:rPr>
        <w:t>参选</w:t>
      </w:r>
      <w:r>
        <w:rPr>
          <w:rFonts w:hint="eastAsia"/>
          <w:color w:val="auto"/>
          <w:highlight w:val="none"/>
        </w:rPr>
        <w:t>的。</w:t>
      </w:r>
    </w:p>
    <w:p w14:paraId="37F83092">
      <w:pPr>
        <w:pStyle w:val="3"/>
        <w:bidi w:val="0"/>
        <w:rPr>
          <w:color w:val="auto"/>
          <w:highlight w:val="none"/>
        </w:rPr>
      </w:pPr>
      <w:r>
        <w:rPr>
          <w:rFonts w:hint="eastAsia"/>
          <w:color w:val="auto"/>
          <w:highlight w:val="none"/>
          <w:lang w:val="en-US" w:eastAsia="zh-CN"/>
        </w:rPr>
        <w:t xml:space="preserve">13. </w:t>
      </w:r>
      <w:r>
        <w:rPr>
          <w:rFonts w:hint="eastAsia"/>
          <w:color w:val="auto"/>
          <w:highlight w:val="none"/>
        </w:rPr>
        <w:t>终止</w:t>
      </w:r>
      <w:r>
        <w:rPr>
          <w:color w:val="auto"/>
          <w:highlight w:val="none"/>
        </w:rPr>
        <w:t>比选</w:t>
      </w:r>
      <w:bookmarkEnd w:id="39"/>
    </w:p>
    <w:p w14:paraId="75E0796A">
      <w:pPr>
        <w:bidi w:val="0"/>
        <w:rPr>
          <w:color w:val="auto"/>
          <w:highlight w:val="none"/>
        </w:rPr>
      </w:pPr>
      <w:r>
        <w:rPr>
          <w:rFonts w:hint="eastAsia"/>
          <w:color w:val="auto"/>
          <w:highlight w:val="none"/>
          <w:lang w:val="en-US" w:eastAsia="zh-CN"/>
        </w:rPr>
        <w:t xml:space="preserve">13.1 </w:t>
      </w:r>
      <w:r>
        <w:rPr>
          <w:rFonts w:hint="eastAsia"/>
          <w:color w:val="auto"/>
          <w:highlight w:val="none"/>
        </w:rPr>
        <w:t>因情况发生变化或其他原因造成该项目取消的，本次比选自动终止，双方互不承担责任，比选人无息退还参选保证金。</w:t>
      </w:r>
    </w:p>
    <w:p w14:paraId="3053956F">
      <w:pPr>
        <w:bidi w:val="0"/>
        <w:rPr>
          <w:color w:val="auto"/>
          <w:highlight w:val="none"/>
        </w:rPr>
      </w:pPr>
      <w:r>
        <w:rPr>
          <w:rFonts w:hint="eastAsia"/>
          <w:color w:val="auto"/>
          <w:highlight w:val="none"/>
          <w:lang w:val="en-US" w:eastAsia="zh-CN"/>
        </w:rPr>
        <w:t xml:space="preserve">13.2 </w:t>
      </w:r>
      <w:r>
        <w:rPr>
          <w:rFonts w:hint="eastAsia"/>
          <w:color w:val="auto"/>
          <w:highlight w:val="none"/>
        </w:rPr>
        <w:t>签订合同之前，比选人发现中选候选人经营、财务状况发生较大变化或存在违法行为，比选人认为可能影响其履约能力的，比选人可废除中选人或中选候选人资格。</w:t>
      </w:r>
    </w:p>
    <w:p w14:paraId="1A9F9378">
      <w:pPr>
        <w:pStyle w:val="3"/>
        <w:bidi w:val="0"/>
        <w:rPr>
          <w:color w:val="auto"/>
          <w:highlight w:val="none"/>
        </w:rPr>
      </w:pPr>
      <w:r>
        <w:rPr>
          <w:rFonts w:hint="eastAsia"/>
          <w:color w:val="auto"/>
          <w:highlight w:val="none"/>
          <w:lang w:val="en-US" w:eastAsia="zh-CN"/>
        </w:rPr>
        <w:t xml:space="preserve">14. </w:t>
      </w:r>
      <w:r>
        <w:rPr>
          <w:color w:val="auto"/>
          <w:highlight w:val="none"/>
        </w:rPr>
        <w:t>参选</w:t>
      </w:r>
      <w:r>
        <w:rPr>
          <w:rFonts w:hint="eastAsia"/>
          <w:color w:val="auto"/>
          <w:highlight w:val="none"/>
        </w:rPr>
        <w:t>费用</w:t>
      </w:r>
    </w:p>
    <w:p w14:paraId="134F2B9B">
      <w:pPr>
        <w:bidi w:val="0"/>
        <w:rPr>
          <w:color w:val="auto"/>
          <w:highlight w:val="none"/>
        </w:rPr>
      </w:pPr>
      <w:r>
        <w:rPr>
          <w:rFonts w:hint="eastAsia"/>
          <w:color w:val="auto"/>
          <w:highlight w:val="none"/>
        </w:rPr>
        <w:t>参选人参与本比选项目时，一切与参选有关的费用均由参选人自理。</w:t>
      </w:r>
    </w:p>
    <w:p w14:paraId="050BB89B">
      <w:pPr>
        <w:bidi w:val="0"/>
        <w:rPr>
          <w:rFonts w:hint="eastAsia" w:ascii="Times New Roman" w:hAnsi="Times New Roman" w:cs="Times New Roman"/>
          <w:color w:val="auto"/>
          <w:highlight w:val="none"/>
          <w:lang w:val="en-US" w:eastAsia="zh-CN"/>
        </w:rPr>
      </w:pPr>
      <w:r>
        <w:rPr>
          <w:rFonts w:hint="eastAsia"/>
          <w:color w:val="auto"/>
          <w:highlight w:val="none"/>
        </w:rPr>
        <w:t>本项目平台服务费</w:t>
      </w:r>
      <w:r>
        <w:rPr>
          <w:rFonts w:hint="eastAsia"/>
          <w:color w:val="auto"/>
          <w:highlight w:val="none"/>
          <w:lang w:val="en-US" w:eastAsia="zh-CN"/>
        </w:rPr>
        <w:t>按标段收取，</w:t>
      </w:r>
      <w:r>
        <w:rPr>
          <w:rFonts w:hint="eastAsia" w:ascii="Times New Roman" w:hAnsi="Times New Roman" w:cs="Times New Roman"/>
          <w:color w:val="auto"/>
          <w:highlight w:val="none"/>
          <w:lang w:val="en-US" w:eastAsia="zh-CN"/>
        </w:rPr>
        <w:t>各标段按下表比例（按差额定率累进计算方式）收取交易服务费，不足1.5万元的，按1.5万元收取：</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6"/>
        <w:gridCol w:w="4806"/>
      </w:tblGrid>
      <w:tr w14:paraId="14D9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716" w:type="dxa"/>
            <w:noWrap w:val="0"/>
            <w:vAlign w:val="center"/>
          </w:tcPr>
          <w:p w14:paraId="781D3B90">
            <w:pPr>
              <w:pStyle w:val="34"/>
              <w:bidi w:val="0"/>
              <w:rPr>
                <w:rFonts w:hint="default"/>
                <w:color w:val="auto"/>
                <w:highlight w:val="none"/>
              </w:rPr>
            </w:pPr>
            <w:r>
              <w:rPr>
                <w:rFonts w:hint="default"/>
                <w:color w:val="auto"/>
                <w:highlight w:val="none"/>
              </w:rPr>
              <w:t>每个标段（包）采购成交总金额</w:t>
            </w:r>
          </w:p>
        </w:tc>
        <w:tc>
          <w:tcPr>
            <w:tcW w:w="4806" w:type="dxa"/>
            <w:noWrap w:val="0"/>
            <w:vAlign w:val="center"/>
          </w:tcPr>
          <w:p w14:paraId="2D33E39A">
            <w:pPr>
              <w:pStyle w:val="34"/>
              <w:bidi w:val="0"/>
              <w:rPr>
                <w:rFonts w:hint="default"/>
                <w:color w:val="auto"/>
                <w:highlight w:val="none"/>
              </w:rPr>
            </w:pPr>
            <w:r>
              <w:rPr>
                <w:rFonts w:hint="default"/>
                <w:color w:val="auto"/>
                <w:highlight w:val="none"/>
              </w:rPr>
              <w:t>收费比例</w:t>
            </w:r>
          </w:p>
        </w:tc>
      </w:tr>
      <w:tr w14:paraId="2EE6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16" w:type="dxa"/>
            <w:noWrap w:val="0"/>
            <w:vAlign w:val="center"/>
          </w:tcPr>
          <w:p w14:paraId="6A6D32EA">
            <w:pPr>
              <w:pStyle w:val="33"/>
              <w:bidi w:val="0"/>
              <w:rPr>
                <w:rFonts w:hint="default"/>
                <w:color w:val="auto"/>
                <w:highlight w:val="none"/>
              </w:rPr>
            </w:pPr>
            <w:r>
              <w:rPr>
                <w:rFonts w:hint="default"/>
                <w:color w:val="auto"/>
                <w:highlight w:val="none"/>
              </w:rPr>
              <w:t>0-1000（含）万元</w:t>
            </w:r>
          </w:p>
        </w:tc>
        <w:tc>
          <w:tcPr>
            <w:tcW w:w="4806" w:type="dxa"/>
            <w:noWrap w:val="0"/>
            <w:vAlign w:val="center"/>
          </w:tcPr>
          <w:p w14:paraId="3742A220">
            <w:pPr>
              <w:pStyle w:val="33"/>
              <w:bidi w:val="0"/>
              <w:ind w:left="0" w:leftChars="0" w:right="0" w:rightChars="0" w:firstLine="0" w:firstLineChars="0"/>
              <w:jc w:val="center"/>
              <w:rPr>
                <w:rFonts w:hint="default"/>
                <w:color w:val="auto"/>
                <w:highlight w:val="none"/>
              </w:rPr>
            </w:pPr>
            <w:r>
              <w:rPr>
                <w:rFonts w:hint="default"/>
                <w:color w:val="auto"/>
                <w:highlight w:val="none"/>
              </w:rPr>
              <w:t>5‰</w:t>
            </w:r>
          </w:p>
        </w:tc>
      </w:tr>
      <w:tr w14:paraId="183E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16" w:type="dxa"/>
            <w:noWrap w:val="0"/>
            <w:vAlign w:val="center"/>
          </w:tcPr>
          <w:p w14:paraId="38929709">
            <w:pPr>
              <w:pStyle w:val="33"/>
              <w:bidi w:val="0"/>
              <w:rPr>
                <w:rFonts w:hint="default"/>
                <w:color w:val="auto"/>
                <w:highlight w:val="none"/>
              </w:rPr>
            </w:pPr>
            <w:r>
              <w:rPr>
                <w:rFonts w:hint="default"/>
                <w:color w:val="auto"/>
                <w:highlight w:val="none"/>
              </w:rPr>
              <w:t>1000-3000（含）万元</w:t>
            </w:r>
          </w:p>
        </w:tc>
        <w:tc>
          <w:tcPr>
            <w:tcW w:w="4806" w:type="dxa"/>
            <w:noWrap w:val="0"/>
            <w:vAlign w:val="center"/>
          </w:tcPr>
          <w:p w14:paraId="0622A23A">
            <w:pPr>
              <w:pStyle w:val="33"/>
              <w:bidi w:val="0"/>
              <w:ind w:left="0" w:leftChars="0" w:right="0" w:rightChars="0" w:firstLine="0" w:firstLineChars="0"/>
              <w:jc w:val="center"/>
              <w:rPr>
                <w:rFonts w:hint="default"/>
                <w:color w:val="auto"/>
                <w:highlight w:val="none"/>
              </w:rPr>
            </w:pPr>
            <w:r>
              <w:rPr>
                <w:rFonts w:hint="default"/>
                <w:color w:val="auto"/>
                <w:highlight w:val="none"/>
              </w:rPr>
              <w:t>2.5‰</w:t>
            </w:r>
          </w:p>
        </w:tc>
      </w:tr>
      <w:tr w14:paraId="333A4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16" w:type="dxa"/>
            <w:noWrap w:val="0"/>
            <w:vAlign w:val="center"/>
          </w:tcPr>
          <w:p w14:paraId="5AF82751">
            <w:pPr>
              <w:pStyle w:val="33"/>
              <w:bidi w:val="0"/>
              <w:rPr>
                <w:rFonts w:hint="default"/>
                <w:color w:val="auto"/>
                <w:highlight w:val="none"/>
              </w:rPr>
            </w:pPr>
            <w:r>
              <w:rPr>
                <w:rFonts w:hint="default"/>
                <w:color w:val="auto"/>
                <w:highlight w:val="none"/>
              </w:rPr>
              <w:t>3000-10000（含）万元</w:t>
            </w:r>
          </w:p>
        </w:tc>
        <w:tc>
          <w:tcPr>
            <w:tcW w:w="4806" w:type="dxa"/>
            <w:noWrap w:val="0"/>
            <w:vAlign w:val="center"/>
          </w:tcPr>
          <w:p w14:paraId="62180930">
            <w:pPr>
              <w:pStyle w:val="33"/>
              <w:bidi w:val="0"/>
              <w:ind w:left="0" w:leftChars="0" w:right="0" w:rightChars="0" w:firstLine="0" w:firstLineChars="0"/>
              <w:jc w:val="center"/>
              <w:rPr>
                <w:rFonts w:hint="default"/>
                <w:color w:val="auto"/>
                <w:highlight w:val="none"/>
              </w:rPr>
            </w:pPr>
            <w:r>
              <w:rPr>
                <w:rFonts w:hint="default"/>
                <w:color w:val="auto"/>
                <w:highlight w:val="none"/>
              </w:rPr>
              <w:t>1‰</w:t>
            </w:r>
          </w:p>
        </w:tc>
      </w:tr>
      <w:tr w14:paraId="6DB2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16" w:type="dxa"/>
            <w:noWrap w:val="0"/>
            <w:vAlign w:val="center"/>
          </w:tcPr>
          <w:p w14:paraId="01B7E0B4">
            <w:pPr>
              <w:pStyle w:val="33"/>
              <w:bidi w:val="0"/>
              <w:rPr>
                <w:rFonts w:hint="default"/>
                <w:color w:val="auto"/>
                <w:highlight w:val="none"/>
              </w:rPr>
            </w:pPr>
            <w:r>
              <w:rPr>
                <w:rFonts w:hint="default"/>
                <w:color w:val="auto"/>
                <w:highlight w:val="none"/>
              </w:rPr>
              <w:t>10000万元以上</w:t>
            </w:r>
          </w:p>
        </w:tc>
        <w:tc>
          <w:tcPr>
            <w:tcW w:w="4806" w:type="dxa"/>
            <w:noWrap w:val="0"/>
            <w:vAlign w:val="center"/>
          </w:tcPr>
          <w:p w14:paraId="699AA4C5">
            <w:pPr>
              <w:pStyle w:val="33"/>
              <w:bidi w:val="0"/>
              <w:ind w:left="0" w:leftChars="0" w:right="0" w:rightChars="0" w:firstLine="0" w:firstLineChars="0"/>
              <w:jc w:val="center"/>
              <w:rPr>
                <w:rFonts w:hint="default"/>
                <w:color w:val="auto"/>
                <w:highlight w:val="none"/>
              </w:rPr>
            </w:pPr>
            <w:r>
              <w:rPr>
                <w:rFonts w:hint="default"/>
                <w:color w:val="auto"/>
                <w:highlight w:val="none"/>
              </w:rPr>
              <w:t>0.5‰</w:t>
            </w:r>
          </w:p>
        </w:tc>
      </w:tr>
    </w:tbl>
    <w:p w14:paraId="19400423">
      <w:pPr>
        <w:rPr>
          <w:rFonts w:hint="eastAsia"/>
          <w:color w:val="auto"/>
          <w:highlight w:val="none"/>
        </w:rPr>
      </w:pPr>
      <w:r>
        <w:rPr>
          <w:rFonts w:hint="eastAsia"/>
          <w:color w:val="auto"/>
          <w:highlight w:val="none"/>
        </w:rPr>
        <w:t>例如：某标段（包）采购成交总金额3200万元，计算平台服务费收费额如下：</w:t>
      </w:r>
    </w:p>
    <w:p w14:paraId="12F73297">
      <w:pPr>
        <w:rPr>
          <w:rFonts w:hint="eastAsia"/>
          <w:color w:val="auto"/>
          <w:highlight w:val="none"/>
        </w:rPr>
      </w:pPr>
      <w:r>
        <w:rPr>
          <w:rFonts w:hint="eastAsia"/>
          <w:color w:val="auto"/>
          <w:highlight w:val="none"/>
        </w:rPr>
        <w:t>1000万元×5‰=5万元</w:t>
      </w:r>
    </w:p>
    <w:p w14:paraId="695E1C2B">
      <w:pPr>
        <w:rPr>
          <w:rFonts w:hint="eastAsia"/>
          <w:color w:val="auto"/>
          <w:highlight w:val="none"/>
        </w:rPr>
      </w:pPr>
      <w:r>
        <w:rPr>
          <w:rFonts w:hint="eastAsia"/>
          <w:color w:val="auto"/>
          <w:highlight w:val="none"/>
        </w:rPr>
        <w:t>（3000-1000）万元×2.5‰=5万元</w:t>
      </w:r>
    </w:p>
    <w:p w14:paraId="1021FBBA">
      <w:pPr>
        <w:rPr>
          <w:rFonts w:hint="eastAsia"/>
          <w:color w:val="auto"/>
          <w:highlight w:val="none"/>
        </w:rPr>
      </w:pPr>
      <w:r>
        <w:rPr>
          <w:rFonts w:hint="eastAsia"/>
          <w:color w:val="auto"/>
          <w:highlight w:val="none"/>
        </w:rPr>
        <w:t>（3200-3000）万元×1‰=0.2万元</w:t>
      </w:r>
    </w:p>
    <w:p w14:paraId="36D9CE2C">
      <w:pPr>
        <w:rPr>
          <w:rFonts w:hint="eastAsia"/>
          <w:color w:val="auto"/>
          <w:highlight w:val="none"/>
        </w:rPr>
      </w:pPr>
      <w:r>
        <w:rPr>
          <w:rFonts w:hint="eastAsia"/>
          <w:color w:val="auto"/>
          <w:highlight w:val="none"/>
        </w:rPr>
        <w:t>合计收费：=5+5+0.2=10.2万元</w:t>
      </w:r>
    </w:p>
    <w:p w14:paraId="65F8A14A">
      <w:pPr>
        <w:bidi w:val="0"/>
        <w:rPr>
          <w:rFonts w:hint="eastAsia"/>
          <w:color w:val="auto"/>
          <w:highlight w:val="none"/>
          <w:lang w:eastAsia="zh-CN"/>
        </w:rPr>
      </w:pPr>
      <w:r>
        <w:rPr>
          <w:rFonts w:hint="eastAsia"/>
          <w:color w:val="auto"/>
          <w:highlight w:val="none"/>
          <w:lang w:val="en-US" w:eastAsia="zh-CN"/>
        </w:rPr>
        <w:t>每个标段的平台服务费</w:t>
      </w:r>
      <w:r>
        <w:rPr>
          <w:rFonts w:hint="eastAsia"/>
          <w:color w:val="auto"/>
          <w:highlight w:val="none"/>
        </w:rPr>
        <w:t>由</w:t>
      </w:r>
      <w:r>
        <w:rPr>
          <w:rFonts w:hint="eastAsia"/>
          <w:color w:val="auto"/>
          <w:highlight w:val="none"/>
          <w:lang w:val="en-US" w:eastAsia="zh-CN"/>
        </w:rPr>
        <w:t>该标段</w:t>
      </w:r>
      <w:r>
        <w:rPr>
          <w:rFonts w:hint="eastAsia"/>
          <w:color w:val="auto"/>
          <w:highlight w:val="none"/>
        </w:rPr>
        <w:t>中选人向重庆联合产权交易所集团股份有限公司支付。中选人应在领取中选通知书时一次性缴纳</w:t>
      </w:r>
      <w:r>
        <w:rPr>
          <w:rFonts w:hint="eastAsia"/>
          <w:color w:val="auto"/>
          <w:highlight w:val="none"/>
          <w:lang w:eastAsia="zh-CN"/>
        </w:rPr>
        <w:t>，请各参选人综合考虑进行报价。</w:t>
      </w:r>
    </w:p>
    <w:p w14:paraId="5AEB41FA">
      <w:pPr>
        <w:widowControl/>
        <w:jc w:val="left"/>
        <w:rPr>
          <w:rFonts w:ascii="宋体" w:hAnsi="宋体" w:cs="Cambria"/>
          <w:snapToGrid w:val="0"/>
          <w:color w:val="auto"/>
          <w:kern w:val="0"/>
          <w:szCs w:val="28"/>
          <w:highlight w:val="none"/>
        </w:rPr>
      </w:pPr>
      <w:r>
        <w:rPr>
          <w:rFonts w:ascii="宋体" w:hAnsi="宋体" w:cs="Cambria"/>
          <w:snapToGrid w:val="0"/>
          <w:color w:val="auto"/>
          <w:kern w:val="0"/>
          <w:szCs w:val="28"/>
          <w:highlight w:val="none"/>
        </w:rPr>
        <w:br w:type="page"/>
      </w:r>
    </w:p>
    <w:p w14:paraId="5915A308">
      <w:pPr>
        <w:pStyle w:val="2"/>
        <w:rPr>
          <w:rFonts w:ascii="Times New Roman" w:hAnsi="Times New Roman"/>
        </w:rPr>
      </w:pPr>
      <w:bookmarkStart w:id="46" w:name="_Toc4532"/>
      <w:r>
        <w:rPr>
          <w:rFonts w:hint="eastAsia" w:ascii="Times New Roman" w:hAnsi="Times New Roman"/>
        </w:rPr>
        <w:t>第三章 项目要求</w:t>
      </w:r>
      <w:bookmarkEnd w:id="46"/>
    </w:p>
    <w:p w14:paraId="15E10B4F">
      <w:pPr>
        <w:pStyle w:val="3"/>
        <w:numPr>
          <w:ilvl w:val="0"/>
          <w:numId w:val="0"/>
        </w:numPr>
        <w:ind w:left="360" w:leftChars="0" w:hanging="360" w:firstLineChars="0"/>
        <w:rPr>
          <w:rFonts w:ascii="Times New Roman" w:hAnsi="Times New Roman"/>
        </w:rPr>
      </w:pPr>
      <w:r>
        <w:rPr>
          <w:rFonts w:hint="default" w:ascii="Times New Roman" w:hAnsi="Times New Roman" w:eastAsia="宋体" w:cstheme="majorBidi"/>
          <w:b/>
          <w:bCs/>
          <w:snapToGrid w:val="0"/>
          <w:kern w:val="2"/>
          <w:sz w:val="21"/>
          <w:szCs w:val="24"/>
          <w:lang w:val="en-US" w:eastAsia="zh-CN" w:bidi="ar-SA"/>
        </w:rPr>
        <w:t>1.</w:t>
      </w:r>
      <w:r>
        <w:rPr>
          <w:rFonts w:hint="eastAsia" w:ascii="Times New Roman" w:hAnsi="Times New Roman" w:cstheme="majorBidi"/>
          <w:b/>
          <w:bCs/>
          <w:snapToGrid w:val="0"/>
          <w:kern w:val="2"/>
          <w:sz w:val="21"/>
          <w:szCs w:val="24"/>
          <w:lang w:val="en-US" w:eastAsia="zh-CN" w:bidi="ar-SA"/>
        </w:rPr>
        <w:t xml:space="preserve"> </w:t>
      </w:r>
      <w:r>
        <w:rPr>
          <w:rFonts w:hint="eastAsia" w:ascii="Times New Roman" w:hAnsi="Times New Roman"/>
        </w:rPr>
        <w:t>总体要求</w:t>
      </w:r>
    </w:p>
    <w:p w14:paraId="04FED8F8">
      <w:pPr>
        <w:bidi w:val="0"/>
      </w:pPr>
      <w:r>
        <w:rPr>
          <w:rFonts w:hint="eastAsia"/>
        </w:rPr>
        <w:t>参选人应根据实际情况保证提供达到</w:t>
      </w:r>
      <w:r>
        <w:t>比选</w:t>
      </w:r>
      <w:r>
        <w:rPr>
          <w:rFonts w:hint="eastAsia"/>
        </w:rPr>
        <w:t>文件要求的必要措施并详细列出“其它工作项”，没有列出，视为包含到</w:t>
      </w:r>
      <w:r>
        <w:t>比选</w:t>
      </w:r>
      <w:r>
        <w:rPr>
          <w:rFonts w:hint="eastAsia"/>
        </w:rPr>
        <w:t>工作中。</w:t>
      </w:r>
      <w:r>
        <w:t>参选</w:t>
      </w:r>
      <w:r>
        <w:rPr>
          <w:rFonts w:hint="eastAsia"/>
        </w:rPr>
        <w:t>报价固定，除发生采购人提出的变更外，合同价款不予调整。</w:t>
      </w:r>
      <w:r>
        <w:t>参选</w:t>
      </w:r>
      <w:r>
        <w:rPr>
          <w:rFonts w:hint="eastAsia"/>
        </w:rPr>
        <w:t>报价包含项目实施所需要的设备、运输、安装、培训、税费、管理费、调试相关物料、测试工具、仪器仪表、相关软件、辅助设施、电力电缆、差旅食宿、利润等施工相关的全部费用以及5年</w:t>
      </w:r>
      <w:r>
        <w:t>服务器设备原厂商硬件维保</w:t>
      </w:r>
      <w:r>
        <w:rPr>
          <w:rFonts w:hint="eastAsia"/>
        </w:rPr>
        <w:t>费用（</w:t>
      </w:r>
      <w:r>
        <w:t>维保</w:t>
      </w:r>
      <w:r>
        <w:rPr>
          <w:rFonts w:hint="eastAsia"/>
        </w:rPr>
        <w:t>期为</w:t>
      </w:r>
      <w:r>
        <w:t>设备到货加电测试通过</w:t>
      </w:r>
      <w:r>
        <w:rPr>
          <w:rFonts w:hint="eastAsia"/>
        </w:rPr>
        <w:t>完成签收工作之日起5年，</w:t>
      </w:r>
      <w:r>
        <w:t>比选人不再另行支付该维保期内维保费</w:t>
      </w:r>
      <w:r>
        <w:rPr>
          <w:rFonts w:hint="eastAsia"/>
        </w:rPr>
        <w:t>）。</w:t>
      </w:r>
    </w:p>
    <w:p w14:paraId="40DCC681">
      <w:pPr>
        <w:pStyle w:val="3"/>
        <w:bidi w:val="0"/>
      </w:pPr>
      <w:r>
        <w:rPr>
          <w:rFonts w:hint="default"/>
          <w:lang w:val="en-US" w:eastAsia="zh-CN"/>
        </w:rPr>
        <w:t>2.</w:t>
      </w:r>
      <w:r>
        <w:rPr>
          <w:rFonts w:hint="eastAsia"/>
          <w:lang w:val="en-US" w:eastAsia="zh-CN"/>
        </w:rPr>
        <w:t xml:space="preserve"> </w:t>
      </w:r>
      <w:r>
        <w:rPr>
          <w:rFonts w:hint="eastAsia"/>
        </w:rPr>
        <w:t>项目要求</w:t>
      </w:r>
    </w:p>
    <w:p w14:paraId="57604509">
      <w:pPr>
        <w:rPr>
          <w:rFonts w:ascii="Times New Roman" w:hAnsi="Times New Roman"/>
        </w:rPr>
      </w:pPr>
      <w:r>
        <w:rPr>
          <w:rFonts w:hint="eastAsia" w:ascii="Times New Roman" w:hAnsi="Times New Roman"/>
        </w:rPr>
        <w:t>2</w:t>
      </w:r>
      <w:r>
        <w:rPr>
          <w:rFonts w:ascii="Times New Roman" w:hAnsi="Times New Roman"/>
        </w:rPr>
        <w:t xml:space="preserve">.1 </w:t>
      </w:r>
      <w:r>
        <w:rPr>
          <w:rFonts w:hint="eastAsia" w:ascii="Times New Roman" w:hAnsi="Times New Roman"/>
        </w:rPr>
        <w:t>项目要求</w:t>
      </w:r>
    </w:p>
    <w:p w14:paraId="6FDB9FB5">
      <w:pPr>
        <w:rPr>
          <w:rFonts w:ascii="Times New Roman" w:hAnsi="Times New Roman"/>
        </w:rPr>
      </w:pPr>
      <w:r>
        <w:rPr>
          <w:rFonts w:ascii="Times New Roman" w:hAnsi="Times New Roman"/>
        </w:rPr>
        <w:t>1</w:t>
      </w:r>
      <w:r>
        <w:rPr>
          <w:rFonts w:hint="eastAsia" w:ascii="Times New Roman" w:hAnsi="Times New Roman"/>
        </w:rPr>
        <w:t>）此次采购的设备应与具有相应的后续扩容性，满足市场主流产品的兼容性；</w:t>
      </w:r>
    </w:p>
    <w:p w14:paraId="42C761C8">
      <w:pPr>
        <w:rPr>
          <w:rFonts w:ascii="Times New Roman" w:hAnsi="Times New Roman"/>
        </w:rPr>
      </w:pPr>
      <w:r>
        <w:rPr>
          <w:rFonts w:ascii="Times New Roman" w:hAnsi="Times New Roman"/>
        </w:rPr>
        <w:t>2</w:t>
      </w:r>
      <w:r>
        <w:rPr>
          <w:rFonts w:hint="eastAsia" w:ascii="Times New Roman" w:hAnsi="Times New Roman"/>
        </w:rPr>
        <w:t>）保证所采购设备均为原厂正规渠道行货，供货商需获得</w:t>
      </w:r>
      <w:r>
        <w:rPr>
          <w:rFonts w:ascii="Times New Roman" w:hAnsi="Times New Roman"/>
        </w:rPr>
        <w:t>设备</w:t>
      </w:r>
      <w:r>
        <w:rPr>
          <w:rFonts w:hint="eastAsia" w:ascii="Times New Roman" w:hAnsi="Times New Roman"/>
        </w:rPr>
        <w:t>原厂</w:t>
      </w:r>
      <w:r>
        <w:rPr>
          <w:rFonts w:ascii="Times New Roman" w:hAnsi="Times New Roman"/>
        </w:rPr>
        <w:t>商</w:t>
      </w:r>
      <w:r>
        <w:rPr>
          <w:rFonts w:hint="eastAsia" w:ascii="Times New Roman" w:hAnsi="Times New Roman"/>
        </w:rPr>
        <w:t>授权证明文件。</w:t>
      </w:r>
    </w:p>
    <w:p w14:paraId="023D4903">
      <w:pPr>
        <w:rPr>
          <w:rFonts w:ascii="Times New Roman" w:hAnsi="Times New Roman"/>
        </w:rPr>
      </w:pPr>
      <w:r>
        <w:rPr>
          <w:rFonts w:hint="eastAsia" w:ascii="Times New Roman" w:hAnsi="Times New Roman"/>
        </w:rPr>
        <w:t>2</w:t>
      </w:r>
      <w:r>
        <w:rPr>
          <w:rFonts w:ascii="Times New Roman" w:hAnsi="Times New Roman"/>
        </w:rPr>
        <w:t xml:space="preserve">.2 </w:t>
      </w:r>
      <w:r>
        <w:rPr>
          <w:rFonts w:hint="eastAsia" w:ascii="Times New Roman" w:hAnsi="Times New Roman"/>
        </w:rPr>
        <w:t>下列技术要求是对比选设备的关键性描述，</w:t>
      </w:r>
      <w:r>
        <w:rPr>
          <w:rFonts w:hint="eastAsia"/>
          <w:lang w:val="en-US" w:eastAsia="zh-CN"/>
        </w:rPr>
        <w:t>参选人</w:t>
      </w:r>
      <w:r>
        <w:rPr>
          <w:rFonts w:hint="eastAsia" w:ascii="Times New Roman" w:hAnsi="Times New Roman"/>
        </w:rPr>
        <w:t>必须严格遵守：</w:t>
      </w:r>
    </w:p>
    <w:p w14:paraId="4E785E28">
      <w:pPr>
        <w:rPr>
          <w:rFonts w:ascii="Times New Roman" w:hAnsi="Times New Roman"/>
        </w:rPr>
      </w:pPr>
      <w:r>
        <w:rPr>
          <w:rFonts w:hint="eastAsia" w:ascii="Times New Roman" w:hAnsi="Times New Roman"/>
        </w:rPr>
        <w:t>1）先进性：技术选择考虑先进性，即采用业界先进的、主流技术来进行设计。</w:t>
      </w:r>
    </w:p>
    <w:p w14:paraId="382D8433">
      <w:pPr>
        <w:rPr>
          <w:rFonts w:ascii="Times New Roman" w:hAnsi="Times New Roman"/>
        </w:rPr>
      </w:pPr>
      <w:r>
        <w:rPr>
          <w:rFonts w:hint="eastAsia" w:ascii="Times New Roman" w:hAnsi="Times New Roman"/>
        </w:rPr>
        <w:t>2）成熟性：采用成熟的技术及成熟产品和经过工程实践检验的先进技术。</w:t>
      </w:r>
    </w:p>
    <w:p w14:paraId="42A78973">
      <w:pPr>
        <w:rPr>
          <w:rFonts w:ascii="Times New Roman" w:hAnsi="Times New Roman"/>
        </w:rPr>
      </w:pPr>
      <w:r>
        <w:rPr>
          <w:rFonts w:hint="eastAsia" w:ascii="Times New Roman" w:hAnsi="Times New Roman"/>
        </w:rPr>
        <w:t>3）开放性：系统采用开放的技术标准，保证将来交互平台的延展使用。</w:t>
      </w:r>
    </w:p>
    <w:p w14:paraId="4450903E">
      <w:pPr>
        <w:rPr>
          <w:rFonts w:ascii="Times New Roman" w:hAnsi="Times New Roman"/>
        </w:rPr>
      </w:pPr>
      <w:r>
        <w:rPr>
          <w:rFonts w:hint="eastAsia" w:ascii="Times New Roman" w:hAnsi="Times New Roman"/>
        </w:rPr>
        <w:t>4）标准化：系统采用标准化的设计和标准化的主流产品。</w:t>
      </w:r>
    </w:p>
    <w:p w14:paraId="3C5FF557">
      <w:pPr>
        <w:rPr>
          <w:rFonts w:ascii="Times New Roman" w:hAnsi="Times New Roman"/>
        </w:rPr>
      </w:pPr>
      <w:r>
        <w:rPr>
          <w:rFonts w:hint="eastAsia" w:ascii="Times New Roman" w:hAnsi="Times New Roman"/>
        </w:rPr>
        <w:t>5）可扩展性：本次设备采购充分考虑未来3年的发展，为将来的扩展留有余地。</w:t>
      </w:r>
    </w:p>
    <w:p w14:paraId="08508E1A">
      <w:pPr>
        <w:rPr>
          <w:rFonts w:ascii="Times New Roman" w:hAnsi="Times New Roman"/>
        </w:rPr>
      </w:pPr>
      <w:r>
        <w:rPr>
          <w:rFonts w:hint="eastAsia" w:ascii="Times New Roman" w:hAnsi="Times New Roman"/>
        </w:rPr>
        <w:t>6）安全性及可靠性：包括系统自身安全和信息传递的安全。</w:t>
      </w:r>
    </w:p>
    <w:p w14:paraId="2AC801C1">
      <w:pPr>
        <w:pStyle w:val="3"/>
        <w:numPr>
          <w:ilvl w:val="0"/>
          <w:numId w:val="0"/>
        </w:numPr>
        <w:ind w:left="360" w:leftChars="0" w:hanging="360" w:firstLineChars="0"/>
        <w:rPr>
          <w:rFonts w:ascii="Times New Roman" w:hAnsi="Times New Roman"/>
        </w:rPr>
      </w:pPr>
      <w:r>
        <w:rPr>
          <w:rFonts w:hint="default" w:ascii="Times New Roman" w:hAnsi="Times New Roman" w:eastAsia="宋体" w:cstheme="majorBidi"/>
          <w:b/>
          <w:bCs/>
          <w:snapToGrid w:val="0"/>
          <w:kern w:val="2"/>
          <w:sz w:val="21"/>
          <w:szCs w:val="24"/>
          <w:lang w:val="en-US" w:eastAsia="zh-CN" w:bidi="ar-SA"/>
        </w:rPr>
        <w:t>3.</w:t>
      </w:r>
      <w:r>
        <w:rPr>
          <w:rFonts w:hint="eastAsia" w:ascii="Times New Roman" w:hAnsi="Times New Roman" w:cstheme="majorBidi"/>
          <w:b/>
          <w:bCs/>
          <w:snapToGrid w:val="0"/>
          <w:kern w:val="2"/>
          <w:sz w:val="21"/>
          <w:szCs w:val="24"/>
          <w:lang w:val="en-US" w:eastAsia="zh-CN" w:bidi="ar-SA"/>
        </w:rPr>
        <w:t xml:space="preserve"> </w:t>
      </w:r>
      <w:r>
        <w:rPr>
          <w:rFonts w:ascii="Times New Roman" w:hAnsi="Times New Roman"/>
        </w:rPr>
        <w:t>技术</w:t>
      </w:r>
      <w:r>
        <w:rPr>
          <w:rFonts w:hint="eastAsia" w:ascii="Times New Roman" w:hAnsi="Times New Roman"/>
        </w:rPr>
        <w:t>要求</w:t>
      </w:r>
    </w:p>
    <w:p w14:paraId="542CBCD5">
      <w:pPr>
        <w:pStyle w:val="4"/>
        <w:rPr>
          <w:rFonts w:hint="eastAsia" w:ascii="Times New Roman" w:hAnsi="Times New Roman"/>
        </w:rPr>
      </w:pPr>
      <w:r>
        <w:rPr>
          <w:rFonts w:hint="eastAsia" w:ascii="Times New Roman" w:hAnsi="Times New Roman" w:cs="Times New Roman"/>
        </w:rPr>
        <w:t>3.1</w:t>
      </w:r>
      <w:r>
        <w:rPr>
          <w:rFonts w:hint="eastAsia" w:ascii="Times New Roman" w:hAnsi="Times New Roman"/>
        </w:rPr>
        <w:t xml:space="preserve"> 基本技术要求</w:t>
      </w:r>
    </w:p>
    <w:p w14:paraId="6A1C5940">
      <w:pPr>
        <w:bidi w:val="0"/>
      </w:pPr>
      <w:r>
        <w:t>1）本次参选产品为非OEM产品（非贴牌及代工产品）。</w:t>
      </w:r>
    </w:p>
    <w:p w14:paraId="5D94415C">
      <w:pPr>
        <w:bidi w:val="0"/>
        <w:rPr>
          <w:rFonts w:hint="eastAsia" w:eastAsia="宋体"/>
          <w:lang w:eastAsia="zh-CN"/>
        </w:rPr>
      </w:pPr>
      <w:r>
        <w:t>2）提供参选产品硬盘的DWPD和性能指标证明材料、阵列卡的性能指标证明材料（硬盘厂家关于DWPD和性能的说明文档或截图、阵列卡厂家关于性能指标的说明文档或截图）并加盖参选人公章。</w:t>
      </w:r>
      <w:r>
        <w:rPr>
          <w:rFonts w:hint="eastAsia"/>
          <w:lang w:eastAsia="zh-CN"/>
        </w:rPr>
        <w:t>【</w:t>
      </w:r>
      <w:r>
        <w:rPr>
          <w:rFonts w:hint="eastAsia"/>
          <w:lang w:val="en-US" w:eastAsia="zh-CN"/>
        </w:rPr>
        <w:t>提供</w:t>
      </w:r>
      <w:r>
        <w:t>参选产品硬盘的DWPD和性能指标证明材料、阵列卡的性能指标证明材料</w:t>
      </w:r>
      <w:r>
        <w:rPr>
          <w:rFonts w:hint="eastAsia"/>
          <w:lang w:eastAsia="zh-CN"/>
        </w:rPr>
        <w:t>】</w:t>
      </w:r>
    </w:p>
    <w:p w14:paraId="46F10B3A">
      <w:pPr>
        <w:bidi w:val="0"/>
      </w:pPr>
      <w:r>
        <w:t>3）必须明确参选产品的服务器品牌及型号。</w:t>
      </w:r>
      <w:r>
        <w:rPr>
          <w:rFonts w:hint="eastAsia"/>
          <w:lang w:eastAsia="zh-CN"/>
        </w:rPr>
        <w:t>【</w:t>
      </w:r>
      <w:r>
        <w:rPr>
          <w:rFonts w:hint="eastAsia"/>
          <w:lang w:val="en-US" w:eastAsia="zh-CN"/>
        </w:rPr>
        <w:t>在分项报价明细表里明确品牌及型号</w:t>
      </w:r>
      <w:r>
        <w:rPr>
          <w:rFonts w:hint="eastAsia"/>
          <w:lang w:eastAsia="zh-CN"/>
        </w:rPr>
        <w:t>】</w:t>
      </w:r>
    </w:p>
    <w:p w14:paraId="19BE9E14">
      <w:pPr>
        <w:bidi w:val="0"/>
      </w:pPr>
      <w:r>
        <w:t>4）同一标段中所有整机配置涉及的</w:t>
      </w:r>
      <w:r>
        <w:rPr>
          <w:rFonts w:hint="eastAsia"/>
        </w:rPr>
        <w:t>所有类别的技术规格要求都为必须满足</w:t>
      </w:r>
      <w:r>
        <w:t>，配置项可以高于比选要求，</w:t>
      </w:r>
      <w:r>
        <w:rPr>
          <w:rFonts w:hint="eastAsia"/>
        </w:rPr>
        <w:t>但</w:t>
      </w:r>
      <w:r>
        <w:t>须</w:t>
      </w:r>
      <w:r>
        <w:rPr>
          <w:rFonts w:hint="eastAsia"/>
        </w:rPr>
        <w:t>满足服务器兼容性条件</w:t>
      </w:r>
      <w:r>
        <w:t>。如CPU：同代、同系列产品同时满足核心数、主频、缓存均等于或大于比选规定型号且满足兼容性条件视为满足要求。</w:t>
      </w:r>
    </w:p>
    <w:p w14:paraId="41C9D43B">
      <w:pPr>
        <w:bidi w:val="0"/>
        <w:rPr>
          <w:rFonts w:hint="eastAsia" w:eastAsia="宋体"/>
          <w:lang w:eastAsia="zh-CN"/>
        </w:rPr>
      </w:pPr>
      <w:r>
        <w:t>5）</w:t>
      </w:r>
      <w:r>
        <w:rPr>
          <w:rFonts w:hint="eastAsia"/>
          <w:lang w:val="en-US" w:eastAsia="zh-CN"/>
        </w:rPr>
        <w:t>根据</w:t>
      </w:r>
      <w:r>
        <w:t>比选</w:t>
      </w:r>
      <w:r>
        <w:rPr>
          <w:rFonts w:hint="eastAsia"/>
        </w:rPr>
        <w:t>文件</w:t>
      </w:r>
      <w:r>
        <w:rPr>
          <w:rFonts w:hint="eastAsia"/>
          <w:lang w:val="en-US" w:eastAsia="zh-CN"/>
        </w:rPr>
        <w:t>第三章第3.2条</w:t>
      </w:r>
      <w:r>
        <w:rPr>
          <w:rFonts w:hint="eastAsia"/>
        </w:rPr>
        <w:t>要求的技术参数</w:t>
      </w:r>
      <w:r>
        <w:rPr>
          <w:rFonts w:hint="eastAsia"/>
          <w:lang w:val="en-US" w:eastAsia="zh-CN"/>
        </w:rPr>
        <w:t>提供</w:t>
      </w:r>
      <w:r>
        <w:rPr>
          <w:rFonts w:hint="eastAsia"/>
        </w:rPr>
        <w:t>技术</w:t>
      </w:r>
      <w:r>
        <w:t>条款偏离</w:t>
      </w:r>
      <w:r>
        <w:rPr>
          <w:rFonts w:hint="eastAsia"/>
        </w:rPr>
        <w:t>表</w:t>
      </w:r>
      <w:r>
        <w:rPr>
          <w:rFonts w:hint="eastAsia"/>
          <w:lang w:eastAsia="zh-CN"/>
        </w:rPr>
        <w:t>，</w:t>
      </w:r>
      <w:r>
        <w:rPr>
          <w:rFonts w:hint="eastAsia"/>
          <w:lang w:val="en-US" w:eastAsia="zh-CN"/>
        </w:rPr>
        <w:t>偏离表</w:t>
      </w:r>
      <w:r>
        <w:rPr>
          <w:rFonts w:hint="eastAsia"/>
        </w:rPr>
        <w:t>必须做出明确的参数应答，不得使用“不低于”、“不少于”、“至少”</w:t>
      </w:r>
      <w:r>
        <w:t>、</w:t>
      </w:r>
      <w:r>
        <w:rPr>
          <w:rFonts w:hint="eastAsia"/>
        </w:rPr>
        <w:t>“</w:t>
      </w:r>
      <w:r>
        <w:t>最大</w:t>
      </w:r>
      <w:r>
        <w:rPr>
          <w:rFonts w:hint="eastAsia"/>
        </w:rPr>
        <w:t>”之类的描述</w:t>
      </w:r>
      <w:r>
        <w:t>，</w:t>
      </w:r>
      <w:r>
        <w:rPr>
          <w:rFonts w:hint="eastAsia"/>
        </w:rPr>
        <w:t>若部分部件技术指标确有类似描述，需提供相关佐证材料。</w:t>
      </w:r>
      <w:r>
        <w:rPr>
          <w:rFonts w:hint="eastAsia"/>
          <w:lang w:eastAsia="zh-CN"/>
        </w:rPr>
        <w:t>【</w:t>
      </w:r>
      <w:r>
        <w:rPr>
          <w:rFonts w:hint="eastAsia"/>
          <w:lang w:val="en-US" w:eastAsia="zh-CN"/>
        </w:rPr>
        <w:t>提供技术条款偏离表</w:t>
      </w:r>
      <w:r>
        <w:rPr>
          <w:rFonts w:hint="eastAsia"/>
          <w:lang w:eastAsia="zh-CN"/>
        </w:rPr>
        <w:t>】</w:t>
      </w:r>
    </w:p>
    <w:p w14:paraId="286350C8">
      <w:pPr>
        <w:bidi w:val="0"/>
      </w:pPr>
      <w:r>
        <w:t>6）服务器供货时须随箱提供服务器设备原厂商配置清单。</w:t>
      </w:r>
    </w:p>
    <w:p w14:paraId="7137C30C">
      <w:pPr>
        <w:pStyle w:val="4"/>
        <w:rPr>
          <w:rFonts w:hint="eastAsia" w:ascii="Times New Roman" w:hAnsi="Times New Roman"/>
        </w:rPr>
      </w:pPr>
      <w:r>
        <w:rPr>
          <w:rFonts w:hint="eastAsia" w:ascii="Times New Roman" w:hAnsi="Times New Roman" w:cs="Times New Roman"/>
        </w:rPr>
        <w:t>3.</w:t>
      </w:r>
      <w:r>
        <w:rPr>
          <w:rFonts w:ascii="Times New Roman" w:hAnsi="Times New Roman" w:cs="Times New Roman"/>
        </w:rPr>
        <w:t>2</w:t>
      </w:r>
      <w:r>
        <w:rPr>
          <w:rFonts w:hint="eastAsia" w:ascii="Times New Roman" w:hAnsi="Times New Roman"/>
        </w:rPr>
        <w:t xml:space="preserve"> </w:t>
      </w:r>
      <w:r>
        <w:rPr>
          <w:rFonts w:ascii="Times New Roman" w:hAnsi="Times New Roman"/>
        </w:rPr>
        <w:t>详细配置要求</w:t>
      </w:r>
    </w:p>
    <w:p w14:paraId="242EBCF6">
      <w:pPr>
        <w:pStyle w:val="4"/>
        <w:bidi w:val="0"/>
        <w:rPr>
          <w:rFonts w:hint="eastAsia" w:eastAsia="宋体"/>
          <w:lang w:eastAsia="zh-CN"/>
        </w:rPr>
      </w:pPr>
      <w:r>
        <w:rPr>
          <w:rFonts w:hint="eastAsia"/>
        </w:rPr>
        <w:t>1）2024年</w:t>
      </w:r>
      <w:r>
        <w:t>信创</w:t>
      </w:r>
      <w:r>
        <w:rPr>
          <w:rFonts w:hint="eastAsia"/>
        </w:rPr>
        <w:t>服务器采购项目</w:t>
      </w:r>
      <w:r>
        <w:rPr>
          <w:rFonts w:hint="eastAsia"/>
          <w:lang w:eastAsia="zh-CN"/>
        </w:rPr>
        <w:t>标段1：</w:t>
      </w:r>
    </w:p>
    <w:p w14:paraId="783C2635">
      <w:pPr>
        <w:rPr>
          <w:rFonts w:ascii="宋体"/>
          <w:snapToGrid w:val="0"/>
          <w:kern w:val="0"/>
          <w:szCs w:val="24"/>
        </w:rPr>
      </w:pPr>
      <w:r>
        <w:rPr>
          <w:rFonts w:ascii="宋体"/>
          <w:snapToGrid w:val="0"/>
          <w:kern w:val="0"/>
          <w:szCs w:val="24"/>
        </w:rPr>
        <w:t>配置一整机技术规格要求如下：</w:t>
      </w:r>
    </w:p>
    <w:tbl>
      <w:tblPr>
        <w:tblStyle w:val="14"/>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142"/>
        <w:gridCol w:w="7107"/>
      </w:tblGrid>
      <w:tr w14:paraId="7DD3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107B2598">
            <w:pPr>
              <w:pBdr>
                <w:top w:val="none" w:color="auto" w:sz="0" w:space="0"/>
                <w:left w:val="none" w:color="auto" w:sz="0" w:space="0"/>
                <w:bottom w:val="none" w:color="auto" w:sz="0" w:space="0"/>
                <w:right w:val="none" w:color="auto" w:sz="0" w:space="0"/>
              </w:pBdr>
              <w:ind w:firstLine="0" w:firstLineChars="0"/>
              <w:jc w:val="center"/>
              <w:rPr>
                <w:rFonts w:ascii="宋体"/>
                <w:snapToGrid w:val="0"/>
                <w:kern w:val="0"/>
                <w:szCs w:val="24"/>
              </w:rPr>
            </w:pPr>
            <w:r>
              <w:rPr>
                <w:rFonts w:hint="eastAsia" w:ascii="宋体" w:cs="宋体"/>
                <w:b/>
                <w:bCs/>
                <w:kern w:val="0"/>
                <w:sz w:val="21"/>
                <w:szCs w:val="21"/>
              </w:rPr>
              <w:t>条款号</w:t>
            </w:r>
          </w:p>
        </w:tc>
        <w:tc>
          <w:tcPr>
            <w:tcW w:w="1142" w:type="dxa"/>
          </w:tcPr>
          <w:p w14:paraId="302E4EDE">
            <w:pPr>
              <w:pBdr>
                <w:top w:val="none" w:color="auto" w:sz="0" w:space="0"/>
                <w:left w:val="none" w:color="auto" w:sz="0" w:space="0"/>
                <w:bottom w:val="none" w:color="auto" w:sz="0" w:space="0"/>
                <w:right w:val="none" w:color="auto" w:sz="0" w:space="0"/>
              </w:pBdr>
              <w:ind w:firstLine="0" w:firstLineChars="0"/>
              <w:jc w:val="left"/>
              <w:rPr>
                <w:rFonts w:ascii="宋体"/>
                <w:snapToGrid w:val="0"/>
                <w:kern w:val="0"/>
                <w:szCs w:val="24"/>
              </w:rPr>
            </w:pPr>
            <w:r>
              <w:rPr>
                <w:rFonts w:hint="eastAsia" w:ascii="宋体" w:cs="宋体"/>
                <w:b/>
                <w:bCs/>
                <w:kern w:val="0"/>
                <w:sz w:val="21"/>
                <w:szCs w:val="21"/>
              </w:rPr>
              <w:t>类别</w:t>
            </w:r>
          </w:p>
        </w:tc>
        <w:tc>
          <w:tcPr>
            <w:tcW w:w="7107" w:type="dxa"/>
          </w:tcPr>
          <w:p w14:paraId="5D385F56">
            <w:pPr>
              <w:pBdr>
                <w:top w:val="none" w:color="auto" w:sz="0" w:space="0"/>
                <w:left w:val="none" w:color="auto" w:sz="0" w:space="0"/>
                <w:bottom w:val="none" w:color="auto" w:sz="0" w:space="0"/>
                <w:right w:val="none" w:color="auto" w:sz="0" w:space="0"/>
              </w:pBdr>
              <w:ind w:firstLine="0" w:firstLineChars="0"/>
              <w:rPr>
                <w:rFonts w:ascii="宋体"/>
                <w:snapToGrid w:val="0"/>
                <w:kern w:val="0"/>
                <w:szCs w:val="24"/>
              </w:rPr>
            </w:pPr>
            <w:r>
              <w:rPr>
                <w:rFonts w:hint="eastAsia" w:ascii="宋体" w:cs="宋体"/>
                <w:b/>
                <w:bCs/>
                <w:kern w:val="0"/>
                <w:sz w:val="21"/>
                <w:szCs w:val="21"/>
              </w:rPr>
              <w:t>技术规格要求</w:t>
            </w:r>
          </w:p>
        </w:tc>
      </w:tr>
      <w:tr w14:paraId="57E5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37C3B9A5">
            <w:pPr>
              <w:pStyle w:val="33"/>
              <w:bidi w:val="0"/>
            </w:pPr>
            <w:r>
              <w:t>1</w:t>
            </w:r>
          </w:p>
        </w:tc>
        <w:tc>
          <w:tcPr>
            <w:tcW w:w="1142" w:type="dxa"/>
            <w:tcBorders>
              <w:top w:val="single" w:color="auto" w:sz="4" w:space="0"/>
              <w:left w:val="single" w:color="auto" w:sz="4" w:space="0"/>
              <w:right w:val="single" w:color="auto" w:sz="4" w:space="0"/>
            </w:tcBorders>
          </w:tcPr>
          <w:p w14:paraId="28ACE159">
            <w:pPr>
              <w:pStyle w:val="33"/>
              <w:bidi w:val="0"/>
            </w:pPr>
            <w:r>
              <w:t>物理参数</w:t>
            </w:r>
          </w:p>
        </w:tc>
        <w:tc>
          <w:tcPr>
            <w:tcW w:w="7107" w:type="dxa"/>
            <w:tcBorders>
              <w:left w:val="single" w:color="auto" w:sz="4" w:space="0"/>
            </w:tcBorders>
          </w:tcPr>
          <w:p w14:paraId="6CA55E8E">
            <w:pPr>
              <w:pStyle w:val="33"/>
              <w:bidi w:val="0"/>
            </w:pPr>
            <w:r>
              <w:t>2路机架式PC服务器(2U)</w:t>
            </w:r>
          </w:p>
        </w:tc>
      </w:tr>
      <w:tr w14:paraId="73C7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591404E8">
            <w:pPr>
              <w:pStyle w:val="33"/>
              <w:bidi w:val="0"/>
            </w:pPr>
            <w:r>
              <w:t>2</w:t>
            </w:r>
          </w:p>
        </w:tc>
        <w:tc>
          <w:tcPr>
            <w:tcW w:w="1142" w:type="dxa"/>
            <w:tcBorders>
              <w:top w:val="single" w:color="auto" w:sz="4" w:space="0"/>
              <w:left w:val="single" w:color="auto" w:sz="4" w:space="0"/>
              <w:right w:val="single" w:color="auto" w:sz="4" w:space="0"/>
            </w:tcBorders>
            <w:vAlign w:val="center"/>
          </w:tcPr>
          <w:p w14:paraId="0E41A272">
            <w:pPr>
              <w:pStyle w:val="33"/>
              <w:bidi w:val="0"/>
              <w:rPr>
                <w:rFonts w:hint="eastAsia"/>
              </w:rPr>
            </w:pPr>
            <w:r>
              <w:t>CPU</w:t>
            </w:r>
          </w:p>
        </w:tc>
        <w:tc>
          <w:tcPr>
            <w:tcW w:w="7107" w:type="dxa"/>
            <w:tcBorders>
              <w:left w:val="single" w:color="auto" w:sz="4" w:space="0"/>
            </w:tcBorders>
          </w:tcPr>
          <w:p w14:paraId="6EC373F6">
            <w:pPr>
              <w:pStyle w:val="33"/>
              <w:bidi w:val="0"/>
            </w:pPr>
            <w:r>
              <w:t>2*鲲鹏920 7260 CPU（64C,2.6GHz）</w:t>
            </w:r>
          </w:p>
        </w:tc>
      </w:tr>
      <w:tr w14:paraId="6B11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64BCC346">
            <w:pPr>
              <w:pStyle w:val="33"/>
              <w:bidi w:val="0"/>
            </w:pPr>
            <w:r>
              <w:t>3</w:t>
            </w:r>
          </w:p>
        </w:tc>
        <w:tc>
          <w:tcPr>
            <w:tcW w:w="1142" w:type="dxa"/>
            <w:tcBorders>
              <w:top w:val="single" w:color="auto" w:sz="4" w:space="0"/>
              <w:left w:val="single" w:color="auto" w:sz="4" w:space="0"/>
              <w:right w:val="single" w:color="auto" w:sz="4" w:space="0"/>
            </w:tcBorders>
            <w:vAlign w:val="center"/>
          </w:tcPr>
          <w:p w14:paraId="1A25D783">
            <w:pPr>
              <w:pStyle w:val="33"/>
              <w:bidi w:val="0"/>
              <w:rPr>
                <w:rFonts w:hint="eastAsia"/>
              </w:rPr>
            </w:pPr>
            <w:r>
              <w:t>内存</w:t>
            </w:r>
          </w:p>
        </w:tc>
        <w:tc>
          <w:tcPr>
            <w:tcW w:w="7107" w:type="dxa"/>
            <w:tcBorders>
              <w:left w:val="single" w:color="auto" w:sz="4" w:space="0"/>
            </w:tcBorders>
          </w:tcPr>
          <w:p w14:paraId="14A939A1">
            <w:pPr>
              <w:pStyle w:val="33"/>
              <w:bidi w:val="0"/>
            </w:pPr>
            <w:r>
              <w:t>1TB（16 * 64GB DDR4 ECC RDIMM 3200，最大支持32个内存扩展插槽）</w:t>
            </w:r>
          </w:p>
        </w:tc>
      </w:tr>
      <w:tr w14:paraId="4C5B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5541866">
            <w:pPr>
              <w:pStyle w:val="33"/>
              <w:bidi w:val="0"/>
            </w:pPr>
            <w:r>
              <w:t>4</w:t>
            </w:r>
          </w:p>
        </w:tc>
        <w:tc>
          <w:tcPr>
            <w:tcW w:w="1142" w:type="dxa"/>
            <w:tcBorders>
              <w:top w:val="single" w:color="auto" w:sz="4" w:space="0"/>
              <w:left w:val="single" w:color="auto" w:sz="4" w:space="0"/>
              <w:right w:val="single" w:color="auto" w:sz="4" w:space="0"/>
            </w:tcBorders>
            <w:vAlign w:val="center"/>
          </w:tcPr>
          <w:p w14:paraId="5947AF94">
            <w:pPr>
              <w:pStyle w:val="33"/>
              <w:bidi w:val="0"/>
              <w:rPr>
                <w:rFonts w:hint="eastAsia"/>
              </w:rPr>
            </w:pPr>
            <w:r>
              <w:t>硬盘</w:t>
            </w:r>
          </w:p>
        </w:tc>
        <w:tc>
          <w:tcPr>
            <w:tcW w:w="7107" w:type="dxa"/>
            <w:tcBorders>
              <w:left w:val="single" w:color="auto" w:sz="4" w:space="0"/>
            </w:tcBorders>
          </w:tcPr>
          <w:p w14:paraId="07F8A321">
            <w:pPr>
              <w:pStyle w:val="33"/>
              <w:bidi w:val="0"/>
            </w:pPr>
            <w:r>
              <w:t>1、</w:t>
            </w:r>
            <w:r>
              <w:rPr>
                <w:rFonts w:hint="eastAsia"/>
              </w:rPr>
              <w:t>系统盘（前置）2块960GB 2.5寸可热插拔SATA SSD （使用2.5寸托架，DWPD≥1,性能等级：4K随机写IOPS≥30,000）；</w:t>
            </w:r>
          </w:p>
          <w:p w14:paraId="2D76786D">
            <w:pPr>
              <w:pStyle w:val="33"/>
              <w:bidi w:val="0"/>
            </w:pPr>
            <w:r>
              <w:t>2、</w:t>
            </w:r>
            <w:r>
              <w:rPr>
                <w:rFonts w:hint="eastAsia"/>
              </w:rPr>
              <w:t>数据盘（直通）4块3.2TB 2.5寸PCIe4.0*4 可热插拔 NVMe SSD硬盘（使用2.5寸托架，支持SPDK，DWPD≥3，性能等级:4K随机写IOPS&gt;100,000）</w:t>
            </w:r>
          </w:p>
        </w:tc>
      </w:tr>
      <w:tr w14:paraId="7440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05B4293">
            <w:pPr>
              <w:pStyle w:val="33"/>
              <w:bidi w:val="0"/>
            </w:pPr>
            <w:r>
              <w:t>5</w:t>
            </w:r>
          </w:p>
        </w:tc>
        <w:tc>
          <w:tcPr>
            <w:tcW w:w="1142" w:type="dxa"/>
            <w:tcBorders>
              <w:top w:val="single" w:color="auto" w:sz="4" w:space="0"/>
              <w:left w:val="single" w:color="auto" w:sz="4" w:space="0"/>
              <w:right w:val="single" w:color="auto" w:sz="4" w:space="0"/>
            </w:tcBorders>
            <w:vAlign w:val="center"/>
          </w:tcPr>
          <w:p w14:paraId="1F99293A">
            <w:pPr>
              <w:pStyle w:val="33"/>
              <w:bidi w:val="0"/>
            </w:pPr>
            <w:r>
              <w:t>背板</w:t>
            </w:r>
          </w:p>
        </w:tc>
        <w:tc>
          <w:tcPr>
            <w:tcW w:w="7107" w:type="dxa"/>
            <w:tcBorders>
              <w:left w:val="single" w:color="auto" w:sz="4" w:space="0"/>
            </w:tcBorders>
          </w:tcPr>
          <w:p w14:paraId="40B1F9BF">
            <w:pPr>
              <w:pStyle w:val="33"/>
              <w:bidi w:val="0"/>
            </w:pPr>
            <w:r>
              <w:rPr>
                <w:rFonts w:hint="eastAsia"/>
              </w:rPr>
              <w:t>所配置硬盘背板要求支持至少4块2.5寸可热插拔NVMe SSD类型的数据盘（不通过pcie switch或NVMe扩展卡连接）并且同时支持至少2块2.5寸可热插拔SATA SSD类型的系统盘</w:t>
            </w:r>
          </w:p>
        </w:tc>
      </w:tr>
      <w:tr w14:paraId="5C99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35246321">
            <w:pPr>
              <w:pStyle w:val="33"/>
              <w:bidi w:val="0"/>
            </w:pPr>
            <w:r>
              <w:t>6</w:t>
            </w:r>
          </w:p>
        </w:tc>
        <w:tc>
          <w:tcPr>
            <w:tcW w:w="1142" w:type="dxa"/>
            <w:tcBorders>
              <w:top w:val="single" w:color="auto" w:sz="4" w:space="0"/>
              <w:left w:val="single" w:color="auto" w:sz="4" w:space="0"/>
              <w:right w:val="single" w:color="auto" w:sz="4" w:space="0"/>
            </w:tcBorders>
            <w:vAlign w:val="center"/>
          </w:tcPr>
          <w:p w14:paraId="0AEC1786">
            <w:pPr>
              <w:pStyle w:val="33"/>
              <w:bidi w:val="0"/>
            </w:pPr>
            <w:r>
              <w:t>网卡</w:t>
            </w:r>
          </w:p>
        </w:tc>
        <w:tc>
          <w:tcPr>
            <w:tcW w:w="7107" w:type="dxa"/>
            <w:tcBorders>
              <w:left w:val="single" w:color="auto" w:sz="4" w:space="0"/>
            </w:tcBorders>
          </w:tcPr>
          <w:p w14:paraId="50A29A6F">
            <w:pPr>
              <w:pStyle w:val="33"/>
              <w:bidi w:val="0"/>
            </w:pPr>
            <w:r>
              <w:rPr>
                <w:rFonts w:hint="eastAsia"/>
              </w:rPr>
              <w:t>1*4端口千兆自适应电口网卡，3*双端口SFP+万兆自适应光口网卡（满配光模块）</w:t>
            </w:r>
          </w:p>
        </w:tc>
      </w:tr>
      <w:tr w14:paraId="0D371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598C7193">
            <w:pPr>
              <w:pStyle w:val="33"/>
              <w:bidi w:val="0"/>
            </w:pPr>
            <w:r>
              <w:t>7</w:t>
            </w:r>
          </w:p>
        </w:tc>
        <w:tc>
          <w:tcPr>
            <w:tcW w:w="1142" w:type="dxa"/>
            <w:tcBorders>
              <w:top w:val="single" w:color="auto" w:sz="4" w:space="0"/>
              <w:left w:val="single" w:color="auto" w:sz="4" w:space="0"/>
              <w:right w:val="single" w:color="auto" w:sz="4" w:space="0"/>
            </w:tcBorders>
            <w:vAlign w:val="center"/>
          </w:tcPr>
          <w:p w14:paraId="44E98286">
            <w:pPr>
              <w:pStyle w:val="33"/>
              <w:bidi w:val="0"/>
              <w:rPr>
                <w:rFonts w:hint="eastAsia"/>
              </w:rPr>
            </w:pPr>
            <w:r>
              <w:t>PCIE</w:t>
            </w:r>
          </w:p>
        </w:tc>
        <w:tc>
          <w:tcPr>
            <w:tcW w:w="7107" w:type="dxa"/>
            <w:tcBorders>
              <w:left w:val="single" w:color="auto" w:sz="4" w:space="0"/>
            </w:tcBorders>
          </w:tcPr>
          <w:p w14:paraId="2DA68074">
            <w:pPr>
              <w:pStyle w:val="33"/>
              <w:bidi w:val="0"/>
            </w:pPr>
            <w:r>
              <w:rPr>
                <w:rFonts w:hint="eastAsia"/>
              </w:rPr>
              <w:t>配置PCIE4.0标准插槽至少3</w:t>
            </w:r>
            <w:r>
              <w:t>个</w:t>
            </w:r>
          </w:p>
        </w:tc>
      </w:tr>
      <w:tr w14:paraId="7022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1C6BC2B">
            <w:pPr>
              <w:pStyle w:val="33"/>
              <w:bidi w:val="0"/>
            </w:pPr>
            <w:r>
              <w:t>8</w:t>
            </w:r>
          </w:p>
        </w:tc>
        <w:tc>
          <w:tcPr>
            <w:tcW w:w="1142" w:type="dxa"/>
            <w:tcBorders>
              <w:top w:val="single" w:color="auto" w:sz="4" w:space="0"/>
              <w:left w:val="single" w:color="auto" w:sz="4" w:space="0"/>
              <w:right w:val="single" w:color="auto" w:sz="4" w:space="0"/>
            </w:tcBorders>
            <w:vAlign w:val="center"/>
          </w:tcPr>
          <w:p w14:paraId="59BF6154">
            <w:pPr>
              <w:pStyle w:val="33"/>
              <w:bidi w:val="0"/>
              <w:rPr>
                <w:rFonts w:hint="eastAsia"/>
              </w:rPr>
            </w:pPr>
            <w:r>
              <w:t>阵列卡</w:t>
            </w:r>
          </w:p>
        </w:tc>
        <w:tc>
          <w:tcPr>
            <w:tcW w:w="7107" w:type="dxa"/>
            <w:tcBorders>
              <w:left w:val="single" w:color="auto" w:sz="4" w:space="0"/>
            </w:tcBorders>
          </w:tcPr>
          <w:p w14:paraId="04382D18">
            <w:pPr>
              <w:pStyle w:val="33"/>
              <w:bidi w:val="0"/>
            </w:pPr>
            <w:r>
              <w:rPr>
                <w:rFonts w:hint="eastAsia"/>
              </w:rPr>
              <w:t>配置1块系统盘阵列卡（PCIe4.0 SAS,4K随机读性能≥3.0M IOPS），4G缓存</w:t>
            </w:r>
            <w:r>
              <w:t>，</w:t>
            </w:r>
            <w:r>
              <w:rPr>
                <w:rFonts w:hint="eastAsia"/>
              </w:rPr>
              <w:t>8个SAS端口，配置超级电容保护，支持RAID 0/1/10/5/6</w:t>
            </w:r>
          </w:p>
        </w:tc>
      </w:tr>
      <w:tr w14:paraId="7F04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02EBF33">
            <w:pPr>
              <w:pStyle w:val="33"/>
              <w:bidi w:val="0"/>
            </w:pPr>
            <w:r>
              <w:t>9</w:t>
            </w:r>
          </w:p>
        </w:tc>
        <w:tc>
          <w:tcPr>
            <w:tcW w:w="1142" w:type="dxa"/>
            <w:tcBorders>
              <w:top w:val="single" w:color="auto" w:sz="4" w:space="0"/>
              <w:left w:val="single" w:color="auto" w:sz="4" w:space="0"/>
              <w:right w:val="single" w:color="auto" w:sz="4" w:space="0"/>
            </w:tcBorders>
            <w:vAlign w:val="center"/>
          </w:tcPr>
          <w:p w14:paraId="148A9C52">
            <w:pPr>
              <w:pStyle w:val="33"/>
              <w:bidi w:val="0"/>
              <w:rPr>
                <w:rFonts w:hint="eastAsia"/>
              </w:rPr>
            </w:pPr>
            <w:r>
              <w:t>管理</w:t>
            </w:r>
          </w:p>
        </w:tc>
        <w:tc>
          <w:tcPr>
            <w:tcW w:w="7107" w:type="dxa"/>
            <w:tcBorders>
              <w:left w:val="single" w:color="auto" w:sz="4" w:space="0"/>
            </w:tcBorders>
          </w:tcPr>
          <w:p w14:paraId="592A40C5">
            <w:pPr>
              <w:pStyle w:val="33"/>
              <w:bidi w:val="0"/>
            </w:pPr>
            <w:r>
              <w:rPr>
                <w:rFonts w:hint="eastAsia"/>
              </w:rPr>
              <w:t>提供基于Web的远程管理功能，能够实时监控各部件模块，支持故障告警、硬件日志收集、远程IP KVM、虚拟介质、远程开关机及远程控制台等功能，支持IPMI V2.0、SNMP V2及V3</w:t>
            </w:r>
            <w:r>
              <w:t>，支持</w:t>
            </w:r>
            <w:r>
              <w:rPr>
                <w:rFonts w:hint="eastAsia"/>
              </w:rPr>
              <w:t>snmptrap告警配置，在银河麒麟高级服务器操作系统（鲲鹏版）V10中能使用dmidecode命令能查询到序列号（须与带外管理界面查询的序列号一致），使用该序列号能在服务器厂家官网查询到维保信息（至少需展示设备维保结束日期）</w:t>
            </w:r>
          </w:p>
        </w:tc>
      </w:tr>
      <w:tr w14:paraId="6033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304F5DF7">
            <w:pPr>
              <w:pStyle w:val="33"/>
              <w:bidi w:val="0"/>
            </w:pPr>
            <w:r>
              <w:t>10</w:t>
            </w:r>
          </w:p>
        </w:tc>
        <w:tc>
          <w:tcPr>
            <w:tcW w:w="1142" w:type="dxa"/>
            <w:tcBorders>
              <w:top w:val="single" w:color="auto" w:sz="4" w:space="0"/>
              <w:left w:val="single" w:color="auto" w:sz="4" w:space="0"/>
              <w:right w:val="single" w:color="auto" w:sz="4" w:space="0"/>
            </w:tcBorders>
            <w:vAlign w:val="center"/>
          </w:tcPr>
          <w:p w14:paraId="0A84C3A3">
            <w:pPr>
              <w:pStyle w:val="33"/>
              <w:bidi w:val="0"/>
              <w:rPr>
                <w:rFonts w:hint="eastAsia"/>
              </w:rPr>
            </w:pPr>
            <w:r>
              <w:t>风扇</w:t>
            </w:r>
          </w:p>
        </w:tc>
        <w:tc>
          <w:tcPr>
            <w:tcW w:w="7107" w:type="dxa"/>
            <w:tcBorders>
              <w:left w:val="single" w:color="auto" w:sz="4" w:space="0"/>
            </w:tcBorders>
          </w:tcPr>
          <w:p w14:paraId="3A8568B6">
            <w:pPr>
              <w:pStyle w:val="33"/>
              <w:bidi w:val="0"/>
              <w:rPr>
                <w:rFonts w:hint="eastAsia"/>
              </w:rPr>
            </w:pPr>
            <w:r>
              <w:rPr>
                <w:rFonts w:hint="eastAsia"/>
              </w:rPr>
              <w:t>全冗余、热插拨</w:t>
            </w:r>
          </w:p>
        </w:tc>
      </w:tr>
      <w:tr w14:paraId="1754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19F2B84">
            <w:pPr>
              <w:pStyle w:val="33"/>
              <w:bidi w:val="0"/>
            </w:pPr>
            <w:r>
              <w:t>11</w:t>
            </w:r>
          </w:p>
        </w:tc>
        <w:tc>
          <w:tcPr>
            <w:tcW w:w="1142" w:type="dxa"/>
            <w:tcBorders>
              <w:top w:val="single" w:color="auto" w:sz="4" w:space="0"/>
              <w:left w:val="single" w:color="auto" w:sz="4" w:space="0"/>
              <w:right w:val="single" w:color="auto" w:sz="4" w:space="0"/>
            </w:tcBorders>
            <w:vAlign w:val="center"/>
          </w:tcPr>
          <w:p w14:paraId="5F15F06B">
            <w:pPr>
              <w:pStyle w:val="33"/>
              <w:bidi w:val="0"/>
              <w:rPr>
                <w:rFonts w:hint="eastAsia"/>
              </w:rPr>
            </w:pPr>
            <w:r>
              <w:t>电源</w:t>
            </w:r>
          </w:p>
        </w:tc>
        <w:tc>
          <w:tcPr>
            <w:tcW w:w="7107" w:type="dxa"/>
            <w:tcBorders>
              <w:left w:val="single" w:color="auto" w:sz="4" w:space="0"/>
            </w:tcBorders>
          </w:tcPr>
          <w:p w14:paraId="267E61B5">
            <w:pPr>
              <w:pStyle w:val="33"/>
              <w:bidi w:val="0"/>
              <w:rPr>
                <w:rFonts w:hint="eastAsia"/>
              </w:rPr>
            </w:pPr>
            <w:r>
              <w:rPr>
                <w:rFonts w:hint="eastAsia"/>
              </w:rPr>
              <w:t>满配热插拨全冗余电源模块，电源功率满足服务器的最大负载要求(满足服务器满配内存、满配数据硬盘、满配PCIe卡情况下的功率需求），且单个电源故障场景下另一个正常电源可以满足服务器工作需求，单个电源模块功率≥900W（铂金级，交流），并同时配置C13/C14电源线</w:t>
            </w:r>
          </w:p>
        </w:tc>
      </w:tr>
      <w:tr w14:paraId="497A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9E6C6B8">
            <w:pPr>
              <w:pStyle w:val="33"/>
              <w:bidi w:val="0"/>
            </w:pPr>
            <w:r>
              <w:t>12</w:t>
            </w:r>
          </w:p>
        </w:tc>
        <w:tc>
          <w:tcPr>
            <w:tcW w:w="1142" w:type="dxa"/>
            <w:tcBorders>
              <w:top w:val="single" w:color="auto" w:sz="4" w:space="0"/>
              <w:left w:val="single" w:color="auto" w:sz="4" w:space="0"/>
              <w:right w:val="single" w:color="auto" w:sz="4" w:space="0"/>
            </w:tcBorders>
            <w:vAlign w:val="center"/>
          </w:tcPr>
          <w:p w14:paraId="1FD44329">
            <w:pPr>
              <w:pStyle w:val="33"/>
              <w:bidi w:val="0"/>
              <w:rPr>
                <w:rFonts w:hint="eastAsia"/>
              </w:rPr>
            </w:pPr>
            <w:r>
              <w:t>兼容性要求</w:t>
            </w:r>
          </w:p>
        </w:tc>
        <w:tc>
          <w:tcPr>
            <w:tcW w:w="7107" w:type="dxa"/>
            <w:tcBorders>
              <w:left w:val="single" w:color="auto" w:sz="4" w:space="0"/>
            </w:tcBorders>
          </w:tcPr>
          <w:p w14:paraId="054587AC">
            <w:pPr>
              <w:pStyle w:val="33"/>
              <w:bidi w:val="0"/>
            </w:pPr>
            <w:r>
              <w:rPr>
                <w:rFonts w:hint="eastAsia"/>
              </w:rPr>
              <w:t>支持银河麒麟高级服务器操作系统（鲲鹏版）V10，统信服务器操作系统（鲲鹏版）V20</w:t>
            </w:r>
          </w:p>
        </w:tc>
      </w:tr>
    </w:tbl>
    <w:p w14:paraId="6E40838E">
      <w:pPr>
        <w:pStyle w:val="4"/>
        <w:bidi w:val="0"/>
        <w:rPr>
          <w:rFonts w:hint="eastAsia" w:eastAsia="宋体"/>
          <w:lang w:eastAsia="zh-CN"/>
        </w:rPr>
      </w:pPr>
      <w:r>
        <w:t>2）2024</w:t>
      </w:r>
      <w:r>
        <w:rPr>
          <w:rFonts w:hint="eastAsia"/>
        </w:rPr>
        <w:t>年</w:t>
      </w:r>
      <w:r>
        <w:t>信创</w:t>
      </w:r>
      <w:r>
        <w:rPr>
          <w:rFonts w:hint="eastAsia"/>
        </w:rPr>
        <w:t>服务器采购项目</w:t>
      </w:r>
      <w:r>
        <w:rPr>
          <w:rFonts w:hint="eastAsia"/>
          <w:lang w:eastAsia="zh-CN"/>
        </w:rPr>
        <w:t>标段2：</w:t>
      </w:r>
    </w:p>
    <w:p w14:paraId="76D97C13">
      <w:pPr>
        <w:rPr>
          <w:rFonts w:ascii="宋体"/>
          <w:snapToGrid w:val="0"/>
          <w:kern w:val="0"/>
          <w:szCs w:val="24"/>
        </w:rPr>
      </w:pPr>
      <w:r>
        <w:rPr>
          <w:rFonts w:ascii="宋体"/>
          <w:snapToGrid w:val="0"/>
          <w:kern w:val="0"/>
          <w:szCs w:val="24"/>
        </w:rPr>
        <w:t>配置一整机技术规格要求如下：</w:t>
      </w:r>
    </w:p>
    <w:tbl>
      <w:tblPr>
        <w:tblStyle w:val="14"/>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142"/>
        <w:gridCol w:w="7107"/>
      </w:tblGrid>
      <w:tr w14:paraId="3369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3431697E">
            <w:pPr>
              <w:pStyle w:val="34"/>
              <w:bidi w:val="0"/>
            </w:pPr>
            <w:r>
              <w:rPr>
                <w:rFonts w:hint="eastAsia"/>
              </w:rPr>
              <w:t>条款号</w:t>
            </w:r>
          </w:p>
        </w:tc>
        <w:tc>
          <w:tcPr>
            <w:tcW w:w="1142" w:type="dxa"/>
          </w:tcPr>
          <w:p w14:paraId="6E6A006D">
            <w:pPr>
              <w:pStyle w:val="34"/>
              <w:bidi w:val="0"/>
            </w:pPr>
            <w:r>
              <w:rPr>
                <w:rFonts w:hint="eastAsia"/>
              </w:rPr>
              <w:t>类别</w:t>
            </w:r>
          </w:p>
        </w:tc>
        <w:tc>
          <w:tcPr>
            <w:tcW w:w="7107" w:type="dxa"/>
          </w:tcPr>
          <w:p w14:paraId="09915FAD">
            <w:pPr>
              <w:pStyle w:val="34"/>
              <w:bidi w:val="0"/>
            </w:pPr>
            <w:r>
              <w:rPr>
                <w:rFonts w:hint="eastAsia"/>
              </w:rPr>
              <w:t>技术规格要求</w:t>
            </w:r>
          </w:p>
        </w:tc>
      </w:tr>
      <w:tr w14:paraId="2C73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3CE83CA2">
            <w:pPr>
              <w:pStyle w:val="33"/>
              <w:bidi w:val="0"/>
            </w:pPr>
            <w:r>
              <w:t>1</w:t>
            </w:r>
          </w:p>
        </w:tc>
        <w:tc>
          <w:tcPr>
            <w:tcW w:w="1142" w:type="dxa"/>
            <w:tcBorders>
              <w:top w:val="single" w:color="auto" w:sz="4" w:space="0"/>
              <w:left w:val="single" w:color="auto" w:sz="4" w:space="0"/>
              <w:right w:val="single" w:color="auto" w:sz="4" w:space="0"/>
            </w:tcBorders>
          </w:tcPr>
          <w:p w14:paraId="3502C272">
            <w:pPr>
              <w:pStyle w:val="33"/>
              <w:bidi w:val="0"/>
            </w:pPr>
            <w:r>
              <w:t>物理参数</w:t>
            </w:r>
          </w:p>
        </w:tc>
        <w:tc>
          <w:tcPr>
            <w:tcW w:w="7107" w:type="dxa"/>
            <w:tcBorders>
              <w:left w:val="single" w:color="auto" w:sz="4" w:space="0"/>
            </w:tcBorders>
          </w:tcPr>
          <w:p w14:paraId="372D42F1">
            <w:pPr>
              <w:pStyle w:val="33"/>
              <w:bidi w:val="0"/>
            </w:pPr>
            <w:r>
              <w:t>2路机架式PC服务器(2U)</w:t>
            </w:r>
          </w:p>
        </w:tc>
      </w:tr>
      <w:tr w14:paraId="0AA4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0E88510E">
            <w:pPr>
              <w:pStyle w:val="33"/>
              <w:bidi w:val="0"/>
            </w:pPr>
            <w:r>
              <w:t>2</w:t>
            </w:r>
          </w:p>
        </w:tc>
        <w:tc>
          <w:tcPr>
            <w:tcW w:w="1142" w:type="dxa"/>
            <w:tcBorders>
              <w:top w:val="single" w:color="auto" w:sz="4" w:space="0"/>
              <w:left w:val="single" w:color="auto" w:sz="4" w:space="0"/>
              <w:right w:val="single" w:color="auto" w:sz="4" w:space="0"/>
            </w:tcBorders>
            <w:vAlign w:val="center"/>
          </w:tcPr>
          <w:p w14:paraId="72C9C3DE">
            <w:pPr>
              <w:pStyle w:val="33"/>
              <w:bidi w:val="0"/>
              <w:rPr>
                <w:rFonts w:hint="eastAsia"/>
              </w:rPr>
            </w:pPr>
            <w:r>
              <w:t>CPU</w:t>
            </w:r>
          </w:p>
        </w:tc>
        <w:tc>
          <w:tcPr>
            <w:tcW w:w="7107" w:type="dxa"/>
            <w:tcBorders>
              <w:left w:val="single" w:color="auto" w:sz="4" w:space="0"/>
            </w:tcBorders>
          </w:tcPr>
          <w:p w14:paraId="622CB17E">
            <w:pPr>
              <w:pStyle w:val="33"/>
              <w:bidi w:val="0"/>
            </w:pPr>
            <w:r>
              <w:t>2*鲲鹏920 5250(48C/2.6GHz)</w:t>
            </w:r>
          </w:p>
        </w:tc>
      </w:tr>
      <w:tr w14:paraId="239F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1E51D98A">
            <w:pPr>
              <w:pStyle w:val="33"/>
              <w:bidi w:val="0"/>
            </w:pPr>
            <w:r>
              <w:t>3</w:t>
            </w:r>
          </w:p>
        </w:tc>
        <w:tc>
          <w:tcPr>
            <w:tcW w:w="1142" w:type="dxa"/>
            <w:tcBorders>
              <w:top w:val="single" w:color="auto" w:sz="4" w:space="0"/>
              <w:left w:val="single" w:color="auto" w:sz="4" w:space="0"/>
              <w:right w:val="single" w:color="auto" w:sz="4" w:space="0"/>
            </w:tcBorders>
            <w:vAlign w:val="center"/>
          </w:tcPr>
          <w:p w14:paraId="0CF05EAC">
            <w:pPr>
              <w:pStyle w:val="33"/>
              <w:bidi w:val="0"/>
              <w:rPr>
                <w:rFonts w:hint="eastAsia"/>
              </w:rPr>
            </w:pPr>
            <w:r>
              <w:t>内存</w:t>
            </w:r>
          </w:p>
        </w:tc>
        <w:tc>
          <w:tcPr>
            <w:tcW w:w="7107" w:type="dxa"/>
            <w:tcBorders>
              <w:left w:val="single" w:color="auto" w:sz="4" w:space="0"/>
            </w:tcBorders>
          </w:tcPr>
          <w:p w14:paraId="622BEBEC">
            <w:pPr>
              <w:pStyle w:val="33"/>
              <w:bidi w:val="0"/>
            </w:pPr>
            <w:r>
              <w:t>512GB（16 * 32GB DDR4 ECC RDIMM 3200，最大支持32个内存扩展插槽）</w:t>
            </w:r>
          </w:p>
        </w:tc>
      </w:tr>
      <w:tr w14:paraId="037D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12E873B">
            <w:pPr>
              <w:pStyle w:val="33"/>
              <w:bidi w:val="0"/>
            </w:pPr>
            <w:r>
              <w:t>4</w:t>
            </w:r>
          </w:p>
        </w:tc>
        <w:tc>
          <w:tcPr>
            <w:tcW w:w="1142" w:type="dxa"/>
            <w:tcBorders>
              <w:top w:val="single" w:color="auto" w:sz="4" w:space="0"/>
              <w:left w:val="single" w:color="auto" w:sz="4" w:space="0"/>
              <w:right w:val="single" w:color="auto" w:sz="4" w:space="0"/>
            </w:tcBorders>
            <w:vAlign w:val="center"/>
          </w:tcPr>
          <w:p w14:paraId="77C51CF0">
            <w:pPr>
              <w:pStyle w:val="33"/>
              <w:bidi w:val="0"/>
              <w:rPr>
                <w:rFonts w:hint="eastAsia"/>
              </w:rPr>
            </w:pPr>
            <w:r>
              <w:t>硬盘</w:t>
            </w:r>
          </w:p>
        </w:tc>
        <w:tc>
          <w:tcPr>
            <w:tcW w:w="7107" w:type="dxa"/>
            <w:tcBorders>
              <w:left w:val="single" w:color="auto" w:sz="4" w:space="0"/>
            </w:tcBorders>
          </w:tcPr>
          <w:p w14:paraId="2FD8883E">
            <w:pPr>
              <w:pStyle w:val="33"/>
              <w:bidi w:val="0"/>
            </w:pPr>
            <w:r>
              <w:t>1、</w:t>
            </w:r>
            <w:r>
              <w:rPr>
                <w:rFonts w:hint="eastAsia"/>
              </w:rPr>
              <w:t>系统盘（前置）2块960GB 2.5寸可热插拔SATA SSD （使用2.5寸托架，DWPD≥1,性能等级：4K随机写IOPS≥30,000）；</w:t>
            </w:r>
          </w:p>
          <w:p w14:paraId="2AB462CA">
            <w:pPr>
              <w:pStyle w:val="33"/>
              <w:bidi w:val="0"/>
            </w:pPr>
            <w:r>
              <w:t>2、</w:t>
            </w:r>
            <w:r>
              <w:rPr>
                <w:rFonts w:hint="eastAsia"/>
              </w:rPr>
              <w:t>数据盘（前置）10块1.92TB 2.5寸可热插拔SATA SSD（使用2.5寸托架,DWPD≥1,性能等级：4K随机写IOPS≥30,000）</w:t>
            </w:r>
          </w:p>
        </w:tc>
      </w:tr>
      <w:tr w14:paraId="7FCB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D30DF6B">
            <w:pPr>
              <w:pStyle w:val="33"/>
              <w:bidi w:val="0"/>
            </w:pPr>
            <w:r>
              <w:t>5</w:t>
            </w:r>
          </w:p>
        </w:tc>
        <w:tc>
          <w:tcPr>
            <w:tcW w:w="1142" w:type="dxa"/>
            <w:tcBorders>
              <w:top w:val="single" w:color="auto" w:sz="4" w:space="0"/>
              <w:left w:val="single" w:color="auto" w:sz="4" w:space="0"/>
              <w:right w:val="single" w:color="auto" w:sz="4" w:space="0"/>
            </w:tcBorders>
            <w:vAlign w:val="center"/>
          </w:tcPr>
          <w:p w14:paraId="09D94FF5">
            <w:pPr>
              <w:pStyle w:val="33"/>
              <w:bidi w:val="0"/>
            </w:pPr>
            <w:r>
              <w:t>背板</w:t>
            </w:r>
          </w:p>
        </w:tc>
        <w:tc>
          <w:tcPr>
            <w:tcW w:w="7107" w:type="dxa"/>
            <w:tcBorders>
              <w:left w:val="single" w:color="auto" w:sz="4" w:space="0"/>
            </w:tcBorders>
          </w:tcPr>
          <w:p w14:paraId="55D52979">
            <w:pPr>
              <w:pStyle w:val="33"/>
              <w:bidi w:val="0"/>
            </w:pPr>
            <w:r>
              <w:rPr>
                <w:rFonts w:hint="eastAsia"/>
              </w:rPr>
              <w:t>前置25槽位2.5寸硬盘背板，支持25块2.5寸SATA SSD硬盘</w:t>
            </w:r>
          </w:p>
        </w:tc>
      </w:tr>
      <w:tr w14:paraId="222B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F0D9AA6">
            <w:pPr>
              <w:pStyle w:val="33"/>
              <w:bidi w:val="0"/>
            </w:pPr>
            <w:r>
              <w:t>6</w:t>
            </w:r>
          </w:p>
        </w:tc>
        <w:tc>
          <w:tcPr>
            <w:tcW w:w="1142" w:type="dxa"/>
            <w:tcBorders>
              <w:top w:val="single" w:color="auto" w:sz="4" w:space="0"/>
              <w:left w:val="single" w:color="auto" w:sz="4" w:space="0"/>
              <w:right w:val="single" w:color="auto" w:sz="4" w:space="0"/>
            </w:tcBorders>
            <w:vAlign w:val="center"/>
          </w:tcPr>
          <w:p w14:paraId="78DBA83A">
            <w:pPr>
              <w:pStyle w:val="33"/>
              <w:bidi w:val="0"/>
            </w:pPr>
            <w:r>
              <w:t>网卡</w:t>
            </w:r>
          </w:p>
        </w:tc>
        <w:tc>
          <w:tcPr>
            <w:tcW w:w="7107" w:type="dxa"/>
            <w:tcBorders>
              <w:left w:val="single" w:color="auto" w:sz="4" w:space="0"/>
            </w:tcBorders>
          </w:tcPr>
          <w:p w14:paraId="786D8BB0">
            <w:pPr>
              <w:pStyle w:val="33"/>
              <w:bidi w:val="0"/>
            </w:pPr>
            <w:r>
              <w:rPr>
                <w:rFonts w:hint="eastAsia"/>
              </w:rPr>
              <w:t>1*4端口千兆自适应电口网卡，3*双端口SFP+万兆光口网卡（满配光模块，支持PXE、支持DPDK应用，支持SRIOV技术）</w:t>
            </w:r>
          </w:p>
        </w:tc>
      </w:tr>
      <w:tr w14:paraId="31C0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49606E30">
            <w:pPr>
              <w:pStyle w:val="33"/>
              <w:bidi w:val="0"/>
            </w:pPr>
            <w:r>
              <w:t>7</w:t>
            </w:r>
          </w:p>
        </w:tc>
        <w:tc>
          <w:tcPr>
            <w:tcW w:w="1142" w:type="dxa"/>
            <w:tcBorders>
              <w:top w:val="single" w:color="auto" w:sz="4" w:space="0"/>
              <w:left w:val="single" w:color="auto" w:sz="4" w:space="0"/>
              <w:right w:val="single" w:color="auto" w:sz="4" w:space="0"/>
            </w:tcBorders>
            <w:vAlign w:val="center"/>
          </w:tcPr>
          <w:p w14:paraId="0C5896DC">
            <w:pPr>
              <w:pStyle w:val="33"/>
              <w:bidi w:val="0"/>
              <w:rPr>
                <w:rFonts w:hint="eastAsia"/>
              </w:rPr>
            </w:pPr>
            <w:r>
              <w:t>PCIE</w:t>
            </w:r>
          </w:p>
        </w:tc>
        <w:tc>
          <w:tcPr>
            <w:tcW w:w="7107" w:type="dxa"/>
            <w:tcBorders>
              <w:left w:val="single" w:color="auto" w:sz="4" w:space="0"/>
            </w:tcBorders>
          </w:tcPr>
          <w:p w14:paraId="60F2F553">
            <w:pPr>
              <w:pStyle w:val="33"/>
              <w:bidi w:val="0"/>
            </w:pPr>
            <w:r>
              <w:t>配置PCIE4.0标准插槽至少8个</w:t>
            </w:r>
          </w:p>
        </w:tc>
      </w:tr>
      <w:tr w14:paraId="1F16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603DCF4">
            <w:pPr>
              <w:pStyle w:val="33"/>
              <w:bidi w:val="0"/>
            </w:pPr>
            <w:r>
              <w:t>8</w:t>
            </w:r>
          </w:p>
        </w:tc>
        <w:tc>
          <w:tcPr>
            <w:tcW w:w="1142" w:type="dxa"/>
            <w:tcBorders>
              <w:top w:val="single" w:color="auto" w:sz="4" w:space="0"/>
              <w:left w:val="single" w:color="auto" w:sz="4" w:space="0"/>
              <w:right w:val="single" w:color="auto" w:sz="4" w:space="0"/>
            </w:tcBorders>
            <w:vAlign w:val="center"/>
          </w:tcPr>
          <w:p w14:paraId="22587648">
            <w:pPr>
              <w:pStyle w:val="33"/>
              <w:bidi w:val="0"/>
              <w:rPr>
                <w:rFonts w:hint="eastAsia"/>
              </w:rPr>
            </w:pPr>
            <w:r>
              <w:t>阵列卡</w:t>
            </w:r>
          </w:p>
        </w:tc>
        <w:tc>
          <w:tcPr>
            <w:tcW w:w="7107" w:type="dxa"/>
            <w:tcBorders>
              <w:left w:val="single" w:color="auto" w:sz="4" w:space="0"/>
            </w:tcBorders>
          </w:tcPr>
          <w:p w14:paraId="3A3DFE7B">
            <w:pPr>
              <w:pStyle w:val="33"/>
              <w:bidi w:val="0"/>
            </w:pPr>
            <w:r>
              <w:rPr>
                <w:rFonts w:hint="eastAsia"/>
              </w:rPr>
              <w:t>配置1块阵列卡（PCIe4.0 SAS,4K随机读性能≥3.0M IOPS），4G缓存，8个SAS端口，配置超级电容保护，能管理当前配置磁盘满配情况下的所有磁盘，支持直通且支持RAID 0/1/10/5/6（两种模式能同时工作）</w:t>
            </w:r>
          </w:p>
        </w:tc>
      </w:tr>
      <w:tr w14:paraId="3560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2D0C26D">
            <w:pPr>
              <w:pStyle w:val="33"/>
              <w:bidi w:val="0"/>
            </w:pPr>
            <w:r>
              <w:t>9</w:t>
            </w:r>
          </w:p>
        </w:tc>
        <w:tc>
          <w:tcPr>
            <w:tcW w:w="1142" w:type="dxa"/>
            <w:tcBorders>
              <w:top w:val="single" w:color="auto" w:sz="4" w:space="0"/>
              <w:left w:val="single" w:color="auto" w:sz="4" w:space="0"/>
              <w:right w:val="single" w:color="auto" w:sz="4" w:space="0"/>
            </w:tcBorders>
            <w:vAlign w:val="center"/>
          </w:tcPr>
          <w:p w14:paraId="42FD62D4">
            <w:pPr>
              <w:pStyle w:val="33"/>
              <w:bidi w:val="0"/>
              <w:rPr>
                <w:rFonts w:hint="eastAsia"/>
              </w:rPr>
            </w:pPr>
            <w:r>
              <w:t>管理</w:t>
            </w:r>
          </w:p>
        </w:tc>
        <w:tc>
          <w:tcPr>
            <w:tcW w:w="7107" w:type="dxa"/>
            <w:tcBorders>
              <w:left w:val="single" w:color="auto" w:sz="4" w:space="0"/>
            </w:tcBorders>
          </w:tcPr>
          <w:p w14:paraId="374C74D7">
            <w:pPr>
              <w:pStyle w:val="33"/>
              <w:bidi w:val="0"/>
            </w:pPr>
            <w:r>
              <w:rPr>
                <w:rFonts w:hint="eastAsia"/>
              </w:rPr>
              <w:t>提供基于Web的远程管理功能，能够实时监控各部件模块，支持故障告警、硬件日志收集、远程IP KVM、虚拟介质、远程开关机及远程控制台等功能，支持IPMI V2.0、SNMP V2及V3</w:t>
            </w:r>
            <w:r>
              <w:t>，</w:t>
            </w:r>
            <w:r>
              <w:rPr>
                <w:rFonts w:hint="eastAsia"/>
              </w:rPr>
              <w:t>snmptrap告警配置，在银河麒麟高级服务器操作系统（鲲鹏版）V10中能使用dmidecode命令能查询到序列号（须与带外管理界面查询的序列号一致），使用该序列号能在服务器厂家官网查询到维保信息（至少需展示设备维保结束日期）</w:t>
            </w:r>
          </w:p>
        </w:tc>
      </w:tr>
      <w:tr w14:paraId="4D79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2F22EE3A">
            <w:pPr>
              <w:pStyle w:val="33"/>
              <w:bidi w:val="0"/>
            </w:pPr>
            <w:r>
              <w:t>10</w:t>
            </w:r>
          </w:p>
        </w:tc>
        <w:tc>
          <w:tcPr>
            <w:tcW w:w="1142" w:type="dxa"/>
            <w:tcBorders>
              <w:top w:val="single" w:color="auto" w:sz="4" w:space="0"/>
              <w:left w:val="single" w:color="auto" w:sz="4" w:space="0"/>
              <w:right w:val="single" w:color="auto" w:sz="4" w:space="0"/>
            </w:tcBorders>
            <w:vAlign w:val="center"/>
          </w:tcPr>
          <w:p w14:paraId="05C21C89">
            <w:pPr>
              <w:pStyle w:val="33"/>
              <w:bidi w:val="0"/>
              <w:rPr>
                <w:rFonts w:hint="eastAsia"/>
              </w:rPr>
            </w:pPr>
            <w:r>
              <w:t>风扇</w:t>
            </w:r>
          </w:p>
        </w:tc>
        <w:tc>
          <w:tcPr>
            <w:tcW w:w="7107" w:type="dxa"/>
            <w:tcBorders>
              <w:left w:val="single" w:color="auto" w:sz="4" w:space="0"/>
            </w:tcBorders>
          </w:tcPr>
          <w:p w14:paraId="5C801111">
            <w:pPr>
              <w:pStyle w:val="33"/>
              <w:bidi w:val="0"/>
              <w:rPr>
                <w:rFonts w:hint="eastAsia"/>
              </w:rPr>
            </w:pPr>
            <w:r>
              <w:rPr>
                <w:rFonts w:hint="eastAsia"/>
              </w:rPr>
              <w:t>全冗余、热插拨</w:t>
            </w:r>
          </w:p>
        </w:tc>
      </w:tr>
      <w:tr w14:paraId="6A00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C15152E">
            <w:pPr>
              <w:pStyle w:val="33"/>
              <w:bidi w:val="0"/>
            </w:pPr>
            <w:r>
              <w:t>11</w:t>
            </w:r>
          </w:p>
        </w:tc>
        <w:tc>
          <w:tcPr>
            <w:tcW w:w="1142" w:type="dxa"/>
            <w:tcBorders>
              <w:top w:val="single" w:color="auto" w:sz="4" w:space="0"/>
              <w:left w:val="single" w:color="auto" w:sz="4" w:space="0"/>
              <w:right w:val="single" w:color="auto" w:sz="4" w:space="0"/>
            </w:tcBorders>
            <w:vAlign w:val="center"/>
          </w:tcPr>
          <w:p w14:paraId="43C4E22E">
            <w:pPr>
              <w:pStyle w:val="33"/>
              <w:bidi w:val="0"/>
              <w:rPr>
                <w:rFonts w:hint="eastAsia"/>
              </w:rPr>
            </w:pPr>
            <w:r>
              <w:t>电源</w:t>
            </w:r>
          </w:p>
        </w:tc>
        <w:tc>
          <w:tcPr>
            <w:tcW w:w="7107" w:type="dxa"/>
            <w:tcBorders>
              <w:left w:val="single" w:color="auto" w:sz="4" w:space="0"/>
            </w:tcBorders>
          </w:tcPr>
          <w:p w14:paraId="7C5B7B46">
            <w:pPr>
              <w:pStyle w:val="33"/>
              <w:bidi w:val="0"/>
              <w:rPr>
                <w:rFonts w:hint="eastAsia"/>
              </w:rPr>
            </w:pPr>
            <w:r>
              <w:rPr>
                <w:rFonts w:hint="eastAsia"/>
              </w:rPr>
              <w:t>满配热插拨全冗余电源模块，电源功率满足服务器的最大负载要求(满足服务器满配内存、满配数据硬盘、满配PCIe卡情况下的功率需求），且单个电源故障场景下另一个正常电源可以满足服务器工作需求，单个电源模块功率≥900W（铂金级，交流），并同时配置C13/C14电源线</w:t>
            </w:r>
          </w:p>
        </w:tc>
      </w:tr>
      <w:tr w14:paraId="27F4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D302F3A">
            <w:pPr>
              <w:pStyle w:val="33"/>
              <w:bidi w:val="0"/>
            </w:pPr>
            <w:r>
              <w:t>12</w:t>
            </w:r>
          </w:p>
        </w:tc>
        <w:tc>
          <w:tcPr>
            <w:tcW w:w="1142" w:type="dxa"/>
            <w:tcBorders>
              <w:top w:val="single" w:color="auto" w:sz="4" w:space="0"/>
              <w:left w:val="single" w:color="auto" w:sz="4" w:space="0"/>
              <w:right w:val="single" w:color="auto" w:sz="4" w:space="0"/>
            </w:tcBorders>
            <w:vAlign w:val="center"/>
          </w:tcPr>
          <w:p w14:paraId="40BC2313">
            <w:pPr>
              <w:pStyle w:val="33"/>
              <w:bidi w:val="0"/>
              <w:rPr>
                <w:rFonts w:hint="eastAsia"/>
              </w:rPr>
            </w:pPr>
            <w:r>
              <w:t>兼容性要求</w:t>
            </w:r>
          </w:p>
        </w:tc>
        <w:tc>
          <w:tcPr>
            <w:tcW w:w="7107" w:type="dxa"/>
            <w:tcBorders>
              <w:left w:val="single" w:color="auto" w:sz="4" w:space="0"/>
            </w:tcBorders>
          </w:tcPr>
          <w:p w14:paraId="75982646">
            <w:pPr>
              <w:pStyle w:val="33"/>
              <w:bidi w:val="0"/>
            </w:pPr>
            <w:r>
              <w:rPr>
                <w:rFonts w:hint="eastAsia"/>
              </w:rPr>
              <w:t>支持银河麒麟高级服务器操作系统（鲲鹏版）V10，统信服务器操作系统（鲲鹏版）V20，支持以下虚拟化软件：紫光云Unicloud Usphere VMS企业版及云宏CNware Winsphere</w:t>
            </w:r>
          </w:p>
        </w:tc>
      </w:tr>
    </w:tbl>
    <w:p w14:paraId="47F5E155">
      <w:pPr>
        <w:rPr>
          <w:rFonts w:ascii="宋体"/>
          <w:snapToGrid w:val="0"/>
          <w:kern w:val="0"/>
          <w:szCs w:val="24"/>
        </w:rPr>
      </w:pPr>
      <w:r>
        <w:rPr>
          <w:rFonts w:ascii="宋体"/>
          <w:snapToGrid w:val="0"/>
          <w:kern w:val="0"/>
          <w:szCs w:val="24"/>
        </w:rPr>
        <w:t>配置二整机技术规格要求如下：</w:t>
      </w:r>
    </w:p>
    <w:tbl>
      <w:tblPr>
        <w:tblStyle w:val="14"/>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142"/>
        <w:gridCol w:w="7107"/>
      </w:tblGrid>
      <w:tr w14:paraId="6A2D1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3B4F8368">
            <w:pPr>
              <w:pStyle w:val="34"/>
              <w:bidi w:val="0"/>
            </w:pPr>
            <w:r>
              <w:rPr>
                <w:rFonts w:hint="eastAsia"/>
              </w:rPr>
              <w:t>条款号</w:t>
            </w:r>
          </w:p>
        </w:tc>
        <w:tc>
          <w:tcPr>
            <w:tcW w:w="1142" w:type="dxa"/>
          </w:tcPr>
          <w:p w14:paraId="5A986CCA">
            <w:pPr>
              <w:pStyle w:val="34"/>
              <w:bidi w:val="0"/>
            </w:pPr>
            <w:r>
              <w:rPr>
                <w:rFonts w:hint="eastAsia"/>
              </w:rPr>
              <w:t>类别</w:t>
            </w:r>
          </w:p>
        </w:tc>
        <w:tc>
          <w:tcPr>
            <w:tcW w:w="7107" w:type="dxa"/>
          </w:tcPr>
          <w:p w14:paraId="6FB0A234">
            <w:pPr>
              <w:pStyle w:val="34"/>
              <w:bidi w:val="0"/>
            </w:pPr>
            <w:r>
              <w:rPr>
                <w:rFonts w:hint="eastAsia"/>
              </w:rPr>
              <w:t>技术规格要求</w:t>
            </w:r>
          </w:p>
        </w:tc>
      </w:tr>
      <w:tr w14:paraId="43BED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1486A63F">
            <w:pPr>
              <w:pStyle w:val="33"/>
              <w:bidi w:val="0"/>
            </w:pPr>
            <w:r>
              <w:t>1</w:t>
            </w:r>
          </w:p>
        </w:tc>
        <w:tc>
          <w:tcPr>
            <w:tcW w:w="1142" w:type="dxa"/>
            <w:tcBorders>
              <w:top w:val="single" w:color="auto" w:sz="4" w:space="0"/>
              <w:left w:val="single" w:color="auto" w:sz="4" w:space="0"/>
              <w:right w:val="single" w:color="auto" w:sz="4" w:space="0"/>
            </w:tcBorders>
          </w:tcPr>
          <w:p w14:paraId="50A1AA13">
            <w:pPr>
              <w:pStyle w:val="33"/>
              <w:bidi w:val="0"/>
            </w:pPr>
            <w:r>
              <w:t>物理参数</w:t>
            </w:r>
          </w:p>
        </w:tc>
        <w:tc>
          <w:tcPr>
            <w:tcW w:w="7107" w:type="dxa"/>
            <w:tcBorders>
              <w:left w:val="single" w:color="auto" w:sz="4" w:space="0"/>
            </w:tcBorders>
          </w:tcPr>
          <w:p w14:paraId="4577751E">
            <w:pPr>
              <w:pStyle w:val="33"/>
              <w:bidi w:val="0"/>
            </w:pPr>
            <w:r>
              <w:t>2路机架式PC服务器(2U)</w:t>
            </w:r>
          </w:p>
        </w:tc>
      </w:tr>
      <w:tr w14:paraId="70C2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08AB57F6">
            <w:pPr>
              <w:pStyle w:val="33"/>
              <w:bidi w:val="0"/>
            </w:pPr>
            <w:r>
              <w:t>2</w:t>
            </w:r>
          </w:p>
        </w:tc>
        <w:tc>
          <w:tcPr>
            <w:tcW w:w="1142" w:type="dxa"/>
            <w:tcBorders>
              <w:top w:val="single" w:color="auto" w:sz="4" w:space="0"/>
              <w:left w:val="single" w:color="auto" w:sz="4" w:space="0"/>
              <w:right w:val="single" w:color="auto" w:sz="4" w:space="0"/>
            </w:tcBorders>
            <w:vAlign w:val="center"/>
          </w:tcPr>
          <w:p w14:paraId="04F993D0">
            <w:pPr>
              <w:pStyle w:val="33"/>
              <w:bidi w:val="0"/>
              <w:rPr>
                <w:rFonts w:hint="eastAsia"/>
              </w:rPr>
            </w:pPr>
            <w:r>
              <w:t>CPU</w:t>
            </w:r>
          </w:p>
        </w:tc>
        <w:tc>
          <w:tcPr>
            <w:tcW w:w="7107" w:type="dxa"/>
            <w:tcBorders>
              <w:left w:val="single" w:color="auto" w:sz="4" w:space="0"/>
            </w:tcBorders>
          </w:tcPr>
          <w:p w14:paraId="24066B09">
            <w:pPr>
              <w:pStyle w:val="33"/>
              <w:bidi w:val="0"/>
            </w:pPr>
            <w:r>
              <w:t>2*鲲鹏920 5250(48C/2.6GHz)</w:t>
            </w:r>
          </w:p>
        </w:tc>
      </w:tr>
      <w:tr w14:paraId="6270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0247C03E">
            <w:pPr>
              <w:pStyle w:val="33"/>
              <w:bidi w:val="0"/>
            </w:pPr>
            <w:r>
              <w:t>3</w:t>
            </w:r>
          </w:p>
        </w:tc>
        <w:tc>
          <w:tcPr>
            <w:tcW w:w="1142" w:type="dxa"/>
            <w:tcBorders>
              <w:top w:val="single" w:color="auto" w:sz="4" w:space="0"/>
              <w:left w:val="single" w:color="auto" w:sz="4" w:space="0"/>
              <w:right w:val="single" w:color="auto" w:sz="4" w:space="0"/>
            </w:tcBorders>
            <w:vAlign w:val="center"/>
          </w:tcPr>
          <w:p w14:paraId="26724C07">
            <w:pPr>
              <w:pStyle w:val="33"/>
              <w:bidi w:val="0"/>
              <w:rPr>
                <w:rFonts w:hint="eastAsia"/>
              </w:rPr>
            </w:pPr>
            <w:r>
              <w:t>内存</w:t>
            </w:r>
          </w:p>
        </w:tc>
        <w:tc>
          <w:tcPr>
            <w:tcW w:w="7107" w:type="dxa"/>
            <w:tcBorders>
              <w:left w:val="single" w:color="auto" w:sz="4" w:space="0"/>
            </w:tcBorders>
          </w:tcPr>
          <w:p w14:paraId="59E5E67D">
            <w:pPr>
              <w:pStyle w:val="33"/>
              <w:bidi w:val="0"/>
            </w:pPr>
            <w:r>
              <w:t>512GB（16 * 32GB DDR4 ECC RDIMM 3200，最大支持32个内存扩展插槽）</w:t>
            </w:r>
          </w:p>
        </w:tc>
      </w:tr>
      <w:tr w14:paraId="420B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E7A40AF">
            <w:pPr>
              <w:pStyle w:val="33"/>
              <w:bidi w:val="0"/>
            </w:pPr>
            <w:r>
              <w:t>4</w:t>
            </w:r>
          </w:p>
        </w:tc>
        <w:tc>
          <w:tcPr>
            <w:tcW w:w="1142" w:type="dxa"/>
            <w:tcBorders>
              <w:top w:val="single" w:color="auto" w:sz="4" w:space="0"/>
              <w:left w:val="single" w:color="auto" w:sz="4" w:space="0"/>
              <w:right w:val="single" w:color="auto" w:sz="4" w:space="0"/>
            </w:tcBorders>
            <w:vAlign w:val="center"/>
          </w:tcPr>
          <w:p w14:paraId="77713736">
            <w:pPr>
              <w:pStyle w:val="33"/>
              <w:bidi w:val="0"/>
              <w:rPr>
                <w:rFonts w:hint="eastAsia"/>
              </w:rPr>
            </w:pPr>
            <w:r>
              <w:t>硬盘</w:t>
            </w:r>
          </w:p>
        </w:tc>
        <w:tc>
          <w:tcPr>
            <w:tcW w:w="7107" w:type="dxa"/>
            <w:tcBorders>
              <w:left w:val="single" w:color="auto" w:sz="4" w:space="0"/>
            </w:tcBorders>
          </w:tcPr>
          <w:p w14:paraId="45369140">
            <w:pPr>
              <w:pStyle w:val="33"/>
              <w:bidi w:val="0"/>
            </w:pPr>
            <w:r>
              <w:rPr>
                <w:rFonts w:hint="eastAsia"/>
              </w:rPr>
              <w:t>系统盘（前置）2块960GB 2.5寸可热插拔SATA SSD（使用2.5寸托架,DWPD≥1,性能等级：4K随机写IOPS≥30,000）</w:t>
            </w:r>
          </w:p>
        </w:tc>
      </w:tr>
      <w:tr w14:paraId="264D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A265546">
            <w:pPr>
              <w:pStyle w:val="33"/>
              <w:bidi w:val="0"/>
            </w:pPr>
            <w:r>
              <w:t>5</w:t>
            </w:r>
          </w:p>
        </w:tc>
        <w:tc>
          <w:tcPr>
            <w:tcW w:w="1142" w:type="dxa"/>
            <w:tcBorders>
              <w:top w:val="single" w:color="auto" w:sz="4" w:space="0"/>
              <w:left w:val="single" w:color="auto" w:sz="4" w:space="0"/>
              <w:right w:val="single" w:color="auto" w:sz="4" w:space="0"/>
            </w:tcBorders>
            <w:vAlign w:val="center"/>
          </w:tcPr>
          <w:p w14:paraId="5AF93791">
            <w:pPr>
              <w:pStyle w:val="33"/>
              <w:bidi w:val="0"/>
            </w:pPr>
            <w:r>
              <w:t>背板</w:t>
            </w:r>
          </w:p>
        </w:tc>
        <w:tc>
          <w:tcPr>
            <w:tcW w:w="7107" w:type="dxa"/>
            <w:tcBorders>
              <w:left w:val="single" w:color="auto" w:sz="4" w:space="0"/>
            </w:tcBorders>
          </w:tcPr>
          <w:p w14:paraId="4104020B">
            <w:pPr>
              <w:pStyle w:val="33"/>
              <w:bidi w:val="0"/>
            </w:pPr>
            <w:r>
              <w:t>前置不少于8槽位2.5寸硬盘背板，支持2.5寸SATA SSD类型的系统盘</w:t>
            </w:r>
          </w:p>
        </w:tc>
      </w:tr>
      <w:tr w14:paraId="11C5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0FE9304F">
            <w:pPr>
              <w:pStyle w:val="33"/>
              <w:bidi w:val="0"/>
            </w:pPr>
            <w:r>
              <w:t>6</w:t>
            </w:r>
          </w:p>
        </w:tc>
        <w:tc>
          <w:tcPr>
            <w:tcW w:w="1142" w:type="dxa"/>
            <w:tcBorders>
              <w:top w:val="single" w:color="auto" w:sz="4" w:space="0"/>
              <w:left w:val="single" w:color="auto" w:sz="4" w:space="0"/>
              <w:right w:val="single" w:color="auto" w:sz="4" w:space="0"/>
            </w:tcBorders>
            <w:vAlign w:val="center"/>
          </w:tcPr>
          <w:p w14:paraId="0D9DBA20">
            <w:pPr>
              <w:pStyle w:val="33"/>
              <w:bidi w:val="0"/>
            </w:pPr>
            <w:r>
              <w:t>网卡</w:t>
            </w:r>
          </w:p>
        </w:tc>
        <w:tc>
          <w:tcPr>
            <w:tcW w:w="7107" w:type="dxa"/>
            <w:tcBorders>
              <w:left w:val="single" w:color="auto" w:sz="4" w:space="0"/>
            </w:tcBorders>
          </w:tcPr>
          <w:p w14:paraId="4DB346B4">
            <w:pPr>
              <w:pStyle w:val="33"/>
              <w:bidi w:val="0"/>
            </w:pPr>
            <w:r>
              <w:rPr>
                <w:rFonts w:hint="eastAsia"/>
              </w:rPr>
              <w:t>1*4端口千兆自适应电口网卡，3*双端口SFP+万兆自适应光口网卡（满配光模块）</w:t>
            </w:r>
          </w:p>
        </w:tc>
      </w:tr>
      <w:tr w14:paraId="567B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691A4242">
            <w:pPr>
              <w:pStyle w:val="33"/>
              <w:bidi w:val="0"/>
            </w:pPr>
            <w:r>
              <w:t>7</w:t>
            </w:r>
          </w:p>
        </w:tc>
        <w:tc>
          <w:tcPr>
            <w:tcW w:w="1142" w:type="dxa"/>
            <w:tcBorders>
              <w:top w:val="single" w:color="auto" w:sz="4" w:space="0"/>
              <w:left w:val="single" w:color="auto" w:sz="4" w:space="0"/>
              <w:right w:val="single" w:color="auto" w:sz="4" w:space="0"/>
            </w:tcBorders>
            <w:vAlign w:val="center"/>
          </w:tcPr>
          <w:p w14:paraId="42A4C809">
            <w:pPr>
              <w:pStyle w:val="33"/>
              <w:bidi w:val="0"/>
              <w:rPr>
                <w:rFonts w:hint="eastAsia"/>
              </w:rPr>
            </w:pPr>
            <w:r>
              <w:t>PCIE</w:t>
            </w:r>
          </w:p>
        </w:tc>
        <w:tc>
          <w:tcPr>
            <w:tcW w:w="7107" w:type="dxa"/>
            <w:tcBorders>
              <w:left w:val="single" w:color="auto" w:sz="4" w:space="0"/>
            </w:tcBorders>
          </w:tcPr>
          <w:p w14:paraId="56AD8C2D">
            <w:pPr>
              <w:pStyle w:val="33"/>
              <w:bidi w:val="0"/>
            </w:pPr>
            <w:r>
              <w:t>配置PCIe4.0标准插槽至少8个</w:t>
            </w:r>
          </w:p>
        </w:tc>
      </w:tr>
      <w:tr w14:paraId="7641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4C634108">
            <w:pPr>
              <w:pStyle w:val="33"/>
              <w:bidi w:val="0"/>
            </w:pPr>
            <w:r>
              <w:t>8</w:t>
            </w:r>
          </w:p>
        </w:tc>
        <w:tc>
          <w:tcPr>
            <w:tcW w:w="1142" w:type="dxa"/>
            <w:tcBorders>
              <w:top w:val="single" w:color="auto" w:sz="4" w:space="0"/>
              <w:left w:val="single" w:color="auto" w:sz="4" w:space="0"/>
              <w:right w:val="single" w:color="auto" w:sz="4" w:space="0"/>
            </w:tcBorders>
            <w:vAlign w:val="center"/>
          </w:tcPr>
          <w:p w14:paraId="28EF4B52">
            <w:pPr>
              <w:pStyle w:val="33"/>
              <w:bidi w:val="0"/>
            </w:pPr>
            <w:r>
              <w:t>HBA卡</w:t>
            </w:r>
          </w:p>
        </w:tc>
        <w:tc>
          <w:tcPr>
            <w:tcW w:w="7107" w:type="dxa"/>
            <w:tcBorders>
              <w:left w:val="single" w:color="auto" w:sz="4" w:space="0"/>
            </w:tcBorders>
          </w:tcPr>
          <w:p w14:paraId="1078FE3D">
            <w:pPr>
              <w:pStyle w:val="33"/>
              <w:bidi w:val="0"/>
            </w:pPr>
            <w:r>
              <w:t>2*32Gb双端口HBA卡（含模块）</w:t>
            </w:r>
          </w:p>
        </w:tc>
      </w:tr>
      <w:tr w14:paraId="0AFB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D7F5C1C">
            <w:pPr>
              <w:pStyle w:val="33"/>
              <w:bidi w:val="0"/>
            </w:pPr>
            <w:r>
              <w:t>9</w:t>
            </w:r>
          </w:p>
        </w:tc>
        <w:tc>
          <w:tcPr>
            <w:tcW w:w="1142" w:type="dxa"/>
            <w:tcBorders>
              <w:top w:val="single" w:color="auto" w:sz="4" w:space="0"/>
              <w:left w:val="single" w:color="auto" w:sz="4" w:space="0"/>
              <w:right w:val="single" w:color="auto" w:sz="4" w:space="0"/>
            </w:tcBorders>
            <w:vAlign w:val="center"/>
          </w:tcPr>
          <w:p w14:paraId="0828A750">
            <w:pPr>
              <w:pStyle w:val="33"/>
              <w:bidi w:val="0"/>
              <w:rPr>
                <w:rFonts w:hint="eastAsia"/>
              </w:rPr>
            </w:pPr>
            <w:r>
              <w:t>阵列卡</w:t>
            </w:r>
          </w:p>
        </w:tc>
        <w:tc>
          <w:tcPr>
            <w:tcW w:w="7107" w:type="dxa"/>
            <w:tcBorders>
              <w:left w:val="single" w:color="auto" w:sz="4" w:space="0"/>
            </w:tcBorders>
          </w:tcPr>
          <w:p w14:paraId="188C7809">
            <w:pPr>
              <w:pStyle w:val="33"/>
              <w:bidi w:val="0"/>
            </w:pPr>
            <w:r>
              <w:rPr>
                <w:rFonts w:hint="eastAsia"/>
              </w:rPr>
              <w:t>配置1块阵列卡（PCIe4.0 SAS,4K随机读性能≥3.0M IOPS），4G缓存，8个SAS端口，配置超级电容保护，能管理当前配置磁盘满配情况下的所有磁盘，支持直通且支持RAID 0/1/10/5/6（两种模式能同时工作）</w:t>
            </w:r>
          </w:p>
        </w:tc>
      </w:tr>
      <w:tr w14:paraId="4E64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BCDA3D8">
            <w:pPr>
              <w:pStyle w:val="33"/>
              <w:bidi w:val="0"/>
            </w:pPr>
            <w:r>
              <w:t>10</w:t>
            </w:r>
          </w:p>
        </w:tc>
        <w:tc>
          <w:tcPr>
            <w:tcW w:w="1142" w:type="dxa"/>
            <w:tcBorders>
              <w:top w:val="single" w:color="auto" w:sz="4" w:space="0"/>
              <w:left w:val="single" w:color="auto" w:sz="4" w:space="0"/>
              <w:right w:val="single" w:color="auto" w:sz="4" w:space="0"/>
            </w:tcBorders>
            <w:vAlign w:val="center"/>
          </w:tcPr>
          <w:p w14:paraId="752FCDEC">
            <w:pPr>
              <w:pStyle w:val="33"/>
              <w:bidi w:val="0"/>
              <w:rPr>
                <w:rFonts w:hint="eastAsia"/>
              </w:rPr>
            </w:pPr>
            <w:r>
              <w:t>管理</w:t>
            </w:r>
          </w:p>
        </w:tc>
        <w:tc>
          <w:tcPr>
            <w:tcW w:w="7107" w:type="dxa"/>
            <w:tcBorders>
              <w:left w:val="single" w:color="auto" w:sz="4" w:space="0"/>
            </w:tcBorders>
          </w:tcPr>
          <w:p w14:paraId="5652DAA6">
            <w:pPr>
              <w:pStyle w:val="33"/>
              <w:bidi w:val="0"/>
            </w:pPr>
            <w:r>
              <w:rPr>
                <w:rFonts w:hint="eastAsia"/>
              </w:rPr>
              <w:t>提供基于Web的远程管理功能，能够实时监控各部件模块，支持故障告警、硬件日志收集、远程IP KVM、虚拟介质、远程开关机及远程控制台等功能，支持IPMI V2.0、SNMP V2及V3</w:t>
            </w:r>
            <w:r>
              <w:t>，</w:t>
            </w:r>
            <w:r>
              <w:rPr>
                <w:rFonts w:hint="eastAsia"/>
              </w:rPr>
              <w:t>snmptrap告警配置，在银河麒麟高级服务器操作系统（鲲鹏版）V10中能使用dmidecode命令能查询到序列号（须与带外管理界面查询的序列号一致），使用该序列号能在服务器厂家官网查询到维保信息（至少需展示设备维保结束日期）</w:t>
            </w:r>
          </w:p>
        </w:tc>
      </w:tr>
      <w:tr w14:paraId="1D8C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0807E7CC">
            <w:pPr>
              <w:pStyle w:val="33"/>
              <w:bidi w:val="0"/>
            </w:pPr>
            <w:r>
              <w:t>11</w:t>
            </w:r>
          </w:p>
        </w:tc>
        <w:tc>
          <w:tcPr>
            <w:tcW w:w="1142" w:type="dxa"/>
            <w:tcBorders>
              <w:top w:val="single" w:color="auto" w:sz="4" w:space="0"/>
              <w:left w:val="single" w:color="auto" w:sz="4" w:space="0"/>
              <w:right w:val="single" w:color="auto" w:sz="4" w:space="0"/>
            </w:tcBorders>
            <w:vAlign w:val="center"/>
          </w:tcPr>
          <w:p w14:paraId="62A2D7A0">
            <w:pPr>
              <w:pStyle w:val="33"/>
              <w:bidi w:val="0"/>
              <w:rPr>
                <w:rFonts w:hint="eastAsia"/>
              </w:rPr>
            </w:pPr>
            <w:r>
              <w:t>风扇</w:t>
            </w:r>
          </w:p>
        </w:tc>
        <w:tc>
          <w:tcPr>
            <w:tcW w:w="7107" w:type="dxa"/>
            <w:tcBorders>
              <w:left w:val="single" w:color="auto" w:sz="4" w:space="0"/>
            </w:tcBorders>
          </w:tcPr>
          <w:p w14:paraId="0B48E694">
            <w:pPr>
              <w:pStyle w:val="33"/>
              <w:bidi w:val="0"/>
              <w:rPr>
                <w:rFonts w:hint="eastAsia"/>
              </w:rPr>
            </w:pPr>
            <w:r>
              <w:rPr>
                <w:rFonts w:hint="eastAsia"/>
              </w:rPr>
              <w:t>全冗余、热插拨</w:t>
            </w:r>
          </w:p>
        </w:tc>
      </w:tr>
      <w:tr w14:paraId="7210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72B54CB">
            <w:pPr>
              <w:pStyle w:val="33"/>
              <w:bidi w:val="0"/>
            </w:pPr>
            <w:r>
              <w:t>12</w:t>
            </w:r>
          </w:p>
        </w:tc>
        <w:tc>
          <w:tcPr>
            <w:tcW w:w="1142" w:type="dxa"/>
            <w:tcBorders>
              <w:top w:val="single" w:color="auto" w:sz="4" w:space="0"/>
              <w:left w:val="single" w:color="auto" w:sz="4" w:space="0"/>
              <w:right w:val="single" w:color="auto" w:sz="4" w:space="0"/>
            </w:tcBorders>
            <w:vAlign w:val="center"/>
          </w:tcPr>
          <w:p w14:paraId="4EA5BE9F">
            <w:pPr>
              <w:pStyle w:val="33"/>
              <w:bidi w:val="0"/>
              <w:rPr>
                <w:rFonts w:hint="eastAsia"/>
              </w:rPr>
            </w:pPr>
            <w:r>
              <w:t>电源</w:t>
            </w:r>
          </w:p>
        </w:tc>
        <w:tc>
          <w:tcPr>
            <w:tcW w:w="7107" w:type="dxa"/>
            <w:tcBorders>
              <w:left w:val="single" w:color="auto" w:sz="4" w:space="0"/>
            </w:tcBorders>
          </w:tcPr>
          <w:p w14:paraId="41D7C34F">
            <w:pPr>
              <w:pStyle w:val="33"/>
              <w:bidi w:val="0"/>
              <w:rPr>
                <w:rFonts w:hint="eastAsia"/>
              </w:rPr>
            </w:pPr>
            <w:r>
              <w:rPr>
                <w:rFonts w:hint="eastAsia"/>
              </w:rPr>
              <w:t>满配热插拨全冗余电源模块，电源功率满足服务器的最大负载要求(满足服务器满配内存、满配数据硬盘、满配PCIe卡情况下的功率需求），且单个电源故障场景下另一个正常电源可以满足服务器工作需求，单个电源模块功率≥900W（铂金级，交流），并同时配置C13/C14电源线</w:t>
            </w:r>
          </w:p>
        </w:tc>
      </w:tr>
      <w:tr w14:paraId="4749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89F74CD">
            <w:pPr>
              <w:pStyle w:val="33"/>
              <w:bidi w:val="0"/>
            </w:pPr>
            <w:r>
              <w:t>13</w:t>
            </w:r>
          </w:p>
        </w:tc>
        <w:tc>
          <w:tcPr>
            <w:tcW w:w="1142" w:type="dxa"/>
            <w:tcBorders>
              <w:top w:val="single" w:color="auto" w:sz="4" w:space="0"/>
              <w:left w:val="single" w:color="auto" w:sz="4" w:space="0"/>
              <w:right w:val="single" w:color="auto" w:sz="4" w:space="0"/>
            </w:tcBorders>
            <w:vAlign w:val="center"/>
          </w:tcPr>
          <w:p w14:paraId="1DEF8942">
            <w:pPr>
              <w:pStyle w:val="33"/>
              <w:bidi w:val="0"/>
              <w:rPr>
                <w:rFonts w:hint="eastAsia"/>
              </w:rPr>
            </w:pPr>
            <w:r>
              <w:t>兼容性要求</w:t>
            </w:r>
          </w:p>
        </w:tc>
        <w:tc>
          <w:tcPr>
            <w:tcW w:w="7107" w:type="dxa"/>
            <w:tcBorders>
              <w:left w:val="single" w:color="auto" w:sz="4" w:space="0"/>
            </w:tcBorders>
          </w:tcPr>
          <w:p w14:paraId="5D347AEC">
            <w:pPr>
              <w:pStyle w:val="33"/>
              <w:bidi w:val="0"/>
            </w:pPr>
            <w:r>
              <w:rPr>
                <w:rFonts w:hint="eastAsia"/>
              </w:rPr>
              <w:t>支持银河麒麟高级服务器操作系统（鲲鹏版）V10，统信服务器操作系统（鲲鹏版）V20</w:t>
            </w:r>
            <w:r>
              <w:t>，</w:t>
            </w:r>
            <w:r>
              <w:rPr>
                <w:rFonts w:hint="eastAsia"/>
              </w:rPr>
              <w:t>支持以下虚拟化软件：紫光云Unicloud Usphere VMS企业版及云宏CNware Winsphere</w:t>
            </w:r>
          </w:p>
        </w:tc>
      </w:tr>
    </w:tbl>
    <w:p w14:paraId="5F0CE29A">
      <w:pPr>
        <w:rPr>
          <w:rFonts w:ascii="宋体"/>
          <w:snapToGrid w:val="0"/>
          <w:kern w:val="0"/>
          <w:szCs w:val="24"/>
        </w:rPr>
      </w:pPr>
      <w:r>
        <w:rPr>
          <w:rFonts w:ascii="宋体"/>
          <w:snapToGrid w:val="0"/>
          <w:kern w:val="0"/>
          <w:szCs w:val="24"/>
        </w:rPr>
        <w:t>配置三整机技术规格要求如下：</w:t>
      </w:r>
    </w:p>
    <w:tbl>
      <w:tblPr>
        <w:tblStyle w:val="14"/>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142"/>
        <w:gridCol w:w="7107"/>
      </w:tblGrid>
      <w:tr w14:paraId="0966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2631FAE7">
            <w:pPr>
              <w:pStyle w:val="34"/>
              <w:bidi w:val="0"/>
            </w:pPr>
            <w:r>
              <w:rPr>
                <w:rFonts w:hint="eastAsia"/>
              </w:rPr>
              <w:t>条款号</w:t>
            </w:r>
          </w:p>
        </w:tc>
        <w:tc>
          <w:tcPr>
            <w:tcW w:w="1142" w:type="dxa"/>
          </w:tcPr>
          <w:p w14:paraId="7602EB27">
            <w:pPr>
              <w:pStyle w:val="34"/>
              <w:bidi w:val="0"/>
            </w:pPr>
            <w:r>
              <w:rPr>
                <w:rFonts w:hint="eastAsia"/>
              </w:rPr>
              <w:t>类别</w:t>
            </w:r>
          </w:p>
        </w:tc>
        <w:tc>
          <w:tcPr>
            <w:tcW w:w="7107" w:type="dxa"/>
          </w:tcPr>
          <w:p w14:paraId="37714A59">
            <w:pPr>
              <w:pStyle w:val="34"/>
              <w:bidi w:val="0"/>
            </w:pPr>
            <w:r>
              <w:rPr>
                <w:rFonts w:hint="eastAsia"/>
              </w:rPr>
              <w:t>技术规格要求</w:t>
            </w:r>
          </w:p>
        </w:tc>
      </w:tr>
      <w:tr w14:paraId="5296F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0518AD92">
            <w:pPr>
              <w:pStyle w:val="33"/>
              <w:bidi w:val="0"/>
            </w:pPr>
            <w:r>
              <w:t>1</w:t>
            </w:r>
          </w:p>
        </w:tc>
        <w:tc>
          <w:tcPr>
            <w:tcW w:w="1142" w:type="dxa"/>
            <w:tcBorders>
              <w:top w:val="single" w:color="auto" w:sz="4" w:space="0"/>
              <w:left w:val="single" w:color="auto" w:sz="4" w:space="0"/>
              <w:right w:val="single" w:color="auto" w:sz="4" w:space="0"/>
            </w:tcBorders>
          </w:tcPr>
          <w:p w14:paraId="61B048E3">
            <w:pPr>
              <w:pStyle w:val="33"/>
              <w:bidi w:val="0"/>
            </w:pPr>
            <w:r>
              <w:t>物理参数</w:t>
            </w:r>
          </w:p>
        </w:tc>
        <w:tc>
          <w:tcPr>
            <w:tcW w:w="7107" w:type="dxa"/>
            <w:tcBorders>
              <w:left w:val="single" w:color="auto" w:sz="4" w:space="0"/>
            </w:tcBorders>
          </w:tcPr>
          <w:p w14:paraId="731AFF82">
            <w:pPr>
              <w:pStyle w:val="33"/>
              <w:bidi w:val="0"/>
            </w:pPr>
            <w:r>
              <w:t>2路机架式PC服务器(2U)</w:t>
            </w:r>
          </w:p>
        </w:tc>
      </w:tr>
      <w:tr w14:paraId="0BFB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12A7FFEE">
            <w:pPr>
              <w:pStyle w:val="33"/>
              <w:bidi w:val="0"/>
            </w:pPr>
            <w:r>
              <w:t>2</w:t>
            </w:r>
          </w:p>
        </w:tc>
        <w:tc>
          <w:tcPr>
            <w:tcW w:w="1142" w:type="dxa"/>
            <w:tcBorders>
              <w:top w:val="single" w:color="auto" w:sz="4" w:space="0"/>
              <w:left w:val="single" w:color="auto" w:sz="4" w:space="0"/>
              <w:right w:val="single" w:color="auto" w:sz="4" w:space="0"/>
            </w:tcBorders>
            <w:vAlign w:val="center"/>
          </w:tcPr>
          <w:p w14:paraId="1D234612">
            <w:pPr>
              <w:pStyle w:val="33"/>
              <w:bidi w:val="0"/>
              <w:rPr>
                <w:rFonts w:hint="eastAsia"/>
              </w:rPr>
            </w:pPr>
            <w:r>
              <w:t>CPU</w:t>
            </w:r>
          </w:p>
        </w:tc>
        <w:tc>
          <w:tcPr>
            <w:tcW w:w="7107" w:type="dxa"/>
            <w:tcBorders>
              <w:left w:val="single" w:color="auto" w:sz="4" w:space="0"/>
            </w:tcBorders>
          </w:tcPr>
          <w:p w14:paraId="0687982D">
            <w:pPr>
              <w:pStyle w:val="33"/>
              <w:bidi w:val="0"/>
            </w:pPr>
            <w:r>
              <w:t>2*鲲鹏920 5250(48C/2.6GHz)</w:t>
            </w:r>
          </w:p>
        </w:tc>
      </w:tr>
      <w:tr w14:paraId="473B5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0FFAEF82">
            <w:pPr>
              <w:pStyle w:val="33"/>
              <w:bidi w:val="0"/>
            </w:pPr>
            <w:r>
              <w:t>3</w:t>
            </w:r>
          </w:p>
        </w:tc>
        <w:tc>
          <w:tcPr>
            <w:tcW w:w="1142" w:type="dxa"/>
            <w:tcBorders>
              <w:top w:val="single" w:color="auto" w:sz="4" w:space="0"/>
              <w:left w:val="single" w:color="auto" w:sz="4" w:space="0"/>
              <w:right w:val="single" w:color="auto" w:sz="4" w:space="0"/>
            </w:tcBorders>
            <w:vAlign w:val="center"/>
          </w:tcPr>
          <w:p w14:paraId="558E3D72">
            <w:pPr>
              <w:pStyle w:val="33"/>
              <w:bidi w:val="0"/>
              <w:rPr>
                <w:rFonts w:hint="eastAsia"/>
              </w:rPr>
            </w:pPr>
            <w:r>
              <w:t>内存</w:t>
            </w:r>
          </w:p>
        </w:tc>
        <w:tc>
          <w:tcPr>
            <w:tcW w:w="7107" w:type="dxa"/>
            <w:tcBorders>
              <w:left w:val="single" w:color="auto" w:sz="4" w:space="0"/>
            </w:tcBorders>
          </w:tcPr>
          <w:p w14:paraId="0E6AACB9">
            <w:pPr>
              <w:pStyle w:val="33"/>
              <w:bidi w:val="0"/>
            </w:pPr>
            <w:r>
              <w:t>1TB（32 * 32GB DDR4 ECC RDIMM 3200，最大支持32个内存扩展插槽）</w:t>
            </w:r>
          </w:p>
        </w:tc>
      </w:tr>
      <w:tr w14:paraId="58427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EB042AC">
            <w:pPr>
              <w:pStyle w:val="33"/>
              <w:bidi w:val="0"/>
            </w:pPr>
            <w:r>
              <w:t>4</w:t>
            </w:r>
          </w:p>
        </w:tc>
        <w:tc>
          <w:tcPr>
            <w:tcW w:w="1142" w:type="dxa"/>
            <w:tcBorders>
              <w:top w:val="single" w:color="auto" w:sz="4" w:space="0"/>
              <w:left w:val="single" w:color="auto" w:sz="4" w:space="0"/>
              <w:right w:val="single" w:color="auto" w:sz="4" w:space="0"/>
            </w:tcBorders>
            <w:vAlign w:val="center"/>
          </w:tcPr>
          <w:p w14:paraId="63B687C2">
            <w:pPr>
              <w:pStyle w:val="33"/>
              <w:bidi w:val="0"/>
              <w:rPr>
                <w:rFonts w:hint="eastAsia"/>
              </w:rPr>
            </w:pPr>
            <w:r>
              <w:t>硬盘</w:t>
            </w:r>
          </w:p>
        </w:tc>
        <w:tc>
          <w:tcPr>
            <w:tcW w:w="7107" w:type="dxa"/>
            <w:tcBorders>
              <w:left w:val="single" w:color="auto" w:sz="4" w:space="0"/>
            </w:tcBorders>
          </w:tcPr>
          <w:p w14:paraId="16A1EFDB">
            <w:pPr>
              <w:pStyle w:val="33"/>
              <w:bidi w:val="0"/>
            </w:pPr>
            <w:r>
              <w:t>1、</w:t>
            </w:r>
            <w:r>
              <w:rPr>
                <w:rFonts w:hint="eastAsia"/>
              </w:rPr>
              <w:t>系统盘（前置）2块960GB 2.5寸可热插拔SATA SSD（使用2.5寸托架,DWPD≥1,性能等级：4K随机写IOPS≥30,000）；</w:t>
            </w:r>
          </w:p>
          <w:p w14:paraId="3FFFF2E4">
            <w:pPr>
              <w:pStyle w:val="33"/>
              <w:bidi w:val="0"/>
              <w:rPr>
                <w:rFonts w:hint="eastAsia"/>
              </w:rPr>
            </w:pPr>
            <w:r>
              <w:t>2、</w:t>
            </w:r>
            <w:r>
              <w:rPr>
                <w:rFonts w:hint="eastAsia"/>
              </w:rPr>
              <w:t>数据盘（前置）16块1.92TB 2.5寸可热插拔SATA SSD（使用2.5寸托架,DWPD≥1,性能等级：4K随机写IOPS≥30,000）</w:t>
            </w:r>
          </w:p>
        </w:tc>
      </w:tr>
      <w:tr w14:paraId="692A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20D9D62">
            <w:pPr>
              <w:pStyle w:val="33"/>
              <w:bidi w:val="0"/>
            </w:pPr>
            <w:r>
              <w:t>5</w:t>
            </w:r>
          </w:p>
        </w:tc>
        <w:tc>
          <w:tcPr>
            <w:tcW w:w="1142" w:type="dxa"/>
            <w:tcBorders>
              <w:top w:val="single" w:color="auto" w:sz="4" w:space="0"/>
              <w:left w:val="single" w:color="auto" w:sz="4" w:space="0"/>
              <w:right w:val="single" w:color="auto" w:sz="4" w:space="0"/>
            </w:tcBorders>
            <w:vAlign w:val="center"/>
          </w:tcPr>
          <w:p w14:paraId="0ADBFB87">
            <w:pPr>
              <w:pStyle w:val="33"/>
              <w:bidi w:val="0"/>
            </w:pPr>
            <w:r>
              <w:t>背板</w:t>
            </w:r>
          </w:p>
        </w:tc>
        <w:tc>
          <w:tcPr>
            <w:tcW w:w="7107" w:type="dxa"/>
            <w:tcBorders>
              <w:left w:val="single" w:color="auto" w:sz="4" w:space="0"/>
            </w:tcBorders>
          </w:tcPr>
          <w:p w14:paraId="4E6DE05A">
            <w:pPr>
              <w:pStyle w:val="33"/>
              <w:bidi w:val="0"/>
            </w:pPr>
            <w:r>
              <w:rPr>
                <w:rFonts w:hint="eastAsia"/>
              </w:rPr>
              <w:t>前置25槽位2.5寸硬盘背板，支持25块2.5寸SATA SSD硬盘</w:t>
            </w:r>
          </w:p>
        </w:tc>
      </w:tr>
      <w:tr w14:paraId="38B3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5B03596">
            <w:pPr>
              <w:pStyle w:val="33"/>
              <w:bidi w:val="0"/>
            </w:pPr>
            <w:r>
              <w:t>6</w:t>
            </w:r>
          </w:p>
        </w:tc>
        <w:tc>
          <w:tcPr>
            <w:tcW w:w="1142" w:type="dxa"/>
            <w:tcBorders>
              <w:top w:val="single" w:color="auto" w:sz="4" w:space="0"/>
              <w:left w:val="single" w:color="auto" w:sz="4" w:space="0"/>
              <w:right w:val="single" w:color="auto" w:sz="4" w:space="0"/>
            </w:tcBorders>
            <w:vAlign w:val="center"/>
          </w:tcPr>
          <w:p w14:paraId="51D0A7CB">
            <w:pPr>
              <w:pStyle w:val="33"/>
              <w:bidi w:val="0"/>
            </w:pPr>
            <w:r>
              <w:t>网卡</w:t>
            </w:r>
          </w:p>
        </w:tc>
        <w:tc>
          <w:tcPr>
            <w:tcW w:w="7107" w:type="dxa"/>
            <w:tcBorders>
              <w:left w:val="single" w:color="auto" w:sz="4" w:space="0"/>
            </w:tcBorders>
          </w:tcPr>
          <w:p w14:paraId="1EEA2859">
            <w:pPr>
              <w:pStyle w:val="33"/>
              <w:bidi w:val="0"/>
            </w:pPr>
            <w:r>
              <w:rPr>
                <w:rFonts w:hint="eastAsia"/>
              </w:rPr>
              <w:t>1*4端口千兆自适应电口网卡，3*双端口SFP+万兆光口网卡（满配光模块，支持PXE、支持DPDK应用，支持SRIOV技术）</w:t>
            </w:r>
          </w:p>
        </w:tc>
      </w:tr>
      <w:tr w14:paraId="5174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29928438">
            <w:pPr>
              <w:pStyle w:val="33"/>
              <w:bidi w:val="0"/>
            </w:pPr>
            <w:r>
              <w:t>7</w:t>
            </w:r>
          </w:p>
        </w:tc>
        <w:tc>
          <w:tcPr>
            <w:tcW w:w="1142" w:type="dxa"/>
            <w:tcBorders>
              <w:top w:val="single" w:color="auto" w:sz="4" w:space="0"/>
              <w:left w:val="single" w:color="auto" w:sz="4" w:space="0"/>
              <w:right w:val="single" w:color="auto" w:sz="4" w:space="0"/>
            </w:tcBorders>
            <w:vAlign w:val="center"/>
          </w:tcPr>
          <w:p w14:paraId="07943539">
            <w:pPr>
              <w:pStyle w:val="33"/>
              <w:bidi w:val="0"/>
              <w:rPr>
                <w:rFonts w:hint="eastAsia"/>
              </w:rPr>
            </w:pPr>
            <w:r>
              <w:t>PCIE</w:t>
            </w:r>
          </w:p>
        </w:tc>
        <w:tc>
          <w:tcPr>
            <w:tcW w:w="7107" w:type="dxa"/>
            <w:tcBorders>
              <w:left w:val="single" w:color="auto" w:sz="4" w:space="0"/>
            </w:tcBorders>
          </w:tcPr>
          <w:p w14:paraId="7C685BB3">
            <w:pPr>
              <w:pStyle w:val="33"/>
              <w:bidi w:val="0"/>
            </w:pPr>
            <w:r>
              <w:t>配置PCIE4.0标准插槽至少8个</w:t>
            </w:r>
          </w:p>
        </w:tc>
      </w:tr>
      <w:tr w14:paraId="1E20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6DF1A40">
            <w:pPr>
              <w:pStyle w:val="33"/>
              <w:bidi w:val="0"/>
            </w:pPr>
            <w:r>
              <w:t>8</w:t>
            </w:r>
          </w:p>
        </w:tc>
        <w:tc>
          <w:tcPr>
            <w:tcW w:w="1142" w:type="dxa"/>
            <w:tcBorders>
              <w:top w:val="single" w:color="auto" w:sz="4" w:space="0"/>
              <w:left w:val="single" w:color="auto" w:sz="4" w:space="0"/>
              <w:right w:val="single" w:color="auto" w:sz="4" w:space="0"/>
            </w:tcBorders>
            <w:vAlign w:val="center"/>
          </w:tcPr>
          <w:p w14:paraId="2C82397A">
            <w:pPr>
              <w:pStyle w:val="33"/>
              <w:bidi w:val="0"/>
              <w:rPr>
                <w:rFonts w:hint="eastAsia"/>
              </w:rPr>
            </w:pPr>
            <w:r>
              <w:t>阵列卡</w:t>
            </w:r>
          </w:p>
        </w:tc>
        <w:tc>
          <w:tcPr>
            <w:tcW w:w="7107" w:type="dxa"/>
            <w:tcBorders>
              <w:left w:val="single" w:color="auto" w:sz="4" w:space="0"/>
            </w:tcBorders>
          </w:tcPr>
          <w:p w14:paraId="4B7BD953">
            <w:pPr>
              <w:pStyle w:val="33"/>
              <w:bidi w:val="0"/>
            </w:pPr>
            <w:r>
              <w:rPr>
                <w:rFonts w:hint="eastAsia"/>
              </w:rPr>
              <w:t>配置1块阵列卡（PCIe4.0 SAS,4K随机读性能≥3.0M IOPS），4G缓存，8个SAS端口，配置超级电容保护，能管理当前配置磁盘满配情况下的所有磁盘，支持直通且支持RAID 0/1/10/5/6（两种模式能同时工作）</w:t>
            </w:r>
          </w:p>
        </w:tc>
      </w:tr>
      <w:tr w14:paraId="2C85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7C2F386">
            <w:pPr>
              <w:pStyle w:val="33"/>
              <w:bidi w:val="0"/>
            </w:pPr>
            <w:r>
              <w:t>9</w:t>
            </w:r>
          </w:p>
        </w:tc>
        <w:tc>
          <w:tcPr>
            <w:tcW w:w="1142" w:type="dxa"/>
            <w:tcBorders>
              <w:top w:val="single" w:color="auto" w:sz="4" w:space="0"/>
              <w:left w:val="single" w:color="auto" w:sz="4" w:space="0"/>
              <w:right w:val="single" w:color="auto" w:sz="4" w:space="0"/>
            </w:tcBorders>
            <w:vAlign w:val="center"/>
          </w:tcPr>
          <w:p w14:paraId="4DE2223A">
            <w:pPr>
              <w:pStyle w:val="33"/>
              <w:bidi w:val="0"/>
              <w:rPr>
                <w:rFonts w:hint="eastAsia"/>
              </w:rPr>
            </w:pPr>
            <w:r>
              <w:t>管理</w:t>
            </w:r>
          </w:p>
        </w:tc>
        <w:tc>
          <w:tcPr>
            <w:tcW w:w="7107" w:type="dxa"/>
            <w:tcBorders>
              <w:left w:val="single" w:color="auto" w:sz="4" w:space="0"/>
            </w:tcBorders>
          </w:tcPr>
          <w:p w14:paraId="3A28D597">
            <w:pPr>
              <w:pStyle w:val="33"/>
              <w:bidi w:val="0"/>
            </w:pPr>
            <w:r>
              <w:rPr>
                <w:rFonts w:hint="eastAsia"/>
              </w:rPr>
              <w:t>提供基于Web的远程管理功能，能够实时监控各部件模块，支持故障告警、硬件日志收集、远程IP KVM、虚拟介质、远程开关机及远程控制台等功能，支持IPMI V2.0、SNMP V2及V3,snmptrap告警配置，在银河麒麟高级服务器操作系统（鲲鹏版）V10中能使用dmidecode命令能查询到序列号（须与带外管理界面查询的序列号一致），使用该序列号能在服务器厂家官网查询到维保信息（至少需展示设备维保结束日期）</w:t>
            </w:r>
          </w:p>
        </w:tc>
      </w:tr>
      <w:tr w14:paraId="4D9A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5298D893">
            <w:pPr>
              <w:pStyle w:val="33"/>
              <w:bidi w:val="0"/>
            </w:pPr>
            <w:r>
              <w:t>10</w:t>
            </w:r>
          </w:p>
        </w:tc>
        <w:tc>
          <w:tcPr>
            <w:tcW w:w="1142" w:type="dxa"/>
            <w:tcBorders>
              <w:top w:val="single" w:color="auto" w:sz="4" w:space="0"/>
              <w:left w:val="single" w:color="auto" w:sz="4" w:space="0"/>
              <w:right w:val="single" w:color="auto" w:sz="4" w:space="0"/>
            </w:tcBorders>
            <w:vAlign w:val="center"/>
          </w:tcPr>
          <w:p w14:paraId="2278848D">
            <w:pPr>
              <w:pStyle w:val="33"/>
              <w:bidi w:val="0"/>
              <w:rPr>
                <w:rFonts w:hint="eastAsia"/>
              </w:rPr>
            </w:pPr>
            <w:r>
              <w:t>风扇</w:t>
            </w:r>
          </w:p>
        </w:tc>
        <w:tc>
          <w:tcPr>
            <w:tcW w:w="7107" w:type="dxa"/>
            <w:tcBorders>
              <w:left w:val="single" w:color="auto" w:sz="4" w:space="0"/>
            </w:tcBorders>
          </w:tcPr>
          <w:p w14:paraId="65AD9016">
            <w:pPr>
              <w:pStyle w:val="33"/>
              <w:bidi w:val="0"/>
              <w:rPr>
                <w:rFonts w:hint="eastAsia"/>
              </w:rPr>
            </w:pPr>
            <w:r>
              <w:rPr>
                <w:rFonts w:hint="eastAsia"/>
              </w:rPr>
              <w:t>全冗余、热插拨</w:t>
            </w:r>
          </w:p>
        </w:tc>
      </w:tr>
      <w:tr w14:paraId="4DBE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E0D9023">
            <w:pPr>
              <w:pStyle w:val="33"/>
              <w:bidi w:val="0"/>
            </w:pPr>
            <w:r>
              <w:t>11</w:t>
            </w:r>
          </w:p>
        </w:tc>
        <w:tc>
          <w:tcPr>
            <w:tcW w:w="1142" w:type="dxa"/>
            <w:tcBorders>
              <w:top w:val="single" w:color="auto" w:sz="4" w:space="0"/>
              <w:left w:val="single" w:color="auto" w:sz="4" w:space="0"/>
              <w:right w:val="single" w:color="auto" w:sz="4" w:space="0"/>
            </w:tcBorders>
            <w:vAlign w:val="center"/>
          </w:tcPr>
          <w:p w14:paraId="77AEB2AF">
            <w:pPr>
              <w:pStyle w:val="33"/>
              <w:bidi w:val="0"/>
              <w:rPr>
                <w:rFonts w:hint="eastAsia"/>
              </w:rPr>
            </w:pPr>
            <w:r>
              <w:t>电源</w:t>
            </w:r>
          </w:p>
        </w:tc>
        <w:tc>
          <w:tcPr>
            <w:tcW w:w="7107" w:type="dxa"/>
            <w:tcBorders>
              <w:left w:val="single" w:color="auto" w:sz="4" w:space="0"/>
            </w:tcBorders>
          </w:tcPr>
          <w:p w14:paraId="1372A674">
            <w:pPr>
              <w:pStyle w:val="33"/>
              <w:bidi w:val="0"/>
              <w:rPr>
                <w:rFonts w:hint="eastAsia"/>
              </w:rPr>
            </w:pPr>
            <w:r>
              <w:rPr>
                <w:rFonts w:hint="eastAsia"/>
              </w:rPr>
              <w:t>满配热插拨全冗余电源模块，电源功率满足服务器的最大负载要求(满足服务器满配内存、满配数据硬盘、满配PCIe卡情况下的功率需求），且单个电源故障场景下另一个正常电源可以满足服务器工作需求，单个电源模块功率≥900W（铂金级，交流），并同时配置C13/C14电源线</w:t>
            </w:r>
          </w:p>
        </w:tc>
      </w:tr>
      <w:tr w14:paraId="5278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AA67B1D">
            <w:pPr>
              <w:pStyle w:val="33"/>
              <w:bidi w:val="0"/>
            </w:pPr>
            <w:r>
              <w:t>12</w:t>
            </w:r>
          </w:p>
        </w:tc>
        <w:tc>
          <w:tcPr>
            <w:tcW w:w="1142" w:type="dxa"/>
            <w:tcBorders>
              <w:top w:val="single" w:color="auto" w:sz="4" w:space="0"/>
              <w:left w:val="single" w:color="auto" w:sz="4" w:space="0"/>
              <w:right w:val="single" w:color="auto" w:sz="4" w:space="0"/>
            </w:tcBorders>
            <w:vAlign w:val="center"/>
          </w:tcPr>
          <w:p w14:paraId="2B51A075">
            <w:pPr>
              <w:pStyle w:val="33"/>
              <w:bidi w:val="0"/>
              <w:rPr>
                <w:rFonts w:hint="eastAsia"/>
              </w:rPr>
            </w:pPr>
            <w:r>
              <w:t>兼容性要求</w:t>
            </w:r>
          </w:p>
        </w:tc>
        <w:tc>
          <w:tcPr>
            <w:tcW w:w="7107" w:type="dxa"/>
            <w:tcBorders>
              <w:left w:val="single" w:color="auto" w:sz="4" w:space="0"/>
            </w:tcBorders>
          </w:tcPr>
          <w:p w14:paraId="4331E05C">
            <w:pPr>
              <w:pStyle w:val="33"/>
              <w:bidi w:val="0"/>
            </w:pPr>
            <w:r>
              <w:rPr>
                <w:rFonts w:hint="eastAsia"/>
              </w:rPr>
              <w:t>支持银河麒麟高级服务器操作系统（鲲鹏版）V10，统信服务器操作系统（鲲鹏版）V20，支持以下虚拟化软件：紫光云Unicloud Usphere VMS企业版及云宏CNware Winsphere</w:t>
            </w:r>
          </w:p>
        </w:tc>
      </w:tr>
    </w:tbl>
    <w:p w14:paraId="5BC78126">
      <w:pPr>
        <w:rPr>
          <w:rFonts w:ascii="宋体"/>
          <w:snapToGrid w:val="0"/>
          <w:kern w:val="0"/>
          <w:szCs w:val="24"/>
        </w:rPr>
      </w:pPr>
      <w:r>
        <w:rPr>
          <w:rFonts w:ascii="宋体"/>
          <w:snapToGrid w:val="0"/>
          <w:kern w:val="0"/>
          <w:szCs w:val="24"/>
        </w:rPr>
        <w:t>配置四整机技术规格要求如下：</w:t>
      </w:r>
    </w:p>
    <w:tbl>
      <w:tblPr>
        <w:tblStyle w:val="14"/>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142"/>
        <w:gridCol w:w="7108"/>
      </w:tblGrid>
      <w:tr w14:paraId="1C73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3D43F673">
            <w:pPr>
              <w:pStyle w:val="34"/>
              <w:bidi w:val="0"/>
            </w:pPr>
            <w:r>
              <w:rPr>
                <w:rFonts w:hint="eastAsia"/>
              </w:rPr>
              <w:t>条款号</w:t>
            </w:r>
          </w:p>
        </w:tc>
        <w:tc>
          <w:tcPr>
            <w:tcW w:w="1142" w:type="dxa"/>
          </w:tcPr>
          <w:p w14:paraId="71126A2B">
            <w:pPr>
              <w:pStyle w:val="34"/>
              <w:bidi w:val="0"/>
            </w:pPr>
            <w:r>
              <w:rPr>
                <w:rFonts w:hint="eastAsia"/>
              </w:rPr>
              <w:t>类别</w:t>
            </w:r>
          </w:p>
        </w:tc>
        <w:tc>
          <w:tcPr>
            <w:tcW w:w="7107" w:type="dxa"/>
          </w:tcPr>
          <w:p w14:paraId="07A25EA6">
            <w:pPr>
              <w:pStyle w:val="34"/>
              <w:bidi w:val="0"/>
            </w:pPr>
            <w:r>
              <w:rPr>
                <w:rFonts w:hint="eastAsia"/>
              </w:rPr>
              <w:t>技术规格要求</w:t>
            </w:r>
          </w:p>
        </w:tc>
      </w:tr>
      <w:tr w14:paraId="3200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72AEADEB">
            <w:pPr>
              <w:pStyle w:val="33"/>
              <w:bidi w:val="0"/>
            </w:pPr>
            <w:r>
              <w:t>1</w:t>
            </w:r>
          </w:p>
        </w:tc>
        <w:tc>
          <w:tcPr>
            <w:tcW w:w="1142" w:type="dxa"/>
            <w:tcBorders>
              <w:top w:val="single" w:color="auto" w:sz="4" w:space="0"/>
              <w:left w:val="single" w:color="auto" w:sz="4" w:space="0"/>
              <w:right w:val="single" w:color="auto" w:sz="4" w:space="0"/>
            </w:tcBorders>
          </w:tcPr>
          <w:p w14:paraId="5C334C71">
            <w:pPr>
              <w:pStyle w:val="33"/>
              <w:bidi w:val="0"/>
            </w:pPr>
            <w:r>
              <w:t>物理参数</w:t>
            </w:r>
          </w:p>
        </w:tc>
        <w:tc>
          <w:tcPr>
            <w:tcW w:w="7107" w:type="dxa"/>
            <w:tcBorders>
              <w:left w:val="single" w:color="auto" w:sz="4" w:space="0"/>
            </w:tcBorders>
          </w:tcPr>
          <w:p w14:paraId="09D36B84">
            <w:pPr>
              <w:pStyle w:val="33"/>
              <w:bidi w:val="0"/>
            </w:pPr>
            <w:r>
              <w:t>2路机架式PC服务器(2U)</w:t>
            </w:r>
          </w:p>
        </w:tc>
      </w:tr>
      <w:tr w14:paraId="0F5B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4CD7E01D">
            <w:pPr>
              <w:pStyle w:val="33"/>
              <w:bidi w:val="0"/>
            </w:pPr>
            <w:r>
              <w:t>2</w:t>
            </w:r>
          </w:p>
        </w:tc>
        <w:tc>
          <w:tcPr>
            <w:tcW w:w="1142" w:type="dxa"/>
            <w:tcBorders>
              <w:top w:val="single" w:color="auto" w:sz="4" w:space="0"/>
              <w:left w:val="single" w:color="auto" w:sz="4" w:space="0"/>
              <w:right w:val="single" w:color="auto" w:sz="4" w:space="0"/>
            </w:tcBorders>
            <w:vAlign w:val="center"/>
          </w:tcPr>
          <w:p w14:paraId="71CF9EE8">
            <w:pPr>
              <w:pStyle w:val="33"/>
              <w:bidi w:val="0"/>
              <w:rPr>
                <w:rFonts w:hint="eastAsia"/>
              </w:rPr>
            </w:pPr>
            <w:r>
              <w:t>CPU</w:t>
            </w:r>
          </w:p>
        </w:tc>
        <w:tc>
          <w:tcPr>
            <w:tcW w:w="7107" w:type="dxa"/>
            <w:tcBorders>
              <w:left w:val="single" w:color="auto" w:sz="4" w:space="0"/>
            </w:tcBorders>
          </w:tcPr>
          <w:p w14:paraId="1E703FD4">
            <w:pPr>
              <w:pStyle w:val="33"/>
              <w:bidi w:val="0"/>
            </w:pPr>
            <w:r>
              <w:t>2*鲲鹏920 5220 CPU（32C,2.6GHz）</w:t>
            </w:r>
          </w:p>
        </w:tc>
      </w:tr>
      <w:tr w14:paraId="5CD8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1B3B7843">
            <w:pPr>
              <w:pStyle w:val="33"/>
              <w:bidi w:val="0"/>
            </w:pPr>
            <w:r>
              <w:t>3</w:t>
            </w:r>
          </w:p>
        </w:tc>
        <w:tc>
          <w:tcPr>
            <w:tcW w:w="1142" w:type="dxa"/>
            <w:tcBorders>
              <w:top w:val="single" w:color="auto" w:sz="4" w:space="0"/>
              <w:left w:val="single" w:color="auto" w:sz="4" w:space="0"/>
              <w:right w:val="single" w:color="auto" w:sz="4" w:space="0"/>
            </w:tcBorders>
            <w:vAlign w:val="center"/>
          </w:tcPr>
          <w:p w14:paraId="1EC83200">
            <w:pPr>
              <w:pStyle w:val="33"/>
              <w:bidi w:val="0"/>
              <w:rPr>
                <w:rFonts w:hint="eastAsia"/>
              </w:rPr>
            </w:pPr>
            <w:r>
              <w:t>内存</w:t>
            </w:r>
          </w:p>
        </w:tc>
        <w:tc>
          <w:tcPr>
            <w:tcW w:w="7107" w:type="dxa"/>
            <w:tcBorders>
              <w:left w:val="single" w:color="auto" w:sz="4" w:space="0"/>
            </w:tcBorders>
          </w:tcPr>
          <w:p w14:paraId="723EEDBC">
            <w:pPr>
              <w:pStyle w:val="33"/>
              <w:bidi w:val="0"/>
            </w:pPr>
            <w:r>
              <w:t>128GB（4 * 32GB DDR4 ECC RDIMM 3200，最大支持16个内存扩展插槽）</w:t>
            </w:r>
          </w:p>
        </w:tc>
      </w:tr>
      <w:tr w14:paraId="262B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2F7FC1D">
            <w:pPr>
              <w:pStyle w:val="33"/>
              <w:bidi w:val="0"/>
            </w:pPr>
            <w:r>
              <w:t>4</w:t>
            </w:r>
          </w:p>
        </w:tc>
        <w:tc>
          <w:tcPr>
            <w:tcW w:w="1142" w:type="dxa"/>
            <w:tcBorders>
              <w:top w:val="single" w:color="auto" w:sz="4" w:space="0"/>
              <w:left w:val="single" w:color="auto" w:sz="4" w:space="0"/>
              <w:right w:val="single" w:color="auto" w:sz="4" w:space="0"/>
            </w:tcBorders>
            <w:vAlign w:val="center"/>
          </w:tcPr>
          <w:p w14:paraId="7864EDC5">
            <w:pPr>
              <w:pStyle w:val="33"/>
              <w:bidi w:val="0"/>
              <w:rPr>
                <w:rFonts w:hint="eastAsia"/>
              </w:rPr>
            </w:pPr>
            <w:r>
              <w:t>硬盘</w:t>
            </w:r>
          </w:p>
        </w:tc>
        <w:tc>
          <w:tcPr>
            <w:tcW w:w="7107" w:type="dxa"/>
            <w:tcBorders>
              <w:left w:val="single" w:color="auto" w:sz="4" w:space="0"/>
            </w:tcBorders>
          </w:tcPr>
          <w:p w14:paraId="1D6B8F17">
            <w:pPr>
              <w:pStyle w:val="33"/>
              <w:bidi w:val="0"/>
              <w:rPr>
                <w:rFonts w:hint="eastAsia"/>
              </w:rPr>
            </w:pPr>
            <w:r>
              <w:rPr>
                <w:rFonts w:hint="eastAsia"/>
              </w:rPr>
              <w:t>系统盘（前置）2块960GB 2.5寸可热插拔SATA SSD（使用2.5寸托架,DWPD≥1,性能等级：4K随机写IOPS≥30,000）</w:t>
            </w:r>
          </w:p>
        </w:tc>
      </w:tr>
      <w:tr w14:paraId="306AB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A378D75">
            <w:pPr>
              <w:pStyle w:val="33"/>
              <w:bidi w:val="0"/>
            </w:pPr>
            <w:r>
              <w:t>5</w:t>
            </w:r>
          </w:p>
        </w:tc>
        <w:tc>
          <w:tcPr>
            <w:tcW w:w="1142" w:type="dxa"/>
            <w:tcBorders>
              <w:top w:val="single" w:color="auto" w:sz="4" w:space="0"/>
              <w:left w:val="single" w:color="auto" w:sz="4" w:space="0"/>
              <w:right w:val="single" w:color="auto" w:sz="4" w:space="0"/>
            </w:tcBorders>
            <w:vAlign w:val="center"/>
          </w:tcPr>
          <w:p w14:paraId="77E62B41">
            <w:pPr>
              <w:pStyle w:val="33"/>
              <w:bidi w:val="0"/>
            </w:pPr>
            <w:r>
              <w:t>背板</w:t>
            </w:r>
          </w:p>
        </w:tc>
        <w:tc>
          <w:tcPr>
            <w:tcW w:w="7107" w:type="dxa"/>
            <w:tcBorders>
              <w:left w:val="single" w:color="auto" w:sz="4" w:space="0"/>
            </w:tcBorders>
          </w:tcPr>
          <w:p w14:paraId="45109A7A">
            <w:pPr>
              <w:pStyle w:val="33"/>
              <w:bidi w:val="0"/>
            </w:pPr>
            <w:r>
              <w:rPr>
                <w:rFonts w:hint="eastAsia"/>
              </w:rPr>
              <w:t>前置25槽位2.5寸硬盘背板，支持25块2.5寸SATA SSD硬盘</w:t>
            </w:r>
          </w:p>
        </w:tc>
      </w:tr>
      <w:tr w14:paraId="3415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41917F5">
            <w:pPr>
              <w:pStyle w:val="33"/>
              <w:bidi w:val="0"/>
            </w:pPr>
            <w:r>
              <w:t>6</w:t>
            </w:r>
          </w:p>
        </w:tc>
        <w:tc>
          <w:tcPr>
            <w:tcW w:w="1142" w:type="dxa"/>
            <w:tcBorders>
              <w:top w:val="single" w:color="auto" w:sz="4" w:space="0"/>
              <w:left w:val="single" w:color="auto" w:sz="4" w:space="0"/>
              <w:right w:val="single" w:color="auto" w:sz="4" w:space="0"/>
            </w:tcBorders>
            <w:vAlign w:val="center"/>
          </w:tcPr>
          <w:p w14:paraId="7152E484">
            <w:pPr>
              <w:pStyle w:val="33"/>
              <w:bidi w:val="0"/>
            </w:pPr>
            <w:r>
              <w:t>网卡</w:t>
            </w:r>
          </w:p>
        </w:tc>
        <w:tc>
          <w:tcPr>
            <w:tcW w:w="7107" w:type="dxa"/>
            <w:tcBorders>
              <w:left w:val="single" w:color="auto" w:sz="4" w:space="0"/>
            </w:tcBorders>
          </w:tcPr>
          <w:p w14:paraId="7253A7D4">
            <w:pPr>
              <w:pStyle w:val="33"/>
              <w:bidi w:val="0"/>
            </w:pPr>
            <w:r>
              <w:t>1*4端口千兆自适应电口网卡，3*双端口SFP+万兆光口网卡（满配光模块，支持PXE、支持DPDK应用，支持SRIOV技术）</w:t>
            </w:r>
          </w:p>
        </w:tc>
      </w:tr>
      <w:tr w14:paraId="6013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18EB44D0">
            <w:pPr>
              <w:pStyle w:val="33"/>
              <w:bidi w:val="0"/>
            </w:pPr>
            <w:r>
              <w:t>7</w:t>
            </w:r>
          </w:p>
        </w:tc>
        <w:tc>
          <w:tcPr>
            <w:tcW w:w="1142" w:type="dxa"/>
            <w:tcBorders>
              <w:top w:val="single" w:color="auto" w:sz="4" w:space="0"/>
              <w:left w:val="single" w:color="auto" w:sz="4" w:space="0"/>
              <w:right w:val="single" w:color="auto" w:sz="4" w:space="0"/>
            </w:tcBorders>
            <w:vAlign w:val="center"/>
          </w:tcPr>
          <w:p w14:paraId="2C08ECF3">
            <w:pPr>
              <w:pStyle w:val="33"/>
              <w:bidi w:val="0"/>
              <w:rPr>
                <w:rFonts w:hint="eastAsia"/>
              </w:rPr>
            </w:pPr>
            <w:r>
              <w:t>PCIE</w:t>
            </w:r>
          </w:p>
        </w:tc>
        <w:tc>
          <w:tcPr>
            <w:tcW w:w="7107" w:type="dxa"/>
            <w:tcBorders>
              <w:left w:val="single" w:color="auto" w:sz="4" w:space="0"/>
            </w:tcBorders>
          </w:tcPr>
          <w:p w14:paraId="6518BA0C">
            <w:pPr>
              <w:pStyle w:val="33"/>
              <w:bidi w:val="0"/>
            </w:pPr>
            <w:r>
              <w:t>配置PCIe4.0标准插槽至少6个</w:t>
            </w:r>
          </w:p>
        </w:tc>
      </w:tr>
      <w:tr w14:paraId="280D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51D8A21">
            <w:pPr>
              <w:pStyle w:val="33"/>
              <w:bidi w:val="0"/>
            </w:pPr>
            <w:r>
              <w:t>8</w:t>
            </w:r>
          </w:p>
        </w:tc>
        <w:tc>
          <w:tcPr>
            <w:tcW w:w="1142" w:type="dxa"/>
            <w:tcBorders>
              <w:top w:val="single" w:color="auto" w:sz="4" w:space="0"/>
              <w:left w:val="single" w:color="auto" w:sz="4" w:space="0"/>
              <w:right w:val="single" w:color="auto" w:sz="4" w:space="0"/>
            </w:tcBorders>
            <w:vAlign w:val="center"/>
          </w:tcPr>
          <w:p w14:paraId="229AA6BD">
            <w:pPr>
              <w:pStyle w:val="33"/>
              <w:bidi w:val="0"/>
              <w:rPr>
                <w:rFonts w:hint="eastAsia"/>
              </w:rPr>
            </w:pPr>
            <w:r>
              <w:t>阵列卡</w:t>
            </w:r>
          </w:p>
        </w:tc>
        <w:tc>
          <w:tcPr>
            <w:tcW w:w="7107" w:type="dxa"/>
            <w:tcBorders>
              <w:left w:val="single" w:color="auto" w:sz="4" w:space="0"/>
            </w:tcBorders>
          </w:tcPr>
          <w:p w14:paraId="3C82EA97">
            <w:pPr>
              <w:pStyle w:val="33"/>
              <w:bidi w:val="0"/>
            </w:pPr>
            <w:r>
              <w:rPr>
                <w:rFonts w:hint="eastAsia"/>
              </w:rPr>
              <w:t>配置1块阵列卡（PCIe4.0 SAS,4K随机读性能≥3.0M IOPS），4G缓存，8个SAS端口，配置超级电容保护，能管理当前配置磁盘满配情况下的所有磁盘，支持直通且支持RAID 0/1/10/5/6（两种模式能同时工作）</w:t>
            </w:r>
          </w:p>
        </w:tc>
      </w:tr>
      <w:tr w14:paraId="05C2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72B8F9A">
            <w:pPr>
              <w:pStyle w:val="33"/>
              <w:bidi w:val="0"/>
            </w:pPr>
            <w:r>
              <w:t>9</w:t>
            </w:r>
          </w:p>
        </w:tc>
        <w:tc>
          <w:tcPr>
            <w:tcW w:w="1142" w:type="dxa"/>
            <w:tcBorders>
              <w:top w:val="single" w:color="auto" w:sz="4" w:space="0"/>
              <w:left w:val="single" w:color="auto" w:sz="4" w:space="0"/>
              <w:right w:val="single" w:color="auto" w:sz="4" w:space="0"/>
            </w:tcBorders>
            <w:vAlign w:val="center"/>
          </w:tcPr>
          <w:p w14:paraId="0C4EDCF8">
            <w:pPr>
              <w:pStyle w:val="33"/>
              <w:bidi w:val="0"/>
              <w:rPr>
                <w:rFonts w:hint="eastAsia"/>
              </w:rPr>
            </w:pPr>
            <w:r>
              <w:t>管理</w:t>
            </w:r>
          </w:p>
        </w:tc>
        <w:tc>
          <w:tcPr>
            <w:tcW w:w="7107" w:type="dxa"/>
            <w:tcBorders>
              <w:left w:val="single" w:color="auto" w:sz="4" w:space="0"/>
            </w:tcBorders>
          </w:tcPr>
          <w:p w14:paraId="52419945">
            <w:pPr>
              <w:pStyle w:val="33"/>
              <w:bidi w:val="0"/>
            </w:pPr>
            <w:r>
              <w:rPr>
                <w:rFonts w:hint="eastAsia"/>
              </w:rPr>
              <w:t>提供基于Web的远程管理功能，能够实时监控各部件模块，支持故障告警、硬件日志收集、远程IP KVM、虚拟介质、远程开关机及远程控制台等功能，支持IPMI V2.0、SNMP V2及V3,snmptrap告警配置，在银河麒麟高级服务器操作系统（鲲鹏版）V10中能使用dmidecode命令能查询到序列号，（须与带外管理界面查询的序列号一致），使用该序列号能在服务器厂家官网查询到维保信息（至少需展示设备维保结束日期）</w:t>
            </w:r>
          </w:p>
        </w:tc>
      </w:tr>
      <w:tr w14:paraId="267B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1AF090CD">
            <w:pPr>
              <w:pStyle w:val="33"/>
              <w:bidi w:val="0"/>
            </w:pPr>
            <w:r>
              <w:t>10</w:t>
            </w:r>
          </w:p>
        </w:tc>
        <w:tc>
          <w:tcPr>
            <w:tcW w:w="1142" w:type="dxa"/>
            <w:tcBorders>
              <w:top w:val="single" w:color="auto" w:sz="4" w:space="0"/>
              <w:left w:val="single" w:color="auto" w:sz="4" w:space="0"/>
              <w:right w:val="single" w:color="auto" w:sz="4" w:space="0"/>
            </w:tcBorders>
            <w:vAlign w:val="center"/>
          </w:tcPr>
          <w:p w14:paraId="5938EBF6">
            <w:pPr>
              <w:pStyle w:val="33"/>
              <w:bidi w:val="0"/>
              <w:rPr>
                <w:rFonts w:hint="eastAsia"/>
              </w:rPr>
            </w:pPr>
            <w:r>
              <w:t>风扇</w:t>
            </w:r>
          </w:p>
        </w:tc>
        <w:tc>
          <w:tcPr>
            <w:tcW w:w="7107" w:type="dxa"/>
            <w:tcBorders>
              <w:left w:val="single" w:color="auto" w:sz="4" w:space="0"/>
            </w:tcBorders>
          </w:tcPr>
          <w:p w14:paraId="1403B847">
            <w:pPr>
              <w:pStyle w:val="33"/>
              <w:bidi w:val="0"/>
              <w:rPr>
                <w:rFonts w:hint="eastAsia"/>
              </w:rPr>
            </w:pPr>
            <w:r>
              <w:rPr>
                <w:rFonts w:hint="eastAsia"/>
              </w:rPr>
              <w:t>全冗余、热插拨</w:t>
            </w:r>
          </w:p>
        </w:tc>
      </w:tr>
      <w:tr w14:paraId="5256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403AC1D">
            <w:pPr>
              <w:pStyle w:val="33"/>
              <w:bidi w:val="0"/>
            </w:pPr>
            <w:r>
              <w:t>11</w:t>
            </w:r>
          </w:p>
        </w:tc>
        <w:tc>
          <w:tcPr>
            <w:tcW w:w="1142" w:type="dxa"/>
            <w:tcBorders>
              <w:top w:val="single" w:color="auto" w:sz="4" w:space="0"/>
              <w:left w:val="single" w:color="auto" w:sz="4" w:space="0"/>
              <w:right w:val="single" w:color="auto" w:sz="4" w:space="0"/>
            </w:tcBorders>
            <w:vAlign w:val="center"/>
          </w:tcPr>
          <w:p w14:paraId="21C9C122">
            <w:pPr>
              <w:pStyle w:val="33"/>
              <w:bidi w:val="0"/>
              <w:rPr>
                <w:rFonts w:hint="eastAsia"/>
              </w:rPr>
            </w:pPr>
            <w:r>
              <w:t>电源</w:t>
            </w:r>
          </w:p>
        </w:tc>
        <w:tc>
          <w:tcPr>
            <w:tcW w:w="7107" w:type="dxa"/>
            <w:tcBorders>
              <w:left w:val="single" w:color="auto" w:sz="4" w:space="0"/>
            </w:tcBorders>
          </w:tcPr>
          <w:p w14:paraId="3BFF4790">
            <w:pPr>
              <w:pStyle w:val="33"/>
              <w:bidi w:val="0"/>
              <w:rPr>
                <w:rFonts w:hint="eastAsia"/>
              </w:rPr>
            </w:pPr>
            <w:r>
              <w:rPr>
                <w:rFonts w:hint="eastAsia"/>
              </w:rPr>
              <w:t>满配热插拨全冗余电源模块，电源功率满足服务器的最大负载要求(满足服务器满配内存、满配数据硬盘、满配PCIe卡情况下的功率需求），且单个电源故障场景下另一个正常电源可以满足服务器工作需求，单个电源模块功率≥900W（铂金级，交流），并同时配置C13/C14电源线</w:t>
            </w:r>
          </w:p>
        </w:tc>
      </w:tr>
      <w:tr w14:paraId="01201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514ED72">
            <w:pPr>
              <w:pStyle w:val="33"/>
              <w:bidi w:val="0"/>
            </w:pPr>
            <w:r>
              <w:t>12</w:t>
            </w:r>
          </w:p>
        </w:tc>
        <w:tc>
          <w:tcPr>
            <w:tcW w:w="1142" w:type="dxa"/>
            <w:tcBorders>
              <w:top w:val="single" w:color="auto" w:sz="4" w:space="0"/>
              <w:left w:val="single" w:color="auto" w:sz="4" w:space="0"/>
              <w:right w:val="single" w:color="auto" w:sz="4" w:space="0"/>
            </w:tcBorders>
            <w:vAlign w:val="center"/>
          </w:tcPr>
          <w:p w14:paraId="32CF381E">
            <w:pPr>
              <w:pStyle w:val="33"/>
              <w:bidi w:val="0"/>
              <w:rPr>
                <w:rFonts w:hint="eastAsia"/>
              </w:rPr>
            </w:pPr>
            <w:r>
              <w:t>兼容性要求</w:t>
            </w:r>
          </w:p>
        </w:tc>
        <w:tc>
          <w:tcPr>
            <w:tcW w:w="7107" w:type="dxa"/>
            <w:tcBorders>
              <w:left w:val="single" w:color="auto" w:sz="4" w:space="0"/>
            </w:tcBorders>
          </w:tcPr>
          <w:p w14:paraId="1598A03C">
            <w:pPr>
              <w:pStyle w:val="33"/>
              <w:bidi w:val="0"/>
            </w:pPr>
            <w:r>
              <w:rPr>
                <w:rFonts w:hint="eastAsia"/>
              </w:rPr>
              <w:t>支持银河麒麟高级服务器操作系统（鲲鹏版）V10，统信服务器操作系统（鲲鹏版）V20，支持以下虚拟化软件：紫光云Unicloud Usphere VMS企业版及云宏CNware Winsphere</w:t>
            </w:r>
          </w:p>
        </w:tc>
      </w:tr>
    </w:tbl>
    <w:p w14:paraId="2D4129E5">
      <w:pPr>
        <w:pStyle w:val="4"/>
        <w:bidi w:val="0"/>
        <w:rPr>
          <w:rFonts w:hint="eastAsia" w:eastAsia="宋体"/>
          <w:lang w:eastAsia="zh-CN"/>
        </w:rPr>
      </w:pPr>
      <w:r>
        <w:t>3）2024</w:t>
      </w:r>
      <w:r>
        <w:rPr>
          <w:rFonts w:hint="eastAsia"/>
        </w:rPr>
        <w:t>年</w:t>
      </w:r>
      <w:r>
        <w:t>信创</w:t>
      </w:r>
      <w:r>
        <w:rPr>
          <w:rFonts w:hint="eastAsia"/>
        </w:rPr>
        <w:t>服务器采购项目</w:t>
      </w:r>
      <w:r>
        <w:rPr>
          <w:rFonts w:hint="eastAsia"/>
          <w:lang w:eastAsia="zh-CN"/>
        </w:rPr>
        <w:t>标段3：</w:t>
      </w:r>
    </w:p>
    <w:p w14:paraId="560C603C">
      <w:pPr>
        <w:rPr>
          <w:rFonts w:ascii="宋体"/>
          <w:snapToGrid w:val="0"/>
          <w:kern w:val="0"/>
          <w:szCs w:val="24"/>
        </w:rPr>
      </w:pPr>
      <w:r>
        <w:rPr>
          <w:rFonts w:ascii="宋体"/>
          <w:snapToGrid w:val="0"/>
          <w:kern w:val="0"/>
          <w:szCs w:val="24"/>
        </w:rPr>
        <w:t>配置一整机技术规格要求如下：</w:t>
      </w:r>
    </w:p>
    <w:tbl>
      <w:tblPr>
        <w:tblStyle w:val="14"/>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142"/>
        <w:gridCol w:w="7107"/>
      </w:tblGrid>
      <w:tr w14:paraId="0FB7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49B0B5E5">
            <w:pPr>
              <w:pStyle w:val="34"/>
              <w:bidi w:val="0"/>
            </w:pPr>
            <w:r>
              <w:rPr>
                <w:rFonts w:hint="eastAsia"/>
              </w:rPr>
              <w:t>条款号</w:t>
            </w:r>
          </w:p>
        </w:tc>
        <w:tc>
          <w:tcPr>
            <w:tcW w:w="1142" w:type="dxa"/>
          </w:tcPr>
          <w:p w14:paraId="03664493">
            <w:pPr>
              <w:pStyle w:val="34"/>
              <w:bidi w:val="0"/>
            </w:pPr>
            <w:r>
              <w:rPr>
                <w:rFonts w:hint="eastAsia"/>
              </w:rPr>
              <w:t>类别</w:t>
            </w:r>
          </w:p>
        </w:tc>
        <w:tc>
          <w:tcPr>
            <w:tcW w:w="7107" w:type="dxa"/>
          </w:tcPr>
          <w:p w14:paraId="1009EF96">
            <w:pPr>
              <w:pStyle w:val="34"/>
              <w:bidi w:val="0"/>
            </w:pPr>
            <w:r>
              <w:rPr>
                <w:rFonts w:hint="eastAsia"/>
              </w:rPr>
              <w:t>技术规格要求</w:t>
            </w:r>
          </w:p>
        </w:tc>
      </w:tr>
      <w:tr w14:paraId="73C5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214260CB">
            <w:pPr>
              <w:pStyle w:val="33"/>
              <w:bidi w:val="0"/>
            </w:pPr>
            <w:r>
              <w:t>1</w:t>
            </w:r>
          </w:p>
        </w:tc>
        <w:tc>
          <w:tcPr>
            <w:tcW w:w="1142" w:type="dxa"/>
            <w:tcBorders>
              <w:top w:val="single" w:color="auto" w:sz="4" w:space="0"/>
              <w:left w:val="single" w:color="auto" w:sz="4" w:space="0"/>
              <w:right w:val="single" w:color="auto" w:sz="4" w:space="0"/>
            </w:tcBorders>
          </w:tcPr>
          <w:p w14:paraId="28230464">
            <w:pPr>
              <w:pStyle w:val="33"/>
              <w:bidi w:val="0"/>
            </w:pPr>
            <w:r>
              <w:t>物理参数</w:t>
            </w:r>
          </w:p>
        </w:tc>
        <w:tc>
          <w:tcPr>
            <w:tcW w:w="7107" w:type="dxa"/>
            <w:tcBorders>
              <w:left w:val="single" w:color="auto" w:sz="4" w:space="0"/>
            </w:tcBorders>
          </w:tcPr>
          <w:p w14:paraId="175B9C0E">
            <w:pPr>
              <w:pStyle w:val="33"/>
              <w:bidi w:val="0"/>
            </w:pPr>
            <w:r>
              <w:t>2路机架式PC服务器(2U)</w:t>
            </w:r>
          </w:p>
        </w:tc>
      </w:tr>
      <w:tr w14:paraId="61BE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4B095C0E">
            <w:pPr>
              <w:pStyle w:val="33"/>
              <w:bidi w:val="0"/>
            </w:pPr>
            <w:r>
              <w:t>2</w:t>
            </w:r>
          </w:p>
        </w:tc>
        <w:tc>
          <w:tcPr>
            <w:tcW w:w="1142" w:type="dxa"/>
            <w:tcBorders>
              <w:top w:val="single" w:color="auto" w:sz="4" w:space="0"/>
              <w:left w:val="single" w:color="auto" w:sz="4" w:space="0"/>
              <w:right w:val="single" w:color="auto" w:sz="4" w:space="0"/>
            </w:tcBorders>
            <w:vAlign w:val="center"/>
          </w:tcPr>
          <w:p w14:paraId="2F292EB2">
            <w:pPr>
              <w:pStyle w:val="33"/>
              <w:bidi w:val="0"/>
              <w:rPr>
                <w:rFonts w:hint="eastAsia"/>
              </w:rPr>
            </w:pPr>
            <w:r>
              <w:t>CPU</w:t>
            </w:r>
          </w:p>
        </w:tc>
        <w:tc>
          <w:tcPr>
            <w:tcW w:w="7107" w:type="dxa"/>
            <w:tcBorders>
              <w:left w:val="single" w:color="auto" w:sz="4" w:space="0"/>
            </w:tcBorders>
          </w:tcPr>
          <w:p w14:paraId="05F20CBD">
            <w:pPr>
              <w:pStyle w:val="33"/>
              <w:bidi w:val="0"/>
            </w:pPr>
            <w:r>
              <w:t>2*鲲鹏920 5250(48C/2.6GHz)</w:t>
            </w:r>
          </w:p>
        </w:tc>
      </w:tr>
      <w:tr w14:paraId="2E37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0CC54A80">
            <w:pPr>
              <w:pStyle w:val="33"/>
              <w:bidi w:val="0"/>
            </w:pPr>
            <w:r>
              <w:t>3</w:t>
            </w:r>
          </w:p>
        </w:tc>
        <w:tc>
          <w:tcPr>
            <w:tcW w:w="1142" w:type="dxa"/>
            <w:tcBorders>
              <w:top w:val="single" w:color="auto" w:sz="4" w:space="0"/>
              <w:left w:val="single" w:color="auto" w:sz="4" w:space="0"/>
              <w:right w:val="single" w:color="auto" w:sz="4" w:space="0"/>
            </w:tcBorders>
            <w:vAlign w:val="center"/>
          </w:tcPr>
          <w:p w14:paraId="680FD62C">
            <w:pPr>
              <w:pStyle w:val="33"/>
              <w:bidi w:val="0"/>
              <w:rPr>
                <w:rFonts w:hint="eastAsia"/>
              </w:rPr>
            </w:pPr>
            <w:r>
              <w:t>内存</w:t>
            </w:r>
          </w:p>
        </w:tc>
        <w:tc>
          <w:tcPr>
            <w:tcW w:w="7107" w:type="dxa"/>
            <w:tcBorders>
              <w:left w:val="single" w:color="auto" w:sz="4" w:space="0"/>
            </w:tcBorders>
          </w:tcPr>
          <w:p w14:paraId="73783DF2">
            <w:pPr>
              <w:pStyle w:val="33"/>
              <w:bidi w:val="0"/>
            </w:pPr>
            <w:r>
              <w:t>512GB（16 * 32GB DDR4 ECC RDIMM 3200，最大支持32个内存扩展插槽）</w:t>
            </w:r>
          </w:p>
        </w:tc>
      </w:tr>
      <w:tr w14:paraId="3919A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AB98AD0">
            <w:pPr>
              <w:pStyle w:val="33"/>
              <w:bidi w:val="0"/>
            </w:pPr>
            <w:r>
              <w:t>4</w:t>
            </w:r>
          </w:p>
        </w:tc>
        <w:tc>
          <w:tcPr>
            <w:tcW w:w="1142" w:type="dxa"/>
            <w:tcBorders>
              <w:top w:val="single" w:color="auto" w:sz="4" w:space="0"/>
              <w:left w:val="single" w:color="auto" w:sz="4" w:space="0"/>
              <w:right w:val="single" w:color="auto" w:sz="4" w:space="0"/>
            </w:tcBorders>
            <w:vAlign w:val="center"/>
          </w:tcPr>
          <w:p w14:paraId="33EDF4FB">
            <w:pPr>
              <w:pStyle w:val="33"/>
              <w:bidi w:val="0"/>
              <w:rPr>
                <w:rFonts w:hint="eastAsia"/>
              </w:rPr>
            </w:pPr>
            <w:r>
              <w:t>硬盘</w:t>
            </w:r>
          </w:p>
        </w:tc>
        <w:tc>
          <w:tcPr>
            <w:tcW w:w="7107" w:type="dxa"/>
            <w:tcBorders>
              <w:left w:val="single" w:color="auto" w:sz="4" w:space="0"/>
            </w:tcBorders>
          </w:tcPr>
          <w:p w14:paraId="2A32C152">
            <w:pPr>
              <w:pStyle w:val="33"/>
              <w:bidi w:val="0"/>
            </w:pPr>
            <w:r>
              <w:t>1、</w:t>
            </w:r>
            <w:r>
              <w:rPr>
                <w:rFonts w:hint="eastAsia"/>
              </w:rPr>
              <w:t>系统盘（前置）2块960GB 2.5寸可热插拔SATA SSD（使用2.5寸托架,DWPD≥1,性能等级：4K随机写IOPS≥30,000）；</w:t>
            </w:r>
          </w:p>
          <w:p w14:paraId="1A346CD2">
            <w:pPr>
              <w:pStyle w:val="33"/>
              <w:bidi w:val="0"/>
              <w:rPr>
                <w:rFonts w:hint="eastAsia"/>
              </w:rPr>
            </w:pPr>
            <w:r>
              <w:t>2、</w:t>
            </w:r>
            <w:r>
              <w:rPr>
                <w:rFonts w:hint="eastAsia"/>
              </w:rPr>
              <w:t>数据盘（前置）18块3.84TB 2.5寸可热插拔SATA SSD（使用2.5寸托架,DWPD≥1,性能等级：4K随机写IOPS≥30,000）</w:t>
            </w:r>
          </w:p>
        </w:tc>
      </w:tr>
      <w:tr w14:paraId="695D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F0E37FA">
            <w:pPr>
              <w:pStyle w:val="33"/>
              <w:bidi w:val="0"/>
            </w:pPr>
            <w:r>
              <w:t>5</w:t>
            </w:r>
          </w:p>
        </w:tc>
        <w:tc>
          <w:tcPr>
            <w:tcW w:w="1142" w:type="dxa"/>
            <w:tcBorders>
              <w:top w:val="single" w:color="auto" w:sz="4" w:space="0"/>
              <w:left w:val="single" w:color="auto" w:sz="4" w:space="0"/>
              <w:right w:val="single" w:color="auto" w:sz="4" w:space="0"/>
            </w:tcBorders>
            <w:vAlign w:val="center"/>
          </w:tcPr>
          <w:p w14:paraId="4F505F2F">
            <w:pPr>
              <w:pStyle w:val="33"/>
              <w:bidi w:val="0"/>
            </w:pPr>
            <w:r>
              <w:t>背板</w:t>
            </w:r>
          </w:p>
        </w:tc>
        <w:tc>
          <w:tcPr>
            <w:tcW w:w="7107" w:type="dxa"/>
            <w:tcBorders>
              <w:left w:val="single" w:color="auto" w:sz="4" w:space="0"/>
            </w:tcBorders>
          </w:tcPr>
          <w:p w14:paraId="00B019F6">
            <w:pPr>
              <w:pStyle w:val="33"/>
              <w:bidi w:val="0"/>
            </w:pPr>
            <w:r>
              <w:rPr>
                <w:rFonts w:hint="eastAsia"/>
              </w:rPr>
              <w:t>前置25槽位2.5寸硬盘背板，支持25块2.5寸SATA SSD硬盘</w:t>
            </w:r>
          </w:p>
        </w:tc>
      </w:tr>
      <w:tr w14:paraId="5098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62195D9">
            <w:pPr>
              <w:pStyle w:val="33"/>
              <w:bidi w:val="0"/>
            </w:pPr>
            <w:r>
              <w:t>6</w:t>
            </w:r>
          </w:p>
        </w:tc>
        <w:tc>
          <w:tcPr>
            <w:tcW w:w="1142" w:type="dxa"/>
            <w:tcBorders>
              <w:top w:val="single" w:color="auto" w:sz="4" w:space="0"/>
              <w:left w:val="single" w:color="auto" w:sz="4" w:space="0"/>
              <w:right w:val="single" w:color="auto" w:sz="4" w:space="0"/>
            </w:tcBorders>
            <w:vAlign w:val="center"/>
          </w:tcPr>
          <w:p w14:paraId="6BAA08A6">
            <w:pPr>
              <w:pStyle w:val="33"/>
              <w:bidi w:val="0"/>
            </w:pPr>
            <w:r>
              <w:t>网卡</w:t>
            </w:r>
          </w:p>
        </w:tc>
        <w:tc>
          <w:tcPr>
            <w:tcW w:w="7107" w:type="dxa"/>
            <w:tcBorders>
              <w:left w:val="single" w:color="auto" w:sz="4" w:space="0"/>
            </w:tcBorders>
          </w:tcPr>
          <w:p w14:paraId="7F461481">
            <w:pPr>
              <w:pStyle w:val="33"/>
              <w:bidi w:val="0"/>
            </w:pPr>
            <w:r>
              <w:t>1*4端口千兆自适应电口网卡，3*双端口SFP+万兆光口网卡（满配光模块）</w:t>
            </w:r>
          </w:p>
        </w:tc>
      </w:tr>
      <w:tr w14:paraId="2E58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4ED2176C">
            <w:pPr>
              <w:pStyle w:val="33"/>
              <w:bidi w:val="0"/>
            </w:pPr>
            <w:r>
              <w:t>7</w:t>
            </w:r>
          </w:p>
        </w:tc>
        <w:tc>
          <w:tcPr>
            <w:tcW w:w="1142" w:type="dxa"/>
            <w:tcBorders>
              <w:top w:val="single" w:color="auto" w:sz="4" w:space="0"/>
              <w:left w:val="single" w:color="auto" w:sz="4" w:space="0"/>
              <w:right w:val="single" w:color="auto" w:sz="4" w:space="0"/>
            </w:tcBorders>
            <w:vAlign w:val="center"/>
          </w:tcPr>
          <w:p w14:paraId="68E07063">
            <w:pPr>
              <w:pStyle w:val="33"/>
              <w:bidi w:val="0"/>
              <w:rPr>
                <w:rFonts w:hint="eastAsia"/>
              </w:rPr>
            </w:pPr>
            <w:r>
              <w:t>PCIE</w:t>
            </w:r>
          </w:p>
        </w:tc>
        <w:tc>
          <w:tcPr>
            <w:tcW w:w="7107" w:type="dxa"/>
            <w:tcBorders>
              <w:left w:val="single" w:color="auto" w:sz="4" w:space="0"/>
            </w:tcBorders>
          </w:tcPr>
          <w:p w14:paraId="2949D23B">
            <w:pPr>
              <w:pStyle w:val="33"/>
              <w:bidi w:val="0"/>
            </w:pPr>
            <w:r>
              <w:t>配置PCIe4.0标准插槽至少8个</w:t>
            </w:r>
          </w:p>
        </w:tc>
      </w:tr>
      <w:tr w14:paraId="133A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4390F7D">
            <w:pPr>
              <w:pStyle w:val="33"/>
              <w:bidi w:val="0"/>
            </w:pPr>
            <w:r>
              <w:t>8</w:t>
            </w:r>
          </w:p>
        </w:tc>
        <w:tc>
          <w:tcPr>
            <w:tcW w:w="1142" w:type="dxa"/>
            <w:tcBorders>
              <w:top w:val="single" w:color="auto" w:sz="4" w:space="0"/>
              <w:left w:val="single" w:color="auto" w:sz="4" w:space="0"/>
              <w:right w:val="single" w:color="auto" w:sz="4" w:space="0"/>
            </w:tcBorders>
            <w:vAlign w:val="center"/>
          </w:tcPr>
          <w:p w14:paraId="09100DD9">
            <w:pPr>
              <w:pStyle w:val="33"/>
              <w:bidi w:val="0"/>
              <w:rPr>
                <w:rFonts w:hint="eastAsia"/>
              </w:rPr>
            </w:pPr>
            <w:r>
              <w:t>阵列卡</w:t>
            </w:r>
          </w:p>
        </w:tc>
        <w:tc>
          <w:tcPr>
            <w:tcW w:w="7107" w:type="dxa"/>
            <w:tcBorders>
              <w:left w:val="single" w:color="auto" w:sz="4" w:space="0"/>
            </w:tcBorders>
          </w:tcPr>
          <w:p w14:paraId="45E2B5DE">
            <w:pPr>
              <w:pStyle w:val="33"/>
              <w:bidi w:val="0"/>
            </w:pPr>
            <w:r>
              <w:rPr>
                <w:rFonts w:hint="eastAsia"/>
              </w:rPr>
              <w:t>配置</w:t>
            </w:r>
            <w:r>
              <w:t>1</w:t>
            </w:r>
            <w:r>
              <w:rPr>
                <w:rFonts w:hint="eastAsia"/>
              </w:rPr>
              <w:t>块阵列卡（PCIe4.0 SAS,4K随机读性能≥3.0M IOPS），4G缓存，8个SAS端口，配置超级电容保护，能管理当前配置磁盘满配情况下的所有磁盘，支持直通且支持RAID 0/1/10/5/6（两种模式能同时工作）</w:t>
            </w:r>
          </w:p>
        </w:tc>
      </w:tr>
      <w:tr w14:paraId="39AC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4588D62">
            <w:pPr>
              <w:pStyle w:val="33"/>
              <w:bidi w:val="0"/>
            </w:pPr>
            <w:r>
              <w:t>9</w:t>
            </w:r>
          </w:p>
        </w:tc>
        <w:tc>
          <w:tcPr>
            <w:tcW w:w="1142" w:type="dxa"/>
            <w:tcBorders>
              <w:top w:val="single" w:color="auto" w:sz="4" w:space="0"/>
              <w:left w:val="single" w:color="auto" w:sz="4" w:space="0"/>
              <w:right w:val="single" w:color="auto" w:sz="4" w:space="0"/>
            </w:tcBorders>
            <w:vAlign w:val="center"/>
          </w:tcPr>
          <w:p w14:paraId="296B7F73">
            <w:pPr>
              <w:pStyle w:val="33"/>
              <w:bidi w:val="0"/>
              <w:rPr>
                <w:rFonts w:hint="eastAsia"/>
              </w:rPr>
            </w:pPr>
            <w:r>
              <w:t>管理</w:t>
            </w:r>
          </w:p>
        </w:tc>
        <w:tc>
          <w:tcPr>
            <w:tcW w:w="7107" w:type="dxa"/>
            <w:tcBorders>
              <w:left w:val="single" w:color="auto" w:sz="4" w:space="0"/>
            </w:tcBorders>
          </w:tcPr>
          <w:p w14:paraId="53FE7F6B">
            <w:pPr>
              <w:pStyle w:val="33"/>
              <w:bidi w:val="0"/>
            </w:pPr>
            <w:r>
              <w:rPr>
                <w:rFonts w:hint="eastAsia"/>
              </w:rPr>
              <w:t>提供基于Web的远程管理功能，能够实时监控各部件模块，支持故障告警、硬件日志收集、远程IP KVM、虚拟介质、远程开关机及远程控制台等功能，支持IPMI V2.0、SNMP V2及V3,snmptrap告警配置，在银河麒麟高级服务器操作系统（鲲鹏版）V10中能使用dmidecode命令能查询到序列号（须与带外管理界面查询的序列号一致），使用该序列号能在服务器厂家官网查询到维保信息（至少需展示设备维保结束日期）</w:t>
            </w:r>
          </w:p>
        </w:tc>
      </w:tr>
      <w:tr w14:paraId="22AB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0A8E40BE">
            <w:pPr>
              <w:pStyle w:val="33"/>
              <w:bidi w:val="0"/>
            </w:pPr>
            <w:r>
              <w:t>10</w:t>
            </w:r>
          </w:p>
        </w:tc>
        <w:tc>
          <w:tcPr>
            <w:tcW w:w="1142" w:type="dxa"/>
            <w:tcBorders>
              <w:top w:val="single" w:color="auto" w:sz="4" w:space="0"/>
              <w:left w:val="single" w:color="auto" w:sz="4" w:space="0"/>
              <w:right w:val="single" w:color="auto" w:sz="4" w:space="0"/>
            </w:tcBorders>
            <w:vAlign w:val="center"/>
          </w:tcPr>
          <w:p w14:paraId="6DF88861">
            <w:pPr>
              <w:pStyle w:val="33"/>
              <w:bidi w:val="0"/>
              <w:rPr>
                <w:rFonts w:hint="eastAsia"/>
              </w:rPr>
            </w:pPr>
            <w:r>
              <w:t>风扇</w:t>
            </w:r>
          </w:p>
        </w:tc>
        <w:tc>
          <w:tcPr>
            <w:tcW w:w="7107" w:type="dxa"/>
            <w:tcBorders>
              <w:left w:val="single" w:color="auto" w:sz="4" w:space="0"/>
            </w:tcBorders>
          </w:tcPr>
          <w:p w14:paraId="5B6B250F">
            <w:pPr>
              <w:pStyle w:val="33"/>
              <w:bidi w:val="0"/>
              <w:rPr>
                <w:rFonts w:hint="eastAsia"/>
              </w:rPr>
            </w:pPr>
            <w:r>
              <w:rPr>
                <w:rFonts w:hint="eastAsia"/>
              </w:rPr>
              <w:t>全冗余、热插拨</w:t>
            </w:r>
          </w:p>
        </w:tc>
      </w:tr>
      <w:tr w14:paraId="070C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6AFEA62">
            <w:pPr>
              <w:pStyle w:val="33"/>
              <w:bidi w:val="0"/>
            </w:pPr>
            <w:r>
              <w:t>11</w:t>
            </w:r>
          </w:p>
        </w:tc>
        <w:tc>
          <w:tcPr>
            <w:tcW w:w="1142" w:type="dxa"/>
            <w:tcBorders>
              <w:top w:val="single" w:color="auto" w:sz="4" w:space="0"/>
              <w:left w:val="single" w:color="auto" w:sz="4" w:space="0"/>
              <w:right w:val="single" w:color="auto" w:sz="4" w:space="0"/>
            </w:tcBorders>
            <w:vAlign w:val="center"/>
          </w:tcPr>
          <w:p w14:paraId="3BC72373">
            <w:pPr>
              <w:pStyle w:val="33"/>
              <w:bidi w:val="0"/>
              <w:rPr>
                <w:rFonts w:hint="eastAsia"/>
              </w:rPr>
            </w:pPr>
            <w:r>
              <w:t>电源</w:t>
            </w:r>
          </w:p>
        </w:tc>
        <w:tc>
          <w:tcPr>
            <w:tcW w:w="7107" w:type="dxa"/>
            <w:tcBorders>
              <w:left w:val="single" w:color="auto" w:sz="4" w:space="0"/>
            </w:tcBorders>
          </w:tcPr>
          <w:p w14:paraId="0EB97961">
            <w:pPr>
              <w:pStyle w:val="33"/>
              <w:bidi w:val="0"/>
              <w:rPr>
                <w:rFonts w:hint="eastAsia"/>
              </w:rPr>
            </w:pPr>
            <w:r>
              <w:rPr>
                <w:rFonts w:hint="eastAsia"/>
              </w:rPr>
              <w:t>满配热插拨全冗余电源模块，电源功率满足服务器的最大负载要求(满足服务器满配内存、满配数据硬盘、满配PCIe卡情况下的功率需求），且单个电源故障场景下另一个正常电源可以满足服务器工作需求，单个电源模块功率≥900W（铂金级，交流），并同时配置C13/C14电源线</w:t>
            </w:r>
          </w:p>
        </w:tc>
      </w:tr>
      <w:tr w14:paraId="4A61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7799803">
            <w:pPr>
              <w:pStyle w:val="33"/>
              <w:bidi w:val="0"/>
            </w:pPr>
            <w:r>
              <w:t>12</w:t>
            </w:r>
          </w:p>
        </w:tc>
        <w:tc>
          <w:tcPr>
            <w:tcW w:w="1142" w:type="dxa"/>
            <w:tcBorders>
              <w:top w:val="single" w:color="auto" w:sz="4" w:space="0"/>
              <w:left w:val="single" w:color="auto" w:sz="4" w:space="0"/>
              <w:right w:val="single" w:color="auto" w:sz="4" w:space="0"/>
            </w:tcBorders>
            <w:vAlign w:val="center"/>
          </w:tcPr>
          <w:p w14:paraId="62CD5139">
            <w:pPr>
              <w:pStyle w:val="33"/>
              <w:bidi w:val="0"/>
              <w:rPr>
                <w:rFonts w:hint="eastAsia"/>
              </w:rPr>
            </w:pPr>
            <w:r>
              <w:t>兼容性要求</w:t>
            </w:r>
          </w:p>
        </w:tc>
        <w:tc>
          <w:tcPr>
            <w:tcW w:w="7107" w:type="dxa"/>
            <w:tcBorders>
              <w:left w:val="single" w:color="auto" w:sz="4" w:space="0"/>
            </w:tcBorders>
          </w:tcPr>
          <w:p w14:paraId="771577F7">
            <w:pPr>
              <w:pStyle w:val="33"/>
              <w:bidi w:val="0"/>
            </w:pPr>
            <w:r>
              <w:rPr>
                <w:rFonts w:hint="eastAsia"/>
              </w:rPr>
              <w:t>支持银河麒麟高级服务器操作系统（鲲鹏版）V10，统信服务器操作系统（鲲鹏版）V20，支持以下虚拟化软件：紫光云Unicloud Usphere VMS企业版及云宏CNware Winsphere</w:t>
            </w:r>
          </w:p>
        </w:tc>
      </w:tr>
    </w:tbl>
    <w:p w14:paraId="08F330A6">
      <w:pPr>
        <w:rPr>
          <w:rFonts w:ascii="宋体"/>
          <w:snapToGrid w:val="0"/>
          <w:kern w:val="0"/>
          <w:szCs w:val="24"/>
        </w:rPr>
      </w:pPr>
      <w:r>
        <w:rPr>
          <w:rFonts w:ascii="宋体"/>
          <w:snapToGrid w:val="0"/>
          <w:kern w:val="0"/>
          <w:szCs w:val="24"/>
        </w:rPr>
        <w:t>配置二整机技术规格要求如下：</w:t>
      </w:r>
    </w:p>
    <w:tbl>
      <w:tblPr>
        <w:tblStyle w:val="14"/>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142"/>
        <w:gridCol w:w="7107"/>
      </w:tblGrid>
      <w:tr w14:paraId="00D7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28A2E8D7">
            <w:pPr>
              <w:pStyle w:val="34"/>
              <w:bidi w:val="0"/>
            </w:pPr>
            <w:r>
              <w:rPr>
                <w:rFonts w:hint="eastAsia"/>
              </w:rPr>
              <w:t>条款号</w:t>
            </w:r>
          </w:p>
        </w:tc>
        <w:tc>
          <w:tcPr>
            <w:tcW w:w="1142" w:type="dxa"/>
          </w:tcPr>
          <w:p w14:paraId="5695C1F1">
            <w:pPr>
              <w:pStyle w:val="34"/>
              <w:bidi w:val="0"/>
            </w:pPr>
            <w:r>
              <w:rPr>
                <w:rFonts w:hint="eastAsia"/>
              </w:rPr>
              <w:t>类别</w:t>
            </w:r>
          </w:p>
        </w:tc>
        <w:tc>
          <w:tcPr>
            <w:tcW w:w="7107" w:type="dxa"/>
          </w:tcPr>
          <w:p w14:paraId="38688F27">
            <w:pPr>
              <w:pStyle w:val="34"/>
              <w:bidi w:val="0"/>
            </w:pPr>
            <w:r>
              <w:rPr>
                <w:rFonts w:hint="eastAsia"/>
              </w:rPr>
              <w:t>技术规格要求</w:t>
            </w:r>
          </w:p>
        </w:tc>
      </w:tr>
      <w:tr w14:paraId="1D86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7D880CCA">
            <w:pPr>
              <w:pStyle w:val="33"/>
              <w:bidi w:val="0"/>
            </w:pPr>
            <w:r>
              <w:t>1</w:t>
            </w:r>
          </w:p>
        </w:tc>
        <w:tc>
          <w:tcPr>
            <w:tcW w:w="1142" w:type="dxa"/>
            <w:tcBorders>
              <w:top w:val="single" w:color="auto" w:sz="4" w:space="0"/>
              <w:left w:val="single" w:color="auto" w:sz="4" w:space="0"/>
              <w:right w:val="single" w:color="auto" w:sz="4" w:space="0"/>
            </w:tcBorders>
          </w:tcPr>
          <w:p w14:paraId="2577D49B">
            <w:pPr>
              <w:pStyle w:val="33"/>
              <w:bidi w:val="0"/>
            </w:pPr>
            <w:r>
              <w:t>物理参数</w:t>
            </w:r>
          </w:p>
        </w:tc>
        <w:tc>
          <w:tcPr>
            <w:tcW w:w="7107" w:type="dxa"/>
            <w:tcBorders>
              <w:left w:val="single" w:color="auto" w:sz="4" w:space="0"/>
            </w:tcBorders>
          </w:tcPr>
          <w:p w14:paraId="2C33E19F">
            <w:pPr>
              <w:pStyle w:val="33"/>
              <w:bidi w:val="0"/>
            </w:pPr>
            <w:r>
              <w:t>2路机架式PC服务器(2U)</w:t>
            </w:r>
          </w:p>
        </w:tc>
      </w:tr>
      <w:tr w14:paraId="2602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65214636">
            <w:pPr>
              <w:pStyle w:val="33"/>
              <w:bidi w:val="0"/>
            </w:pPr>
            <w:r>
              <w:t>2</w:t>
            </w:r>
          </w:p>
        </w:tc>
        <w:tc>
          <w:tcPr>
            <w:tcW w:w="1142" w:type="dxa"/>
            <w:tcBorders>
              <w:top w:val="single" w:color="auto" w:sz="4" w:space="0"/>
              <w:left w:val="single" w:color="auto" w:sz="4" w:space="0"/>
              <w:right w:val="single" w:color="auto" w:sz="4" w:space="0"/>
            </w:tcBorders>
            <w:vAlign w:val="center"/>
          </w:tcPr>
          <w:p w14:paraId="1C5160DB">
            <w:pPr>
              <w:pStyle w:val="33"/>
              <w:bidi w:val="0"/>
              <w:rPr>
                <w:rFonts w:hint="eastAsia"/>
              </w:rPr>
            </w:pPr>
            <w:r>
              <w:t>CPU</w:t>
            </w:r>
          </w:p>
        </w:tc>
        <w:tc>
          <w:tcPr>
            <w:tcW w:w="7107" w:type="dxa"/>
            <w:tcBorders>
              <w:left w:val="single" w:color="auto" w:sz="4" w:space="0"/>
            </w:tcBorders>
          </w:tcPr>
          <w:p w14:paraId="62884C5E">
            <w:pPr>
              <w:pStyle w:val="33"/>
              <w:bidi w:val="0"/>
            </w:pPr>
            <w:r>
              <w:t>2*鲲鹏920 5220 CPU（32C,2.6GHz）</w:t>
            </w:r>
          </w:p>
        </w:tc>
      </w:tr>
      <w:tr w14:paraId="7D1A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5E85116D">
            <w:pPr>
              <w:pStyle w:val="33"/>
              <w:bidi w:val="0"/>
            </w:pPr>
            <w:r>
              <w:t>3</w:t>
            </w:r>
          </w:p>
        </w:tc>
        <w:tc>
          <w:tcPr>
            <w:tcW w:w="1142" w:type="dxa"/>
            <w:tcBorders>
              <w:top w:val="single" w:color="auto" w:sz="4" w:space="0"/>
              <w:left w:val="single" w:color="auto" w:sz="4" w:space="0"/>
              <w:right w:val="single" w:color="auto" w:sz="4" w:space="0"/>
            </w:tcBorders>
            <w:vAlign w:val="center"/>
          </w:tcPr>
          <w:p w14:paraId="17343FD4">
            <w:pPr>
              <w:pStyle w:val="33"/>
              <w:bidi w:val="0"/>
              <w:rPr>
                <w:rFonts w:hint="eastAsia"/>
              </w:rPr>
            </w:pPr>
            <w:r>
              <w:t>内存</w:t>
            </w:r>
          </w:p>
        </w:tc>
        <w:tc>
          <w:tcPr>
            <w:tcW w:w="7107" w:type="dxa"/>
            <w:tcBorders>
              <w:left w:val="single" w:color="auto" w:sz="4" w:space="0"/>
            </w:tcBorders>
          </w:tcPr>
          <w:p w14:paraId="45A34FC9">
            <w:pPr>
              <w:pStyle w:val="33"/>
              <w:bidi w:val="0"/>
            </w:pPr>
            <w:r>
              <w:t>256GB（8 * 32GB DDR4 ECC RDIMM 3200，最大支持16个内存扩展插槽）</w:t>
            </w:r>
          </w:p>
        </w:tc>
      </w:tr>
      <w:tr w14:paraId="2296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9CB7DEB">
            <w:pPr>
              <w:pStyle w:val="33"/>
              <w:bidi w:val="0"/>
            </w:pPr>
            <w:r>
              <w:t>4</w:t>
            </w:r>
          </w:p>
        </w:tc>
        <w:tc>
          <w:tcPr>
            <w:tcW w:w="1142" w:type="dxa"/>
            <w:tcBorders>
              <w:top w:val="single" w:color="auto" w:sz="4" w:space="0"/>
              <w:left w:val="single" w:color="auto" w:sz="4" w:space="0"/>
              <w:right w:val="single" w:color="auto" w:sz="4" w:space="0"/>
            </w:tcBorders>
            <w:vAlign w:val="center"/>
          </w:tcPr>
          <w:p w14:paraId="0470E770">
            <w:pPr>
              <w:pStyle w:val="33"/>
              <w:bidi w:val="0"/>
              <w:rPr>
                <w:rFonts w:hint="eastAsia"/>
              </w:rPr>
            </w:pPr>
            <w:r>
              <w:t>硬盘</w:t>
            </w:r>
          </w:p>
        </w:tc>
        <w:tc>
          <w:tcPr>
            <w:tcW w:w="7107" w:type="dxa"/>
            <w:tcBorders>
              <w:left w:val="single" w:color="auto" w:sz="4" w:space="0"/>
            </w:tcBorders>
          </w:tcPr>
          <w:p w14:paraId="039BD5D3">
            <w:pPr>
              <w:pStyle w:val="33"/>
              <w:bidi w:val="0"/>
            </w:pPr>
            <w:r>
              <w:t>1、</w:t>
            </w:r>
            <w:r>
              <w:rPr>
                <w:rFonts w:hint="eastAsia"/>
              </w:rPr>
              <w:t>系统盘（前置）2块960GB 2.5寸可热插拔SATA SSD（使用2.5寸托架,DWPD≥1,性能等级：4K随机写IOPS≥30,000）；</w:t>
            </w:r>
          </w:p>
          <w:p w14:paraId="0AF853BB">
            <w:pPr>
              <w:pStyle w:val="33"/>
              <w:bidi w:val="0"/>
              <w:rPr>
                <w:rFonts w:hint="eastAsia"/>
              </w:rPr>
            </w:pPr>
            <w:r>
              <w:t>2、</w:t>
            </w:r>
            <w:r>
              <w:rPr>
                <w:rFonts w:hint="eastAsia"/>
              </w:rPr>
              <w:t>数据盘（前置）6块3.84TB 2.5寸可热插拔SATA SSD（使用2.5寸托架,DWPD≥1,性能等级：4K随机写IOPS≥30,000）</w:t>
            </w:r>
          </w:p>
        </w:tc>
      </w:tr>
      <w:tr w14:paraId="7219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13DF8EF">
            <w:pPr>
              <w:pStyle w:val="33"/>
              <w:bidi w:val="0"/>
            </w:pPr>
            <w:r>
              <w:t>5</w:t>
            </w:r>
          </w:p>
        </w:tc>
        <w:tc>
          <w:tcPr>
            <w:tcW w:w="1142" w:type="dxa"/>
            <w:tcBorders>
              <w:top w:val="single" w:color="auto" w:sz="4" w:space="0"/>
              <w:left w:val="single" w:color="auto" w:sz="4" w:space="0"/>
              <w:right w:val="single" w:color="auto" w:sz="4" w:space="0"/>
            </w:tcBorders>
            <w:vAlign w:val="center"/>
          </w:tcPr>
          <w:p w14:paraId="4F692958">
            <w:pPr>
              <w:pStyle w:val="33"/>
              <w:bidi w:val="0"/>
            </w:pPr>
            <w:r>
              <w:t>背板</w:t>
            </w:r>
          </w:p>
        </w:tc>
        <w:tc>
          <w:tcPr>
            <w:tcW w:w="7107" w:type="dxa"/>
            <w:tcBorders>
              <w:left w:val="single" w:color="auto" w:sz="4" w:space="0"/>
            </w:tcBorders>
          </w:tcPr>
          <w:p w14:paraId="544C14AE">
            <w:pPr>
              <w:pStyle w:val="33"/>
              <w:bidi w:val="0"/>
            </w:pPr>
            <w:r>
              <w:rPr>
                <w:rFonts w:hint="eastAsia"/>
              </w:rPr>
              <w:t>前置25槽位2.5寸硬盘背板，支持25块2.5寸SATA SSD硬盘</w:t>
            </w:r>
          </w:p>
        </w:tc>
      </w:tr>
      <w:tr w14:paraId="0B21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94BF346">
            <w:pPr>
              <w:pStyle w:val="33"/>
              <w:bidi w:val="0"/>
            </w:pPr>
            <w:r>
              <w:t>6</w:t>
            </w:r>
          </w:p>
        </w:tc>
        <w:tc>
          <w:tcPr>
            <w:tcW w:w="1142" w:type="dxa"/>
            <w:tcBorders>
              <w:top w:val="single" w:color="auto" w:sz="4" w:space="0"/>
              <w:left w:val="single" w:color="auto" w:sz="4" w:space="0"/>
              <w:right w:val="single" w:color="auto" w:sz="4" w:space="0"/>
            </w:tcBorders>
            <w:vAlign w:val="center"/>
          </w:tcPr>
          <w:p w14:paraId="1DDCFC90">
            <w:pPr>
              <w:pStyle w:val="33"/>
              <w:bidi w:val="0"/>
            </w:pPr>
            <w:r>
              <w:t>网卡</w:t>
            </w:r>
          </w:p>
        </w:tc>
        <w:tc>
          <w:tcPr>
            <w:tcW w:w="7107" w:type="dxa"/>
            <w:tcBorders>
              <w:left w:val="single" w:color="auto" w:sz="4" w:space="0"/>
            </w:tcBorders>
          </w:tcPr>
          <w:p w14:paraId="3B82CAF6">
            <w:pPr>
              <w:pStyle w:val="33"/>
              <w:bidi w:val="0"/>
            </w:pPr>
            <w:r>
              <w:t>1*4端口千兆自适应电口网卡，3*双端口SFP+万兆光口网卡（满配光模块）</w:t>
            </w:r>
          </w:p>
        </w:tc>
      </w:tr>
      <w:tr w14:paraId="4DA12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7BB103E4">
            <w:pPr>
              <w:pStyle w:val="33"/>
              <w:bidi w:val="0"/>
            </w:pPr>
            <w:r>
              <w:t>7</w:t>
            </w:r>
          </w:p>
        </w:tc>
        <w:tc>
          <w:tcPr>
            <w:tcW w:w="1142" w:type="dxa"/>
            <w:tcBorders>
              <w:top w:val="single" w:color="auto" w:sz="4" w:space="0"/>
              <w:left w:val="single" w:color="auto" w:sz="4" w:space="0"/>
              <w:right w:val="single" w:color="auto" w:sz="4" w:space="0"/>
            </w:tcBorders>
            <w:vAlign w:val="center"/>
          </w:tcPr>
          <w:p w14:paraId="3B3F2706">
            <w:pPr>
              <w:pStyle w:val="33"/>
              <w:bidi w:val="0"/>
              <w:rPr>
                <w:rFonts w:hint="eastAsia"/>
              </w:rPr>
            </w:pPr>
            <w:r>
              <w:t>PCIE</w:t>
            </w:r>
          </w:p>
        </w:tc>
        <w:tc>
          <w:tcPr>
            <w:tcW w:w="7107" w:type="dxa"/>
            <w:tcBorders>
              <w:left w:val="single" w:color="auto" w:sz="4" w:space="0"/>
            </w:tcBorders>
          </w:tcPr>
          <w:p w14:paraId="69FBD4F1">
            <w:pPr>
              <w:pStyle w:val="33"/>
              <w:bidi w:val="0"/>
            </w:pPr>
            <w:r>
              <w:t>配置PCIe4.0标准插槽至少6个</w:t>
            </w:r>
          </w:p>
        </w:tc>
      </w:tr>
      <w:tr w14:paraId="14DE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D0DB737">
            <w:pPr>
              <w:pStyle w:val="33"/>
              <w:bidi w:val="0"/>
            </w:pPr>
            <w:r>
              <w:t>8</w:t>
            </w:r>
          </w:p>
        </w:tc>
        <w:tc>
          <w:tcPr>
            <w:tcW w:w="1142" w:type="dxa"/>
            <w:tcBorders>
              <w:top w:val="single" w:color="auto" w:sz="4" w:space="0"/>
              <w:left w:val="single" w:color="auto" w:sz="4" w:space="0"/>
              <w:right w:val="single" w:color="auto" w:sz="4" w:space="0"/>
            </w:tcBorders>
            <w:vAlign w:val="center"/>
          </w:tcPr>
          <w:p w14:paraId="75DB3A12">
            <w:pPr>
              <w:pStyle w:val="33"/>
              <w:bidi w:val="0"/>
              <w:rPr>
                <w:rFonts w:hint="eastAsia"/>
              </w:rPr>
            </w:pPr>
            <w:r>
              <w:t>阵列卡</w:t>
            </w:r>
          </w:p>
        </w:tc>
        <w:tc>
          <w:tcPr>
            <w:tcW w:w="7107" w:type="dxa"/>
            <w:tcBorders>
              <w:left w:val="single" w:color="auto" w:sz="4" w:space="0"/>
            </w:tcBorders>
          </w:tcPr>
          <w:p w14:paraId="5FAFE59A">
            <w:pPr>
              <w:pStyle w:val="33"/>
              <w:bidi w:val="0"/>
            </w:pPr>
            <w:r>
              <w:rPr>
                <w:rFonts w:hint="eastAsia"/>
              </w:rPr>
              <w:t>配置</w:t>
            </w:r>
            <w:r>
              <w:t>1</w:t>
            </w:r>
            <w:r>
              <w:rPr>
                <w:rFonts w:hint="eastAsia"/>
              </w:rPr>
              <w:t>块阵列卡（PCIe4.0 SAS,4K随机读性能≥3.0M IOPS），4G缓存，8个SAS端口，配置超级电容保护，能管理当前配置磁盘满配情况下的所有磁盘，支持直通且支持RAID 0/1/10/5/6（两种模式能同时工作）</w:t>
            </w:r>
          </w:p>
        </w:tc>
      </w:tr>
      <w:tr w14:paraId="0743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BA35E6D">
            <w:pPr>
              <w:pStyle w:val="33"/>
              <w:bidi w:val="0"/>
            </w:pPr>
            <w:r>
              <w:t>9</w:t>
            </w:r>
          </w:p>
        </w:tc>
        <w:tc>
          <w:tcPr>
            <w:tcW w:w="1142" w:type="dxa"/>
            <w:tcBorders>
              <w:top w:val="single" w:color="auto" w:sz="4" w:space="0"/>
              <w:left w:val="single" w:color="auto" w:sz="4" w:space="0"/>
              <w:right w:val="single" w:color="auto" w:sz="4" w:space="0"/>
            </w:tcBorders>
            <w:vAlign w:val="center"/>
          </w:tcPr>
          <w:p w14:paraId="79872161">
            <w:pPr>
              <w:pStyle w:val="33"/>
              <w:bidi w:val="0"/>
              <w:rPr>
                <w:rFonts w:hint="eastAsia"/>
              </w:rPr>
            </w:pPr>
            <w:r>
              <w:t>管理</w:t>
            </w:r>
          </w:p>
        </w:tc>
        <w:tc>
          <w:tcPr>
            <w:tcW w:w="7107" w:type="dxa"/>
            <w:tcBorders>
              <w:left w:val="single" w:color="auto" w:sz="4" w:space="0"/>
            </w:tcBorders>
          </w:tcPr>
          <w:p w14:paraId="647C1035">
            <w:pPr>
              <w:pStyle w:val="33"/>
              <w:bidi w:val="0"/>
            </w:pPr>
            <w:r>
              <w:rPr>
                <w:rFonts w:hint="eastAsia"/>
              </w:rPr>
              <w:t>提供基于Web的远程管理功能，能够实时监控各部件模块，支持故障告警、硬件日志收集、远程IP KVM、虚拟介质、远程开关机及远程控制台等功能，支持IPMI V2.0、SNMP V2及V3,snmptrap告警配置，在银河麒麟高级服务器操作系统（鲲鹏版）V10中能使用dmidecode命令能查询到序列号（须与带外管理界面查询的序列号一致），使用该序列号能在服务器厂家官网查询到维保信息（至少需展示设备维保结束日期）</w:t>
            </w:r>
          </w:p>
        </w:tc>
      </w:tr>
      <w:tr w14:paraId="29B31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019C71CD">
            <w:pPr>
              <w:pStyle w:val="33"/>
              <w:bidi w:val="0"/>
            </w:pPr>
            <w:r>
              <w:t>10</w:t>
            </w:r>
          </w:p>
        </w:tc>
        <w:tc>
          <w:tcPr>
            <w:tcW w:w="1142" w:type="dxa"/>
            <w:tcBorders>
              <w:top w:val="single" w:color="auto" w:sz="4" w:space="0"/>
              <w:left w:val="single" w:color="auto" w:sz="4" w:space="0"/>
              <w:right w:val="single" w:color="auto" w:sz="4" w:space="0"/>
            </w:tcBorders>
            <w:vAlign w:val="center"/>
          </w:tcPr>
          <w:p w14:paraId="57FFFD8D">
            <w:pPr>
              <w:pStyle w:val="33"/>
              <w:bidi w:val="0"/>
              <w:rPr>
                <w:rFonts w:hint="eastAsia"/>
              </w:rPr>
            </w:pPr>
            <w:r>
              <w:t>风扇</w:t>
            </w:r>
          </w:p>
        </w:tc>
        <w:tc>
          <w:tcPr>
            <w:tcW w:w="7107" w:type="dxa"/>
            <w:tcBorders>
              <w:left w:val="single" w:color="auto" w:sz="4" w:space="0"/>
            </w:tcBorders>
          </w:tcPr>
          <w:p w14:paraId="2BF0F462">
            <w:pPr>
              <w:pStyle w:val="33"/>
              <w:bidi w:val="0"/>
              <w:rPr>
                <w:rFonts w:hint="eastAsia"/>
              </w:rPr>
            </w:pPr>
            <w:r>
              <w:rPr>
                <w:rFonts w:hint="eastAsia"/>
              </w:rPr>
              <w:t>全冗余、热插拨</w:t>
            </w:r>
          </w:p>
        </w:tc>
      </w:tr>
      <w:tr w14:paraId="73E6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B330864">
            <w:pPr>
              <w:pStyle w:val="33"/>
              <w:bidi w:val="0"/>
            </w:pPr>
            <w:r>
              <w:t>11</w:t>
            </w:r>
          </w:p>
        </w:tc>
        <w:tc>
          <w:tcPr>
            <w:tcW w:w="1142" w:type="dxa"/>
            <w:tcBorders>
              <w:top w:val="single" w:color="auto" w:sz="4" w:space="0"/>
              <w:left w:val="single" w:color="auto" w:sz="4" w:space="0"/>
              <w:right w:val="single" w:color="auto" w:sz="4" w:space="0"/>
            </w:tcBorders>
            <w:vAlign w:val="center"/>
          </w:tcPr>
          <w:p w14:paraId="7C0F0430">
            <w:pPr>
              <w:pStyle w:val="33"/>
              <w:bidi w:val="0"/>
              <w:rPr>
                <w:rFonts w:hint="eastAsia"/>
              </w:rPr>
            </w:pPr>
            <w:r>
              <w:t>电源</w:t>
            </w:r>
          </w:p>
        </w:tc>
        <w:tc>
          <w:tcPr>
            <w:tcW w:w="7107" w:type="dxa"/>
            <w:tcBorders>
              <w:left w:val="single" w:color="auto" w:sz="4" w:space="0"/>
            </w:tcBorders>
          </w:tcPr>
          <w:p w14:paraId="2F34C529">
            <w:pPr>
              <w:pStyle w:val="33"/>
              <w:bidi w:val="0"/>
              <w:rPr>
                <w:rFonts w:hint="eastAsia"/>
              </w:rPr>
            </w:pPr>
            <w:r>
              <w:rPr>
                <w:rFonts w:hint="eastAsia"/>
              </w:rPr>
              <w:t>满配热插拨全冗余电源模块，电源功率满足服务器的最大负载要求(满足服务器满配内存、满配数据硬盘、满配PCIe卡情况下的功率需求），且单个电源故障场景下另一个正常电源可以满足服务器工作需求，单个电源模块功率≥900W（铂金级，交流），并同时配置C13/C14电源线</w:t>
            </w:r>
          </w:p>
        </w:tc>
      </w:tr>
      <w:tr w14:paraId="7337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9BA1D2F">
            <w:pPr>
              <w:pStyle w:val="33"/>
              <w:bidi w:val="0"/>
            </w:pPr>
            <w:r>
              <w:t>12</w:t>
            </w:r>
          </w:p>
        </w:tc>
        <w:tc>
          <w:tcPr>
            <w:tcW w:w="1142" w:type="dxa"/>
            <w:tcBorders>
              <w:top w:val="single" w:color="auto" w:sz="4" w:space="0"/>
              <w:left w:val="single" w:color="auto" w:sz="4" w:space="0"/>
              <w:right w:val="single" w:color="auto" w:sz="4" w:space="0"/>
            </w:tcBorders>
            <w:vAlign w:val="center"/>
          </w:tcPr>
          <w:p w14:paraId="34EAC783">
            <w:pPr>
              <w:pStyle w:val="33"/>
              <w:bidi w:val="0"/>
              <w:rPr>
                <w:rFonts w:hint="eastAsia"/>
              </w:rPr>
            </w:pPr>
            <w:r>
              <w:t>兼容性要求</w:t>
            </w:r>
          </w:p>
        </w:tc>
        <w:tc>
          <w:tcPr>
            <w:tcW w:w="7107" w:type="dxa"/>
            <w:tcBorders>
              <w:left w:val="single" w:color="auto" w:sz="4" w:space="0"/>
            </w:tcBorders>
          </w:tcPr>
          <w:p w14:paraId="668C496E">
            <w:pPr>
              <w:pStyle w:val="33"/>
              <w:bidi w:val="0"/>
            </w:pPr>
            <w:r>
              <w:rPr>
                <w:rFonts w:hint="eastAsia"/>
              </w:rPr>
              <w:t>支持银河麒麟高级服务器操作系统（鲲鹏版）V10，统信服务器操作系统（鲲鹏版）V20，支持以下虚拟化软件：紫光云Unicloud Usphere VMS企业版及云宏CNware Winsphere</w:t>
            </w:r>
          </w:p>
        </w:tc>
      </w:tr>
    </w:tbl>
    <w:p w14:paraId="630B74E7">
      <w:pPr>
        <w:rPr>
          <w:rFonts w:ascii="宋体"/>
          <w:snapToGrid w:val="0"/>
          <w:kern w:val="0"/>
          <w:szCs w:val="24"/>
        </w:rPr>
      </w:pPr>
      <w:r>
        <w:rPr>
          <w:rFonts w:ascii="宋体"/>
          <w:snapToGrid w:val="0"/>
          <w:kern w:val="0"/>
          <w:szCs w:val="24"/>
        </w:rPr>
        <w:t>配置三整机技术规格要求如下：</w:t>
      </w:r>
    </w:p>
    <w:tbl>
      <w:tblPr>
        <w:tblStyle w:val="14"/>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142"/>
        <w:gridCol w:w="7107"/>
      </w:tblGrid>
      <w:tr w14:paraId="41E5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100521EC">
            <w:pPr>
              <w:pStyle w:val="34"/>
              <w:bidi w:val="0"/>
            </w:pPr>
            <w:r>
              <w:rPr>
                <w:rFonts w:hint="eastAsia"/>
              </w:rPr>
              <w:t>条款号</w:t>
            </w:r>
          </w:p>
        </w:tc>
        <w:tc>
          <w:tcPr>
            <w:tcW w:w="1142" w:type="dxa"/>
          </w:tcPr>
          <w:p w14:paraId="40527548">
            <w:pPr>
              <w:pStyle w:val="34"/>
              <w:bidi w:val="0"/>
            </w:pPr>
            <w:r>
              <w:rPr>
                <w:rFonts w:hint="eastAsia"/>
              </w:rPr>
              <w:t>类别</w:t>
            </w:r>
          </w:p>
        </w:tc>
        <w:tc>
          <w:tcPr>
            <w:tcW w:w="7107" w:type="dxa"/>
          </w:tcPr>
          <w:p w14:paraId="30F5F9A2">
            <w:pPr>
              <w:pStyle w:val="34"/>
              <w:bidi w:val="0"/>
            </w:pPr>
            <w:r>
              <w:rPr>
                <w:rFonts w:hint="eastAsia"/>
              </w:rPr>
              <w:t>技术规格要求</w:t>
            </w:r>
          </w:p>
        </w:tc>
      </w:tr>
      <w:tr w14:paraId="2283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60674D46">
            <w:pPr>
              <w:pStyle w:val="33"/>
              <w:bidi w:val="0"/>
            </w:pPr>
            <w:r>
              <w:t>1</w:t>
            </w:r>
          </w:p>
        </w:tc>
        <w:tc>
          <w:tcPr>
            <w:tcW w:w="1142" w:type="dxa"/>
            <w:tcBorders>
              <w:top w:val="single" w:color="auto" w:sz="4" w:space="0"/>
              <w:left w:val="single" w:color="auto" w:sz="4" w:space="0"/>
              <w:right w:val="single" w:color="auto" w:sz="4" w:space="0"/>
            </w:tcBorders>
          </w:tcPr>
          <w:p w14:paraId="4CE9FDE1">
            <w:pPr>
              <w:pStyle w:val="33"/>
              <w:bidi w:val="0"/>
            </w:pPr>
            <w:r>
              <w:t>物理参数</w:t>
            </w:r>
          </w:p>
        </w:tc>
        <w:tc>
          <w:tcPr>
            <w:tcW w:w="7107" w:type="dxa"/>
            <w:tcBorders>
              <w:left w:val="single" w:color="auto" w:sz="4" w:space="0"/>
            </w:tcBorders>
          </w:tcPr>
          <w:p w14:paraId="0DE4955C">
            <w:pPr>
              <w:pStyle w:val="33"/>
              <w:bidi w:val="0"/>
            </w:pPr>
            <w:r>
              <w:t>2路机架式PC服务器(2U)</w:t>
            </w:r>
          </w:p>
        </w:tc>
      </w:tr>
      <w:tr w14:paraId="14AC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62D912EA">
            <w:pPr>
              <w:pStyle w:val="33"/>
              <w:bidi w:val="0"/>
            </w:pPr>
            <w:r>
              <w:t>2</w:t>
            </w:r>
          </w:p>
        </w:tc>
        <w:tc>
          <w:tcPr>
            <w:tcW w:w="1142" w:type="dxa"/>
            <w:tcBorders>
              <w:top w:val="single" w:color="auto" w:sz="4" w:space="0"/>
              <w:left w:val="single" w:color="auto" w:sz="4" w:space="0"/>
              <w:right w:val="single" w:color="auto" w:sz="4" w:space="0"/>
            </w:tcBorders>
            <w:vAlign w:val="center"/>
          </w:tcPr>
          <w:p w14:paraId="2F5B9CE2">
            <w:pPr>
              <w:pStyle w:val="33"/>
              <w:bidi w:val="0"/>
              <w:rPr>
                <w:rFonts w:hint="eastAsia"/>
              </w:rPr>
            </w:pPr>
            <w:r>
              <w:t>CPU</w:t>
            </w:r>
          </w:p>
        </w:tc>
        <w:tc>
          <w:tcPr>
            <w:tcW w:w="7107" w:type="dxa"/>
            <w:tcBorders>
              <w:left w:val="single" w:color="auto" w:sz="4" w:space="0"/>
            </w:tcBorders>
          </w:tcPr>
          <w:p w14:paraId="52201160">
            <w:pPr>
              <w:pStyle w:val="33"/>
              <w:bidi w:val="0"/>
            </w:pPr>
            <w:r>
              <w:t>2*鲲鹏920 5220 CPU（32C,2.6GHz）</w:t>
            </w:r>
          </w:p>
        </w:tc>
      </w:tr>
      <w:tr w14:paraId="62F3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6B4ECCAF">
            <w:pPr>
              <w:pStyle w:val="33"/>
              <w:bidi w:val="0"/>
            </w:pPr>
            <w:r>
              <w:t>3</w:t>
            </w:r>
          </w:p>
        </w:tc>
        <w:tc>
          <w:tcPr>
            <w:tcW w:w="1142" w:type="dxa"/>
            <w:tcBorders>
              <w:top w:val="single" w:color="auto" w:sz="4" w:space="0"/>
              <w:left w:val="single" w:color="auto" w:sz="4" w:space="0"/>
              <w:right w:val="single" w:color="auto" w:sz="4" w:space="0"/>
            </w:tcBorders>
            <w:vAlign w:val="center"/>
          </w:tcPr>
          <w:p w14:paraId="6B52EC21">
            <w:pPr>
              <w:pStyle w:val="33"/>
              <w:bidi w:val="0"/>
              <w:rPr>
                <w:rFonts w:hint="eastAsia"/>
              </w:rPr>
            </w:pPr>
            <w:r>
              <w:t>内存</w:t>
            </w:r>
          </w:p>
        </w:tc>
        <w:tc>
          <w:tcPr>
            <w:tcW w:w="7107" w:type="dxa"/>
            <w:tcBorders>
              <w:left w:val="single" w:color="auto" w:sz="4" w:space="0"/>
            </w:tcBorders>
          </w:tcPr>
          <w:p w14:paraId="1B824F31">
            <w:pPr>
              <w:pStyle w:val="33"/>
              <w:bidi w:val="0"/>
            </w:pPr>
            <w:r>
              <w:t>256GB（8 * 32GB DDR4 ECC RDIMM 3200，最大支持16个内存扩展插槽）</w:t>
            </w:r>
          </w:p>
        </w:tc>
      </w:tr>
      <w:tr w14:paraId="1A98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738E314">
            <w:pPr>
              <w:pStyle w:val="33"/>
              <w:bidi w:val="0"/>
            </w:pPr>
            <w:r>
              <w:t>4</w:t>
            </w:r>
          </w:p>
        </w:tc>
        <w:tc>
          <w:tcPr>
            <w:tcW w:w="1142" w:type="dxa"/>
            <w:tcBorders>
              <w:top w:val="single" w:color="auto" w:sz="4" w:space="0"/>
              <w:left w:val="single" w:color="auto" w:sz="4" w:space="0"/>
              <w:right w:val="single" w:color="auto" w:sz="4" w:space="0"/>
            </w:tcBorders>
            <w:vAlign w:val="center"/>
          </w:tcPr>
          <w:p w14:paraId="157B52E8">
            <w:pPr>
              <w:pStyle w:val="33"/>
              <w:bidi w:val="0"/>
              <w:rPr>
                <w:rFonts w:hint="eastAsia"/>
              </w:rPr>
            </w:pPr>
            <w:r>
              <w:t>硬盘</w:t>
            </w:r>
          </w:p>
        </w:tc>
        <w:tc>
          <w:tcPr>
            <w:tcW w:w="7107" w:type="dxa"/>
            <w:tcBorders>
              <w:left w:val="single" w:color="auto" w:sz="4" w:space="0"/>
            </w:tcBorders>
          </w:tcPr>
          <w:p w14:paraId="2161D03A">
            <w:pPr>
              <w:pStyle w:val="33"/>
              <w:bidi w:val="0"/>
              <w:rPr>
                <w:rFonts w:hint="eastAsia"/>
              </w:rPr>
            </w:pPr>
            <w:r>
              <w:rPr>
                <w:rFonts w:hint="eastAsia"/>
              </w:rPr>
              <w:t>前置4块960GB 2.5寸可热插拔SATA SSD（使用2.5寸托架,DWPD≥1,性能等级：4K随机写IOPS≥30,000）</w:t>
            </w:r>
          </w:p>
        </w:tc>
      </w:tr>
      <w:tr w14:paraId="22812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C2F2A06">
            <w:pPr>
              <w:pStyle w:val="33"/>
              <w:bidi w:val="0"/>
            </w:pPr>
            <w:r>
              <w:t>5</w:t>
            </w:r>
          </w:p>
        </w:tc>
        <w:tc>
          <w:tcPr>
            <w:tcW w:w="1142" w:type="dxa"/>
            <w:tcBorders>
              <w:top w:val="single" w:color="auto" w:sz="4" w:space="0"/>
              <w:left w:val="single" w:color="auto" w:sz="4" w:space="0"/>
              <w:right w:val="single" w:color="auto" w:sz="4" w:space="0"/>
            </w:tcBorders>
            <w:vAlign w:val="center"/>
          </w:tcPr>
          <w:p w14:paraId="04CA28C3">
            <w:pPr>
              <w:pStyle w:val="33"/>
              <w:bidi w:val="0"/>
            </w:pPr>
            <w:r>
              <w:t>背板</w:t>
            </w:r>
          </w:p>
        </w:tc>
        <w:tc>
          <w:tcPr>
            <w:tcW w:w="7107" w:type="dxa"/>
            <w:tcBorders>
              <w:left w:val="single" w:color="auto" w:sz="4" w:space="0"/>
            </w:tcBorders>
          </w:tcPr>
          <w:p w14:paraId="4F146B87">
            <w:pPr>
              <w:pStyle w:val="33"/>
              <w:bidi w:val="0"/>
            </w:pPr>
            <w:r>
              <w:rPr>
                <w:rFonts w:hint="eastAsia"/>
              </w:rPr>
              <w:t>前置25槽位2.5寸硬盘背板，支持25块2.5寸SATA SSD硬盘</w:t>
            </w:r>
          </w:p>
        </w:tc>
      </w:tr>
      <w:tr w14:paraId="08C0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FD8F9E1">
            <w:pPr>
              <w:pStyle w:val="33"/>
              <w:bidi w:val="0"/>
            </w:pPr>
            <w:r>
              <w:t>6</w:t>
            </w:r>
          </w:p>
        </w:tc>
        <w:tc>
          <w:tcPr>
            <w:tcW w:w="1142" w:type="dxa"/>
            <w:tcBorders>
              <w:top w:val="single" w:color="auto" w:sz="4" w:space="0"/>
              <w:left w:val="single" w:color="auto" w:sz="4" w:space="0"/>
              <w:right w:val="single" w:color="auto" w:sz="4" w:space="0"/>
            </w:tcBorders>
            <w:vAlign w:val="center"/>
          </w:tcPr>
          <w:p w14:paraId="105A65C9">
            <w:pPr>
              <w:pStyle w:val="33"/>
              <w:bidi w:val="0"/>
            </w:pPr>
            <w:r>
              <w:t>网卡</w:t>
            </w:r>
          </w:p>
        </w:tc>
        <w:tc>
          <w:tcPr>
            <w:tcW w:w="7107" w:type="dxa"/>
            <w:tcBorders>
              <w:left w:val="single" w:color="auto" w:sz="4" w:space="0"/>
            </w:tcBorders>
          </w:tcPr>
          <w:p w14:paraId="2D15688F">
            <w:pPr>
              <w:pStyle w:val="33"/>
              <w:bidi w:val="0"/>
            </w:pPr>
            <w:r>
              <w:t>1*4端口千兆自适应电口网卡，3*双端口SFP+万兆光口网卡（满配光模块）</w:t>
            </w:r>
          </w:p>
        </w:tc>
      </w:tr>
      <w:tr w14:paraId="3CBF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1A1543DC">
            <w:pPr>
              <w:pStyle w:val="33"/>
              <w:bidi w:val="0"/>
            </w:pPr>
            <w:r>
              <w:t>7</w:t>
            </w:r>
          </w:p>
        </w:tc>
        <w:tc>
          <w:tcPr>
            <w:tcW w:w="1142" w:type="dxa"/>
            <w:tcBorders>
              <w:top w:val="single" w:color="auto" w:sz="4" w:space="0"/>
              <w:left w:val="single" w:color="auto" w:sz="4" w:space="0"/>
              <w:right w:val="single" w:color="auto" w:sz="4" w:space="0"/>
            </w:tcBorders>
            <w:vAlign w:val="center"/>
          </w:tcPr>
          <w:p w14:paraId="6CE75525">
            <w:pPr>
              <w:pStyle w:val="33"/>
              <w:bidi w:val="0"/>
              <w:rPr>
                <w:rFonts w:hint="eastAsia"/>
              </w:rPr>
            </w:pPr>
            <w:r>
              <w:t>PCIE</w:t>
            </w:r>
          </w:p>
        </w:tc>
        <w:tc>
          <w:tcPr>
            <w:tcW w:w="7107" w:type="dxa"/>
            <w:tcBorders>
              <w:left w:val="single" w:color="auto" w:sz="4" w:space="0"/>
            </w:tcBorders>
          </w:tcPr>
          <w:p w14:paraId="799E7B9F">
            <w:pPr>
              <w:pStyle w:val="33"/>
              <w:bidi w:val="0"/>
            </w:pPr>
            <w:r>
              <w:t>配置PCIe4.0标准插槽至少6个</w:t>
            </w:r>
          </w:p>
        </w:tc>
      </w:tr>
      <w:tr w14:paraId="2391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45B54D0">
            <w:pPr>
              <w:pStyle w:val="33"/>
              <w:bidi w:val="0"/>
            </w:pPr>
            <w:r>
              <w:t>8</w:t>
            </w:r>
          </w:p>
        </w:tc>
        <w:tc>
          <w:tcPr>
            <w:tcW w:w="1142" w:type="dxa"/>
            <w:tcBorders>
              <w:top w:val="single" w:color="auto" w:sz="4" w:space="0"/>
              <w:left w:val="single" w:color="auto" w:sz="4" w:space="0"/>
              <w:right w:val="single" w:color="auto" w:sz="4" w:space="0"/>
            </w:tcBorders>
            <w:vAlign w:val="center"/>
          </w:tcPr>
          <w:p w14:paraId="697F7479">
            <w:pPr>
              <w:pStyle w:val="33"/>
              <w:bidi w:val="0"/>
              <w:rPr>
                <w:rFonts w:hint="eastAsia"/>
              </w:rPr>
            </w:pPr>
            <w:r>
              <w:t>阵列卡</w:t>
            </w:r>
          </w:p>
        </w:tc>
        <w:tc>
          <w:tcPr>
            <w:tcW w:w="7107" w:type="dxa"/>
            <w:tcBorders>
              <w:left w:val="single" w:color="auto" w:sz="4" w:space="0"/>
            </w:tcBorders>
          </w:tcPr>
          <w:p w14:paraId="0539E691">
            <w:pPr>
              <w:pStyle w:val="33"/>
              <w:bidi w:val="0"/>
            </w:pPr>
            <w:r>
              <w:rPr>
                <w:rFonts w:hint="eastAsia"/>
              </w:rPr>
              <w:t>配置</w:t>
            </w:r>
            <w:r>
              <w:t>1</w:t>
            </w:r>
            <w:r>
              <w:rPr>
                <w:rFonts w:hint="eastAsia"/>
              </w:rPr>
              <w:t>块阵列卡（PCIe4.0 SAS,4K随机读性能≥3.0M IOPS），4G缓存，8个SAS端口，配置超级电容保护，能管理当前配置磁盘满配情况下的所有磁盘，支持直通且支持RAID 0/1/10/5/6（两种模式能同时工作）</w:t>
            </w:r>
          </w:p>
        </w:tc>
      </w:tr>
      <w:tr w14:paraId="1BCF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488016D">
            <w:pPr>
              <w:pStyle w:val="33"/>
              <w:bidi w:val="0"/>
            </w:pPr>
            <w:r>
              <w:t>9</w:t>
            </w:r>
          </w:p>
        </w:tc>
        <w:tc>
          <w:tcPr>
            <w:tcW w:w="1142" w:type="dxa"/>
            <w:tcBorders>
              <w:top w:val="single" w:color="auto" w:sz="4" w:space="0"/>
              <w:left w:val="single" w:color="auto" w:sz="4" w:space="0"/>
              <w:right w:val="single" w:color="auto" w:sz="4" w:space="0"/>
            </w:tcBorders>
            <w:vAlign w:val="center"/>
          </w:tcPr>
          <w:p w14:paraId="38096008">
            <w:pPr>
              <w:pStyle w:val="33"/>
              <w:bidi w:val="0"/>
              <w:rPr>
                <w:rFonts w:hint="eastAsia"/>
              </w:rPr>
            </w:pPr>
            <w:r>
              <w:t>管理</w:t>
            </w:r>
          </w:p>
        </w:tc>
        <w:tc>
          <w:tcPr>
            <w:tcW w:w="7107" w:type="dxa"/>
            <w:tcBorders>
              <w:left w:val="single" w:color="auto" w:sz="4" w:space="0"/>
            </w:tcBorders>
          </w:tcPr>
          <w:p w14:paraId="4A16E2E9">
            <w:pPr>
              <w:pStyle w:val="33"/>
              <w:bidi w:val="0"/>
            </w:pPr>
            <w:r>
              <w:rPr>
                <w:rFonts w:hint="eastAsia"/>
              </w:rPr>
              <w:t>提供基于Web的远程管理功能，能够实时监控各部件模块，支持故障告警、硬件日志收集、远程IP KVM、虚拟介质、远程开关机及远程控制台等功能，支持IPMI V2.0、SNMP V2及V3,snmptrap告警配置，在银河麒麟高级服务器操作系统（鲲鹏版）V10中能使用dmidecode命令能查询到序列号（须与带外管理界面查询的序列号一致），使用该序列号能在服务器厂家官网查询到维保信息（至少需展示设备维保结束日期）</w:t>
            </w:r>
          </w:p>
        </w:tc>
      </w:tr>
      <w:tr w14:paraId="1621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7487E215">
            <w:pPr>
              <w:pStyle w:val="33"/>
              <w:bidi w:val="0"/>
            </w:pPr>
            <w:r>
              <w:t>10</w:t>
            </w:r>
          </w:p>
        </w:tc>
        <w:tc>
          <w:tcPr>
            <w:tcW w:w="1142" w:type="dxa"/>
            <w:tcBorders>
              <w:top w:val="single" w:color="auto" w:sz="4" w:space="0"/>
              <w:left w:val="single" w:color="auto" w:sz="4" w:space="0"/>
              <w:right w:val="single" w:color="auto" w:sz="4" w:space="0"/>
            </w:tcBorders>
            <w:vAlign w:val="center"/>
          </w:tcPr>
          <w:p w14:paraId="6BDEA818">
            <w:pPr>
              <w:pStyle w:val="33"/>
              <w:bidi w:val="0"/>
              <w:rPr>
                <w:rFonts w:hint="eastAsia"/>
              </w:rPr>
            </w:pPr>
            <w:r>
              <w:t>风扇</w:t>
            </w:r>
          </w:p>
        </w:tc>
        <w:tc>
          <w:tcPr>
            <w:tcW w:w="7107" w:type="dxa"/>
            <w:tcBorders>
              <w:left w:val="single" w:color="auto" w:sz="4" w:space="0"/>
            </w:tcBorders>
          </w:tcPr>
          <w:p w14:paraId="39050D05">
            <w:pPr>
              <w:pStyle w:val="33"/>
              <w:bidi w:val="0"/>
              <w:rPr>
                <w:rFonts w:hint="eastAsia"/>
              </w:rPr>
            </w:pPr>
            <w:r>
              <w:rPr>
                <w:rFonts w:hint="eastAsia"/>
              </w:rPr>
              <w:t>全冗余、热插拨</w:t>
            </w:r>
          </w:p>
        </w:tc>
      </w:tr>
      <w:tr w14:paraId="0544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ACFD311">
            <w:pPr>
              <w:pStyle w:val="33"/>
              <w:bidi w:val="0"/>
            </w:pPr>
            <w:r>
              <w:t>11</w:t>
            </w:r>
          </w:p>
        </w:tc>
        <w:tc>
          <w:tcPr>
            <w:tcW w:w="1142" w:type="dxa"/>
            <w:tcBorders>
              <w:top w:val="single" w:color="auto" w:sz="4" w:space="0"/>
              <w:left w:val="single" w:color="auto" w:sz="4" w:space="0"/>
              <w:right w:val="single" w:color="auto" w:sz="4" w:space="0"/>
            </w:tcBorders>
            <w:vAlign w:val="center"/>
          </w:tcPr>
          <w:p w14:paraId="2D2E8385">
            <w:pPr>
              <w:pStyle w:val="33"/>
              <w:bidi w:val="0"/>
              <w:rPr>
                <w:rFonts w:hint="eastAsia"/>
              </w:rPr>
            </w:pPr>
            <w:r>
              <w:t>电源</w:t>
            </w:r>
          </w:p>
        </w:tc>
        <w:tc>
          <w:tcPr>
            <w:tcW w:w="7107" w:type="dxa"/>
            <w:tcBorders>
              <w:left w:val="single" w:color="auto" w:sz="4" w:space="0"/>
            </w:tcBorders>
          </w:tcPr>
          <w:p w14:paraId="78F84CD2">
            <w:pPr>
              <w:pStyle w:val="33"/>
              <w:bidi w:val="0"/>
              <w:rPr>
                <w:rFonts w:hint="eastAsia"/>
              </w:rPr>
            </w:pPr>
            <w:r>
              <w:rPr>
                <w:rFonts w:hint="eastAsia"/>
              </w:rPr>
              <w:t>满配热插拨全冗余电源模块，电源功率满足服务器的最大负载要求(满足服务器满配内存、满配数据硬盘、满配PCIe卡情况下的功率需求），且单个电源故障场景下另一个正常电源可以满足服务器工作需求，单个电源模块功率≥900W（铂金级，交流），并同时配置C13/C14电源线</w:t>
            </w:r>
          </w:p>
        </w:tc>
      </w:tr>
      <w:tr w14:paraId="0561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2630EFE">
            <w:pPr>
              <w:pStyle w:val="33"/>
              <w:bidi w:val="0"/>
            </w:pPr>
            <w:r>
              <w:t>12</w:t>
            </w:r>
          </w:p>
        </w:tc>
        <w:tc>
          <w:tcPr>
            <w:tcW w:w="1142" w:type="dxa"/>
            <w:tcBorders>
              <w:top w:val="single" w:color="auto" w:sz="4" w:space="0"/>
              <w:left w:val="single" w:color="auto" w:sz="4" w:space="0"/>
              <w:right w:val="single" w:color="auto" w:sz="4" w:space="0"/>
            </w:tcBorders>
            <w:vAlign w:val="center"/>
          </w:tcPr>
          <w:p w14:paraId="0E5F4227">
            <w:pPr>
              <w:pStyle w:val="33"/>
              <w:bidi w:val="0"/>
              <w:rPr>
                <w:rFonts w:hint="eastAsia"/>
              </w:rPr>
            </w:pPr>
            <w:r>
              <w:t>兼容性要求</w:t>
            </w:r>
          </w:p>
        </w:tc>
        <w:tc>
          <w:tcPr>
            <w:tcW w:w="7107" w:type="dxa"/>
            <w:tcBorders>
              <w:left w:val="single" w:color="auto" w:sz="4" w:space="0"/>
            </w:tcBorders>
          </w:tcPr>
          <w:p w14:paraId="54ED1FAD">
            <w:pPr>
              <w:pStyle w:val="33"/>
              <w:bidi w:val="0"/>
            </w:pPr>
            <w:r>
              <w:rPr>
                <w:rFonts w:hint="eastAsia"/>
              </w:rPr>
              <w:t>支持银河麒麟高级服务器操作系统（鲲鹏版）V10，统信服务器操作系统（鲲鹏版）V20，支持以下虚拟化软件：紫光云Unicloud Usphere VMS企业版及云宏CNware Winsphere</w:t>
            </w:r>
          </w:p>
        </w:tc>
      </w:tr>
    </w:tbl>
    <w:p w14:paraId="24EDA59C">
      <w:pPr>
        <w:pStyle w:val="4"/>
        <w:bidi w:val="0"/>
        <w:rPr>
          <w:rFonts w:hint="eastAsia" w:eastAsia="宋体"/>
          <w:lang w:eastAsia="zh-CN"/>
        </w:rPr>
      </w:pPr>
      <w:r>
        <w:t>4）2024</w:t>
      </w:r>
      <w:r>
        <w:rPr>
          <w:rFonts w:hint="eastAsia"/>
        </w:rPr>
        <w:t>年</w:t>
      </w:r>
      <w:r>
        <w:t>信创</w:t>
      </w:r>
      <w:r>
        <w:rPr>
          <w:rFonts w:hint="eastAsia"/>
        </w:rPr>
        <w:t>服务器采购项目</w:t>
      </w:r>
      <w:r>
        <w:rPr>
          <w:rFonts w:hint="eastAsia"/>
          <w:lang w:eastAsia="zh-CN"/>
        </w:rPr>
        <w:t>标段4：</w:t>
      </w:r>
    </w:p>
    <w:p w14:paraId="53BCE21A">
      <w:pPr>
        <w:rPr>
          <w:rFonts w:ascii="宋体"/>
          <w:snapToGrid w:val="0"/>
          <w:kern w:val="0"/>
          <w:szCs w:val="24"/>
        </w:rPr>
      </w:pPr>
      <w:r>
        <w:rPr>
          <w:rFonts w:ascii="宋体"/>
          <w:snapToGrid w:val="0"/>
          <w:kern w:val="0"/>
          <w:szCs w:val="24"/>
        </w:rPr>
        <w:t>配置一整机技术规格要求如下：</w:t>
      </w:r>
    </w:p>
    <w:tbl>
      <w:tblPr>
        <w:tblStyle w:val="14"/>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142"/>
        <w:gridCol w:w="7107"/>
      </w:tblGrid>
      <w:tr w14:paraId="1BC0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29F53D5E">
            <w:pPr>
              <w:pStyle w:val="34"/>
              <w:bidi w:val="0"/>
            </w:pPr>
            <w:r>
              <w:rPr>
                <w:rFonts w:hint="eastAsia"/>
              </w:rPr>
              <w:t>条款号</w:t>
            </w:r>
          </w:p>
        </w:tc>
        <w:tc>
          <w:tcPr>
            <w:tcW w:w="1142" w:type="dxa"/>
          </w:tcPr>
          <w:p w14:paraId="3ECB76FE">
            <w:pPr>
              <w:pStyle w:val="34"/>
              <w:bidi w:val="0"/>
            </w:pPr>
            <w:r>
              <w:rPr>
                <w:rFonts w:hint="eastAsia"/>
              </w:rPr>
              <w:t>类别</w:t>
            </w:r>
          </w:p>
        </w:tc>
        <w:tc>
          <w:tcPr>
            <w:tcW w:w="7107" w:type="dxa"/>
          </w:tcPr>
          <w:p w14:paraId="0E614174">
            <w:pPr>
              <w:pStyle w:val="34"/>
              <w:bidi w:val="0"/>
            </w:pPr>
            <w:r>
              <w:rPr>
                <w:rFonts w:hint="eastAsia"/>
              </w:rPr>
              <w:t>技术规格要求</w:t>
            </w:r>
          </w:p>
        </w:tc>
      </w:tr>
      <w:tr w14:paraId="34A0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6445967A">
            <w:pPr>
              <w:pStyle w:val="33"/>
              <w:bidi w:val="0"/>
            </w:pPr>
            <w:r>
              <w:t>1</w:t>
            </w:r>
          </w:p>
        </w:tc>
        <w:tc>
          <w:tcPr>
            <w:tcW w:w="1142" w:type="dxa"/>
            <w:tcBorders>
              <w:top w:val="single" w:color="auto" w:sz="4" w:space="0"/>
              <w:left w:val="single" w:color="auto" w:sz="4" w:space="0"/>
              <w:right w:val="single" w:color="auto" w:sz="4" w:space="0"/>
            </w:tcBorders>
          </w:tcPr>
          <w:p w14:paraId="08056BEF">
            <w:pPr>
              <w:pStyle w:val="33"/>
              <w:bidi w:val="0"/>
            </w:pPr>
            <w:r>
              <w:t>物理参数</w:t>
            </w:r>
          </w:p>
        </w:tc>
        <w:tc>
          <w:tcPr>
            <w:tcW w:w="7107" w:type="dxa"/>
            <w:tcBorders>
              <w:left w:val="single" w:color="auto" w:sz="4" w:space="0"/>
            </w:tcBorders>
          </w:tcPr>
          <w:p w14:paraId="7B52CA12">
            <w:pPr>
              <w:pStyle w:val="33"/>
              <w:bidi w:val="0"/>
            </w:pPr>
            <w:r>
              <w:t>2路机架式PC服务器(2U)</w:t>
            </w:r>
          </w:p>
        </w:tc>
      </w:tr>
      <w:tr w14:paraId="64FC1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23156FF9">
            <w:pPr>
              <w:pStyle w:val="33"/>
              <w:bidi w:val="0"/>
            </w:pPr>
            <w:r>
              <w:t>2</w:t>
            </w:r>
          </w:p>
        </w:tc>
        <w:tc>
          <w:tcPr>
            <w:tcW w:w="1142" w:type="dxa"/>
            <w:tcBorders>
              <w:top w:val="single" w:color="auto" w:sz="4" w:space="0"/>
              <w:left w:val="single" w:color="auto" w:sz="4" w:space="0"/>
              <w:right w:val="single" w:color="auto" w:sz="4" w:space="0"/>
            </w:tcBorders>
            <w:vAlign w:val="center"/>
          </w:tcPr>
          <w:p w14:paraId="51867892">
            <w:pPr>
              <w:pStyle w:val="33"/>
              <w:bidi w:val="0"/>
              <w:rPr>
                <w:rFonts w:hint="eastAsia"/>
              </w:rPr>
            </w:pPr>
            <w:r>
              <w:t>CPU</w:t>
            </w:r>
          </w:p>
        </w:tc>
        <w:tc>
          <w:tcPr>
            <w:tcW w:w="7107" w:type="dxa"/>
            <w:tcBorders>
              <w:left w:val="single" w:color="auto" w:sz="4" w:space="0"/>
            </w:tcBorders>
          </w:tcPr>
          <w:p w14:paraId="353471F3">
            <w:pPr>
              <w:pStyle w:val="33"/>
              <w:bidi w:val="0"/>
            </w:pPr>
            <w:r>
              <w:t>2 * 海光7360(24C/2.2GHz)</w:t>
            </w:r>
          </w:p>
        </w:tc>
      </w:tr>
      <w:tr w14:paraId="44C3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6F29F9DD">
            <w:pPr>
              <w:pStyle w:val="33"/>
              <w:bidi w:val="0"/>
            </w:pPr>
            <w:r>
              <w:t>3</w:t>
            </w:r>
          </w:p>
        </w:tc>
        <w:tc>
          <w:tcPr>
            <w:tcW w:w="1142" w:type="dxa"/>
            <w:tcBorders>
              <w:top w:val="single" w:color="auto" w:sz="4" w:space="0"/>
              <w:left w:val="single" w:color="auto" w:sz="4" w:space="0"/>
              <w:right w:val="single" w:color="auto" w:sz="4" w:space="0"/>
            </w:tcBorders>
            <w:vAlign w:val="center"/>
          </w:tcPr>
          <w:p w14:paraId="0D125460">
            <w:pPr>
              <w:pStyle w:val="33"/>
              <w:bidi w:val="0"/>
              <w:rPr>
                <w:rFonts w:hint="eastAsia"/>
              </w:rPr>
            </w:pPr>
            <w:r>
              <w:t>内存</w:t>
            </w:r>
          </w:p>
        </w:tc>
        <w:tc>
          <w:tcPr>
            <w:tcW w:w="7107" w:type="dxa"/>
            <w:tcBorders>
              <w:left w:val="single" w:color="auto" w:sz="4" w:space="0"/>
            </w:tcBorders>
          </w:tcPr>
          <w:p w14:paraId="0438ACD7">
            <w:pPr>
              <w:pStyle w:val="33"/>
              <w:bidi w:val="0"/>
            </w:pPr>
            <w:r>
              <w:t>512GB（16 * 32GB DDR4 ECC RDIMM 3200，最大支持32个内存扩展插槽）</w:t>
            </w:r>
          </w:p>
        </w:tc>
      </w:tr>
      <w:tr w14:paraId="243C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1C92E13">
            <w:pPr>
              <w:pStyle w:val="33"/>
              <w:bidi w:val="0"/>
            </w:pPr>
            <w:r>
              <w:t>4</w:t>
            </w:r>
          </w:p>
        </w:tc>
        <w:tc>
          <w:tcPr>
            <w:tcW w:w="1142" w:type="dxa"/>
            <w:tcBorders>
              <w:top w:val="single" w:color="auto" w:sz="4" w:space="0"/>
              <w:left w:val="single" w:color="auto" w:sz="4" w:space="0"/>
              <w:right w:val="single" w:color="auto" w:sz="4" w:space="0"/>
            </w:tcBorders>
            <w:vAlign w:val="center"/>
          </w:tcPr>
          <w:p w14:paraId="4C3D0EAD">
            <w:pPr>
              <w:pStyle w:val="33"/>
              <w:bidi w:val="0"/>
              <w:rPr>
                <w:rFonts w:hint="eastAsia"/>
              </w:rPr>
            </w:pPr>
            <w:r>
              <w:t>硬盘</w:t>
            </w:r>
          </w:p>
        </w:tc>
        <w:tc>
          <w:tcPr>
            <w:tcW w:w="7107" w:type="dxa"/>
            <w:tcBorders>
              <w:left w:val="single" w:color="auto" w:sz="4" w:space="0"/>
            </w:tcBorders>
          </w:tcPr>
          <w:p w14:paraId="196AC9A0">
            <w:pPr>
              <w:pStyle w:val="33"/>
              <w:bidi w:val="0"/>
            </w:pPr>
            <w:r>
              <w:t>1、</w:t>
            </w:r>
            <w:r>
              <w:rPr>
                <w:rFonts w:hint="eastAsia"/>
              </w:rPr>
              <w:t>系统盘（前置）2块960GB 2.5寸可热插拔SATA SSD（使用2.5寸托架,DWPD≥1,性能等级：4K随机写IOPS≥30,000）；</w:t>
            </w:r>
          </w:p>
          <w:p w14:paraId="359517DC">
            <w:pPr>
              <w:pStyle w:val="33"/>
              <w:bidi w:val="0"/>
              <w:rPr>
                <w:rFonts w:hint="eastAsia"/>
              </w:rPr>
            </w:pPr>
            <w:r>
              <w:t>2、</w:t>
            </w:r>
            <w:r>
              <w:rPr>
                <w:rFonts w:hint="eastAsia"/>
              </w:rPr>
              <w:t>数据盘（前置）10块1.92TB 2.5寸可热插拔SATA SSD（使用2.5寸托架,DWPD≥1,性能等级：4K随机写IOPS≥30,000）</w:t>
            </w:r>
          </w:p>
        </w:tc>
      </w:tr>
      <w:tr w14:paraId="4DDD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84D77BB">
            <w:pPr>
              <w:pStyle w:val="33"/>
              <w:bidi w:val="0"/>
            </w:pPr>
            <w:r>
              <w:t>5</w:t>
            </w:r>
          </w:p>
        </w:tc>
        <w:tc>
          <w:tcPr>
            <w:tcW w:w="1142" w:type="dxa"/>
            <w:tcBorders>
              <w:top w:val="single" w:color="auto" w:sz="4" w:space="0"/>
              <w:left w:val="single" w:color="auto" w:sz="4" w:space="0"/>
              <w:right w:val="single" w:color="auto" w:sz="4" w:space="0"/>
            </w:tcBorders>
            <w:vAlign w:val="center"/>
          </w:tcPr>
          <w:p w14:paraId="26FF3050">
            <w:pPr>
              <w:pStyle w:val="33"/>
              <w:bidi w:val="0"/>
            </w:pPr>
            <w:r>
              <w:t>背板</w:t>
            </w:r>
          </w:p>
        </w:tc>
        <w:tc>
          <w:tcPr>
            <w:tcW w:w="7107" w:type="dxa"/>
            <w:tcBorders>
              <w:left w:val="single" w:color="auto" w:sz="4" w:space="0"/>
            </w:tcBorders>
          </w:tcPr>
          <w:p w14:paraId="3E734B2F">
            <w:pPr>
              <w:pStyle w:val="33"/>
              <w:bidi w:val="0"/>
            </w:pPr>
            <w:r>
              <w:t>前置不少于24槽位2.5寸硬盘背板，支持至少24块2.5寸SATA SSD硬盘</w:t>
            </w:r>
          </w:p>
        </w:tc>
      </w:tr>
      <w:tr w14:paraId="6852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100C08B">
            <w:pPr>
              <w:pStyle w:val="33"/>
              <w:bidi w:val="0"/>
            </w:pPr>
            <w:r>
              <w:t>6</w:t>
            </w:r>
          </w:p>
        </w:tc>
        <w:tc>
          <w:tcPr>
            <w:tcW w:w="1142" w:type="dxa"/>
            <w:tcBorders>
              <w:top w:val="single" w:color="auto" w:sz="4" w:space="0"/>
              <w:left w:val="single" w:color="auto" w:sz="4" w:space="0"/>
              <w:right w:val="single" w:color="auto" w:sz="4" w:space="0"/>
            </w:tcBorders>
            <w:vAlign w:val="center"/>
          </w:tcPr>
          <w:p w14:paraId="5EB2A3E1">
            <w:pPr>
              <w:pStyle w:val="33"/>
              <w:bidi w:val="0"/>
            </w:pPr>
            <w:r>
              <w:t>网卡</w:t>
            </w:r>
          </w:p>
        </w:tc>
        <w:tc>
          <w:tcPr>
            <w:tcW w:w="7107" w:type="dxa"/>
            <w:tcBorders>
              <w:left w:val="single" w:color="auto" w:sz="4" w:space="0"/>
            </w:tcBorders>
          </w:tcPr>
          <w:p w14:paraId="59B680E5">
            <w:pPr>
              <w:pStyle w:val="33"/>
              <w:bidi w:val="0"/>
            </w:pPr>
            <w:r>
              <w:t>配置4个千兆自适应网口，3*双端口SFP+万兆光口网卡（满配光模块，支持PXE、支持DPDK应用，支持SRIOV技术）</w:t>
            </w:r>
          </w:p>
        </w:tc>
      </w:tr>
      <w:tr w14:paraId="59AA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56419D3A">
            <w:pPr>
              <w:pStyle w:val="33"/>
              <w:bidi w:val="0"/>
            </w:pPr>
            <w:r>
              <w:t>7</w:t>
            </w:r>
          </w:p>
        </w:tc>
        <w:tc>
          <w:tcPr>
            <w:tcW w:w="1142" w:type="dxa"/>
            <w:tcBorders>
              <w:top w:val="single" w:color="auto" w:sz="4" w:space="0"/>
              <w:left w:val="single" w:color="auto" w:sz="4" w:space="0"/>
              <w:right w:val="single" w:color="auto" w:sz="4" w:space="0"/>
            </w:tcBorders>
            <w:vAlign w:val="center"/>
          </w:tcPr>
          <w:p w14:paraId="6FE12DEC">
            <w:pPr>
              <w:pStyle w:val="33"/>
              <w:bidi w:val="0"/>
              <w:rPr>
                <w:rFonts w:hint="eastAsia"/>
              </w:rPr>
            </w:pPr>
            <w:r>
              <w:t>PCIE</w:t>
            </w:r>
          </w:p>
        </w:tc>
        <w:tc>
          <w:tcPr>
            <w:tcW w:w="7107" w:type="dxa"/>
            <w:tcBorders>
              <w:left w:val="single" w:color="auto" w:sz="4" w:space="0"/>
            </w:tcBorders>
          </w:tcPr>
          <w:p w14:paraId="60ABBBE9">
            <w:pPr>
              <w:pStyle w:val="33"/>
              <w:bidi w:val="0"/>
            </w:pPr>
            <w:r>
              <w:t>配置PCIe4.0标准插槽至少8个</w:t>
            </w:r>
          </w:p>
        </w:tc>
      </w:tr>
      <w:tr w14:paraId="2BBA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E200046">
            <w:pPr>
              <w:pStyle w:val="33"/>
              <w:bidi w:val="0"/>
            </w:pPr>
            <w:r>
              <w:t>8</w:t>
            </w:r>
          </w:p>
        </w:tc>
        <w:tc>
          <w:tcPr>
            <w:tcW w:w="1142" w:type="dxa"/>
            <w:tcBorders>
              <w:top w:val="single" w:color="auto" w:sz="4" w:space="0"/>
              <w:left w:val="single" w:color="auto" w:sz="4" w:space="0"/>
              <w:right w:val="single" w:color="auto" w:sz="4" w:space="0"/>
            </w:tcBorders>
            <w:vAlign w:val="center"/>
          </w:tcPr>
          <w:p w14:paraId="361B1ABF">
            <w:pPr>
              <w:pStyle w:val="33"/>
              <w:bidi w:val="0"/>
              <w:rPr>
                <w:rFonts w:hint="eastAsia"/>
              </w:rPr>
            </w:pPr>
            <w:r>
              <w:t>阵列卡</w:t>
            </w:r>
          </w:p>
        </w:tc>
        <w:tc>
          <w:tcPr>
            <w:tcW w:w="7107" w:type="dxa"/>
            <w:tcBorders>
              <w:left w:val="single" w:color="auto" w:sz="4" w:space="0"/>
            </w:tcBorders>
          </w:tcPr>
          <w:p w14:paraId="57A7773B">
            <w:pPr>
              <w:pStyle w:val="33"/>
              <w:bidi w:val="0"/>
            </w:pPr>
            <w:r>
              <w:rPr>
                <w:rFonts w:hint="eastAsia"/>
              </w:rPr>
              <w:t>配置1块阵列卡（PCIe4.0 SAS,4K随机读性能≥3.0M IOPS），4G缓存，8个SAS端口，配置超级电容保护，能管理当前配置磁盘满配情况下的所有磁盘，支持直通且支持RAID 0/1/10/5/6（两种模式能同时工作）</w:t>
            </w:r>
          </w:p>
        </w:tc>
      </w:tr>
      <w:tr w14:paraId="2A96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B124CF4">
            <w:pPr>
              <w:pStyle w:val="33"/>
              <w:bidi w:val="0"/>
            </w:pPr>
            <w:r>
              <w:t>9</w:t>
            </w:r>
          </w:p>
        </w:tc>
        <w:tc>
          <w:tcPr>
            <w:tcW w:w="1142" w:type="dxa"/>
            <w:tcBorders>
              <w:top w:val="single" w:color="auto" w:sz="4" w:space="0"/>
              <w:left w:val="single" w:color="auto" w:sz="4" w:space="0"/>
              <w:right w:val="single" w:color="auto" w:sz="4" w:space="0"/>
            </w:tcBorders>
            <w:vAlign w:val="center"/>
          </w:tcPr>
          <w:p w14:paraId="240B53A6">
            <w:pPr>
              <w:pStyle w:val="33"/>
              <w:bidi w:val="0"/>
              <w:rPr>
                <w:rFonts w:hint="eastAsia"/>
              </w:rPr>
            </w:pPr>
            <w:r>
              <w:t>管理</w:t>
            </w:r>
          </w:p>
        </w:tc>
        <w:tc>
          <w:tcPr>
            <w:tcW w:w="7107" w:type="dxa"/>
            <w:tcBorders>
              <w:left w:val="single" w:color="auto" w:sz="4" w:space="0"/>
            </w:tcBorders>
          </w:tcPr>
          <w:p w14:paraId="0973A70C">
            <w:pPr>
              <w:pStyle w:val="33"/>
              <w:bidi w:val="0"/>
            </w:pPr>
            <w:r>
              <w:rPr>
                <w:rFonts w:hint="eastAsia"/>
              </w:rPr>
              <w:t>提供基于Web的远程管理功能，能够实时监控各部件模块，支持故障告警、硬件日志收集、远程IP KVM、虚拟介质、远程开关机及远程控制台等功能，支持IPMI V2.0、SNMP V2及V3,snmptrap告警配置，在银河麒麟高级服务器操作系统（</w:t>
            </w:r>
            <w:r>
              <w:t>海光</w:t>
            </w:r>
            <w:r>
              <w:rPr>
                <w:rFonts w:hint="eastAsia"/>
              </w:rPr>
              <w:t>版）V10中能使用dmidecode命令能查询到序列号（须与带外管理界面查询的序列号一致），使用该序列号能在服务器厂家官网查询到维保信息（至少需展示设备维保结束日期）</w:t>
            </w:r>
          </w:p>
        </w:tc>
      </w:tr>
      <w:tr w14:paraId="7393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59B5A954">
            <w:pPr>
              <w:pStyle w:val="33"/>
              <w:bidi w:val="0"/>
            </w:pPr>
            <w:r>
              <w:t>10</w:t>
            </w:r>
          </w:p>
        </w:tc>
        <w:tc>
          <w:tcPr>
            <w:tcW w:w="1142" w:type="dxa"/>
            <w:tcBorders>
              <w:top w:val="single" w:color="auto" w:sz="4" w:space="0"/>
              <w:left w:val="single" w:color="auto" w:sz="4" w:space="0"/>
              <w:right w:val="single" w:color="auto" w:sz="4" w:space="0"/>
            </w:tcBorders>
            <w:vAlign w:val="center"/>
          </w:tcPr>
          <w:p w14:paraId="1D1489CD">
            <w:pPr>
              <w:pStyle w:val="33"/>
              <w:bidi w:val="0"/>
              <w:rPr>
                <w:rFonts w:hint="eastAsia"/>
              </w:rPr>
            </w:pPr>
            <w:r>
              <w:t>风扇</w:t>
            </w:r>
          </w:p>
        </w:tc>
        <w:tc>
          <w:tcPr>
            <w:tcW w:w="7107" w:type="dxa"/>
            <w:tcBorders>
              <w:left w:val="single" w:color="auto" w:sz="4" w:space="0"/>
            </w:tcBorders>
          </w:tcPr>
          <w:p w14:paraId="1B4C2C23">
            <w:pPr>
              <w:pStyle w:val="33"/>
              <w:bidi w:val="0"/>
              <w:rPr>
                <w:rFonts w:hint="eastAsia"/>
              </w:rPr>
            </w:pPr>
            <w:r>
              <w:rPr>
                <w:rFonts w:hint="eastAsia"/>
              </w:rPr>
              <w:t>全冗余、热插拨</w:t>
            </w:r>
          </w:p>
        </w:tc>
      </w:tr>
      <w:tr w14:paraId="54AD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D8A6DB7">
            <w:pPr>
              <w:pStyle w:val="33"/>
              <w:bidi w:val="0"/>
            </w:pPr>
            <w:r>
              <w:t>11</w:t>
            </w:r>
          </w:p>
        </w:tc>
        <w:tc>
          <w:tcPr>
            <w:tcW w:w="1142" w:type="dxa"/>
            <w:tcBorders>
              <w:top w:val="single" w:color="auto" w:sz="4" w:space="0"/>
              <w:left w:val="single" w:color="auto" w:sz="4" w:space="0"/>
              <w:right w:val="single" w:color="auto" w:sz="4" w:space="0"/>
            </w:tcBorders>
            <w:vAlign w:val="center"/>
          </w:tcPr>
          <w:p w14:paraId="7CEC384D">
            <w:pPr>
              <w:pStyle w:val="33"/>
              <w:bidi w:val="0"/>
              <w:rPr>
                <w:rFonts w:hint="eastAsia"/>
              </w:rPr>
            </w:pPr>
            <w:r>
              <w:t>电源</w:t>
            </w:r>
          </w:p>
        </w:tc>
        <w:tc>
          <w:tcPr>
            <w:tcW w:w="7107" w:type="dxa"/>
            <w:tcBorders>
              <w:left w:val="single" w:color="auto" w:sz="4" w:space="0"/>
            </w:tcBorders>
          </w:tcPr>
          <w:p w14:paraId="0A676F79">
            <w:pPr>
              <w:pStyle w:val="33"/>
              <w:bidi w:val="0"/>
              <w:rPr>
                <w:rFonts w:hint="eastAsia"/>
              </w:rPr>
            </w:pPr>
            <w:r>
              <w:rPr>
                <w:rFonts w:hint="eastAsia"/>
              </w:rPr>
              <w:t>满配热插拨全冗余电源模块，电源功率满足服务器的最大负载要求(满足服务器满配内存、满配数据硬盘、满配PCIe卡情况下的功率需求），且单个电源故障场景下另一个正常电源可以满足服务器工作需求，单个电源模块功率≥1200W（铂金级，交流），并同时配置C13/C14电源线</w:t>
            </w:r>
          </w:p>
        </w:tc>
      </w:tr>
      <w:tr w14:paraId="4B9F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E6023BF">
            <w:pPr>
              <w:pStyle w:val="33"/>
              <w:bidi w:val="0"/>
            </w:pPr>
            <w:r>
              <w:t>12</w:t>
            </w:r>
          </w:p>
        </w:tc>
        <w:tc>
          <w:tcPr>
            <w:tcW w:w="1142" w:type="dxa"/>
            <w:tcBorders>
              <w:top w:val="single" w:color="auto" w:sz="4" w:space="0"/>
              <w:left w:val="single" w:color="auto" w:sz="4" w:space="0"/>
              <w:right w:val="single" w:color="auto" w:sz="4" w:space="0"/>
            </w:tcBorders>
            <w:vAlign w:val="center"/>
          </w:tcPr>
          <w:p w14:paraId="719E9B8F">
            <w:pPr>
              <w:pStyle w:val="33"/>
              <w:bidi w:val="0"/>
              <w:rPr>
                <w:rFonts w:hint="eastAsia"/>
              </w:rPr>
            </w:pPr>
            <w:r>
              <w:t>兼容性要求</w:t>
            </w:r>
          </w:p>
        </w:tc>
        <w:tc>
          <w:tcPr>
            <w:tcW w:w="7107" w:type="dxa"/>
            <w:tcBorders>
              <w:left w:val="single" w:color="auto" w:sz="4" w:space="0"/>
            </w:tcBorders>
          </w:tcPr>
          <w:p w14:paraId="75D25665">
            <w:pPr>
              <w:pStyle w:val="33"/>
              <w:bidi w:val="0"/>
            </w:pPr>
            <w:r>
              <w:rPr>
                <w:rFonts w:hint="eastAsia"/>
              </w:rPr>
              <w:t>支持银河麒麟高级服务器操作系统（</w:t>
            </w:r>
            <w:r>
              <w:t>海光</w:t>
            </w:r>
            <w:r>
              <w:rPr>
                <w:rFonts w:hint="eastAsia"/>
              </w:rPr>
              <w:t>版）V10，统信服务器操作系统（</w:t>
            </w:r>
            <w:r>
              <w:t>海光</w:t>
            </w:r>
            <w:r>
              <w:rPr>
                <w:rFonts w:hint="eastAsia"/>
              </w:rPr>
              <w:t>版）V20，支持以下虚拟化软件：紫光云Unicloud Usphere VMS企业版及云宏CNware Winsphere</w:t>
            </w:r>
          </w:p>
        </w:tc>
      </w:tr>
    </w:tbl>
    <w:p w14:paraId="45803CEA">
      <w:pPr>
        <w:rPr>
          <w:rFonts w:ascii="宋体"/>
          <w:snapToGrid w:val="0"/>
          <w:kern w:val="0"/>
          <w:szCs w:val="24"/>
        </w:rPr>
      </w:pPr>
      <w:r>
        <w:rPr>
          <w:rFonts w:ascii="宋体"/>
          <w:snapToGrid w:val="0"/>
          <w:kern w:val="0"/>
          <w:szCs w:val="24"/>
        </w:rPr>
        <w:t>配置二整机技术规格要求如下：</w:t>
      </w:r>
    </w:p>
    <w:tbl>
      <w:tblPr>
        <w:tblStyle w:val="14"/>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142"/>
        <w:gridCol w:w="7107"/>
      </w:tblGrid>
      <w:tr w14:paraId="2C6C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712B0AEC">
            <w:pPr>
              <w:pStyle w:val="34"/>
              <w:bidi w:val="0"/>
            </w:pPr>
            <w:r>
              <w:rPr>
                <w:rFonts w:hint="eastAsia"/>
              </w:rPr>
              <w:t>条款号</w:t>
            </w:r>
          </w:p>
        </w:tc>
        <w:tc>
          <w:tcPr>
            <w:tcW w:w="1142" w:type="dxa"/>
          </w:tcPr>
          <w:p w14:paraId="02EDC1C9">
            <w:pPr>
              <w:pStyle w:val="34"/>
              <w:bidi w:val="0"/>
            </w:pPr>
            <w:r>
              <w:rPr>
                <w:rFonts w:hint="eastAsia"/>
              </w:rPr>
              <w:t>类别</w:t>
            </w:r>
          </w:p>
        </w:tc>
        <w:tc>
          <w:tcPr>
            <w:tcW w:w="7107" w:type="dxa"/>
          </w:tcPr>
          <w:p w14:paraId="1BB837BA">
            <w:pPr>
              <w:pStyle w:val="34"/>
              <w:bidi w:val="0"/>
            </w:pPr>
            <w:r>
              <w:rPr>
                <w:rFonts w:hint="eastAsia"/>
              </w:rPr>
              <w:t>技术规格要求</w:t>
            </w:r>
          </w:p>
        </w:tc>
      </w:tr>
      <w:tr w14:paraId="25E3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14FDB83C">
            <w:pPr>
              <w:pStyle w:val="33"/>
              <w:bidi w:val="0"/>
            </w:pPr>
            <w:r>
              <w:t>1</w:t>
            </w:r>
          </w:p>
        </w:tc>
        <w:tc>
          <w:tcPr>
            <w:tcW w:w="1142" w:type="dxa"/>
            <w:tcBorders>
              <w:top w:val="single" w:color="auto" w:sz="4" w:space="0"/>
              <w:left w:val="single" w:color="auto" w:sz="4" w:space="0"/>
              <w:right w:val="single" w:color="auto" w:sz="4" w:space="0"/>
            </w:tcBorders>
          </w:tcPr>
          <w:p w14:paraId="24A67E6A">
            <w:pPr>
              <w:pStyle w:val="33"/>
              <w:bidi w:val="0"/>
            </w:pPr>
            <w:r>
              <w:t>物理参数</w:t>
            </w:r>
          </w:p>
        </w:tc>
        <w:tc>
          <w:tcPr>
            <w:tcW w:w="7107" w:type="dxa"/>
            <w:tcBorders>
              <w:left w:val="single" w:color="auto" w:sz="4" w:space="0"/>
            </w:tcBorders>
          </w:tcPr>
          <w:p w14:paraId="3538CD4D">
            <w:pPr>
              <w:pStyle w:val="33"/>
              <w:bidi w:val="0"/>
            </w:pPr>
            <w:r>
              <w:t>2路机架式PC服务器(2U)</w:t>
            </w:r>
          </w:p>
        </w:tc>
      </w:tr>
      <w:tr w14:paraId="0C0C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4E59B48C">
            <w:pPr>
              <w:pStyle w:val="33"/>
              <w:bidi w:val="0"/>
            </w:pPr>
            <w:r>
              <w:t>2</w:t>
            </w:r>
          </w:p>
        </w:tc>
        <w:tc>
          <w:tcPr>
            <w:tcW w:w="1142" w:type="dxa"/>
            <w:tcBorders>
              <w:top w:val="single" w:color="auto" w:sz="4" w:space="0"/>
              <w:left w:val="single" w:color="auto" w:sz="4" w:space="0"/>
              <w:right w:val="single" w:color="auto" w:sz="4" w:space="0"/>
            </w:tcBorders>
            <w:vAlign w:val="center"/>
          </w:tcPr>
          <w:p w14:paraId="2F62C401">
            <w:pPr>
              <w:pStyle w:val="33"/>
              <w:bidi w:val="0"/>
              <w:rPr>
                <w:rFonts w:hint="eastAsia"/>
              </w:rPr>
            </w:pPr>
            <w:r>
              <w:t>CPU</w:t>
            </w:r>
          </w:p>
        </w:tc>
        <w:tc>
          <w:tcPr>
            <w:tcW w:w="7107" w:type="dxa"/>
            <w:tcBorders>
              <w:left w:val="single" w:color="auto" w:sz="4" w:space="0"/>
            </w:tcBorders>
          </w:tcPr>
          <w:p w14:paraId="410F1111">
            <w:pPr>
              <w:pStyle w:val="33"/>
              <w:bidi w:val="0"/>
            </w:pPr>
            <w:r>
              <w:t>2 * 海光7360(24C/2.2GHz)</w:t>
            </w:r>
          </w:p>
        </w:tc>
      </w:tr>
      <w:tr w14:paraId="044D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1203A18B">
            <w:pPr>
              <w:pStyle w:val="33"/>
              <w:bidi w:val="0"/>
            </w:pPr>
            <w:r>
              <w:t>3</w:t>
            </w:r>
          </w:p>
        </w:tc>
        <w:tc>
          <w:tcPr>
            <w:tcW w:w="1142" w:type="dxa"/>
            <w:tcBorders>
              <w:top w:val="single" w:color="auto" w:sz="4" w:space="0"/>
              <w:left w:val="single" w:color="auto" w:sz="4" w:space="0"/>
              <w:right w:val="single" w:color="auto" w:sz="4" w:space="0"/>
            </w:tcBorders>
            <w:vAlign w:val="center"/>
          </w:tcPr>
          <w:p w14:paraId="0C40A87E">
            <w:pPr>
              <w:pStyle w:val="33"/>
              <w:bidi w:val="0"/>
              <w:rPr>
                <w:rFonts w:hint="eastAsia"/>
              </w:rPr>
            </w:pPr>
            <w:r>
              <w:t>内存</w:t>
            </w:r>
          </w:p>
        </w:tc>
        <w:tc>
          <w:tcPr>
            <w:tcW w:w="7107" w:type="dxa"/>
            <w:tcBorders>
              <w:left w:val="single" w:color="auto" w:sz="4" w:space="0"/>
            </w:tcBorders>
          </w:tcPr>
          <w:p w14:paraId="52F27CFA">
            <w:pPr>
              <w:pStyle w:val="33"/>
              <w:bidi w:val="0"/>
            </w:pPr>
            <w:r>
              <w:t>512GB（16 * 32GB DDR4 ECC RDIMM 3200，最大支持32个内存扩展插槽）</w:t>
            </w:r>
          </w:p>
        </w:tc>
      </w:tr>
      <w:tr w14:paraId="5F2B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5B9A562">
            <w:pPr>
              <w:pStyle w:val="33"/>
              <w:bidi w:val="0"/>
            </w:pPr>
            <w:r>
              <w:t>4</w:t>
            </w:r>
          </w:p>
        </w:tc>
        <w:tc>
          <w:tcPr>
            <w:tcW w:w="1142" w:type="dxa"/>
            <w:tcBorders>
              <w:top w:val="single" w:color="auto" w:sz="4" w:space="0"/>
              <w:left w:val="single" w:color="auto" w:sz="4" w:space="0"/>
              <w:right w:val="single" w:color="auto" w:sz="4" w:space="0"/>
            </w:tcBorders>
            <w:vAlign w:val="center"/>
          </w:tcPr>
          <w:p w14:paraId="4DE511CA">
            <w:pPr>
              <w:pStyle w:val="33"/>
              <w:bidi w:val="0"/>
              <w:rPr>
                <w:rFonts w:hint="eastAsia"/>
              </w:rPr>
            </w:pPr>
            <w:r>
              <w:t>硬盘</w:t>
            </w:r>
          </w:p>
        </w:tc>
        <w:tc>
          <w:tcPr>
            <w:tcW w:w="7107" w:type="dxa"/>
            <w:tcBorders>
              <w:left w:val="single" w:color="auto" w:sz="4" w:space="0"/>
            </w:tcBorders>
          </w:tcPr>
          <w:p w14:paraId="2F05B7B1">
            <w:pPr>
              <w:pStyle w:val="33"/>
              <w:bidi w:val="0"/>
              <w:rPr>
                <w:rFonts w:hint="eastAsia"/>
              </w:rPr>
            </w:pPr>
            <w:r>
              <w:rPr>
                <w:rFonts w:hint="eastAsia"/>
              </w:rPr>
              <w:t>系统盘（前置）2块960GB 2.5寸可热插拔SATA SSD（DWPD≥1,性能等级：4K随机写IOPS≥30,000）</w:t>
            </w:r>
          </w:p>
        </w:tc>
      </w:tr>
      <w:tr w14:paraId="795D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3118D07">
            <w:pPr>
              <w:pStyle w:val="33"/>
              <w:bidi w:val="0"/>
            </w:pPr>
            <w:r>
              <w:t>5</w:t>
            </w:r>
          </w:p>
        </w:tc>
        <w:tc>
          <w:tcPr>
            <w:tcW w:w="1142" w:type="dxa"/>
            <w:tcBorders>
              <w:top w:val="single" w:color="auto" w:sz="4" w:space="0"/>
              <w:left w:val="single" w:color="auto" w:sz="4" w:space="0"/>
              <w:right w:val="single" w:color="auto" w:sz="4" w:space="0"/>
            </w:tcBorders>
            <w:vAlign w:val="center"/>
          </w:tcPr>
          <w:p w14:paraId="4EF6B2A6">
            <w:pPr>
              <w:pStyle w:val="33"/>
              <w:bidi w:val="0"/>
            </w:pPr>
            <w:r>
              <w:t>背板</w:t>
            </w:r>
          </w:p>
        </w:tc>
        <w:tc>
          <w:tcPr>
            <w:tcW w:w="7107" w:type="dxa"/>
            <w:tcBorders>
              <w:left w:val="single" w:color="auto" w:sz="4" w:space="0"/>
            </w:tcBorders>
          </w:tcPr>
          <w:p w14:paraId="3248F067">
            <w:pPr>
              <w:pStyle w:val="33"/>
              <w:bidi w:val="0"/>
            </w:pPr>
            <w:r>
              <w:t>前置不少于8槽位硬盘背板，支持2.5寸SATA SSD类型的系统盘</w:t>
            </w:r>
          </w:p>
        </w:tc>
      </w:tr>
      <w:tr w14:paraId="6C8B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B4C3734">
            <w:pPr>
              <w:pStyle w:val="33"/>
              <w:bidi w:val="0"/>
            </w:pPr>
            <w:r>
              <w:t>6</w:t>
            </w:r>
          </w:p>
        </w:tc>
        <w:tc>
          <w:tcPr>
            <w:tcW w:w="1142" w:type="dxa"/>
            <w:tcBorders>
              <w:top w:val="single" w:color="auto" w:sz="4" w:space="0"/>
              <w:left w:val="single" w:color="auto" w:sz="4" w:space="0"/>
              <w:right w:val="single" w:color="auto" w:sz="4" w:space="0"/>
            </w:tcBorders>
            <w:vAlign w:val="center"/>
          </w:tcPr>
          <w:p w14:paraId="6292AB44">
            <w:pPr>
              <w:pStyle w:val="33"/>
              <w:bidi w:val="0"/>
            </w:pPr>
            <w:r>
              <w:t>网卡</w:t>
            </w:r>
          </w:p>
        </w:tc>
        <w:tc>
          <w:tcPr>
            <w:tcW w:w="7107" w:type="dxa"/>
            <w:tcBorders>
              <w:left w:val="single" w:color="auto" w:sz="4" w:space="0"/>
            </w:tcBorders>
          </w:tcPr>
          <w:p w14:paraId="6762304A">
            <w:pPr>
              <w:pStyle w:val="33"/>
              <w:bidi w:val="0"/>
            </w:pPr>
            <w:r>
              <w:t>配置4个千兆自适应网口，3*双端口SFP+万兆光口网卡（满配光模块，支持PXE、支持DPDK应用，支持SRIOV技术）</w:t>
            </w:r>
          </w:p>
        </w:tc>
      </w:tr>
      <w:tr w14:paraId="1331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423F69CE">
            <w:pPr>
              <w:pStyle w:val="33"/>
              <w:bidi w:val="0"/>
            </w:pPr>
            <w:r>
              <w:t>7</w:t>
            </w:r>
          </w:p>
        </w:tc>
        <w:tc>
          <w:tcPr>
            <w:tcW w:w="1142" w:type="dxa"/>
            <w:tcBorders>
              <w:top w:val="single" w:color="auto" w:sz="4" w:space="0"/>
              <w:left w:val="single" w:color="auto" w:sz="4" w:space="0"/>
              <w:right w:val="single" w:color="auto" w:sz="4" w:space="0"/>
            </w:tcBorders>
            <w:vAlign w:val="center"/>
          </w:tcPr>
          <w:p w14:paraId="588A9CE6">
            <w:pPr>
              <w:pStyle w:val="33"/>
              <w:bidi w:val="0"/>
              <w:rPr>
                <w:rFonts w:hint="eastAsia"/>
              </w:rPr>
            </w:pPr>
            <w:r>
              <w:t>PCIE</w:t>
            </w:r>
          </w:p>
        </w:tc>
        <w:tc>
          <w:tcPr>
            <w:tcW w:w="7107" w:type="dxa"/>
            <w:tcBorders>
              <w:left w:val="single" w:color="auto" w:sz="4" w:space="0"/>
            </w:tcBorders>
          </w:tcPr>
          <w:p w14:paraId="43D4B6D4">
            <w:pPr>
              <w:pStyle w:val="33"/>
              <w:bidi w:val="0"/>
            </w:pPr>
            <w:r>
              <w:t>配置PCIe4.0标准插槽至少8个</w:t>
            </w:r>
          </w:p>
        </w:tc>
      </w:tr>
      <w:tr w14:paraId="046E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017441C2">
            <w:pPr>
              <w:pStyle w:val="33"/>
              <w:bidi w:val="0"/>
            </w:pPr>
            <w:r>
              <w:t>8</w:t>
            </w:r>
          </w:p>
        </w:tc>
        <w:tc>
          <w:tcPr>
            <w:tcW w:w="1142" w:type="dxa"/>
            <w:tcBorders>
              <w:top w:val="single" w:color="auto" w:sz="4" w:space="0"/>
              <w:left w:val="single" w:color="auto" w:sz="4" w:space="0"/>
              <w:right w:val="single" w:color="auto" w:sz="4" w:space="0"/>
            </w:tcBorders>
            <w:vAlign w:val="center"/>
          </w:tcPr>
          <w:p w14:paraId="4C3232B2">
            <w:pPr>
              <w:pStyle w:val="33"/>
              <w:bidi w:val="0"/>
            </w:pPr>
            <w:r>
              <w:t>HBA卡</w:t>
            </w:r>
          </w:p>
        </w:tc>
        <w:tc>
          <w:tcPr>
            <w:tcW w:w="7107" w:type="dxa"/>
            <w:tcBorders>
              <w:left w:val="single" w:color="auto" w:sz="4" w:space="0"/>
            </w:tcBorders>
          </w:tcPr>
          <w:p w14:paraId="07664FD1">
            <w:pPr>
              <w:pStyle w:val="33"/>
              <w:bidi w:val="0"/>
            </w:pPr>
            <w:r>
              <w:t>2*32Gb双端口HBA卡（满配模块）</w:t>
            </w:r>
          </w:p>
        </w:tc>
      </w:tr>
      <w:tr w14:paraId="6F90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7FE1114">
            <w:pPr>
              <w:pStyle w:val="33"/>
              <w:bidi w:val="0"/>
            </w:pPr>
            <w:r>
              <w:t>9</w:t>
            </w:r>
          </w:p>
        </w:tc>
        <w:tc>
          <w:tcPr>
            <w:tcW w:w="1142" w:type="dxa"/>
            <w:tcBorders>
              <w:top w:val="single" w:color="auto" w:sz="4" w:space="0"/>
              <w:left w:val="single" w:color="auto" w:sz="4" w:space="0"/>
              <w:right w:val="single" w:color="auto" w:sz="4" w:space="0"/>
            </w:tcBorders>
            <w:vAlign w:val="center"/>
          </w:tcPr>
          <w:p w14:paraId="5573FB61">
            <w:pPr>
              <w:pStyle w:val="33"/>
              <w:bidi w:val="0"/>
              <w:rPr>
                <w:rFonts w:hint="eastAsia"/>
              </w:rPr>
            </w:pPr>
            <w:r>
              <w:t>阵列卡</w:t>
            </w:r>
          </w:p>
        </w:tc>
        <w:tc>
          <w:tcPr>
            <w:tcW w:w="7107" w:type="dxa"/>
            <w:tcBorders>
              <w:left w:val="single" w:color="auto" w:sz="4" w:space="0"/>
            </w:tcBorders>
          </w:tcPr>
          <w:p w14:paraId="33584519">
            <w:pPr>
              <w:pStyle w:val="33"/>
              <w:bidi w:val="0"/>
            </w:pPr>
            <w:r>
              <w:rPr>
                <w:rFonts w:hint="eastAsia"/>
              </w:rPr>
              <w:t>配置1块阵列卡（PCIe4.0 SAS,4K随机读性能≥3.0M IOPS），4G缓存，8个SAS端口，配置超级电容保护，能管理当前配置磁盘满配情况下的所有磁盘，支持直通且支持RAID 0/1/10/5/6（两种模式能同时工作）</w:t>
            </w:r>
          </w:p>
        </w:tc>
      </w:tr>
      <w:tr w14:paraId="4D08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95FEB25">
            <w:pPr>
              <w:pStyle w:val="33"/>
              <w:bidi w:val="0"/>
            </w:pPr>
            <w:r>
              <w:t xml:space="preserve">  10</w:t>
            </w:r>
          </w:p>
        </w:tc>
        <w:tc>
          <w:tcPr>
            <w:tcW w:w="1142" w:type="dxa"/>
            <w:tcBorders>
              <w:top w:val="single" w:color="auto" w:sz="4" w:space="0"/>
              <w:left w:val="single" w:color="auto" w:sz="4" w:space="0"/>
              <w:right w:val="single" w:color="auto" w:sz="4" w:space="0"/>
            </w:tcBorders>
            <w:vAlign w:val="center"/>
          </w:tcPr>
          <w:p w14:paraId="10C065D1">
            <w:pPr>
              <w:pStyle w:val="33"/>
              <w:bidi w:val="0"/>
              <w:rPr>
                <w:rFonts w:hint="eastAsia"/>
              </w:rPr>
            </w:pPr>
            <w:r>
              <w:t>管理</w:t>
            </w:r>
          </w:p>
        </w:tc>
        <w:tc>
          <w:tcPr>
            <w:tcW w:w="7107" w:type="dxa"/>
            <w:tcBorders>
              <w:left w:val="single" w:color="auto" w:sz="4" w:space="0"/>
            </w:tcBorders>
          </w:tcPr>
          <w:p w14:paraId="3B085370">
            <w:pPr>
              <w:pStyle w:val="33"/>
              <w:bidi w:val="0"/>
            </w:pPr>
            <w:r>
              <w:rPr>
                <w:rFonts w:hint="eastAsia"/>
              </w:rPr>
              <w:t>提供基于Web的远程管理功能，能够实时监控各部件模块，支持故障告警、硬件日志收集、远程IP KVM、虚拟介质、远程开关机及远程控制台等功能，支持IPMI V2.0、SNMP V2及V3,snmptrap告警配置，在银河麒麟高级服务器操作系统（</w:t>
            </w:r>
            <w:r>
              <w:t>海光</w:t>
            </w:r>
            <w:r>
              <w:rPr>
                <w:rFonts w:hint="eastAsia"/>
              </w:rPr>
              <w:t>版）V10中能使用dmidecode命令能查询到序列号（须与带外管理界面查询的序列号一致），使用该序列号能在服务器厂家官网查询到维保信息（至少需展示设备维保结束日期）</w:t>
            </w:r>
          </w:p>
        </w:tc>
      </w:tr>
      <w:tr w14:paraId="79AE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7C8979F6">
            <w:pPr>
              <w:pStyle w:val="33"/>
              <w:bidi w:val="0"/>
            </w:pPr>
            <w:r>
              <w:t>11</w:t>
            </w:r>
          </w:p>
        </w:tc>
        <w:tc>
          <w:tcPr>
            <w:tcW w:w="1142" w:type="dxa"/>
            <w:tcBorders>
              <w:top w:val="single" w:color="auto" w:sz="4" w:space="0"/>
              <w:left w:val="single" w:color="auto" w:sz="4" w:space="0"/>
              <w:right w:val="single" w:color="auto" w:sz="4" w:space="0"/>
            </w:tcBorders>
            <w:vAlign w:val="center"/>
          </w:tcPr>
          <w:p w14:paraId="2FDE3655">
            <w:pPr>
              <w:pStyle w:val="33"/>
              <w:bidi w:val="0"/>
              <w:rPr>
                <w:rFonts w:hint="eastAsia"/>
              </w:rPr>
            </w:pPr>
            <w:r>
              <w:t>风扇</w:t>
            </w:r>
          </w:p>
        </w:tc>
        <w:tc>
          <w:tcPr>
            <w:tcW w:w="7107" w:type="dxa"/>
            <w:tcBorders>
              <w:left w:val="single" w:color="auto" w:sz="4" w:space="0"/>
            </w:tcBorders>
          </w:tcPr>
          <w:p w14:paraId="6E36D814">
            <w:pPr>
              <w:pStyle w:val="33"/>
              <w:bidi w:val="0"/>
              <w:rPr>
                <w:rFonts w:hint="eastAsia"/>
              </w:rPr>
            </w:pPr>
            <w:r>
              <w:rPr>
                <w:rFonts w:hint="eastAsia"/>
              </w:rPr>
              <w:t>全冗余、热插拨</w:t>
            </w:r>
          </w:p>
        </w:tc>
      </w:tr>
      <w:tr w14:paraId="5D4C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E62AE94">
            <w:pPr>
              <w:pStyle w:val="33"/>
              <w:bidi w:val="0"/>
            </w:pPr>
            <w:r>
              <w:t>12</w:t>
            </w:r>
          </w:p>
        </w:tc>
        <w:tc>
          <w:tcPr>
            <w:tcW w:w="1142" w:type="dxa"/>
            <w:tcBorders>
              <w:top w:val="single" w:color="auto" w:sz="4" w:space="0"/>
              <w:left w:val="single" w:color="auto" w:sz="4" w:space="0"/>
              <w:right w:val="single" w:color="auto" w:sz="4" w:space="0"/>
            </w:tcBorders>
            <w:vAlign w:val="center"/>
          </w:tcPr>
          <w:p w14:paraId="2A18FC68">
            <w:pPr>
              <w:pStyle w:val="33"/>
              <w:bidi w:val="0"/>
              <w:rPr>
                <w:rFonts w:hint="eastAsia"/>
              </w:rPr>
            </w:pPr>
            <w:r>
              <w:t>电源</w:t>
            </w:r>
          </w:p>
        </w:tc>
        <w:tc>
          <w:tcPr>
            <w:tcW w:w="7107" w:type="dxa"/>
            <w:tcBorders>
              <w:left w:val="single" w:color="auto" w:sz="4" w:space="0"/>
            </w:tcBorders>
          </w:tcPr>
          <w:p w14:paraId="32A0F07D">
            <w:pPr>
              <w:pStyle w:val="33"/>
              <w:bidi w:val="0"/>
              <w:rPr>
                <w:rFonts w:hint="eastAsia"/>
              </w:rPr>
            </w:pPr>
            <w:r>
              <w:rPr>
                <w:rFonts w:hint="eastAsia"/>
              </w:rPr>
              <w:t>满配热插拨全冗余电源模块，电源功率满足服务器的最大负载要求(满足服务器满配内存、满配数据硬盘、满配PCIe卡情况下的功率需求），且单个电源故障场景下另一个正常电源可以满足服务器工作需求，单个电源模块功率≥1200W（铂金级，交流），并同时配置C13/C14电源线</w:t>
            </w:r>
          </w:p>
        </w:tc>
      </w:tr>
      <w:tr w14:paraId="5D13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7C60FD9">
            <w:pPr>
              <w:pStyle w:val="33"/>
              <w:bidi w:val="0"/>
            </w:pPr>
            <w:r>
              <w:t>13</w:t>
            </w:r>
          </w:p>
        </w:tc>
        <w:tc>
          <w:tcPr>
            <w:tcW w:w="1142" w:type="dxa"/>
            <w:tcBorders>
              <w:top w:val="single" w:color="auto" w:sz="4" w:space="0"/>
              <w:left w:val="single" w:color="auto" w:sz="4" w:space="0"/>
              <w:right w:val="single" w:color="auto" w:sz="4" w:space="0"/>
            </w:tcBorders>
            <w:vAlign w:val="center"/>
          </w:tcPr>
          <w:p w14:paraId="46EB7B3B">
            <w:pPr>
              <w:pStyle w:val="33"/>
              <w:bidi w:val="0"/>
              <w:rPr>
                <w:rFonts w:hint="eastAsia"/>
              </w:rPr>
            </w:pPr>
            <w:r>
              <w:t>兼容性要求</w:t>
            </w:r>
          </w:p>
        </w:tc>
        <w:tc>
          <w:tcPr>
            <w:tcW w:w="7107" w:type="dxa"/>
            <w:tcBorders>
              <w:left w:val="single" w:color="auto" w:sz="4" w:space="0"/>
            </w:tcBorders>
          </w:tcPr>
          <w:p w14:paraId="30C65C3B">
            <w:pPr>
              <w:pStyle w:val="33"/>
              <w:bidi w:val="0"/>
            </w:pPr>
            <w:r>
              <w:rPr>
                <w:rFonts w:hint="eastAsia"/>
              </w:rPr>
              <w:t>支持银河麒麟高级服务器操作系统（</w:t>
            </w:r>
            <w:r>
              <w:t>海光</w:t>
            </w:r>
            <w:r>
              <w:rPr>
                <w:rFonts w:hint="eastAsia"/>
              </w:rPr>
              <w:t>版）V10，统信服务器操作系统（</w:t>
            </w:r>
            <w:r>
              <w:t>海光</w:t>
            </w:r>
            <w:r>
              <w:rPr>
                <w:rFonts w:hint="eastAsia"/>
              </w:rPr>
              <w:t>版）V20，支持以下虚拟化软件：紫光云Unicloud Usphere VMS企业版及云宏CNware Winsphere</w:t>
            </w:r>
          </w:p>
        </w:tc>
      </w:tr>
    </w:tbl>
    <w:p w14:paraId="75D731E3">
      <w:pPr>
        <w:rPr>
          <w:rFonts w:ascii="宋体"/>
          <w:snapToGrid w:val="0"/>
          <w:kern w:val="0"/>
          <w:szCs w:val="24"/>
        </w:rPr>
      </w:pPr>
      <w:r>
        <w:rPr>
          <w:rFonts w:ascii="宋体"/>
          <w:snapToGrid w:val="0"/>
          <w:kern w:val="0"/>
          <w:szCs w:val="24"/>
        </w:rPr>
        <w:t>配置三整机技术规格要求如下：</w:t>
      </w:r>
    </w:p>
    <w:tbl>
      <w:tblPr>
        <w:tblStyle w:val="14"/>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142"/>
        <w:gridCol w:w="7107"/>
      </w:tblGrid>
      <w:tr w14:paraId="7466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11306B67">
            <w:pPr>
              <w:pStyle w:val="34"/>
              <w:bidi w:val="0"/>
            </w:pPr>
            <w:r>
              <w:rPr>
                <w:rFonts w:hint="eastAsia"/>
              </w:rPr>
              <w:t>条款号</w:t>
            </w:r>
          </w:p>
        </w:tc>
        <w:tc>
          <w:tcPr>
            <w:tcW w:w="1142" w:type="dxa"/>
          </w:tcPr>
          <w:p w14:paraId="37674D3B">
            <w:pPr>
              <w:pStyle w:val="34"/>
              <w:bidi w:val="0"/>
            </w:pPr>
            <w:r>
              <w:rPr>
                <w:rFonts w:hint="eastAsia"/>
              </w:rPr>
              <w:t>类别</w:t>
            </w:r>
          </w:p>
        </w:tc>
        <w:tc>
          <w:tcPr>
            <w:tcW w:w="7107" w:type="dxa"/>
          </w:tcPr>
          <w:p w14:paraId="760B4814">
            <w:pPr>
              <w:pStyle w:val="34"/>
              <w:bidi w:val="0"/>
            </w:pPr>
            <w:r>
              <w:rPr>
                <w:rFonts w:hint="eastAsia"/>
              </w:rPr>
              <w:t>技术规格要求</w:t>
            </w:r>
          </w:p>
        </w:tc>
      </w:tr>
      <w:tr w14:paraId="70A6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54FBF47F">
            <w:pPr>
              <w:pStyle w:val="33"/>
              <w:bidi w:val="0"/>
            </w:pPr>
            <w:r>
              <w:t>1</w:t>
            </w:r>
          </w:p>
        </w:tc>
        <w:tc>
          <w:tcPr>
            <w:tcW w:w="1142" w:type="dxa"/>
            <w:tcBorders>
              <w:top w:val="single" w:color="auto" w:sz="4" w:space="0"/>
              <w:left w:val="single" w:color="auto" w:sz="4" w:space="0"/>
              <w:right w:val="single" w:color="auto" w:sz="4" w:space="0"/>
            </w:tcBorders>
          </w:tcPr>
          <w:p w14:paraId="42B82573">
            <w:pPr>
              <w:pStyle w:val="33"/>
              <w:bidi w:val="0"/>
            </w:pPr>
            <w:r>
              <w:t>物理参数</w:t>
            </w:r>
          </w:p>
        </w:tc>
        <w:tc>
          <w:tcPr>
            <w:tcW w:w="7107" w:type="dxa"/>
            <w:tcBorders>
              <w:left w:val="single" w:color="auto" w:sz="4" w:space="0"/>
            </w:tcBorders>
          </w:tcPr>
          <w:p w14:paraId="73075F79">
            <w:pPr>
              <w:pStyle w:val="33"/>
              <w:bidi w:val="0"/>
            </w:pPr>
            <w:r>
              <w:t>2路机架式PC服务器(2U)</w:t>
            </w:r>
          </w:p>
        </w:tc>
      </w:tr>
      <w:tr w14:paraId="0D23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1B095E8A">
            <w:pPr>
              <w:pStyle w:val="33"/>
              <w:bidi w:val="0"/>
            </w:pPr>
            <w:r>
              <w:t>2</w:t>
            </w:r>
          </w:p>
        </w:tc>
        <w:tc>
          <w:tcPr>
            <w:tcW w:w="1142" w:type="dxa"/>
            <w:tcBorders>
              <w:top w:val="single" w:color="auto" w:sz="4" w:space="0"/>
              <w:left w:val="single" w:color="auto" w:sz="4" w:space="0"/>
              <w:right w:val="single" w:color="auto" w:sz="4" w:space="0"/>
            </w:tcBorders>
            <w:vAlign w:val="center"/>
          </w:tcPr>
          <w:p w14:paraId="1CCCC9D6">
            <w:pPr>
              <w:pStyle w:val="33"/>
              <w:bidi w:val="0"/>
              <w:rPr>
                <w:rFonts w:hint="eastAsia"/>
              </w:rPr>
            </w:pPr>
            <w:r>
              <w:t>CPU</w:t>
            </w:r>
          </w:p>
        </w:tc>
        <w:tc>
          <w:tcPr>
            <w:tcW w:w="7107" w:type="dxa"/>
            <w:tcBorders>
              <w:left w:val="single" w:color="auto" w:sz="4" w:space="0"/>
            </w:tcBorders>
          </w:tcPr>
          <w:p w14:paraId="7D1538B4">
            <w:pPr>
              <w:pStyle w:val="33"/>
              <w:bidi w:val="0"/>
            </w:pPr>
            <w:r>
              <w:t>2 * 海光7360(24C/2.2GHz)</w:t>
            </w:r>
          </w:p>
        </w:tc>
      </w:tr>
      <w:tr w14:paraId="0E99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69AD8791">
            <w:pPr>
              <w:pStyle w:val="33"/>
              <w:bidi w:val="0"/>
            </w:pPr>
            <w:r>
              <w:t>3</w:t>
            </w:r>
          </w:p>
        </w:tc>
        <w:tc>
          <w:tcPr>
            <w:tcW w:w="1142" w:type="dxa"/>
            <w:tcBorders>
              <w:top w:val="single" w:color="auto" w:sz="4" w:space="0"/>
              <w:left w:val="single" w:color="auto" w:sz="4" w:space="0"/>
              <w:right w:val="single" w:color="auto" w:sz="4" w:space="0"/>
            </w:tcBorders>
            <w:vAlign w:val="center"/>
          </w:tcPr>
          <w:p w14:paraId="66C4FF3F">
            <w:pPr>
              <w:pStyle w:val="33"/>
              <w:bidi w:val="0"/>
              <w:rPr>
                <w:rFonts w:hint="eastAsia"/>
              </w:rPr>
            </w:pPr>
            <w:r>
              <w:t>内存</w:t>
            </w:r>
          </w:p>
        </w:tc>
        <w:tc>
          <w:tcPr>
            <w:tcW w:w="7107" w:type="dxa"/>
            <w:tcBorders>
              <w:left w:val="single" w:color="auto" w:sz="4" w:space="0"/>
            </w:tcBorders>
          </w:tcPr>
          <w:p w14:paraId="7B6ADCC6">
            <w:pPr>
              <w:pStyle w:val="33"/>
              <w:bidi w:val="0"/>
            </w:pPr>
            <w:r>
              <w:t>1TB（32 * 32GB DDR4 ECC RDIMM 3200，最大支持32个内存扩展插槽）</w:t>
            </w:r>
          </w:p>
        </w:tc>
      </w:tr>
      <w:tr w14:paraId="2D91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8347345">
            <w:pPr>
              <w:pStyle w:val="33"/>
              <w:bidi w:val="0"/>
            </w:pPr>
            <w:r>
              <w:t>4</w:t>
            </w:r>
          </w:p>
        </w:tc>
        <w:tc>
          <w:tcPr>
            <w:tcW w:w="1142" w:type="dxa"/>
            <w:tcBorders>
              <w:top w:val="single" w:color="auto" w:sz="4" w:space="0"/>
              <w:left w:val="single" w:color="auto" w:sz="4" w:space="0"/>
              <w:right w:val="single" w:color="auto" w:sz="4" w:space="0"/>
            </w:tcBorders>
            <w:vAlign w:val="center"/>
          </w:tcPr>
          <w:p w14:paraId="01D626CE">
            <w:pPr>
              <w:pStyle w:val="33"/>
              <w:bidi w:val="0"/>
              <w:rPr>
                <w:rFonts w:hint="eastAsia"/>
              </w:rPr>
            </w:pPr>
            <w:r>
              <w:t>硬盘</w:t>
            </w:r>
          </w:p>
        </w:tc>
        <w:tc>
          <w:tcPr>
            <w:tcW w:w="7107" w:type="dxa"/>
            <w:tcBorders>
              <w:left w:val="single" w:color="auto" w:sz="4" w:space="0"/>
            </w:tcBorders>
          </w:tcPr>
          <w:p w14:paraId="7159D9FC">
            <w:pPr>
              <w:pStyle w:val="33"/>
              <w:bidi w:val="0"/>
            </w:pPr>
            <w:r>
              <w:t>1、</w:t>
            </w:r>
            <w:r>
              <w:rPr>
                <w:rFonts w:hint="eastAsia"/>
              </w:rPr>
              <w:t>系统盘（前置）2块960GB 2.5寸可热插拔SATA SSD（使用2.5寸托架,DWPD≥1,性能等级：4K随机写IOPS≥30,000）；</w:t>
            </w:r>
          </w:p>
          <w:p w14:paraId="3B913186">
            <w:pPr>
              <w:pStyle w:val="33"/>
              <w:bidi w:val="0"/>
              <w:rPr>
                <w:rFonts w:hint="eastAsia"/>
              </w:rPr>
            </w:pPr>
            <w:r>
              <w:t>2、</w:t>
            </w:r>
            <w:r>
              <w:rPr>
                <w:rFonts w:hint="eastAsia"/>
              </w:rPr>
              <w:t>数据盘（前置）16块1.92TB 2.5寸可热插拔SATA SSD（使用2.5寸托架,DWPD≥1,性能等级：4K随机写IOPS≥30,000）</w:t>
            </w:r>
          </w:p>
        </w:tc>
      </w:tr>
      <w:tr w14:paraId="58293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5BA5974">
            <w:pPr>
              <w:pStyle w:val="33"/>
              <w:bidi w:val="0"/>
            </w:pPr>
            <w:r>
              <w:t>5</w:t>
            </w:r>
          </w:p>
        </w:tc>
        <w:tc>
          <w:tcPr>
            <w:tcW w:w="1142" w:type="dxa"/>
            <w:tcBorders>
              <w:top w:val="single" w:color="auto" w:sz="4" w:space="0"/>
              <w:left w:val="single" w:color="auto" w:sz="4" w:space="0"/>
              <w:right w:val="single" w:color="auto" w:sz="4" w:space="0"/>
            </w:tcBorders>
            <w:vAlign w:val="center"/>
          </w:tcPr>
          <w:p w14:paraId="3165F2B2">
            <w:pPr>
              <w:pStyle w:val="33"/>
              <w:bidi w:val="0"/>
            </w:pPr>
            <w:r>
              <w:t>背板</w:t>
            </w:r>
          </w:p>
        </w:tc>
        <w:tc>
          <w:tcPr>
            <w:tcW w:w="7107" w:type="dxa"/>
            <w:tcBorders>
              <w:left w:val="single" w:color="auto" w:sz="4" w:space="0"/>
            </w:tcBorders>
          </w:tcPr>
          <w:p w14:paraId="4D5D6DCA">
            <w:pPr>
              <w:pStyle w:val="33"/>
              <w:bidi w:val="0"/>
            </w:pPr>
            <w:r>
              <w:t>前置不少于24槽位2.5寸硬盘背板</w:t>
            </w:r>
          </w:p>
        </w:tc>
      </w:tr>
      <w:tr w14:paraId="40B7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3E06FAF">
            <w:pPr>
              <w:pStyle w:val="33"/>
              <w:bidi w:val="0"/>
            </w:pPr>
            <w:r>
              <w:t>6</w:t>
            </w:r>
          </w:p>
        </w:tc>
        <w:tc>
          <w:tcPr>
            <w:tcW w:w="1142" w:type="dxa"/>
            <w:tcBorders>
              <w:top w:val="single" w:color="auto" w:sz="4" w:space="0"/>
              <w:left w:val="single" w:color="auto" w:sz="4" w:space="0"/>
              <w:right w:val="single" w:color="auto" w:sz="4" w:space="0"/>
            </w:tcBorders>
            <w:vAlign w:val="center"/>
          </w:tcPr>
          <w:p w14:paraId="42983F9B">
            <w:pPr>
              <w:pStyle w:val="33"/>
              <w:bidi w:val="0"/>
            </w:pPr>
            <w:r>
              <w:t>网卡</w:t>
            </w:r>
          </w:p>
        </w:tc>
        <w:tc>
          <w:tcPr>
            <w:tcW w:w="7107" w:type="dxa"/>
            <w:tcBorders>
              <w:left w:val="single" w:color="auto" w:sz="4" w:space="0"/>
            </w:tcBorders>
          </w:tcPr>
          <w:p w14:paraId="09D49C68">
            <w:pPr>
              <w:pStyle w:val="33"/>
              <w:bidi w:val="0"/>
            </w:pPr>
            <w:r>
              <w:t>配置4个千兆自适应网口，3*双端口SFP+万兆光口网卡（满配光模块，支持PXE、支持DPDK应用，支持SRIOV技术）</w:t>
            </w:r>
          </w:p>
        </w:tc>
      </w:tr>
      <w:tr w14:paraId="3EDC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19834229">
            <w:pPr>
              <w:pStyle w:val="33"/>
              <w:bidi w:val="0"/>
            </w:pPr>
            <w:r>
              <w:t>7</w:t>
            </w:r>
          </w:p>
        </w:tc>
        <w:tc>
          <w:tcPr>
            <w:tcW w:w="1142" w:type="dxa"/>
            <w:tcBorders>
              <w:top w:val="single" w:color="auto" w:sz="4" w:space="0"/>
              <w:left w:val="single" w:color="auto" w:sz="4" w:space="0"/>
              <w:right w:val="single" w:color="auto" w:sz="4" w:space="0"/>
            </w:tcBorders>
            <w:vAlign w:val="center"/>
          </w:tcPr>
          <w:p w14:paraId="68C54D82">
            <w:pPr>
              <w:pStyle w:val="33"/>
              <w:bidi w:val="0"/>
              <w:rPr>
                <w:rFonts w:hint="eastAsia"/>
              </w:rPr>
            </w:pPr>
            <w:r>
              <w:t>PCIE</w:t>
            </w:r>
          </w:p>
        </w:tc>
        <w:tc>
          <w:tcPr>
            <w:tcW w:w="7107" w:type="dxa"/>
            <w:tcBorders>
              <w:left w:val="single" w:color="auto" w:sz="4" w:space="0"/>
            </w:tcBorders>
          </w:tcPr>
          <w:p w14:paraId="4E76FECB">
            <w:pPr>
              <w:pStyle w:val="33"/>
              <w:bidi w:val="0"/>
            </w:pPr>
            <w:r>
              <w:t>配置PCIe4.0标准插槽至少8个</w:t>
            </w:r>
          </w:p>
        </w:tc>
      </w:tr>
      <w:tr w14:paraId="46F5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0E5FF10">
            <w:pPr>
              <w:pStyle w:val="33"/>
              <w:bidi w:val="0"/>
            </w:pPr>
            <w:r>
              <w:t>8</w:t>
            </w:r>
          </w:p>
        </w:tc>
        <w:tc>
          <w:tcPr>
            <w:tcW w:w="1142" w:type="dxa"/>
            <w:tcBorders>
              <w:top w:val="single" w:color="auto" w:sz="4" w:space="0"/>
              <w:left w:val="single" w:color="auto" w:sz="4" w:space="0"/>
              <w:right w:val="single" w:color="auto" w:sz="4" w:space="0"/>
            </w:tcBorders>
            <w:vAlign w:val="center"/>
          </w:tcPr>
          <w:p w14:paraId="2A10CECE">
            <w:pPr>
              <w:pStyle w:val="33"/>
              <w:bidi w:val="0"/>
              <w:rPr>
                <w:rFonts w:hint="eastAsia"/>
              </w:rPr>
            </w:pPr>
            <w:r>
              <w:t>阵列卡</w:t>
            </w:r>
          </w:p>
        </w:tc>
        <w:tc>
          <w:tcPr>
            <w:tcW w:w="7107" w:type="dxa"/>
            <w:tcBorders>
              <w:left w:val="single" w:color="auto" w:sz="4" w:space="0"/>
            </w:tcBorders>
          </w:tcPr>
          <w:p w14:paraId="61D8A255">
            <w:pPr>
              <w:pStyle w:val="33"/>
              <w:bidi w:val="0"/>
            </w:pPr>
            <w:r>
              <w:rPr>
                <w:rFonts w:hint="eastAsia"/>
              </w:rPr>
              <w:t>配置1块阵列卡（PCIe4.0 SAS,4K随机读性能≥3.0M IOPS），4G缓存，8个SAS端口，配置超级电容保护，能管理当前配置磁盘满配情况下的所有磁盘，支持直通且支持RAID 0/1/10/5/6（两种模式能同时工作）</w:t>
            </w:r>
          </w:p>
        </w:tc>
      </w:tr>
      <w:tr w14:paraId="704B9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2735CD0">
            <w:pPr>
              <w:pStyle w:val="33"/>
              <w:bidi w:val="0"/>
            </w:pPr>
            <w:r>
              <w:t>9</w:t>
            </w:r>
          </w:p>
        </w:tc>
        <w:tc>
          <w:tcPr>
            <w:tcW w:w="1142" w:type="dxa"/>
            <w:tcBorders>
              <w:top w:val="single" w:color="auto" w:sz="4" w:space="0"/>
              <w:left w:val="single" w:color="auto" w:sz="4" w:space="0"/>
              <w:right w:val="single" w:color="auto" w:sz="4" w:space="0"/>
            </w:tcBorders>
            <w:vAlign w:val="center"/>
          </w:tcPr>
          <w:p w14:paraId="686FE147">
            <w:pPr>
              <w:pStyle w:val="33"/>
              <w:bidi w:val="0"/>
              <w:rPr>
                <w:rFonts w:hint="eastAsia"/>
              </w:rPr>
            </w:pPr>
            <w:r>
              <w:t>管理</w:t>
            </w:r>
          </w:p>
        </w:tc>
        <w:tc>
          <w:tcPr>
            <w:tcW w:w="7107" w:type="dxa"/>
            <w:tcBorders>
              <w:left w:val="single" w:color="auto" w:sz="4" w:space="0"/>
            </w:tcBorders>
          </w:tcPr>
          <w:p w14:paraId="09F0D771">
            <w:pPr>
              <w:pStyle w:val="33"/>
              <w:bidi w:val="0"/>
            </w:pPr>
            <w:r>
              <w:rPr>
                <w:rFonts w:hint="eastAsia"/>
              </w:rPr>
              <w:t>提供基于Web的远程管理功能，能够实时监控各部件模块，支持故障告警、硬件日志收集、远程IP KVM、虚拟介质、远程开关机及远程控制台等功能，支持IPMI V2.0、SNMP V2及V3,snmptrap告警配置，在银河麒麟高级服务器操作系统（</w:t>
            </w:r>
            <w:r>
              <w:t>海光</w:t>
            </w:r>
            <w:r>
              <w:rPr>
                <w:rFonts w:hint="eastAsia"/>
              </w:rPr>
              <w:t>版）V10中能使用dmidecode命令能查询到序列号（须与带外管理界面查询的序列号一致），使用该序列号能在服务器厂家官网查询到维保信息（至少需展示设备维保结束日期）</w:t>
            </w:r>
          </w:p>
        </w:tc>
      </w:tr>
      <w:tr w14:paraId="1968B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0E9BC5E7">
            <w:pPr>
              <w:pStyle w:val="33"/>
              <w:bidi w:val="0"/>
            </w:pPr>
            <w:r>
              <w:t>10</w:t>
            </w:r>
          </w:p>
        </w:tc>
        <w:tc>
          <w:tcPr>
            <w:tcW w:w="1142" w:type="dxa"/>
            <w:tcBorders>
              <w:top w:val="single" w:color="auto" w:sz="4" w:space="0"/>
              <w:left w:val="single" w:color="auto" w:sz="4" w:space="0"/>
              <w:right w:val="single" w:color="auto" w:sz="4" w:space="0"/>
            </w:tcBorders>
            <w:vAlign w:val="center"/>
          </w:tcPr>
          <w:p w14:paraId="2173D3CD">
            <w:pPr>
              <w:pStyle w:val="33"/>
              <w:bidi w:val="0"/>
              <w:rPr>
                <w:rFonts w:hint="eastAsia"/>
              </w:rPr>
            </w:pPr>
            <w:r>
              <w:t>风扇</w:t>
            </w:r>
          </w:p>
        </w:tc>
        <w:tc>
          <w:tcPr>
            <w:tcW w:w="7107" w:type="dxa"/>
            <w:tcBorders>
              <w:left w:val="single" w:color="auto" w:sz="4" w:space="0"/>
            </w:tcBorders>
          </w:tcPr>
          <w:p w14:paraId="7FE598CD">
            <w:pPr>
              <w:pStyle w:val="33"/>
              <w:bidi w:val="0"/>
              <w:rPr>
                <w:rFonts w:hint="eastAsia"/>
              </w:rPr>
            </w:pPr>
            <w:r>
              <w:rPr>
                <w:rFonts w:hint="eastAsia"/>
              </w:rPr>
              <w:t>全冗余、热插拨</w:t>
            </w:r>
          </w:p>
        </w:tc>
      </w:tr>
      <w:tr w14:paraId="7A3C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6D32D26">
            <w:pPr>
              <w:pStyle w:val="33"/>
              <w:bidi w:val="0"/>
            </w:pPr>
            <w:r>
              <w:t>11</w:t>
            </w:r>
          </w:p>
        </w:tc>
        <w:tc>
          <w:tcPr>
            <w:tcW w:w="1142" w:type="dxa"/>
            <w:tcBorders>
              <w:top w:val="single" w:color="auto" w:sz="4" w:space="0"/>
              <w:left w:val="single" w:color="auto" w:sz="4" w:space="0"/>
              <w:right w:val="single" w:color="auto" w:sz="4" w:space="0"/>
            </w:tcBorders>
            <w:vAlign w:val="center"/>
          </w:tcPr>
          <w:p w14:paraId="03CF9B4C">
            <w:pPr>
              <w:pStyle w:val="33"/>
              <w:bidi w:val="0"/>
              <w:rPr>
                <w:rFonts w:hint="eastAsia"/>
              </w:rPr>
            </w:pPr>
            <w:r>
              <w:t>电源</w:t>
            </w:r>
          </w:p>
        </w:tc>
        <w:tc>
          <w:tcPr>
            <w:tcW w:w="7107" w:type="dxa"/>
            <w:tcBorders>
              <w:left w:val="single" w:color="auto" w:sz="4" w:space="0"/>
            </w:tcBorders>
          </w:tcPr>
          <w:p w14:paraId="63FBD647">
            <w:pPr>
              <w:pStyle w:val="33"/>
              <w:bidi w:val="0"/>
              <w:rPr>
                <w:rFonts w:hint="eastAsia"/>
              </w:rPr>
            </w:pPr>
            <w:r>
              <w:rPr>
                <w:rFonts w:hint="eastAsia"/>
              </w:rPr>
              <w:t>满配热插拨全冗余电源模块，电源功率满足服务器的最大负载要求(满足服务器满配内存、满配数据硬盘、满配PCIe卡情况下的功率需求），且单个电源故障场景下另一个正常电源可以满足服务器工作需求，单个电源模块功率≥1200W（铂金级，交流），并同时配置C13/C14电源线</w:t>
            </w:r>
          </w:p>
        </w:tc>
      </w:tr>
      <w:tr w14:paraId="2FEE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25850EC">
            <w:pPr>
              <w:pStyle w:val="33"/>
              <w:bidi w:val="0"/>
            </w:pPr>
            <w:r>
              <w:t>12</w:t>
            </w:r>
          </w:p>
        </w:tc>
        <w:tc>
          <w:tcPr>
            <w:tcW w:w="1142" w:type="dxa"/>
            <w:tcBorders>
              <w:top w:val="single" w:color="auto" w:sz="4" w:space="0"/>
              <w:left w:val="single" w:color="auto" w:sz="4" w:space="0"/>
              <w:right w:val="single" w:color="auto" w:sz="4" w:space="0"/>
            </w:tcBorders>
            <w:vAlign w:val="center"/>
          </w:tcPr>
          <w:p w14:paraId="7C3A2CE4">
            <w:pPr>
              <w:pStyle w:val="33"/>
              <w:bidi w:val="0"/>
              <w:rPr>
                <w:rFonts w:hint="eastAsia"/>
              </w:rPr>
            </w:pPr>
            <w:r>
              <w:t>兼容性要求</w:t>
            </w:r>
          </w:p>
        </w:tc>
        <w:tc>
          <w:tcPr>
            <w:tcW w:w="7107" w:type="dxa"/>
            <w:tcBorders>
              <w:left w:val="single" w:color="auto" w:sz="4" w:space="0"/>
            </w:tcBorders>
          </w:tcPr>
          <w:p w14:paraId="7DF160F4">
            <w:pPr>
              <w:pStyle w:val="33"/>
              <w:bidi w:val="0"/>
            </w:pPr>
            <w:r>
              <w:rPr>
                <w:rFonts w:hint="eastAsia"/>
              </w:rPr>
              <w:t>支持银河麒麟高级服务器操作系统（</w:t>
            </w:r>
            <w:r>
              <w:t>海光</w:t>
            </w:r>
            <w:r>
              <w:rPr>
                <w:rFonts w:hint="eastAsia"/>
              </w:rPr>
              <w:t>版）V10，统信服务器操作系统（</w:t>
            </w:r>
            <w:r>
              <w:t>海光</w:t>
            </w:r>
            <w:r>
              <w:rPr>
                <w:rFonts w:hint="eastAsia"/>
              </w:rPr>
              <w:t>版）V20，支持以下虚拟化软件：紫光云Unicloud Usphere VMS企业版及云宏CNware Winsphere</w:t>
            </w:r>
          </w:p>
        </w:tc>
      </w:tr>
    </w:tbl>
    <w:p w14:paraId="413BECD0">
      <w:pPr>
        <w:rPr>
          <w:rFonts w:ascii="宋体"/>
          <w:snapToGrid w:val="0"/>
          <w:kern w:val="0"/>
          <w:szCs w:val="24"/>
        </w:rPr>
      </w:pPr>
      <w:r>
        <w:rPr>
          <w:rFonts w:ascii="宋体"/>
          <w:snapToGrid w:val="0"/>
          <w:kern w:val="0"/>
          <w:szCs w:val="24"/>
        </w:rPr>
        <w:t>配置四整机技术规格要求如下：</w:t>
      </w:r>
    </w:p>
    <w:tbl>
      <w:tblPr>
        <w:tblStyle w:val="14"/>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142"/>
        <w:gridCol w:w="7107"/>
      </w:tblGrid>
      <w:tr w14:paraId="465E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4578159B">
            <w:pPr>
              <w:pStyle w:val="34"/>
              <w:bidi w:val="0"/>
            </w:pPr>
            <w:r>
              <w:rPr>
                <w:rFonts w:hint="eastAsia"/>
              </w:rPr>
              <w:t>条款号</w:t>
            </w:r>
          </w:p>
        </w:tc>
        <w:tc>
          <w:tcPr>
            <w:tcW w:w="1142" w:type="dxa"/>
          </w:tcPr>
          <w:p w14:paraId="1A1911B1">
            <w:pPr>
              <w:pStyle w:val="34"/>
              <w:bidi w:val="0"/>
            </w:pPr>
            <w:r>
              <w:rPr>
                <w:rFonts w:hint="eastAsia"/>
              </w:rPr>
              <w:t>类别</w:t>
            </w:r>
          </w:p>
        </w:tc>
        <w:tc>
          <w:tcPr>
            <w:tcW w:w="7107" w:type="dxa"/>
          </w:tcPr>
          <w:p w14:paraId="2B26A88E">
            <w:pPr>
              <w:pStyle w:val="34"/>
              <w:bidi w:val="0"/>
            </w:pPr>
            <w:r>
              <w:rPr>
                <w:rFonts w:hint="eastAsia"/>
              </w:rPr>
              <w:t>技术规格要求</w:t>
            </w:r>
          </w:p>
        </w:tc>
      </w:tr>
      <w:tr w14:paraId="6005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63B2E497">
            <w:pPr>
              <w:pStyle w:val="33"/>
              <w:bidi w:val="0"/>
            </w:pPr>
            <w:r>
              <w:t>1</w:t>
            </w:r>
          </w:p>
        </w:tc>
        <w:tc>
          <w:tcPr>
            <w:tcW w:w="1142" w:type="dxa"/>
            <w:tcBorders>
              <w:top w:val="single" w:color="auto" w:sz="4" w:space="0"/>
              <w:left w:val="single" w:color="auto" w:sz="4" w:space="0"/>
              <w:right w:val="single" w:color="auto" w:sz="4" w:space="0"/>
            </w:tcBorders>
          </w:tcPr>
          <w:p w14:paraId="6AE9734B">
            <w:pPr>
              <w:pStyle w:val="33"/>
              <w:bidi w:val="0"/>
            </w:pPr>
            <w:r>
              <w:t>物理参数</w:t>
            </w:r>
          </w:p>
        </w:tc>
        <w:tc>
          <w:tcPr>
            <w:tcW w:w="7107" w:type="dxa"/>
            <w:tcBorders>
              <w:left w:val="single" w:color="auto" w:sz="4" w:space="0"/>
            </w:tcBorders>
          </w:tcPr>
          <w:p w14:paraId="3938EEA5">
            <w:pPr>
              <w:pStyle w:val="33"/>
              <w:bidi w:val="0"/>
            </w:pPr>
            <w:r>
              <w:t>2路机架式PC服务器(2U)</w:t>
            </w:r>
          </w:p>
        </w:tc>
      </w:tr>
      <w:tr w14:paraId="7D59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238272A3">
            <w:pPr>
              <w:pStyle w:val="33"/>
              <w:bidi w:val="0"/>
            </w:pPr>
            <w:r>
              <w:t>2</w:t>
            </w:r>
          </w:p>
        </w:tc>
        <w:tc>
          <w:tcPr>
            <w:tcW w:w="1142" w:type="dxa"/>
            <w:tcBorders>
              <w:top w:val="single" w:color="auto" w:sz="4" w:space="0"/>
              <w:left w:val="single" w:color="auto" w:sz="4" w:space="0"/>
              <w:right w:val="single" w:color="auto" w:sz="4" w:space="0"/>
            </w:tcBorders>
            <w:vAlign w:val="center"/>
          </w:tcPr>
          <w:p w14:paraId="74E0606B">
            <w:pPr>
              <w:pStyle w:val="33"/>
              <w:bidi w:val="0"/>
              <w:rPr>
                <w:rFonts w:hint="eastAsia"/>
              </w:rPr>
            </w:pPr>
            <w:r>
              <w:t>CPU</w:t>
            </w:r>
          </w:p>
        </w:tc>
        <w:tc>
          <w:tcPr>
            <w:tcW w:w="7107" w:type="dxa"/>
            <w:tcBorders>
              <w:left w:val="single" w:color="auto" w:sz="4" w:space="0"/>
            </w:tcBorders>
          </w:tcPr>
          <w:p w14:paraId="7B45377E">
            <w:pPr>
              <w:pStyle w:val="33"/>
              <w:bidi w:val="0"/>
            </w:pPr>
            <w:r>
              <w:t>2 * 海光7360(24C/2.2GHz)</w:t>
            </w:r>
          </w:p>
        </w:tc>
      </w:tr>
      <w:tr w14:paraId="4CAB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5B35488E">
            <w:pPr>
              <w:pStyle w:val="33"/>
              <w:bidi w:val="0"/>
            </w:pPr>
            <w:r>
              <w:t>3</w:t>
            </w:r>
          </w:p>
        </w:tc>
        <w:tc>
          <w:tcPr>
            <w:tcW w:w="1142" w:type="dxa"/>
            <w:tcBorders>
              <w:top w:val="single" w:color="auto" w:sz="4" w:space="0"/>
              <w:left w:val="single" w:color="auto" w:sz="4" w:space="0"/>
              <w:right w:val="single" w:color="auto" w:sz="4" w:space="0"/>
            </w:tcBorders>
            <w:vAlign w:val="center"/>
          </w:tcPr>
          <w:p w14:paraId="058E90D5">
            <w:pPr>
              <w:pStyle w:val="33"/>
              <w:bidi w:val="0"/>
              <w:rPr>
                <w:rFonts w:hint="eastAsia"/>
              </w:rPr>
            </w:pPr>
            <w:r>
              <w:t>内存</w:t>
            </w:r>
          </w:p>
        </w:tc>
        <w:tc>
          <w:tcPr>
            <w:tcW w:w="7107" w:type="dxa"/>
            <w:tcBorders>
              <w:left w:val="single" w:color="auto" w:sz="4" w:space="0"/>
            </w:tcBorders>
          </w:tcPr>
          <w:p w14:paraId="0DBB4158">
            <w:pPr>
              <w:pStyle w:val="33"/>
              <w:bidi w:val="0"/>
            </w:pPr>
            <w:r>
              <w:t>256GB（8 * 32GB DDR4 ECC RDIMM 3200，最大支持32个内存扩展插槽）</w:t>
            </w:r>
          </w:p>
        </w:tc>
      </w:tr>
      <w:tr w14:paraId="59FA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E86D4D4">
            <w:pPr>
              <w:pStyle w:val="33"/>
              <w:bidi w:val="0"/>
            </w:pPr>
            <w:r>
              <w:t>4</w:t>
            </w:r>
          </w:p>
        </w:tc>
        <w:tc>
          <w:tcPr>
            <w:tcW w:w="1142" w:type="dxa"/>
            <w:tcBorders>
              <w:top w:val="single" w:color="auto" w:sz="4" w:space="0"/>
              <w:left w:val="single" w:color="auto" w:sz="4" w:space="0"/>
              <w:right w:val="single" w:color="auto" w:sz="4" w:space="0"/>
            </w:tcBorders>
            <w:vAlign w:val="center"/>
          </w:tcPr>
          <w:p w14:paraId="15D5A028">
            <w:pPr>
              <w:pStyle w:val="33"/>
              <w:bidi w:val="0"/>
              <w:rPr>
                <w:rFonts w:hint="eastAsia"/>
              </w:rPr>
            </w:pPr>
            <w:r>
              <w:t>硬盘</w:t>
            </w:r>
          </w:p>
        </w:tc>
        <w:tc>
          <w:tcPr>
            <w:tcW w:w="7107" w:type="dxa"/>
            <w:tcBorders>
              <w:left w:val="single" w:color="auto" w:sz="4" w:space="0"/>
            </w:tcBorders>
          </w:tcPr>
          <w:p w14:paraId="56470F45">
            <w:pPr>
              <w:pStyle w:val="33"/>
              <w:bidi w:val="0"/>
            </w:pPr>
            <w:r>
              <w:t>1、</w:t>
            </w:r>
            <w:r>
              <w:rPr>
                <w:rFonts w:hint="eastAsia"/>
              </w:rPr>
              <w:t>系统盘（后置）2块960GB 2.5寸可热插拔SATA SSD（使用2.5寸托架,DWPD≥1,性能等级：4K随机写IOPS≥30,000）；</w:t>
            </w:r>
          </w:p>
          <w:p w14:paraId="7E4F2A31">
            <w:pPr>
              <w:pStyle w:val="33"/>
              <w:bidi w:val="0"/>
            </w:pPr>
            <w:r>
              <w:t>2、</w:t>
            </w:r>
            <w:r>
              <w:rPr>
                <w:rFonts w:hint="eastAsia"/>
              </w:rPr>
              <w:t>数据盘（前置）12块18TB 3.5寸SATA  6Gb/s 7.2K rpm 可热插拔HDD，含托架；</w:t>
            </w:r>
          </w:p>
          <w:p w14:paraId="510F5D39">
            <w:pPr>
              <w:pStyle w:val="33"/>
              <w:bidi w:val="0"/>
              <w:rPr>
                <w:rFonts w:hint="eastAsia"/>
              </w:rPr>
            </w:pPr>
            <w:r>
              <w:t>3、</w:t>
            </w:r>
            <w:r>
              <w:rPr>
                <w:rFonts w:hint="eastAsia"/>
              </w:rPr>
              <w:t>缓存盘（后置）2 块1.92TB 2.5寸 PCIe4.0*4 可热插拔NVMe SSD硬盘（使用2.5寸托架托架，DWPD≥1，性能等级:4K随机写IOPS&gt;100,000）</w:t>
            </w:r>
          </w:p>
        </w:tc>
      </w:tr>
      <w:tr w14:paraId="7248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BF4537E">
            <w:pPr>
              <w:pStyle w:val="33"/>
              <w:bidi w:val="0"/>
            </w:pPr>
            <w:r>
              <w:t>5</w:t>
            </w:r>
          </w:p>
        </w:tc>
        <w:tc>
          <w:tcPr>
            <w:tcW w:w="1142" w:type="dxa"/>
            <w:tcBorders>
              <w:top w:val="single" w:color="auto" w:sz="4" w:space="0"/>
              <w:left w:val="single" w:color="auto" w:sz="4" w:space="0"/>
              <w:right w:val="single" w:color="auto" w:sz="4" w:space="0"/>
            </w:tcBorders>
            <w:vAlign w:val="center"/>
          </w:tcPr>
          <w:p w14:paraId="33B1EA04">
            <w:pPr>
              <w:pStyle w:val="33"/>
              <w:bidi w:val="0"/>
            </w:pPr>
            <w:r>
              <w:t>背板</w:t>
            </w:r>
          </w:p>
        </w:tc>
        <w:tc>
          <w:tcPr>
            <w:tcW w:w="7107" w:type="dxa"/>
            <w:tcBorders>
              <w:left w:val="single" w:color="auto" w:sz="4" w:space="0"/>
            </w:tcBorders>
          </w:tcPr>
          <w:p w14:paraId="03AA591E">
            <w:pPr>
              <w:pStyle w:val="33"/>
              <w:bidi w:val="0"/>
            </w:pPr>
            <w:r>
              <w:t>前置12槽位3.5寸硬盘背板,支持12块3.5寸SATA HDD类型的数据盘；后置4*2.5寸硬盘背板,支持2.5寸SATA SSD类型的系统盘和2.5寸NVMe SSD类型的缓存盘</w:t>
            </w:r>
          </w:p>
        </w:tc>
      </w:tr>
      <w:tr w14:paraId="544A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8A85BE9">
            <w:pPr>
              <w:pStyle w:val="33"/>
              <w:bidi w:val="0"/>
            </w:pPr>
            <w:r>
              <w:t>6</w:t>
            </w:r>
          </w:p>
        </w:tc>
        <w:tc>
          <w:tcPr>
            <w:tcW w:w="1142" w:type="dxa"/>
            <w:tcBorders>
              <w:top w:val="single" w:color="auto" w:sz="4" w:space="0"/>
              <w:left w:val="single" w:color="auto" w:sz="4" w:space="0"/>
              <w:right w:val="single" w:color="auto" w:sz="4" w:space="0"/>
            </w:tcBorders>
            <w:vAlign w:val="center"/>
          </w:tcPr>
          <w:p w14:paraId="56A8ADB0">
            <w:pPr>
              <w:pStyle w:val="33"/>
              <w:bidi w:val="0"/>
            </w:pPr>
            <w:r>
              <w:t>网卡</w:t>
            </w:r>
          </w:p>
        </w:tc>
        <w:tc>
          <w:tcPr>
            <w:tcW w:w="7107" w:type="dxa"/>
            <w:tcBorders>
              <w:left w:val="single" w:color="auto" w:sz="4" w:space="0"/>
            </w:tcBorders>
          </w:tcPr>
          <w:p w14:paraId="381C0A3C">
            <w:pPr>
              <w:pStyle w:val="33"/>
              <w:bidi w:val="0"/>
            </w:pPr>
            <w:r>
              <w:t>配置4个千兆自适应网口，3*双端口SFP+万兆光口网卡（满配光模块，支持PXE、支持DPDK应用，支持SRIOV技术）</w:t>
            </w:r>
          </w:p>
        </w:tc>
      </w:tr>
      <w:tr w14:paraId="5B9D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699DFCBE">
            <w:pPr>
              <w:pStyle w:val="33"/>
              <w:bidi w:val="0"/>
            </w:pPr>
            <w:r>
              <w:t>7</w:t>
            </w:r>
          </w:p>
        </w:tc>
        <w:tc>
          <w:tcPr>
            <w:tcW w:w="1142" w:type="dxa"/>
            <w:tcBorders>
              <w:top w:val="single" w:color="auto" w:sz="4" w:space="0"/>
              <w:left w:val="single" w:color="auto" w:sz="4" w:space="0"/>
              <w:right w:val="single" w:color="auto" w:sz="4" w:space="0"/>
            </w:tcBorders>
            <w:vAlign w:val="center"/>
          </w:tcPr>
          <w:p w14:paraId="4BCED58C">
            <w:pPr>
              <w:pStyle w:val="33"/>
              <w:bidi w:val="0"/>
              <w:rPr>
                <w:rFonts w:hint="eastAsia"/>
              </w:rPr>
            </w:pPr>
            <w:r>
              <w:t>PCIE</w:t>
            </w:r>
          </w:p>
        </w:tc>
        <w:tc>
          <w:tcPr>
            <w:tcW w:w="7107" w:type="dxa"/>
            <w:tcBorders>
              <w:left w:val="single" w:color="auto" w:sz="4" w:space="0"/>
            </w:tcBorders>
          </w:tcPr>
          <w:p w14:paraId="3BA2B126">
            <w:pPr>
              <w:pStyle w:val="33"/>
              <w:bidi w:val="0"/>
            </w:pPr>
            <w:r>
              <w:t>配置PCIe4.0标准插槽至少6个</w:t>
            </w:r>
          </w:p>
        </w:tc>
      </w:tr>
      <w:tr w14:paraId="3AA8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3A54BB8">
            <w:pPr>
              <w:pStyle w:val="33"/>
              <w:bidi w:val="0"/>
            </w:pPr>
            <w:r>
              <w:t>8</w:t>
            </w:r>
          </w:p>
        </w:tc>
        <w:tc>
          <w:tcPr>
            <w:tcW w:w="1142" w:type="dxa"/>
            <w:tcBorders>
              <w:top w:val="single" w:color="auto" w:sz="4" w:space="0"/>
              <w:left w:val="single" w:color="auto" w:sz="4" w:space="0"/>
              <w:right w:val="single" w:color="auto" w:sz="4" w:space="0"/>
            </w:tcBorders>
            <w:vAlign w:val="center"/>
          </w:tcPr>
          <w:p w14:paraId="558C2927">
            <w:pPr>
              <w:pStyle w:val="33"/>
              <w:bidi w:val="0"/>
              <w:rPr>
                <w:rFonts w:hint="eastAsia"/>
              </w:rPr>
            </w:pPr>
            <w:r>
              <w:t>阵列卡</w:t>
            </w:r>
          </w:p>
        </w:tc>
        <w:tc>
          <w:tcPr>
            <w:tcW w:w="7107" w:type="dxa"/>
            <w:tcBorders>
              <w:left w:val="single" w:color="auto" w:sz="4" w:space="0"/>
            </w:tcBorders>
          </w:tcPr>
          <w:p w14:paraId="5ACFA22B">
            <w:pPr>
              <w:pStyle w:val="33"/>
              <w:bidi w:val="0"/>
            </w:pPr>
            <w:r>
              <w:rPr>
                <w:rFonts w:hint="eastAsia"/>
              </w:rPr>
              <w:t>配置1块阵列卡（PCIe4.0 SAS,4K随机读性能≥3.0M IOPS），4G缓存，8个SAS端口，配置超级电容保护，能管理当前配置磁盘满配情况下的所有磁盘，支持直通且支持RAID 0/1/10/5/6（两种模式能同时工作）</w:t>
            </w:r>
          </w:p>
        </w:tc>
      </w:tr>
      <w:tr w14:paraId="27B7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962BA63">
            <w:pPr>
              <w:pStyle w:val="33"/>
              <w:bidi w:val="0"/>
            </w:pPr>
            <w:r>
              <w:t>9</w:t>
            </w:r>
          </w:p>
        </w:tc>
        <w:tc>
          <w:tcPr>
            <w:tcW w:w="1142" w:type="dxa"/>
            <w:tcBorders>
              <w:top w:val="single" w:color="auto" w:sz="4" w:space="0"/>
              <w:left w:val="single" w:color="auto" w:sz="4" w:space="0"/>
              <w:right w:val="single" w:color="auto" w:sz="4" w:space="0"/>
            </w:tcBorders>
            <w:vAlign w:val="center"/>
          </w:tcPr>
          <w:p w14:paraId="71B65F99">
            <w:pPr>
              <w:pStyle w:val="33"/>
              <w:bidi w:val="0"/>
              <w:rPr>
                <w:rFonts w:hint="eastAsia"/>
              </w:rPr>
            </w:pPr>
            <w:r>
              <w:t>管理</w:t>
            </w:r>
          </w:p>
        </w:tc>
        <w:tc>
          <w:tcPr>
            <w:tcW w:w="7107" w:type="dxa"/>
            <w:tcBorders>
              <w:left w:val="single" w:color="auto" w:sz="4" w:space="0"/>
            </w:tcBorders>
          </w:tcPr>
          <w:p w14:paraId="3047C7DD">
            <w:pPr>
              <w:pStyle w:val="33"/>
              <w:bidi w:val="0"/>
            </w:pPr>
            <w:r>
              <w:rPr>
                <w:rFonts w:hint="eastAsia"/>
              </w:rPr>
              <w:t>提供基于Web的远程管理功能，能够实时监控各部件模块，支持故障告警、硬件日志收集、远程IP KVM、虚拟介质、远程开关机及远程控制台等功能，支持IPMI V2.0、SNMP V2及V3,snmptrap告警配置，在银河麒麟高级服务器操作系统（</w:t>
            </w:r>
            <w:r>
              <w:t>海光</w:t>
            </w:r>
            <w:r>
              <w:rPr>
                <w:rFonts w:hint="eastAsia"/>
              </w:rPr>
              <w:t>版）V10中能使用dmidecode命令能查询到序列号（须与带外管理界面查询的序列号一致），使用该序列号能在服务器厂家官网查询到维保信息（至少需展示设备维保结束日期）</w:t>
            </w:r>
          </w:p>
        </w:tc>
      </w:tr>
      <w:tr w14:paraId="5DF2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381A9AF3">
            <w:pPr>
              <w:pStyle w:val="33"/>
              <w:bidi w:val="0"/>
            </w:pPr>
            <w:r>
              <w:t>10</w:t>
            </w:r>
          </w:p>
        </w:tc>
        <w:tc>
          <w:tcPr>
            <w:tcW w:w="1142" w:type="dxa"/>
            <w:tcBorders>
              <w:top w:val="single" w:color="auto" w:sz="4" w:space="0"/>
              <w:left w:val="single" w:color="auto" w:sz="4" w:space="0"/>
              <w:right w:val="single" w:color="auto" w:sz="4" w:space="0"/>
            </w:tcBorders>
            <w:vAlign w:val="center"/>
          </w:tcPr>
          <w:p w14:paraId="2AA92E19">
            <w:pPr>
              <w:pStyle w:val="33"/>
              <w:bidi w:val="0"/>
              <w:rPr>
                <w:rFonts w:hint="eastAsia"/>
              </w:rPr>
            </w:pPr>
            <w:r>
              <w:t>风扇</w:t>
            </w:r>
          </w:p>
        </w:tc>
        <w:tc>
          <w:tcPr>
            <w:tcW w:w="7107" w:type="dxa"/>
            <w:tcBorders>
              <w:left w:val="single" w:color="auto" w:sz="4" w:space="0"/>
            </w:tcBorders>
          </w:tcPr>
          <w:p w14:paraId="4E56CA0D">
            <w:pPr>
              <w:pStyle w:val="33"/>
              <w:bidi w:val="0"/>
              <w:rPr>
                <w:rFonts w:hint="eastAsia"/>
              </w:rPr>
            </w:pPr>
            <w:r>
              <w:rPr>
                <w:rFonts w:hint="eastAsia"/>
              </w:rPr>
              <w:t>全冗余、热插拨</w:t>
            </w:r>
          </w:p>
        </w:tc>
      </w:tr>
      <w:tr w14:paraId="2048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626B4C5">
            <w:pPr>
              <w:pStyle w:val="33"/>
              <w:bidi w:val="0"/>
            </w:pPr>
            <w:r>
              <w:t>11</w:t>
            </w:r>
          </w:p>
        </w:tc>
        <w:tc>
          <w:tcPr>
            <w:tcW w:w="1142" w:type="dxa"/>
            <w:tcBorders>
              <w:top w:val="single" w:color="auto" w:sz="4" w:space="0"/>
              <w:left w:val="single" w:color="auto" w:sz="4" w:space="0"/>
              <w:right w:val="single" w:color="auto" w:sz="4" w:space="0"/>
            </w:tcBorders>
            <w:vAlign w:val="center"/>
          </w:tcPr>
          <w:p w14:paraId="13E88986">
            <w:pPr>
              <w:pStyle w:val="33"/>
              <w:bidi w:val="0"/>
              <w:rPr>
                <w:rFonts w:hint="eastAsia"/>
              </w:rPr>
            </w:pPr>
            <w:r>
              <w:t>电源</w:t>
            </w:r>
          </w:p>
        </w:tc>
        <w:tc>
          <w:tcPr>
            <w:tcW w:w="7107" w:type="dxa"/>
            <w:tcBorders>
              <w:left w:val="single" w:color="auto" w:sz="4" w:space="0"/>
            </w:tcBorders>
          </w:tcPr>
          <w:p w14:paraId="57D7E683">
            <w:pPr>
              <w:pStyle w:val="33"/>
              <w:bidi w:val="0"/>
              <w:rPr>
                <w:rFonts w:hint="eastAsia"/>
              </w:rPr>
            </w:pPr>
            <w:r>
              <w:rPr>
                <w:rFonts w:hint="eastAsia"/>
              </w:rPr>
              <w:t>满配热插拨全冗余电源模块，电源功率满足服务器的最大负载要求(满足服务器满配内存、满配数据硬盘、满配PCIe卡情况下的功率需求），且单个电源故障场景下另一个正常电源可以满足服务器工作需求，单个电源模块功率≥1200W（铂金级，交流），并同时配置C13/C14电源线</w:t>
            </w:r>
          </w:p>
        </w:tc>
      </w:tr>
      <w:tr w14:paraId="2DC5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79A1E51">
            <w:pPr>
              <w:pStyle w:val="33"/>
              <w:bidi w:val="0"/>
            </w:pPr>
            <w:r>
              <w:t>12</w:t>
            </w:r>
          </w:p>
        </w:tc>
        <w:tc>
          <w:tcPr>
            <w:tcW w:w="1142" w:type="dxa"/>
            <w:tcBorders>
              <w:top w:val="single" w:color="auto" w:sz="4" w:space="0"/>
              <w:left w:val="single" w:color="auto" w:sz="4" w:space="0"/>
              <w:right w:val="single" w:color="auto" w:sz="4" w:space="0"/>
            </w:tcBorders>
            <w:vAlign w:val="center"/>
          </w:tcPr>
          <w:p w14:paraId="1B4E9A19">
            <w:pPr>
              <w:pStyle w:val="33"/>
              <w:bidi w:val="0"/>
              <w:rPr>
                <w:rFonts w:hint="eastAsia"/>
              </w:rPr>
            </w:pPr>
            <w:r>
              <w:t>兼容性要求</w:t>
            </w:r>
          </w:p>
        </w:tc>
        <w:tc>
          <w:tcPr>
            <w:tcW w:w="7107" w:type="dxa"/>
            <w:tcBorders>
              <w:left w:val="single" w:color="auto" w:sz="4" w:space="0"/>
            </w:tcBorders>
          </w:tcPr>
          <w:p w14:paraId="2D325428">
            <w:pPr>
              <w:pStyle w:val="33"/>
              <w:bidi w:val="0"/>
            </w:pPr>
            <w:r>
              <w:rPr>
                <w:rFonts w:hint="eastAsia"/>
              </w:rPr>
              <w:t>支持银河麒麟高级服务器操作系统（</w:t>
            </w:r>
            <w:r>
              <w:t>海光</w:t>
            </w:r>
            <w:r>
              <w:rPr>
                <w:rFonts w:hint="eastAsia"/>
              </w:rPr>
              <w:t>版）V10，统信服务器操作系统（</w:t>
            </w:r>
            <w:r>
              <w:t>海光</w:t>
            </w:r>
            <w:r>
              <w:rPr>
                <w:rFonts w:hint="eastAsia"/>
              </w:rPr>
              <w:t>版）V20，支持以下虚拟化软件：紫光云Unicloud Usphere VMS企业版及云宏CNware Winsphere</w:t>
            </w:r>
          </w:p>
        </w:tc>
      </w:tr>
    </w:tbl>
    <w:p w14:paraId="420FE219">
      <w:pPr>
        <w:rPr>
          <w:rFonts w:ascii="Times New Roman" w:hAnsi="Times New Roman"/>
          <w:color w:val="FF0000"/>
        </w:rPr>
      </w:pPr>
    </w:p>
    <w:p w14:paraId="52B155D1">
      <w:pPr>
        <w:pStyle w:val="3"/>
        <w:numPr>
          <w:ilvl w:val="0"/>
          <w:numId w:val="0"/>
        </w:numPr>
        <w:ind w:left="360" w:leftChars="0" w:hanging="360" w:firstLineChars="0"/>
        <w:rPr>
          <w:rFonts w:ascii="Times New Roman" w:hAnsi="Times New Roman"/>
        </w:rPr>
      </w:pPr>
      <w:bookmarkStart w:id="47" w:name="_Toc15059418"/>
      <w:bookmarkStart w:id="48" w:name="_Toc89675144"/>
      <w:r>
        <w:rPr>
          <w:rFonts w:hint="default" w:ascii="Times New Roman" w:hAnsi="Times New Roman" w:eastAsia="宋体" w:cstheme="majorBidi"/>
          <w:b/>
          <w:bCs/>
          <w:snapToGrid w:val="0"/>
          <w:kern w:val="2"/>
          <w:sz w:val="21"/>
          <w:szCs w:val="24"/>
          <w:lang w:val="en-US" w:eastAsia="zh-CN" w:bidi="ar-SA"/>
        </w:rPr>
        <w:t>4.</w:t>
      </w:r>
      <w:r>
        <w:rPr>
          <w:rFonts w:hint="eastAsia" w:ascii="Times New Roman" w:hAnsi="Times New Roman" w:cstheme="majorBidi"/>
          <w:b/>
          <w:bCs/>
          <w:snapToGrid w:val="0"/>
          <w:kern w:val="2"/>
          <w:sz w:val="21"/>
          <w:szCs w:val="24"/>
          <w:lang w:val="en-US" w:eastAsia="zh-CN" w:bidi="ar-SA"/>
        </w:rPr>
        <w:t xml:space="preserve"> </w:t>
      </w:r>
      <w:r>
        <w:rPr>
          <w:rFonts w:hint="eastAsia" w:ascii="Times New Roman" w:hAnsi="Times New Roman"/>
        </w:rPr>
        <w:t>交付周期、地点</w:t>
      </w:r>
      <w:bookmarkEnd w:id="47"/>
      <w:bookmarkEnd w:id="48"/>
    </w:p>
    <w:p w14:paraId="5988B0B8">
      <w:pPr>
        <w:pStyle w:val="4"/>
        <w:rPr>
          <w:rFonts w:ascii="Times New Roman" w:hAnsi="Times New Roman"/>
        </w:rPr>
      </w:pPr>
      <w:bookmarkStart w:id="49" w:name="_Toc89675146"/>
      <w:bookmarkStart w:id="50" w:name="_Toc15059420"/>
      <w:bookmarkStart w:id="51" w:name="_Toc440628915"/>
      <w:bookmarkStart w:id="52" w:name="_Toc387826347"/>
      <w:bookmarkStart w:id="53" w:name="_Toc432254881"/>
      <w:bookmarkStart w:id="54" w:name="_Toc1125"/>
      <w:r>
        <w:rPr>
          <w:rFonts w:ascii="Times New Roman" w:hAnsi="Times New Roman"/>
        </w:rPr>
        <w:t>4</w:t>
      </w:r>
      <w:r>
        <w:rPr>
          <w:rFonts w:hint="eastAsia" w:ascii="Times New Roman" w:hAnsi="Times New Roman"/>
        </w:rPr>
        <w:t>.1 交付时间</w:t>
      </w:r>
    </w:p>
    <w:p w14:paraId="7A831181">
      <w:pPr>
        <w:rPr>
          <w:rFonts w:ascii="Times New Roman" w:hAnsi="Times New Roman"/>
        </w:rPr>
      </w:pPr>
      <w:r>
        <w:rPr>
          <w:rFonts w:hint="eastAsia" w:ascii="Times New Roman" w:hAnsi="Times New Roman"/>
        </w:rPr>
        <w:t>本项目设备的交付周期为</w:t>
      </w:r>
      <w:r>
        <w:rPr>
          <w:rFonts w:ascii="Times New Roman" w:hAnsi="Times New Roman"/>
        </w:rPr>
        <w:t>30</w:t>
      </w:r>
      <w:r>
        <w:rPr>
          <w:rFonts w:hint="eastAsia" w:ascii="Times New Roman" w:hAnsi="Times New Roman"/>
        </w:rPr>
        <w:t>个</w:t>
      </w:r>
      <w:r>
        <w:rPr>
          <w:rFonts w:ascii="Times New Roman" w:hAnsi="Times New Roman"/>
        </w:rPr>
        <w:t>工作</w:t>
      </w:r>
      <w:r>
        <w:rPr>
          <w:rFonts w:hint="eastAsia" w:ascii="Times New Roman" w:hAnsi="Times New Roman"/>
        </w:rPr>
        <w:t>日，原则上以</w:t>
      </w:r>
      <w:r>
        <w:rPr>
          <w:rFonts w:ascii="Times New Roman" w:hAnsi="Times New Roman"/>
        </w:rPr>
        <w:t>合同签订</w:t>
      </w:r>
      <w:r>
        <w:rPr>
          <w:rFonts w:hint="eastAsia" w:ascii="Times New Roman" w:hAnsi="Times New Roman"/>
        </w:rPr>
        <w:t>之日起开始计算。</w:t>
      </w:r>
    </w:p>
    <w:p w14:paraId="026C3C18">
      <w:pPr>
        <w:pStyle w:val="4"/>
        <w:rPr>
          <w:rFonts w:ascii="Times New Roman" w:hAnsi="Times New Roman"/>
        </w:rPr>
      </w:pPr>
      <w:r>
        <w:rPr>
          <w:rFonts w:ascii="Times New Roman" w:hAnsi="Times New Roman"/>
        </w:rPr>
        <w:t>4</w:t>
      </w:r>
      <w:r>
        <w:rPr>
          <w:rFonts w:hint="eastAsia" w:ascii="Times New Roman" w:hAnsi="Times New Roman"/>
        </w:rPr>
        <w:t>.2 实施及交付地点</w:t>
      </w:r>
    </w:p>
    <w:p w14:paraId="5E26F9AF">
      <w:pPr>
        <w:rPr>
          <w:rFonts w:ascii="Times New Roman" w:hAnsi="Times New Roman"/>
        </w:rPr>
      </w:pPr>
      <w:r>
        <w:rPr>
          <w:rFonts w:hint="eastAsia" w:ascii="Times New Roman" w:hAnsi="Times New Roman"/>
        </w:rPr>
        <w:t>重庆市。</w:t>
      </w:r>
    </w:p>
    <w:p w14:paraId="143B3C4F">
      <w:pPr>
        <w:pStyle w:val="3"/>
        <w:numPr>
          <w:ilvl w:val="0"/>
          <w:numId w:val="0"/>
        </w:numPr>
        <w:ind w:left="360" w:leftChars="0" w:hanging="360" w:firstLineChars="0"/>
        <w:rPr>
          <w:rFonts w:ascii="Times New Roman" w:hAnsi="Times New Roman"/>
        </w:rPr>
      </w:pPr>
      <w:r>
        <w:rPr>
          <w:rFonts w:hint="default" w:ascii="Times New Roman" w:hAnsi="Times New Roman" w:eastAsia="宋体" w:cstheme="majorBidi"/>
          <w:b/>
          <w:bCs/>
          <w:snapToGrid w:val="0"/>
          <w:kern w:val="2"/>
          <w:sz w:val="21"/>
          <w:szCs w:val="24"/>
          <w:lang w:val="en-US" w:eastAsia="zh-CN" w:bidi="ar-SA"/>
        </w:rPr>
        <w:t>5.</w:t>
      </w:r>
      <w:r>
        <w:rPr>
          <w:rFonts w:hint="eastAsia" w:ascii="Times New Roman" w:hAnsi="Times New Roman" w:cstheme="majorBidi"/>
          <w:b/>
          <w:bCs/>
          <w:snapToGrid w:val="0"/>
          <w:kern w:val="2"/>
          <w:sz w:val="21"/>
          <w:szCs w:val="24"/>
          <w:lang w:val="en-US" w:eastAsia="zh-CN" w:bidi="ar-SA"/>
        </w:rPr>
        <w:t xml:space="preserve"> </w:t>
      </w:r>
      <w:r>
        <w:rPr>
          <w:rFonts w:hint="eastAsia" w:ascii="Times New Roman" w:hAnsi="Times New Roman"/>
        </w:rPr>
        <w:t>售后服务和支持</w:t>
      </w:r>
    </w:p>
    <w:p w14:paraId="3D007EA6">
      <w:pPr>
        <w:bidi w:val="0"/>
        <w:rPr>
          <w:rFonts w:hint="eastAsia"/>
        </w:rPr>
      </w:pPr>
      <w:r>
        <w:rPr>
          <w:rFonts w:hint="eastAsia"/>
        </w:rPr>
        <w:t>1）遵守《中华人民共和国产品质量法》和《消费者权益保护法》的相关规定，</w:t>
      </w:r>
      <w:r>
        <w:t>设备原</w:t>
      </w:r>
      <w:r>
        <w:rPr>
          <w:rFonts w:hint="eastAsia"/>
        </w:rPr>
        <w:t>厂商应提供服务标准可高于以上规定，但不得降低；</w:t>
      </w:r>
    </w:p>
    <w:p w14:paraId="25C134C6">
      <w:pPr>
        <w:bidi w:val="0"/>
        <w:rPr>
          <w:rFonts w:hint="eastAsia"/>
        </w:rPr>
      </w:pPr>
      <w:r>
        <w:rPr>
          <w:rFonts w:hint="eastAsia"/>
        </w:rPr>
        <w:t>2）为</w:t>
      </w:r>
      <w:r>
        <w:t>比选人</w:t>
      </w:r>
      <w:r>
        <w:rPr>
          <w:rFonts w:hint="eastAsia"/>
        </w:rPr>
        <w:t>提供维保前咨询服务，设备到货后提供设备原厂商安装服务，按照</w:t>
      </w:r>
      <w:r>
        <w:t>比选人</w:t>
      </w:r>
      <w:r>
        <w:rPr>
          <w:rFonts w:hint="eastAsia"/>
        </w:rPr>
        <w:t>要求进行服务器基础配置并提供安装服务报告。在项目实施过程中提供必要的技术培训直至</w:t>
      </w:r>
      <w:r>
        <w:t>比选人</w:t>
      </w:r>
      <w:r>
        <w:rPr>
          <w:rFonts w:hint="eastAsia"/>
        </w:rPr>
        <w:t>能熟练使用产品；</w:t>
      </w:r>
    </w:p>
    <w:p w14:paraId="66FC2D4B">
      <w:pPr>
        <w:bidi w:val="0"/>
        <w:rPr>
          <w:rFonts w:hint="eastAsia"/>
        </w:rPr>
      </w:pPr>
      <w:r>
        <w:rPr>
          <w:rFonts w:hint="eastAsia"/>
        </w:rPr>
        <w:t>3）本采购项目设备包含5年</w:t>
      </w:r>
      <w:r>
        <w:t>设备原</w:t>
      </w:r>
      <w:r>
        <w:rPr>
          <w:rFonts w:hint="eastAsia"/>
        </w:rPr>
        <w:t>厂商7*24*4（4小时内人员到现场，包括硬盘不返还）级别维保服务，维保期为从设备到货加电测试通过签收完成之日起5年；</w:t>
      </w:r>
    </w:p>
    <w:p w14:paraId="5E4F506C">
      <w:pPr>
        <w:bidi w:val="0"/>
      </w:pPr>
      <w:r>
        <w:t>4）</w:t>
      </w:r>
      <w:r>
        <w:rPr>
          <w:rFonts w:hint="eastAsia"/>
        </w:rPr>
        <w:t>维保服务质量保证期以设备原厂商</w:t>
      </w:r>
      <w:r>
        <w:rPr>
          <w:rFonts w:hint="eastAsia"/>
          <w:lang w:val="en-US" w:eastAsia="zh-CN"/>
        </w:rPr>
        <w:t>在</w:t>
      </w:r>
      <w:r>
        <w:t>维保服务承诺函</w:t>
      </w:r>
      <w:r>
        <w:rPr>
          <w:rFonts w:hint="eastAsia"/>
          <w:lang w:val="en-US" w:eastAsia="zh-CN"/>
        </w:rPr>
        <w:t>中</w:t>
      </w:r>
      <w:r>
        <w:rPr>
          <w:rFonts w:hint="eastAsia"/>
        </w:rPr>
        <w:t>的有效期承诺为准，但不得低于上述第3点要求。</w:t>
      </w:r>
    </w:p>
    <w:p w14:paraId="75DAC621">
      <w:pPr>
        <w:bidi w:val="0"/>
      </w:pPr>
      <w:r>
        <w:t>5）</w:t>
      </w:r>
      <w:r>
        <w:rPr>
          <w:rFonts w:hint="eastAsia"/>
          <w:lang w:val="en-US" w:eastAsia="zh-CN"/>
        </w:rPr>
        <w:t>报价一览表中</w:t>
      </w:r>
      <w:r>
        <w:t>需说明后续收费维保期的维保购买政策，是否支持设备原厂商与比选人直接签订原厂硬件维保服务合同。</w:t>
      </w:r>
    </w:p>
    <w:p w14:paraId="38874F0F">
      <w:pPr>
        <w:bidi w:val="0"/>
        <w:rPr>
          <w:rFonts w:hint="eastAsia"/>
        </w:rPr>
      </w:pPr>
      <w:r>
        <w:t>6）</w:t>
      </w:r>
      <w:r>
        <w:rPr>
          <w:rFonts w:hint="eastAsia"/>
        </w:rPr>
        <w:t>5年</w:t>
      </w:r>
      <w:r>
        <w:t>设备</w:t>
      </w:r>
      <w:r>
        <w:rPr>
          <w:rFonts w:hint="eastAsia"/>
        </w:rPr>
        <w:t>原厂</w:t>
      </w:r>
      <w:r>
        <w:t>商</w:t>
      </w:r>
      <w:r>
        <w:rPr>
          <w:rFonts w:hint="eastAsia"/>
        </w:rPr>
        <w:t>维保服务结束后，若续保</w:t>
      </w:r>
      <w:r>
        <w:t>设备原厂商</w:t>
      </w:r>
      <w:r>
        <w:rPr>
          <w:rFonts w:hint="eastAsia"/>
        </w:rPr>
        <w:t>7*24*</w:t>
      </w:r>
      <w:r>
        <w:t>4（4</w:t>
      </w:r>
      <w:r>
        <w:rPr>
          <w:rFonts w:hint="eastAsia"/>
        </w:rPr>
        <w:t>小时内</w:t>
      </w:r>
      <w:r>
        <w:t>人员到现场，包括硬盘不返还）</w:t>
      </w:r>
      <w:r>
        <w:rPr>
          <w:rFonts w:hint="eastAsia"/>
        </w:rPr>
        <w:t>级别</w:t>
      </w:r>
      <w:r>
        <w:t>维保</w:t>
      </w:r>
      <w:r>
        <w:rPr>
          <w:rFonts w:hint="eastAsia"/>
        </w:rPr>
        <w:t>服务，单台设备维保费每年不超过</w:t>
      </w:r>
      <w:r>
        <w:t>该</w:t>
      </w:r>
      <w:r>
        <w:rPr>
          <w:rFonts w:hint="eastAsia"/>
        </w:rPr>
        <w:t>产品</w:t>
      </w:r>
      <w:r>
        <w:t>中选价格</w:t>
      </w:r>
      <w:r>
        <w:rPr>
          <w:rFonts w:hint="eastAsia"/>
        </w:rPr>
        <w:t>单价金额的10%</w:t>
      </w:r>
      <w:r>
        <w:t>。</w:t>
      </w:r>
    </w:p>
    <w:p w14:paraId="084131A7">
      <w:pPr>
        <w:pStyle w:val="3"/>
        <w:numPr>
          <w:ilvl w:val="0"/>
          <w:numId w:val="0"/>
        </w:numPr>
        <w:ind w:left="360" w:leftChars="0" w:hanging="360" w:firstLineChars="0"/>
        <w:rPr>
          <w:rFonts w:ascii="Times New Roman" w:hAnsi="Times New Roman"/>
        </w:rPr>
      </w:pPr>
      <w:r>
        <w:rPr>
          <w:rFonts w:hint="default" w:ascii="Times New Roman" w:hAnsi="Times New Roman" w:eastAsia="宋体" w:cstheme="majorBidi"/>
          <w:b/>
          <w:bCs/>
          <w:snapToGrid w:val="0"/>
          <w:kern w:val="2"/>
          <w:sz w:val="21"/>
          <w:szCs w:val="24"/>
          <w:lang w:val="en-US" w:eastAsia="zh-CN" w:bidi="ar-SA"/>
        </w:rPr>
        <w:t>6.</w:t>
      </w:r>
      <w:r>
        <w:rPr>
          <w:rFonts w:hint="eastAsia" w:ascii="Times New Roman" w:hAnsi="Times New Roman" w:cstheme="majorBidi"/>
          <w:b/>
          <w:bCs/>
          <w:snapToGrid w:val="0"/>
          <w:kern w:val="2"/>
          <w:sz w:val="21"/>
          <w:szCs w:val="24"/>
          <w:lang w:val="en-US" w:eastAsia="zh-CN" w:bidi="ar-SA"/>
        </w:rPr>
        <w:t xml:space="preserve"> </w:t>
      </w:r>
      <w:r>
        <w:rPr>
          <w:rFonts w:hint="eastAsia" w:ascii="Times New Roman" w:hAnsi="Times New Roman"/>
        </w:rPr>
        <w:t>服务连续性预案</w:t>
      </w:r>
    </w:p>
    <w:p w14:paraId="06AF8FF0">
      <w:pPr>
        <w:rPr>
          <w:rFonts w:ascii="Times New Roman" w:hAnsi="Times New Roman"/>
        </w:rPr>
      </w:pPr>
      <w:r>
        <w:rPr>
          <w:rFonts w:hint="eastAsia" w:ascii="Times New Roman" w:hAnsi="Times New Roman"/>
        </w:rPr>
        <w:t>在本次比选中，参选人应在参选文件中提供服务连续性预案供比选人查看，服务连续性预案应</w:t>
      </w:r>
      <w:r>
        <w:rPr>
          <w:rFonts w:ascii="Times New Roman" w:hAnsi="Times New Roman"/>
        </w:rPr>
        <w:t>体现设备原厂商售后服务保障措施及</w:t>
      </w:r>
      <w:r>
        <w:rPr>
          <w:rFonts w:hint="eastAsia" w:ascii="Times New Roman" w:hAnsi="Times New Roman"/>
        </w:rPr>
        <w:t>考虑供应链风险产生的影响</w:t>
      </w:r>
      <w:r>
        <w:rPr>
          <w:rFonts w:ascii="Times New Roman" w:hAnsi="Times New Roman"/>
        </w:rPr>
        <w:t>和保障措施。</w:t>
      </w:r>
      <w:r>
        <w:rPr>
          <w:rFonts w:hint="eastAsia" w:ascii="Times New Roman" w:hAnsi="Times New Roman"/>
        </w:rPr>
        <w:t>【提供服务连续性预案】</w:t>
      </w:r>
    </w:p>
    <w:p w14:paraId="5AA1516B">
      <w:pPr>
        <w:pStyle w:val="3"/>
        <w:numPr>
          <w:ilvl w:val="0"/>
          <w:numId w:val="0"/>
        </w:numPr>
        <w:ind w:left="360" w:leftChars="0" w:hanging="360" w:firstLineChars="0"/>
        <w:rPr>
          <w:rFonts w:ascii="Times New Roman" w:hAnsi="Times New Roman"/>
        </w:rPr>
      </w:pPr>
      <w:r>
        <w:rPr>
          <w:rFonts w:hint="default" w:ascii="Times New Roman" w:hAnsi="Times New Roman" w:eastAsia="宋体" w:cstheme="majorBidi"/>
          <w:b/>
          <w:bCs/>
          <w:snapToGrid w:val="0"/>
          <w:kern w:val="2"/>
          <w:sz w:val="21"/>
          <w:szCs w:val="24"/>
          <w:lang w:val="en-US" w:eastAsia="zh-CN" w:bidi="ar-SA"/>
        </w:rPr>
        <w:t>7.</w:t>
      </w:r>
      <w:r>
        <w:rPr>
          <w:rFonts w:hint="eastAsia" w:ascii="Times New Roman" w:hAnsi="Times New Roman" w:cstheme="majorBidi"/>
          <w:b/>
          <w:bCs/>
          <w:snapToGrid w:val="0"/>
          <w:kern w:val="2"/>
          <w:sz w:val="21"/>
          <w:szCs w:val="24"/>
          <w:lang w:val="en-US" w:eastAsia="zh-CN" w:bidi="ar-SA"/>
        </w:rPr>
        <w:t xml:space="preserve"> </w:t>
      </w:r>
      <w:r>
        <w:rPr>
          <w:rFonts w:hint="eastAsia" w:ascii="Times New Roman" w:hAnsi="Times New Roman"/>
        </w:rPr>
        <w:t>项目实施方案</w:t>
      </w:r>
    </w:p>
    <w:p w14:paraId="0DFA2131">
      <w:pPr>
        <w:rPr>
          <w:rFonts w:ascii="Times New Roman" w:hAnsi="Times New Roman"/>
        </w:rPr>
      </w:pPr>
      <w:r>
        <w:rPr>
          <w:rFonts w:hint="eastAsia" w:ascii="Times New Roman" w:hAnsi="Times New Roman"/>
        </w:rPr>
        <w:t>在本次比选中，参选人应在参选文件中提供项目实施方案供比选人查看，方案应包括包括履行合同的时间计划、提交资料、人员安排等内容。【提供项目实施方案】</w:t>
      </w:r>
    </w:p>
    <w:bookmarkEnd w:id="49"/>
    <w:bookmarkEnd w:id="50"/>
    <w:p w14:paraId="0E04B091">
      <w:pPr>
        <w:pStyle w:val="3"/>
        <w:numPr>
          <w:ilvl w:val="0"/>
          <w:numId w:val="0"/>
        </w:numPr>
        <w:ind w:left="360" w:leftChars="0" w:hanging="360" w:firstLineChars="0"/>
        <w:rPr>
          <w:rFonts w:ascii="Times New Roman" w:hAnsi="Times New Roman"/>
        </w:rPr>
      </w:pPr>
      <w:bookmarkStart w:id="55" w:name="_Toc15059422"/>
      <w:bookmarkStart w:id="56" w:name="_Toc89675148"/>
      <w:r>
        <w:rPr>
          <w:rFonts w:hint="default" w:ascii="Times New Roman" w:hAnsi="Times New Roman" w:eastAsia="宋体" w:cstheme="majorBidi"/>
          <w:b/>
          <w:bCs/>
          <w:snapToGrid w:val="0"/>
          <w:kern w:val="2"/>
          <w:sz w:val="21"/>
          <w:szCs w:val="24"/>
          <w:lang w:val="en-US" w:eastAsia="zh-CN" w:bidi="ar-SA"/>
        </w:rPr>
        <w:t>8.</w:t>
      </w:r>
      <w:r>
        <w:rPr>
          <w:rFonts w:hint="eastAsia" w:ascii="Times New Roman" w:hAnsi="Times New Roman" w:cstheme="majorBidi"/>
          <w:b/>
          <w:bCs/>
          <w:snapToGrid w:val="0"/>
          <w:kern w:val="2"/>
          <w:sz w:val="21"/>
          <w:szCs w:val="24"/>
          <w:lang w:val="en-US" w:eastAsia="zh-CN" w:bidi="ar-SA"/>
        </w:rPr>
        <w:t xml:space="preserve"> </w:t>
      </w:r>
      <w:r>
        <w:rPr>
          <w:rFonts w:hint="eastAsia" w:ascii="Times New Roman" w:hAnsi="Times New Roman"/>
        </w:rPr>
        <w:t>付款方式</w:t>
      </w:r>
      <w:bookmarkEnd w:id="55"/>
      <w:bookmarkEnd w:id="56"/>
    </w:p>
    <w:p w14:paraId="5E43A58E">
      <w:pPr>
        <w:bidi w:val="0"/>
      </w:pPr>
      <w:r>
        <w:t>合同签订完成后</w:t>
      </w:r>
      <w:r>
        <w:rPr>
          <w:rFonts w:hint="eastAsia"/>
        </w:rPr>
        <w:t>，</w:t>
      </w:r>
      <w:r>
        <w:t>中选人</w:t>
      </w:r>
      <w:r>
        <w:rPr>
          <w:rFonts w:hint="eastAsia"/>
        </w:rPr>
        <w:t>按要求</w:t>
      </w:r>
      <w:r>
        <w:t>进行设备供货，设备到货加电测试通过</w:t>
      </w:r>
      <w:r>
        <w:rPr>
          <w:rFonts w:hint="eastAsia"/>
        </w:rPr>
        <w:t>完成签收工作</w:t>
      </w:r>
      <w:r>
        <w:t>且确认设备原厂商维保服务承诺函符合要求</w:t>
      </w:r>
      <w:r>
        <w:rPr>
          <w:rFonts w:hint="eastAsia"/>
        </w:rPr>
        <w:t>后</w:t>
      </w:r>
      <w:r>
        <w:t>，</w:t>
      </w:r>
      <w:r>
        <w:rPr>
          <w:rFonts w:hint="eastAsia"/>
        </w:rPr>
        <w:t>由</w:t>
      </w:r>
      <w:r>
        <w:t>中选人</w:t>
      </w:r>
      <w:r>
        <w:rPr>
          <w:rFonts w:hint="eastAsia"/>
        </w:rPr>
        <w:t>发起付款申请</w:t>
      </w:r>
      <w:r>
        <w:t>并开具合同金额100%的增值税专用发票</w:t>
      </w:r>
      <w:r>
        <w:rPr>
          <w:rFonts w:hint="eastAsia"/>
        </w:rPr>
        <w:t>，30个工作日内，支付</w:t>
      </w:r>
      <w:r>
        <w:t>合同</w:t>
      </w:r>
      <w:r>
        <w:rPr>
          <w:rFonts w:hint="eastAsia"/>
        </w:rPr>
        <w:t>总额的50%，设备正常运行3个月，完成</w:t>
      </w:r>
      <w:r>
        <w:t>终验</w:t>
      </w:r>
      <w:r>
        <w:rPr>
          <w:rFonts w:hint="eastAsia"/>
        </w:rPr>
        <w:t>工作后，30个工作日内，由</w:t>
      </w:r>
      <w:r>
        <w:t>中选人</w:t>
      </w:r>
      <w:r>
        <w:rPr>
          <w:rFonts w:hint="eastAsia"/>
        </w:rPr>
        <w:t>发起付款申请，支付</w:t>
      </w:r>
      <w:r>
        <w:t>合同</w:t>
      </w:r>
      <w:r>
        <w:rPr>
          <w:rFonts w:hint="eastAsia"/>
        </w:rPr>
        <w:t>总额的4</w:t>
      </w:r>
      <w:r>
        <w:t>9</w:t>
      </w:r>
      <w:r>
        <w:rPr>
          <w:rFonts w:hint="eastAsia"/>
        </w:rPr>
        <w:t>%</w:t>
      </w:r>
      <w:r>
        <w:t>，</w:t>
      </w:r>
      <w:r>
        <w:rPr>
          <w:rFonts w:hint="eastAsia"/>
        </w:rPr>
        <w:t>设备5年维保到期后，由</w:t>
      </w:r>
      <w:r>
        <w:t>中选人</w:t>
      </w:r>
      <w:r>
        <w:rPr>
          <w:rFonts w:hint="eastAsia"/>
        </w:rPr>
        <w:t>发起付款申请，30个工作日内，支付</w:t>
      </w:r>
      <w:r>
        <w:t>合同</w:t>
      </w:r>
      <w:r>
        <w:rPr>
          <w:rFonts w:hint="eastAsia"/>
        </w:rPr>
        <w:t>总额的</w:t>
      </w:r>
      <w:r>
        <w:t>1</w:t>
      </w:r>
      <w:r>
        <w:rPr>
          <w:rFonts w:hint="eastAsia"/>
        </w:rPr>
        <w:t>%。</w:t>
      </w:r>
    </w:p>
    <w:p w14:paraId="74ECF4ED">
      <w:pPr>
        <w:pStyle w:val="3"/>
        <w:numPr>
          <w:ilvl w:val="0"/>
          <w:numId w:val="0"/>
        </w:numPr>
        <w:ind w:left="360" w:leftChars="0" w:hanging="360" w:firstLineChars="0"/>
        <w:rPr>
          <w:rFonts w:ascii="Times New Roman" w:hAnsi="Times New Roman"/>
        </w:rPr>
      </w:pPr>
      <w:bookmarkStart w:id="57" w:name="_Toc15059424"/>
      <w:bookmarkStart w:id="58" w:name="_Toc89675150"/>
      <w:r>
        <w:rPr>
          <w:rFonts w:hint="default" w:ascii="Times New Roman" w:hAnsi="Times New Roman" w:eastAsia="宋体" w:cstheme="majorBidi"/>
          <w:b/>
          <w:bCs/>
          <w:snapToGrid w:val="0"/>
          <w:kern w:val="2"/>
          <w:sz w:val="21"/>
          <w:szCs w:val="24"/>
          <w:lang w:val="en-US" w:eastAsia="zh-CN" w:bidi="ar-SA"/>
        </w:rPr>
        <w:t>9.</w:t>
      </w:r>
      <w:r>
        <w:rPr>
          <w:rFonts w:hint="eastAsia" w:ascii="Times New Roman" w:hAnsi="Times New Roman" w:cstheme="majorBidi"/>
          <w:b/>
          <w:bCs/>
          <w:snapToGrid w:val="0"/>
          <w:kern w:val="2"/>
          <w:sz w:val="21"/>
          <w:szCs w:val="24"/>
          <w:lang w:val="en-US" w:eastAsia="zh-CN" w:bidi="ar-SA"/>
        </w:rPr>
        <w:t xml:space="preserve"> </w:t>
      </w:r>
      <w:r>
        <w:rPr>
          <w:rFonts w:hint="eastAsia" w:ascii="Times New Roman" w:hAnsi="Times New Roman"/>
        </w:rPr>
        <w:t>文档和培训</w:t>
      </w:r>
    </w:p>
    <w:p w14:paraId="50D1429F">
      <w:pPr>
        <w:bidi w:val="0"/>
      </w:pPr>
      <w:r>
        <w:rPr>
          <w:rFonts w:hint="eastAsia"/>
        </w:rPr>
        <w:t>在比选人的项目实施过程中，</w:t>
      </w:r>
      <w:r>
        <w:t>设备原厂商在完成服务器安装后应提供安装服务报告并</w:t>
      </w:r>
      <w:r>
        <w:rPr>
          <w:rFonts w:hint="eastAsia"/>
        </w:rPr>
        <w:t>提供必要的技术培训直至比选人能熟练使用产品。</w:t>
      </w:r>
    </w:p>
    <w:p w14:paraId="699CB52C">
      <w:pPr>
        <w:pStyle w:val="3"/>
        <w:numPr>
          <w:ilvl w:val="0"/>
          <w:numId w:val="0"/>
        </w:numPr>
        <w:ind w:left="360" w:leftChars="0" w:hanging="360" w:firstLineChars="0"/>
        <w:rPr>
          <w:rFonts w:ascii="Times New Roman" w:hAnsi="Times New Roman"/>
        </w:rPr>
      </w:pPr>
      <w:r>
        <w:rPr>
          <w:rFonts w:hint="default" w:ascii="Times New Roman" w:hAnsi="Times New Roman" w:eastAsia="宋体" w:cstheme="majorBidi"/>
          <w:b/>
          <w:bCs/>
          <w:snapToGrid w:val="0"/>
          <w:kern w:val="2"/>
          <w:sz w:val="21"/>
          <w:szCs w:val="24"/>
          <w:lang w:val="en-US" w:eastAsia="zh-CN" w:bidi="ar-SA"/>
        </w:rPr>
        <w:t>10.</w:t>
      </w:r>
      <w:r>
        <w:rPr>
          <w:rFonts w:hint="eastAsia" w:ascii="Times New Roman" w:hAnsi="Times New Roman" w:cstheme="majorBidi"/>
          <w:b/>
          <w:bCs/>
          <w:snapToGrid w:val="0"/>
          <w:kern w:val="2"/>
          <w:sz w:val="21"/>
          <w:szCs w:val="24"/>
          <w:lang w:val="en-US" w:eastAsia="zh-CN" w:bidi="ar-SA"/>
        </w:rPr>
        <w:t xml:space="preserve"> </w:t>
      </w:r>
      <w:r>
        <w:rPr>
          <w:rFonts w:hint="eastAsia" w:ascii="Times New Roman" w:hAnsi="Times New Roman"/>
        </w:rPr>
        <w:t>保密条款</w:t>
      </w:r>
      <w:bookmarkEnd w:id="51"/>
      <w:bookmarkEnd w:id="52"/>
      <w:bookmarkEnd w:id="53"/>
      <w:bookmarkEnd w:id="54"/>
      <w:bookmarkEnd w:id="57"/>
      <w:bookmarkEnd w:id="58"/>
    </w:p>
    <w:p w14:paraId="58501A41">
      <w:pPr>
        <w:pStyle w:val="4"/>
        <w:rPr>
          <w:rFonts w:ascii="Times New Roman" w:hAnsi="Times New Roman"/>
        </w:rPr>
      </w:pPr>
      <w:r>
        <w:rPr>
          <w:rFonts w:hint="eastAsia" w:ascii="Times New Roman" w:hAnsi="Times New Roman"/>
        </w:rPr>
        <w:t>1</w:t>
      </w:r>
      <w:r>
        <w:rPr>
          <w:rFonts w:ascii="Times New Roman" w:hAnsi="Times New Roman"/>
        </w:rPr>
        <w:t>0</w:t>
      </w:r>
      <w:r>
        <w:rPr>
          <w:rFonts w:hint="eastAsia" w:ascii="Times New Roman" w:hAnsi="Times New Roman"/>
        </w:rPr>
        <w:t>.1 保密范围</w:t>
      </w:r>
    </w:p>
    <w:p w14:paraId="0A594260">
      <w:pPr>
        <w:rPr>
          <w:rFonts w:ascii="Times New Roman" w:hAnsi="Times New Roman"/>
        </w:rPr>
      </w:pPr>
      <w:r>
        <w:rPr>
          <w:rFonts w:hint="eastAsia" w:ascii="Times New Roman" w:hAnsi="Times New Roman"/>
        </w:rPr>
        <w:t>中选人在实施过程中接触到的比选人知识产权、经营信息等。</w:t>
      </w:r>
    </w:p>
    <w:p w14:paraId="47C080CB">
      <w:pPr>
        <w:pStyle w:val="4"/>
        <w:rPr>
          <w:rFonts w:ascii="Times New Roman" w:hAnsi="Times New Roman"/>
        </w:rPr>
      </w:pPr>
      <w:r>
        <w:rPr>
          <w:rFonts w:ascii="Times New Roman" w:hAnsi="Times New Roman"/>
        </w:rPr>
        <w:t>10</w:t>
      </w:r>
      <w:r>
        <w:rPr>
          <w:rFonts w:hint="eastAsia" w:ascii="Times New Roman" w:hAnsi="Times New Roman"/>
        </w:rPr>
        <w:t>.2 保密责任</w:t>
      </w:r>
    </w:p>
    <w:p w14:paraId="5A0836D7">
      <w:pPr>
        <w:rPr>
          <w:rFonts w:ascii="Times New Roman" w:hAnsi="Times New Roman"/>
        </w:rPr>
      </w:pPr>
      <w:r>
        <w:rPr>
          <w:rFonts w:hint="eastAsia" w:ascii="Times New Roman" w:hAnsi="Times New Roman"/>
        </w:rPr>
        <w:t>双方互为保密资料的提供方和接受方，负有保密义务，承担保密责任。除经过双方书面同意，任何一方不得将有关内容提供给合同以外的第三人。</w:t>
      </w:r>
    </w:p>
    <w:p w14:paraId="4D525FF5">
      <w:pPr>
        <w:pStyle w:val="3"/>
        <w:numPr>
          <w:ilvl w:val="0"/>
          <w:numId w:val="0"/>
        </w:numPr>
        <w:ind w:left="360" w:leftChars="0" w:hanging="360" w:firstLineChars="0"/>
        <w:rPr>
          <w:rFonts w:ascii="Times New Roman" w:hAnsi="Times New Roman"/>
        </w:rPr>
      </w:pPr>
      <w:r>
        <w:rPr>
          <w:rFonts w:hint="default" w:ascii="Times New Roman" w:hAnsi="Times New Roman" w:eastAsia="宋体" w:cstheme="majorBidi"/>
          <w:b/>
          <w:bCs/>
          <w:snapToGrid w:val="0"/>
          <w:kern w:val="2"/>
          <w:sz w:val="21"/>
          <w:szCs w:val="24"/>
          <w:lang w:val="en-US" w:eastAsia="zh-CN" w:bidi="ar-SA"/>
        </w:rPr>
        <w:t>11.</w:t>
      </w:r>
      <w:r>
        <w:rPr>
          <w:rFonts w:hint="eastAsia" w:ascii="Times New Roman" w:hAnsi="Times New Roman" w:cstheme="majorBidi"/>
          <w:b/>
          <w:bCs/>
          <w:snapToGrid w:val="0"/>
          <w:kern w:val="2"/>
          <w:sz w:val="21"/>
          <w:szCs w:val="24"/>
          <w:lang w:val="en-US" w:eastAsia="zh-CN" w:bidi="ar-SA"/>
        </w:rPr>
        <w:t xml:space="preserve"> </w:t>
      </w:r>
      <w:r>
        <w:rPr>
          <w:rFonts w:hint="eastAsia" w:ascii="Times New Roman" w:hAnsi="Times New Roman"/>
        </w:rPr>
        <w:t>报价要求</w:t>
      </w:r>
    </w:p>
    <w:p w14:paraId="4414BD48">
      <w:pPr>
        <w:bidi w:val="0"/>
      </w:pPr>
      <w:r>
        <w:t>1</w:t>
      </w:r>
      <w:r>
        <w:rPr>
          <w:rFonts w:hint="eastAsia"/>
        </w:rPr>
        <w:t>）参选人应严格按照《参选文件格式》的“报价一览表”和“分项报价明细表”的格式认真填写。</w:t>
      </w:r>
    </w:p>
    <w:p w14:paraId="6A0037C1">
      <w:pPr>
        <w:bidi w:val="0"/>
      </w:pPr>
      <w:r>
        <w:t>2</w:t>
      </w:r>
      <w:r>
        <w:rPr>
          <w:rFonts w:hint="eastAsia"/>
        </w:rPr>
        <w:t>）“分项报价明细表”里需详细写明</w:t>
      </w:r>
      <w:r>
        <w:t>标段</w:t>
      </w:r>
      <w:r>
        <w:rPr>
          <w:rFonts w:hint="eastAsia"/>
        </w:rPr>
        <w:t>各</w:t>
      </w:r>
      <w:r>
        <w:t>配置对应的品牌、型号、数量、单价</w:t>
      </w:r>
      <w:r>
        <w:rPr>
          <w:rFonts w:hint="eastAsia"/>
        </w:rPr>
        <w:t>及</w:t>
      </w:r>
      <w:r>
        <w:t>总价</w:t>
      </w:r>
      <w:r>
        <w:rPr>
          <w:rFonts w:hint="eastAsia"/>
        </w:rPr>
        <w:t>。</w:t>
      </w:r>
    </w:p>
    <w:p w14:paraId="43842059">
      <w:pPr>
        <w:pStyle w:val="3"/>
        <w:numPr>
          <w:ilvl w:val="0"/>
          <w:numId w:val="0"/>
        </w:numPr>
        <w:ind w:left="360" w:leftChars="0" w:hanging="360" w:firstLineChars="0"/>
        <w:rPr>
          <w:rFonts w:ascii="Times New Roman" w:hAnsi="Times New Roman"/>
        </w:rPr>
      </w:pPr>
      <w:bookmarkStart w:id="59" w:name="_Toc89675152"/>
      <w:bookmarkStart w:id="60" w:name="_Toc15059426"/>
      <w:r>
        <w:rPr>
          <w:rFonts w:hint="default" w:ascii="Times New Roman" w:hAnsi="Times New Roman" w:eastAsia="宋体" w:cstheme="majorBidi"/>
          <w:b/>
          <w:bCs/>
          <w:snapToGrid w:val="0"/>
          <w:kern w:val="2"/>
          <w:sz w:val="21"/>
          <w:szCs w:val="24"/>
          <w:lang w:val="en-US" w:eastAsia="zh-CN" w:bidi="ar-SA"/>
        </w:rPr>
        <w:t>12.</w:t>
      </w:r>
      <w:r>
        <w:rPr>
          <w:rFonts w:hint="eastAsia" w:ascii="Times New Roman" w:hAnsi="Times New Roman"/>
        </w:rPr>
        <w:t>知识产权</w:t>
      </w:r>
      <w:bookmarkEnd w:id="59"/>
      <w:bookmarkEnd w:id="60"/>
    </w:p>
    <w:p w14:paraId="7B800099">
      <w:pPr>
        <w:rPr>
          <w:rFonts w:ascii="Times New Roman" w:hAnsi="Times New Roman"/>
        </w:rPr>
      </w:pPr>
      <w:r>
        <w:rPr>
          <w:rFonts w:hint="eastAsia" w:ascii="Times New Roman" w:hAnsi="Times New Roman"/>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39C71C28">
      <w:pPr>
        <w:pStyle w:val="3"/>
        <w:numPr>
          <w:ilvl w:val="0"/>
          <w:numId w:val="0"/>
        </w:numPr>
        <w:ind w:left="360" w:leftChars="0" w:hanging="360" w:firstLineChars="0"/>
        <w:rPr>
          <w:rFonts w:ascii="Times New Roman" w:hAnsi="Times New Roman"/>
        </w:rPr>
      </w:pPr>
      <w:bookmarkStart w:id="61" w:name="_Toc15059427"/>
      <w:bookmarkStart w:id="62" w:name="_Toc89675153"/>
      <w:r>
        <w:rPr>
          <w:rFonts w:hint="default" w:ascii="Times New Roman" w:hAnsi="Times New Roman" w:eastAsia="宋体" w:cstheme="majorBidi"/>
          <w:b/>
          <w:bCs/>
          <w:snapToGrid w:val="0"/>
          <w:kern w:val="2"/>
          <w:sz w:val="21"/>
          <w:szCs w:val="24"/>
          <w:lang w:val="en-US" w:eastAsia="zh-CN" w:bidi="ar-SA"/>
        </w:rPr>
        <w:t>13.</w:t>
      </w:r>
      <w:r>
        <w:rPr>
          <w:rFonts w:hint="eastAsia" w:ascii="Times New Roman" w:hAnsi="Times New Roman"/>
        </w:rPr>
        <w:t>其他</w:t>
      </w:r>
      <w:bookmarkEnd w:id="61"/>
      <w:bookmarkEnd w:id="62"/>
    </w:p>
    <w:p w14:paraId="2E4BC596">
      <w:pPr>
        <w:ind w:firstLine="420"/>
        <w:rPr>
          <w:color w:val="auto"/>
        </w:rPr>
      </w:pPr>
      <w:r>
        <w:rPr>
          <w:rFonts w:hint="eastAsia"/>
          <w:color w:val="auto"/>
        </w:rPr>
        <w:t>1）参选人必须在响应承诺函中对本章内容做出整体性响应和承诺，承诺内容必须达到本章及比选文件其他条款的要求。</w:t>
      </w:r>
    </w:p>
    <w:p w14:paraId="2862490B">
      <w:pPr>
        <w:ind w:firstLine="420"/>
        <w:rPr>
          <w:color w:val="auto"/>
        </w:rPr>
      </w:pPr>
      <w:r>
        <w:rPr>
          <w:rFonts w:hint="eastAsia"/>
          <w:color w:val="auto"/>
        </w:rPr>
        <w:t>2）参选人应根据本章内容和要求，提供对应资料，无遗漏。</w:t>
      </w:r>
    </w:p>
    <w:p w14:paraId="42376BED">
      <w:pPr>
        <w:ind w:firstLine="420"/>
        <w:rPr>
          <w:color w:val="auto"/>
        </w:rPr>
      </w:pPr>
      <w:r>
        <w:rPr>
          <w:rFonts w:hint="eastAsia"/>
          <w:color w:val="auto"/>
        </w:rPr>
        <w:t>3）其他未尽事宜由供需双方在合同中详细约定。</w:t>
      </w:r>
    </w:p>
    <w:p w14:paraId="12A1E875">
      <w:pPr>
        <w:snapToGrid w:val="0"/>
        <w:spacing w:line="360" w:lineRule="auto"/>
        <w:rPr>
          <w:rFonts w:ascii="Times New Roman" w:hAnsi="Times New Roman" w:cs="宋体"/>
          <w:snapToGrid w:val="0"/>
          <w:color w:val="FF0000"/>
          <w:kern w:val="0"/>
          <w:szCs w:val="24"/>
        </w:rPr>
      </w:pPr>
    </w:p>
    <w:p w14:paraId="601B3A25">
      <w:pPr>
        <w:snapToGrid w:val="0"/>
        <w:spacing w:line="360" w:lineRule="auto"/>
        <w:rPr>
          <w:rFonts w:ascii="Times New Roman" w:hAnsi="Times New Roman" w:cs="宋体"/>
          <w:snapToGrid w:val="0"/>
          <w:color w:val="FF0000"/>
          <w:kern w:val="0"/>
          <w:szCs w:val="24"/>
        </w:rPr>
      </w:pPr>
      <w:r>
        <w:rPr>
          <w:rFonts w:hint="eastAsia" w:ascii="Times New Roman" w:hAnsi="Times New Roman" w:cs="宋体"/>
          <w:snapToGrid w:val="0"/>
          <w:color w:val="FF0000"/>
          <w:kern w:val="0"/>
          <w:szCs w:val="24"/>
        </w:rPr>
        <w:br w:type="page"/>
      </w:r>
    </w:p>
    <w:p w14:paraId="48E8F283">
      <w:pPr>
        <w:pStyle w:val="2"/>
        <w:rPr>
          <w:rFonts w:ascii="Times New Roman" w:hAnsi="Times New Roman"/>
        </w:rPr>
      </w:pPr>
      <w:bookmarkStart w:id="63" w:name="_Toc17565"/>
      <w:bookmarkStart w:id="64" w:name="_Toc29189"/>
      <w:r>
        <w:rPr>
          <w:rFonts w:hint="eastAsia" w:ascii="Times New Roman" w:hAnsi="Times New Roman"/>
        </w:rPr>
        <w:t xml:space="preserve">第四章 </w:t>
      </w:r>
      <w:r>
        <w:rPr>
          <w:rFonts w:hint="eastAsia"/>
          <w:color w:val="auto"/>
          <w:highlight w:val="none"/>
          <w:lang w:val="en-US" w:eastAsia="zh-CN"/>
        </w:rPr>
        <w:t>评审办法（经评审的最低价法）</w:t>
      </w:r>
      <w:bookmarkEnd w:id="63"/>
    </w:p>
    <w:p w14:paraId="70440540">
      <w:pPr>
        <w:rPr>
          <w:rFonts w:ascii="Times New Roman" w:hAnsi="Times New Roman"/>
          <w:b/>
          <w:bCs/>
        </w:rPr>
      </w:pPr>
      <w:r>
        <w:rPr>
          <w:rFonts w:hint="eastAsia" w:ascii="Times New Roman" w:hAnsi="Times New Roman"/>
          <w:b/>
          <w:bCs/>
        </w:rPr>
        <w:t>评审办法前附表</w:t>
      </w:r>
    </w:p>
    <w:p w14:paraId="7EB36BFE">
      <w:pPr>
        <w:spacing w:line="360" w:lineRule="auto"/>
        <w:rPr>
          <w:rFonts w:ascii="Times New Roman" w:hAnsi="Times New Roman"/>
        </w:rPr>
      </w:pPr>
      <w:r>
        <w:rPr>
          <w:rFonts w:ascii="Times New Roman" w:hAnsi="Times New Roman"/>
          <w:szCs w:val="21"/>
        </w:rPr>
        <w:t>若</w:t>
      </w:r>
      <w:r>
        <w:rPr>
          <w:rFonts w:hint="eastAsia" w:ascii="Times New Roman" w:hAnsi="Times New Roman"/>
          <w:szCs w:val="21"/>
        </w:rPr>
        <w:t>评审办法前附表</w:t>
      </w:r>
      <w:r>
        <w:rPr>
          <w:rFonts w:ascii="Times New Roman" w:hAnsi="Times New Roman"/>
          <w:szCs w:val="21"/>
        </w:rPr>
        <w:t>与正文不一致的地方，以</w:t>
      </w:r>
      <w:r>
        <w:rPr>
          <w:rFonts w:hint="eastAsia" w:ascii="Times New Roman" w:hAnsi="Times New Roman"/>
          <w:szCs w:val="21"/>
        </w:rPr>
        <w:t>评审办法前附表</w:t>
      </w:r>
      <w:r>
        <w:rPr>
          <w:rFonts w:ascii="Times New Roman" w:hAnsi="Times New Roman"/>
          <w:szCs w:val="21"/>
        </w:rPr>
        <w:t>为准。</w:t>
      </w:r>
    </w:p>
    <w:tbl>
      <w:tblPr>
        <w:tblStyle w:val="1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141E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26490C1B">
            <w:pPr>
              <w:spacing w:line="360" w:lineRule="auto"/>
              <w:ind w:firstLine="0" w:firstLineChars="0"/>
              <w:jc w:val="center"/>
              <w:rPr>
                <w:rFonts w:ascii="Times New Roman" w:hAnsi="Times New Roman" w:cs="宋体"/>
                <w:b/>
                <w:kern w:val="0"/>
                <w:sz w:val="21"/>
                <w:szCs w:val="21"/>
              </w:rPr>
            </w:pPr>
            <w:r>
              <w:rPr>
                <w:rFonts w:hint="eastAsia" w:ascii="Times New Roman" w:hAnsi="Times New Roman" w:cs="宋体"/>
                <w:b/>
                <w:kern w:val="0"/>
                <w:sz w:val="21"/>
                <w:szCs w:val="21"/>
              </w:rPr>
              <w:t>条款号</w:t>
            </w:r>
          </w:p>
        </w:tc>
        <w:tc>
          <w:tcPr>
            <w:tcW w:w="1253" w:type="dxa"/>
            <w:vAlign w:val="center"/>
          </w:tcPr>
          <w:p w14:paraId="2F4DBFF6">
            <w:pPr>
              <w:spacing w:line="360" w:lineRule="auto"/>
              <w:ind w:firstLine="0" w:firstLineChars="0"/>
              <w:jc w:val="center"/>
              <w:rPr>
                <w:rFonts w:ascii="Times New Roman" w:hAnsi="Times New Roman" w:cs="宋体"/>
                <w:b/>
                <w:kern w:val="0"/>
                <w:sz w:val="21"/>
                <w:szCs w:val="21"/>
              </w:rPr>
            </w:pPr>
            <w:r>
              <w:rPr>
                <w:rFonts w:hint="eastAsia" w:ascii="Times New Roman" w:hAnsi="Times New Roman" w:cs="宋体"/>
                <w:b/>
                <w:kern w:val="0"/>
                <w:sz w:val="21"/>
                <w:szCs w:val="21"/>
              </w:rPr>
              <w:t>评审因素</w:t>
            </w:r>
          </w:p>
        </w:tc>
        <w:tc>
          <w:tcPr>
            <w:tcW w:w="7229" w:type="dxa"/>
            <w:gridSpan w:val="2"/>
            <w:vAlign w:val="center"/>
          </w:tcPr>
          <w:p w14:paraId="187CF9F6">
            <w:pPr>
              <w:spacing w:line="360" w:lineRule="auto"/>
              <w:ind w:firstLine="0" w:firstLineChars="0"/>
              <w:jc w:val="center"/>
              <w:rPr>
                <w:rFonts w:ascii="Times New Roman" w:hAnsi="Times New Roman" w:cs="宋体"/>
                <w:b/>
                <w:kern w:val="0"/>
                <w:sz w:val="21"/>
                <w:szCs w:val="21"/>
              </w:rPr>
            </w:pPr>
            <w:r>
              <w:rPr>
                <w:rFonts w:hint="eastAsia" w:ascii="Times New Roman" w:hAnsi="Times New Roman" w:cs="宋体"/>
                <w:b/>
                <w:kern w:val="0"/>
                <w:sz w:val="21"/>
                <w:szCs w:val="21"/>
              </w:rPr>
              <w:t>评审标准</w:t>
            </w:r>
          </w:p>
        </w:tc>
      </w:tr>
      <w:tr w14:paraId="0F50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02E58C7B">
            <w:pPr>
              <w:spacing w:line="360" w:lineRule="auto"/>
              <w:ind w:firstLine="0" w:firstLineChars="0"/>
              <w:jc w:val="center"/>
              <w:rPr>
                <w:rFonts w:ascii="Times New Roman" w:hAnsi="Times New Roman" w:cs="宋体"/>
                <w:bCs/>
                <w:kern w:val="0"/>
                <w:sz w:val="21"/>
                <w:szCs w:val="21"/>
              </w:rPr>
            </w:pPr>
            <w:r>
              <w:rPr>
                <w:rFonts w:hint="eastAsia" w:ascii="Times New Roman" w:hAnsi="Times New Roman" w:cs="宋体"/>
                <w:bCs/>
                <w:kern w:val="0"/>
                <w:sz w:val="21"/>
                <w:szCs w:val="21"/>
              </w:rPr>
              <w:t>1</w:t>
            </w:r>
          </w:p>
        </w:tc>
        <w:tc>
          <w:tcPr>
            <w:tcW w:w="1253" w:type="dxa"/>
            <w:tcBorders>
              <w:left w:val="single" w:color="auto" w:sz="4" w:space="0"/>
            </w:tcBorders>
            <w:vAlign w:val="center"/>
          </w:tcPr>
          <w:p w14:paraId="7753B6FA">
            <w:pPr>
              <w:spacing w:line="360" w:lineRule="auto"/>
              <w:ind w:firstLine="0" w:firstLineChars="0"/>
              <w:jc w:val="center"/>
              <w:rPr>
                <w:rFonts w:ascii="Times New Roman" w:hAnsi="Times New Roman" w:cs="宋体"/>
                <w:b/>
                <w:kern w:val="0"/>
                <w:sz w:val="21"/>
                <w:szCs w:val="21"/>
              </w:rPr>
            </w:pPr>
            <w:r>
              <w:rPr>
                <w:rFonts w:hint="eastAsia" w:ascii="Times New Roman" w:hAnsi="Times New Roman" w:cs="宋体"/>
                <w:sz w:val="21"/>
                <w:szCs w:val="21"/>
              </w:rPr>
              <w:t>评审方法</w:t>
            </w:r>
          </w:p>
        </w:tc>
        <w:tc>
          <w:tcPr>
            <w:tcW w:w="7229" w:type="dxa"/>
            <w:gridSpan w:val="2"/>
            <w:tcBorders>
              <w:left w:val="single" w:color="auto" w:sz="4" w:space="0"/>
            </w:tcBorders>
            <w:vAlign w:val="center"/>
          </w:tcPr>
          <w:p w14:paraId="6B708198">
            <w:pPr>
              <w:spacing w:line="360" w:lineRule="auto"/>
              <w:ind w:firstLine="0" w:firstLineChars="0"/>
              <w:jc w:val="left"/>
              <w:rPr>
                <w:rFonts w:ascii="Times New Roman" w:hAnsi="Times New Roman" w:cs="宋体"/>
                <w:b/>
                <w:kern w:val="0"/>
                <w:sz w:val="21"/>
                <w:szCs w:val="21"/>
              </w:rPr>
            </w:pPr>
            <w:r>
              <w:rPr>
                <w:rFonts w:hint="eastAsia" w:ascii="宋体" w:hAnsi="宋体" w:eastAsia="宋体" w:cs="宋体"/>
                <w:color w:val="auto"/>
                <w:spacing w:val="4"/>
                <w:kern w:val="0"/>
                <w:sz w:val="21"/>
                <w:szCs w:val="21"/>
                <w:highlight w:val="none"/>
              </w:rPr>
              <w:t>本次评</w:t>
            </w:r>
            <w:r>
              <w:rPr>
                <w:rFonts w:hint="eastAsia" w:ascii="宋体" w:hAnsi="宋体" w:eastAsia="宋体" w:cs="宋体"/>
                <w:color w:val="auto"/>
                <w:spacing w:val="4"/>
                <w:kern w:val="0"/>
                <w:sz w:val="21"/>
                <w:szCs w:val="21"/>
                <w:highlight w:val="none"/>
                <w:lang w:val="en-US" w:eastAsia="zh-CN"/>
              </w:rPr>
              <w:t>审</w:t>
            </w:r>
            <w:r>
              <w:rPr>
                <w:rFonts w:hint="eastAsia" w:ascii="宋体" w:hAnsi="宋体" w:eastAsia="宋体" w:cs="宋体"/>
                <w:color w:val="auto"/>
                <w:spacing w:val="4"/>
                <w:kern w:val="0"/>
                <w:sz w:val="21"/>
                <w:szCs w:val="21"/>
                <w:highlight w:val="none"/>
              </w:rPr>
              <w:t>采用</w:t>
            </w:r>
            <w:r>
              <w:rPr>
                <w:rFonts w:hint="eastAsia" w:ascii="宋体" w:hAnsi="宋体" w:eastAsia="宋体" w:cs="宋体"/>
                <w:color w:val="auto"/>
                <w:spacing w:val="4"/>
                <w:kern w:val="0"/>
                <w:sz w:val="21"/>
                <w:szCs w:val="21"/>
                <w:highlight w:val="none"/>
                <w:lang w:eastAsia="zh-CN"/>
              </w:rPr>
              <w:t>经评审的最低价法</w:t>
            </w:r>
            <w:r>
              <w:rPr>
                <w:rFonts w:hint="eastAsia" w:ascii="宋体" w:hAnsi="宋体" w:eastAsia="宋体" w:cs="宋体"/>
                <w:color w:val="auto"/>
                <w:spacing w:val="4"/>
                <w:kern w:val="0"/>
                <w:sz w:val="21"/>
                <w:szCs w:val="21"/>
                <w:highlight w:val="none"/>
              </w:rPr>
              <w:t>，评</w:t>
            </w:r>
            <w:r>
              <w:rPr>
                <w:rFonts w:hint="eastAsia" w:ascii="宋体" w:hAnsi="宋体" w:eastAsia="宋体" w:cs="宋体"/>
                <w:color w:val="auto"/>
                <w:spacing w:val="4"/>
                <w:kern w:val="0"/>
                <w:sz w:val="21"/>
                <w:szCs w:val="21"/>
                <w:highlight w:val="none"/>
                <w:lang w:val="en-US" w:eastAsia="zh-CN"/>
              </w:rPr>
              <w:t>审</w:t>
            </w:r>
            <w:r>
              <w:rPr>
                <w:rFonts w:hint="eastAsia" w:ascii="宋体" w:hAnsi="宋体" w:eastAsia="宋体" w:cs="宋体"/>
                <w:color w:val="auto"/>
                <w:spacing w:val="4"/>
                <w:kern w:val="0"/>
                <w:sz w:val="21"/>
                <w:szCs w:val="21"/>
                <w:highlight w:val="none"/>
              </w:rPr>
              <w:t>委员会按照评审办法前附表第2.</w:t>
            </w:r>
            <w:r>
              <w:rPr>
                <w:rFonts w:hint="eastAsia" w:ascii="宋体" w:hAnsi="宋体" w:cs="宋体"/>
                <w:color w:val="auto"/>
                <w:spacing w:val="4"/>
                <w:kern w:val="0"/>
                <w:sz w:val="21"/>
                <w:szCs w:val="21"/>
                <w:highlight w:val="none"/>
                <w:lang w:val="en-US" w:eastAsia="zh-CN"/>
              </w:rPr>
              <w:t>1 条</w:t>
            </w:r>
            <w:r>
              <w:rPr>
                <w:rFonts w:hint="eastAsia" w:ascii="宋体" w:hAnsi="宋体" w:eastAsia="宋体" w:cs="宋体"/>
                <w:color w:val="auto"/>
                <w:spacing w:val="4"/>
                <w:kern w:val="0"/>
                <w:sz w:val="21"/>
                <w:szCs w:val="21"/>
                <w:highlight w:val="none"/>
              </w:rPr>
              <w:t>进行符合性审查，</w:t>
            </w:r>
            <w:r>
              <w:rPr>
                <w:rFonts w:hint="eastAsia" w:ascii="宋体" w:hAnsi="宋体" w:eastAsia="宋体" w:cs="宋体"/>
                <w:color w:val="auto"/>
                <w:spacing w:val="4"/>
                <w:kern w:val="0"/>
                <w:sz w:val="21"/>
                <w:szCs w:val="21"/>
                <w:highlight w:val="none"/>
                <w:lang w:val="en-US" w:eastAsia="zh-CN"/>
              </w:rPr>
              <w:t>再</w:t>
            </w:r>
            <w:r>
              <w:rPr>
                <w:rFonts w:hint="eastAsia" w:ascii="宋体" w:hAnsi="宋体" w:eastAsia="宋体" w:cs="宋体"/>
                <w:color w:val="auto"/>
                <w:spacing w:val="4"/>
                <w:kern w:val="0"/>
                <w:sz w:val="21"/>
                <w:szCs w:val="21"/>
                <w:highlight w:val="none"/>
              </w:rPr>
              <w:t>按照评审办法前附表第2.</w:t>
            </w:r>
            <w:r>
              <w:rPr>
                <w:rFonts w:hint="eastAsia" w:ascii="宋体" w:hAnsi="宋体" w:cs="宋体"/>
                <w:color w:val="auto"/>
                <w:spacing w:val="4"/>
                <w:kern w:val="0"/>
                <w:sz w:val="21"/>
                <w:szCs w:val="21"/>
                <w:highlight w:val="none"/>
                <w:lang w:val="en-US" w:eastAsia="zh-CN"/>
              </w:rPr>
              <w:t>2 条</w:t>
            </w:r>
            <w:r>
              <w:rPr>
                <w:rFonts w:hint="eastAsia" w:ascii="宋体" w:hAnsi="宋体" w:eastAsia="宋体" w:cs="宋体"/>
                <w:color w:val="auto"/>
                <w:spacing w:val="4"/>
                <w:kern w:val="0"/>
                <w:sz w:val="21"/>
                <w:szCs w:val="21"/>
                <w:highlight w:val="none"/>
              </w:rPr>
              <w:t>进行报价排序，符合性审查合格的</w:t>
            </w:r>
            <w:r>
              <w:rPr>
                <w:rFonts w:hint="eastAsia" w:ascii="宋体" w:hAnsi="宋体" w:eastAsia="宋体" w:cs="宋体"/>
                <w:color w:val="auto"/>
                <w:spacing w:val="4"/>
                <w:kern w:val="0"/>
                <w:sz w:val="21"/>
                <w:szCs w:val="21"/>
                <w:highlight w:val="none"/>
                <w:lang w:val="en-US" w:eastAsia="zh-CN"/>
              </w:rPr>
              <w:t>参选人</w:t>
            </w:r>
            <w:r>
              <w:rPr>
                <w:rFonts w:hint="eastAsia" w:ascii="宋体" w:hAnsi="宋体" w:eastAsia="宋体" w:cs="宋体"/>
                <w:color w:val="auto"/>
                <w:spacing w:val="4"/>
                <w:kern w:val="0"/>
                <w:sz w:val="21"/>
                <w:szCs w:val="21"/>
                <w:highlight w:val="none"/>
              </w:rPr>
              <w:t>中按报价由低到高推荐</w:t>
            </w:r>
            <w:r>
              <w:rPr>
                <w:rFonts w:hint="eastAsia" w:ascii="宋体" w:hAnsi="宋体" w:cs="宋体"/>
                <w:color w:val="auto"/>
                <w:spacing w:val="4"/>
                <w:kern w:val="0"/>
                <w:sz w:val="21"/>
                <w:szCs w:val="21"/>
                <w:highlight w:val="none"/>
                <w:lang w:val="en-US" w:eastAsia="zh-CN"/>
              </w:rPr>
              <w:t>1-</w:t>
            </w:r>
            <w:r>
              <w:rPr>
                <w:rFonts w:hint="eastAsia" w:ascii="宋体" w:hAnsi="宋体" w:eastAsia="宋体" w:cs="宋体"/>
                <w:color w:val="auto"/>
                <w:spacing w:val="4"/>
                <w:kern w:val="0"/>
                <w:sz w:val="21"/>
                <w:szCs w:val="21"/>
                <w:highlight w:val="none"/>
                <w:lang w:val="en-US" w:eastAsia="zh-CN"/>
              </w:rPr>
              <w:t>3名</w:t>
            </w:r>
            <w:r>
              <w:rPr>
                <w:rFonts w:hint="eastAsia" w:ascii="宋体" w:hAnsi="宋体" w:eastAsia="宋体" w:cs="宋体"/>
                <w:color w:val="auto"/>
                <w:spacing w:val="4"/>
                <w:kern w:val="0"/>
                <w:sz w:val="21"/>
                <w:szCs w:val="21"/>
                <w:highlight w:val="none"/>
              </w:rPr>
              <w:t>中</w:t>
            </w:r>
            <w:r>
              <w:rPr>
                <w:rFonts w:hint="eastAsia" w:ascii="宋体" w:hAnsi="宋体" w:eastAsia="宋体" w:cs="宋体"/>
                <w:color w:val="auto"/>
                <w:spacing w:val="4"/>
                <w:kern w:val="0"/>
                <w:sz w:val="21"/>
                <w:szCs w:val="21"/>
                <w:highlight w:val="none"/>
                <w:lang w:val="en-US" w:eastAsia="zh-CN"/>
              </w:rPr>
              <w:t>选</w:t>
            </w:r>
            <w:r>
              <w:rPr>
                <w:rFonts w:hint="eastAsia" w:ascii="宋体" w:hAnsi="宋体" w:eastAsia="宋体" w:cs="宋体"/>
                <w:color w:val="auto"/>
                <w:spacing w:val="4"/>
                <w:kern w:val="0"/>
                <w:sz w:val="21"/>
                <w:szCs w:val="21"/>
                <w:highlight w:val="none"/>
              </w:rPr>
              <w:t>候选人。若出现</w:t>
            </w:r>
            <w:r>
              <w:rPr>
                <w:rFonts w:hint="eastAsia" w:ascii="宋体" w:hAnsi="宋体" w:eastAsia="宋体" w:cs="宋体"/>
                <w:color w:val="auto"/>
                <w:spacing w:val="4"/>
                <w:kern w:val="0"/>
                <w:sz w:val="21"/>
                <w:szCs w:val="21"/>
                <w:highlight w:val="none"/>
                <w:lang w:eastAsia="zh-CN"/>
              </w:rPr>
              <w:t>参选人参选</w:t>
            </w:r>
            <w:r>
              <w:rPr>
                <w:rFonts w:hint="eastAsia" w:ascii="宋体" w:hAnsi="宋体" w:eastAsia="宋体" w:cs="宋体"/>
                <w:color w:val="auto"/>
                <w:spacing w:val="4"/>
                <w:kern w:val="0"/>
                <w:sz w:val="21"/>
                <w:szCs w:val="21"/>
                <w:highlight w:val="none"/>
              </w:rPr>
              <w:t>报价相同的，</w:t>
            </w:r>
            <w:r>
              <w:rPr>
                <w:rFonts w:hint="eastAsia" w:ascii="Times New Roman" w:hAnsi="Times New Roman" w:cs="Times New Roman"/>
                <w:kern w:val="0"/>
                <w:sz w:val="21"/>
                <w:szCs w:val="24"/>
              </w:rPr>
              <w:t>由评审委员会按照</w:t>
            </w:r>
            <w:r>
              <w:rPr>
                <w:rFonts w:ascii="Times New Roman" w:hAnsi="Times New Roman" w:cs="Times New Roman"/>
                <w:kern w:val="0"/>
                <w:sz w:val="21"/>
                <w:szCs w:val="24"/>
              </w:rPr>
              <w:t>参选品牌</w:t>
            </w:r>
            <w:r>
              <w:rPr>
                <w:rFonts w:ascii="Times New Roman" w:hAnsi="Times New Roman" w:cs="Times New Roman"/>
                <w:sz w:val="21"/>
                <w:szCs w:val="24"/>
              </w:rPr>
              <w:t>的相同系列服务器销售案例金额最大优先</w:t>
            </w:r>
            <w:r>
              <w:rPr>
                <w:rFonts w:hint="eastAsia" w:ascii="Times New Roman" w:hAnsi="Times New Roman" w:cs="Times New Roman"/>
                <w:kern w:val="0"/>
                <w:sz w:val="21"/>
                <w:szCs w:val="24"/>
              </w:rPr>
              <w:t>原则排序</w:t>
            </w:r>
            <w:r>
              <w:rPr>
                <w:rFonts w:hint="eastAsia" w:ascii="Times New Roman" w:hAnsi="Times New Roman" w:cs="宋体"/>
                <w:spacing w:val="4"/>
                <w:kern w:val="0"/>
                <w:sz w:val="21"/>
                <w:szCs w:val="21"/>
              </w:rPr>
              <w:t>。</w:t>
            </w:r>
          </w:p>
        </w:tc>
      </w:tr>
      <w:tr w14:paraId="0FDB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22392574">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ascii="Times New Roman" w:hAnsi="Times New Roman" w:cs="宋体"/>
                <w:bCs/>
                <w:kern w:val="0"/>
                <w:sz w:val="21"/>
                <w:szCs w:val="21"/>
              </w:rPr>
            </w:pPr>
            <w:r>
              <w:rPr>
                <w:rFonts w:hint="eastAsia" w:ascii="宋体" w:hAnsi="宋体" w:eastAsia="宋体" w:cs="宋体"/>
                <w:b w:val="0"/>
                <w:bCs/>
                <w:color w:val="auto"/>
                <w:kern w:val="0"/>
                <w:sz w:val="21"/>
                <w:szCs w:val="21"/>
                <w:highlight w:val="none"/>
                <w:lang w:val="en-US" w:eastAsia="zh-CN"/>
              </w:rPr>
              <w:t>2.</w:t>
            </w:r>
            <w:r>
              <w:rPr>
                <w:rFonts w:hint="eastAsia" w:ascii="宋体" w:hAnsi="宋体" w:cs="宋体"/>
                <w:b w:val="0"/>
                <w:bCs/>
                <w:color w:val="auto"/>
                <w:kern w:val="0"/>
                <w:sz w:val="21"/>
                <w:szCs w:val="21"/>
                <w:highlight w:val="none"/>
                <w:lang w:val="en-US" w:eastAsia="zh-CN"/>
              </w:rPr>
              <w:t>1</w:t>
            </w:r>
          </w:p>
        </w:tc>
        <w:tc>
          <w:tcPr>
            <w:tcW w:w="1253" w:type="dxa"/>
            <w:tcBorders>
              <w:left w:val="single" w:color="auto" w:sz="4" w:space="0"/>
            </w:tcBorders>
            <w:vAlign w:val="center"/>
          </w:tcPr>
          <w:p w14:paraId="7FC48713">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ascii="Times New Roman" w:hAnsi="Times New Roman" w:cs="宋体"/>
                <w:sz w:val="21"/>
                <w:szCs w:val="21"/>
              </w:rPr>
            </w:pPr>
            <w:r>
              <w:rPr>
                <w:rFonts w:hint="eastAsia" w:ascii="宋体" w:hAnsi="宋体" w:eastAsia="宋体" w:cs="宋体"/>
                <w:color w:val="auto"/>
                <w:kern w:val="0"/>
                <w:sz w:val="21"/>
                <w:szCs w:val="21"/>
                <w:highlight w:val="none"/>
              </w:rPr>
              <w:t>符合性审查</w:t>
            </w:r>
            <w:r>
              <w:rPr>
                <w:rFonts w:hint="eastAsia" w:ascii="宋体" w:hAnsi="宋体" w:cs="宋体"/>
                <w:color w:val="auto"/>
                <w:kern w:val="0"/>
                <w:sz w:val="21"/>
                <w:szCs w:val="21"/>
                <w:highlight w:val="none"/>
                <w:lang w:val="en-US" w:eastAsia="zh-CN"/>
              </w:rPr>
              <w:t>标准</w:t>
            </w:r>
          </w:p>
        </w:tc>
        <w:tc>
          <w:tcPr>
            <w:tcW w:w="7229" w:type="dxa"/>
            <w:gridSpan w:val="2"/>
            <w:tcBorders>
              <w:left w:val="single" w:color="auto" w:sz="4" w:space="0"/>
            </w:tcBorders>
            <w:vAlign w:val="center"/>
          </w:tcPr>
          <w:p w14:paraId="53C9A205">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left"/>
              <w:textAlignment w:val="auto"/>
              <w:rPr>
                <w:rFonts w:ascii="Times New Roman" w:hAnsi="Times New Roman" w:cs="宋体"/>
                <w:spacing w:val="4"/>
                <w:kern w:val="0"/>
                <w:sz w:val="21"/>
                <w:szCs w:val="21"/>
              </w:rPr>
            </w:pPr>
            <w:r>
              <w:rPr>
                <w:rFonts w:hint="eastAsia" w:ascii="宋体" w:hAnsi="宋体" w:eastAsia="宋体" w:cs="宋体"/>
                <w:color w:val="auto"/>
                <w:kern w:val="0"/>
                <w:sz w:val="21"/>
                <w:szCs w:val="21"/>
                <w:highlight w:val="none"/>
                <w:lang w:val="en-US" w:eastAsia="zh-CN"/>
              </w:rPr>
              <w:t>所有参选单位</w:t>
            </w:r>
            <w:r>
              <w:rPr>
                <w:rFonts w:hint="eastAsia" w:ascii="宋体" w:hAnsi="宋体" w:eastAsia="宋体" w:cs="宋体"/>
                <w:color w:val="auto"/>
                <w:spacing w:val="4"/>
                <w:kern w:val="0"/>
                <w:sz w:val="21"/>
                <w:szCs w:val="21"/>
                <w:highlight w:val="none"/>
              </w:rPr>
              <w:t>进行符合性审查。符合性审查内容：资格评审、形式评审、响应性评审。</w:t>
            </w:r>
          </w:p>
        </w:tc>
      </w:tr>
      <w:tr w14:paraId="22A6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75E9F846">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ascii="Times New Roman" w:hAnsi="Times New Roman" w:cs="宋体"/>
                <w:bCs/>
                <w:kern w:val="0"/>
                <w:sz w:val="21"/>
                <w:szCs w:val="21"/>
              </w:rPr>
            </w:pPr>
            <w:r>
              <w:rPr>
                <w:rFonts w:hint="eastAsia" w:ascii="宋体" w:hAnsi="宋体" w:eastAsia="宋体" w:cs="宋体"/>
                <w:b w:val="0"/>
                <w:bCs/>
                <w:color w:val="auto"/>
                <w:kern w:val="0"/>
                <w:sz w:val="21"/>
                <w:szCs w:val="21"/>
                <w:highlight w:val="none"/>
                <w:lang w:val="en-US" w:eastAsia="zh-CN"/>
              </w:rPr>
              <w:t>2.</w:t>
            </w:r>
            <w:r>
              <w:rPr>
                <w:rFonts w:hint="eastAsia" w:ascii="宋体" w:hAnsi="宋体" w:cs="宋体"/>
                <w:b w:val="0"/>
                <w:bCs/>
                <w:color w:val="auto"/>
                <w:kern w:val="0"/>
                <w:sz w:val="21"/>
                <w:szCs w:val="21"/>
                <w:highlight w:val="none"/>
                <w:lang w:val="en-US" w:eastAsia="zh-CN"/>
              </w:rPr>
              <w:t>2</w:t>
            </w:r>
          </w:p>
        </w:tc>
        <w:tc>
          <w:tcPr>
            <w:tcW w:w="1253" w:type="dxa"/>
            <w:tcBorders>
              <w:left w:val="single" w:color="auto" w:sz="4" w:space="0"/>
            </w:tcBorders>
            <w:vAlign w:val="center"/>
          </w:tcPr>
          <w:p w14:paraId="52743D14">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ascii="Times New Roman" w:hAnsi="Times New Roman" w:cs="宋体"/>
                <w:kern w:val="0"/>
                <w:sz w:val="21"/>
                <w:szCs w:val="21"/>
              </w:rPr>
            </w:pPr>
            <w:r>
              <w:rPr>
                <w:rFonts w:hint="eastAsia" w:ascii="宋体" w:hAnsi="宋体" w:eastAsia="宋体" w:cs="宋体"/>
                <w:color w:val="auto"/>
                <w:kern w:val="0"/>
                <w:sz w:val="21"/>
                <w:szCs w:val="21"/>
                <w:highlight w:val="none"/>
              </w:rPr>
              <w:t>报价排序</w:t>
            </w:r>
          </w:p>
        </w:tc>
        <w:tc>
          <w:tcPr>
            <w:tcW w:w="7229" w:type="dxa"/>
            <w:gridSpan w:val="2"/>
            <w:tcBorders>
              <w:left w:val="single" w:color="auto" w:sz="4" w:space="0"/>
            </w:tcBorders>
            <w:vAlign w:val="center"/>
          </w:tcPr>
          <w:p w14:paraId="65DDB229">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left"/>
              <w:textAlignment w:val="auto"/>
              <w:rPr>
                <w:rFonts w:ascii="Times New Roman" w:hAnsi="Times New Roman" w:cs="宋体"/>
                <w:kern w:val="0"/>
                <w:sz w:val="21"/>
                <w:szCs w:val="21"/>
              </w:rPr>
            </w:pPr>
            <w:r>
              <w:rPr>
                <w:rFonts w:hint="eastAsia" w:ascii="宋体" w:hAnsi="宋体" w:eastAsia="宋体" w:cs="宋体"/>
                <w:color w:val="auto"/>
                <w:kern w:val="0"/>
                <w:sz w:val="21"/>
                <w:szCs w:val="21"/>
                <w:highlight w:val="none"/>
              </w:rPr>
              <w:t>对报价不高于最高限价的所有</w:t>
            </w:r>
            <w:r>
              <w:rPr>
                <w:rFonts w:hint="eastAsia" w:ascii="宋体" w:hAnsi="宋体" w:eastAsia="宋体" w:cs="宋体"/>
                <w:color w:val="auto"/>
                <w:kern w:val="0"/>
                <w:sz w:val="21"/>
                <w:szCs w:val="21"/>
                <w:highlight w:val="none"/>
                <w:lang w:val="en-US" w:eastAsia="zh-CN"/>
              </w:rPr>
              <w:t>参选人</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val="en-US" w:eastAsia="zh-CN"/>
              </w:rPr>
              <w:t>参选文件</w:t>
            </w:r>
            <w:r>
              <w:rPr>
                <w:rFonts w:hint="eastAsia" w:ascii="宋体" w:hAnsi="宋体" w:eastAsia="宋体" w:cs="宋体"/>
                <w:color w:val="auto"/>
                <w:kern w:val="0"/>
                <w:sz w:val="21"/>
                <w:szCs w:val="21"/>
                <w:highlight w:val="none"/>
              </w:rPr>
              <w:t>，</w:t>
            </w:r>
            <w:r>
              <w:rPr>
                <w:rFonts w:hint="eastAsia" w:ascii="宋体" w:hAnsi="宋体" w:eastAsia="宋体" w:cs="宋体"/>
                <w:color w:val="auto"/>
                <w:spacing w:val="4"/>
                <w:kern w:val="0"/>
                <w:sz w:val="21"/>
                <w:szCs w:val="21"/>
                <w:highlight w:val="none"/>
              </w:rPr>
              <w:t>符合性审查合格的</w:t>
            </w:r>
            <w:r>
              <w:rPr>
                <w:rFonts w:hint="eastAsia" w:ascii="宋体" w:hAnsi="宋体" w:eastAsia="宋体" w:cs="宋体"/>
                <w:color w:val="auto"/>
                <w:kern w:val="0"/>
                <w:sz w:val="21"/>
                <w:szCs w:val="21"/>
                <w:highlight w:val="none"/>
              </w:rPr>
              <w:t>按照报价由低到高的顺序排序。</w:t>
            </w:r>
          </w:p>
        </w:tc>
      </w:tr>
      <w:tr w14:paraId="6A5C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0B25F5DF">
            <w:pPr>
              <w:spacing w:line="360" w:lineRule="auto"/>
              <w:ind w:firstLine="0" w:firstLineChars="0"/>
              <w:jc w:val="center"/>
              <w:rPr>
                <w:rFonts w:ascii="Times New Roman" w:hAnsi="Times New Roman" w:cs="宋体"/>
                <w:bCs/>
                <w:kern w:val="0"/>
                <w:sz w:val="21"/>
                <w:szCs w:val="21"/>
              </w:rPr>
            </w:pPr>
            <w:r>
              <w:rPr>
                <w:rFonts w:hint="eastAsia" w:ascii="Times New Roman" w:hAnsi="Times New Roman" w:cs="宋体"/>
                <w:bCs/>
                <w:kern w:val="0"/>
                <w:sz w:val="21"/>
                <w:szCs w:val="21"/>
              </w:rPr>
              <w:t>2.2.1</w:t>
            </w:r>
          </w:p>
        </w:tc>
        <w:tc>
          <w:tcPr>
            <w:tcW w:w="1253" w:type="dxa"/>
            <w:tcBorders>
              <w:left w:val="single" w:color="auto" w:sz="4" w:space="0"/>
            </w:tcBorders>
            <w:vAlign w:val="center"/>
          </w:tcPr>
          <w:p w14:paraId="673C5954">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资格评审标准</w:t>
            </w:r>
          </w:p>
        </w:tc>
        <w:tc>
          <w:tcPr>
            <w:tcW w:w="1753" w:type="dxa"/>
            <w:tcBorders>
              <w:left w:val="single" w:color="auto" w:sz="4" w:space="0"/>
            </w:tcBorders>
            <w:vAlign w:val="center"/>
          </w:tcPr>
          <w:p w14:paraId="02C9C960">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资格条件要求</w:t>
            </w:r>
          </w:p>
        </w:tc>
        <w:tc>
          <w:tcPr>
            <w:tcW w:w="5476" w:type="dxa"/>
            <w:tcBorders>
              <w:left w:val="single" w:color="auto" w:sz="4" w:space="0"/>
            </w:tcBorders>
            <w:vAlign w:val="center"/>
          </w:tcPr>
          <w:p w14:paraId="6F6D5245">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符合第一章“2. 参选人资格要求”规定</w:t>
            </w:r>
          </w:p>
        </w:tc>
      </w:tr>
      <w:tr w14:paraId="4B8D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4E3391B0">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2.2.2</w:t>
            </w:r>
          </w:p>
        </w:tc>
        <w:tc>
          <w:tcPr>
            <w:tcW w:w="1253" w:type="dxa"/>
            <w:vMerge w:val="restart"/>
            <w:tcBorders>
              <w:left w:val="single" w:color="auto" w:sz="4" w:space="0"/>
            </w:tcBorders>
            <w:vAlign w:val="center"/>
          </w:tcPr>
          <w:p w14:paraId="392B4953">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形式评审标准</w:t>
            </w:r>
          </w:p>
        </w:tc>
        <w:tc>
          <w:tcPr>
            <w:tcW w:w="1753" w:type="dxa"/>
            <w:tcBorders>
              <w:left w:val="single" w:color="auto" w:sz="4" w:space="0"/>
            </w:tcBorders>
            <w:vAlign w:val="center"/>
          </w:tcPr>
          <w:p w14:paraId="5445C739">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参选人名称</w:t>
            </w:r>
          </w:p>
        </w:tc>
        <w:tc>
          <w:tcPr>
            <w:tcW w:w="5476" w:type="dxa"/>
            <w:tcBorders>
              <w:left w:val="single" w:color="auto" w:sz="4" w:space="0"/>
            </w:tcBorders>
            <w:vAlign w:val="center"/>
          </w:tcPr>
          <w:p w14:paraId="3A5E0F46">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与营业执照、资格证明材料一致</w:t>
            </w:r>
          </w:p>
        </w:tc>
      </w:tr>
      <w:tr w14:paraId="59F1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1D25FFFF"/>
        </w:tc>
        <w:tc>
          <w:tcPr>
            <w:tcW w:w="1253" w:type="dxa"/>
            <w:vMerge w:val="continue"/>
            <w:tcBorders>
              <w:left w:val="single" w:color="auto" w:sz="4" w:space="0"/>
            </w:tcBorders>
            <w:vAlign w:val="center"/>
          </w:tcPr>
          <w:p w14:paraId="621E0595"/>
        </w:tc>
        <w:tc>
          <w:tcPr>
            <w:tcW w:w="1753" w:type="dxa"/>
            <w:tcBorders>
              <w:left w:val="single" w:color="auto" w:sz="4" w:space="0"/>
            </w:tcBorders>
            <w:vAlign w:val="center"/>
          </w:tcPr>
          <w:p w14:paraId="3792E738">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参选文件的签字盖章</w:t>
            </w:r>
          </w:p>
        </w:tc>
        <w:tc>
          <w:tcPr>
            <w:tcW w:w="5476" w:type="dxa"/>
            <w:tcBorders>
              <w:left w:val="single" w:color="auto" w:sz="4" w:space="0"/>
            </w:tcBorders>
            <w:vAlign w:val="center"/>
          </w:tcPr>
          <w:p w14:paraId="3CAD4FBC">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符合第二章“参选人须知”4.5 条规定</w:t>
            </w:r>
          </w:p>
        </w:tc>
      </w:tr>
      <w:tr w14:paraId="1EA9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0678967F"/>
        </w:tc>
        <w:tc>
          <w:tcPr>
            <w:tcW w:w="1253" w:type="dxa"/>
            <w:vMerge w:val="continue"/>
            <w:tcBorders>
              <w:left w:val="single" w:color="auto" w:sz="4" w:space="0"/>
            </w:tcBorders>
            <w:vAlign w:val="center"/>
          </w:tcPr>
          <w:p w14:paraId="7A004428"/>
        </w:tc>
        <w:tc>
          <w:tcPr>
            <w:tcW w:w="1753" w:type="dxa"/>
            <w:tcBorders>
              <w:left w:val="single" w:color="auto" w:sz="4" w:space="0"/>
            </w:tcBorders>
            <w:vAlign w:val="center"/>
          </w:tcPr>
          <w:p w14:paraId="5E09202F">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参选文件的密封</w:t>
            </w:r>
          </w:p>
        </w:tc>
        <w:tc>
          <w:tcPr>
            <w:tcW w:w="5476" w:type="dxa"/>
            <w:tcBorders>
              <w:left w:val="single" w:color="auto" w:sz="4" w:space="0"/>
            </w:tcBorders>
            <w:vAlign w:val="center"/>
          </w:tcPr>
          <w:p w14:paraId="7DE8F8C3">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符合第二章“参选人须知”4.6 条规定</w:t>
            </w:r>
          </w:p>
        </w:tc>
      </w:tr>
      <w:tr w14:paraId="4B02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4EA399FC"/>
        </w:tc>
        <w:tc>
          <w:tcPr>
            <w:tcW w:w="1253" w:type="dxa"/>
            <w:vMerge w:val="continue"/>
            <w:tcBorders>
              <w:left w:val="single" w:color="auto" w:sz="4" w:space="0"/>
            </w:tcBorders>
            <w:vAlign w:val="center"/>
          </w:tcPr>
          <w:p w14:paraId="419C0301"/>
        </w:tc>
        <w:tc>
          <w:tcPr>
            <w:tcW w:w="1753" w:type="dxa"/>
            <w:tcBorders>
              <w:left w:val="single" w:color="auto" w:sz="4" w:space="0"/>
            </w:tcBorders>
            <w:vAlign w:val="center"/>
          </w:tcPr>
          <w:p w14:paraId="52D69B30">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参选文件格式</w:t>
            </w:r>
          </w:p>
        </w:tc>
        <w:tc>
          <w:tcPr>
            <w:tcW w:w="5476" w:type="dxa"/>
            <w:tcBorders>
              <w:left w:val="single" w:color="auto" w:sz="4" w:space="0"/>
            </w:tcBorders>
            <w:vAlign w:val="center"/>
          </w:tcPr>
          <w:p w14:paraId="6C2F9A25">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符合第六章“参选文件格式”的要求</w:t>
            </w:r>
          </w:p>
        </w:tc>
      </w:tr>
      <w:tr w14:paraId="6AF3B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3C266577"/>
        </w:tc>
        <w:tc>
          <w:tcPr>
            <w:tcW w:w="1253" w:type="dxa"/>
            <w:vMerge w:val="continue"/>
            <w:tcBorders>
              <w:left w:val="single" w:color="auto" w:sz="4" w:space="0"/>
            </w:tcBorders>
            <w:vAlign w:val="center"/>
          </w:tcPr>
          <w:p w14:paraId="2D018EA2"/>
        </w:tc>
        <w:tc>
          <w:tcPr>
            <w:tcW w:w="1753" w:type="dxa"/>
            <w:tcBorders>
              <w:left w:val="single" w:color="auto" w:sz="4" w:space="0"/>
            </w:tcBorders>
            <w:vAlign w:val="center"/>
          </w:tcPr>
          <w:p w14:paraId="57AE237A">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参选文件组成</w:t>
            </w:r>
          </w:p>
        </w:tc>
        <w:tc>
          <w:tcPr>
            <w:tcW w:w="5476" w:type="dxa"/>
            <w:tcBorders>
              <w:left w:val="single" w:color="auto" w:sz="4" w:space="0"/>
            </w:tcBorders>
            <w:vAlign w:val="center"/>
          </w:tcPr>
          <w:p w14:paraId="1B215BFA">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符合第二章“参选人须知”4.1 条规定，</w:t>
            </w:r>
            <w:r>
              <w:rPr>
                <w:rFonts w:hint="eastAsia" w:ascii="Times New Roman" w:hAnsi="Times New Roman" w:cs="宋体"/>
                <w:kern w:val="0"/>
                <w:sz w:val="20"/>
              </w:rPr>
              <w:t>内容齐全、无遗漏</w:t>
            </w:r>
          </w:p>
        </w:tc>
      </w:tr>
      <w:tr w14:paraId="2510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1400DC12"/>
        </w:tc>
        <w:tc>
          <w:tcPr>
            <w:tcW w:w="1253" w:type="dxa"/>
            <w:vMerge w:val="continue"/>
            <w:tcBorders>
              <w:left w:val="single" w:color="auto" w:sz="4" w:space="0"/>
            </w:tcBorders>
            <w:vAlign w:val="center"/>
          </w:tcPr>
          <w:p w14:paraId="1C46A2B3"/>
        </w:tc>
        <w:tc>
          <w:tcPr>
            <w:tcW w:w="1753" w:type="dxa"/>
            <w:tcBorders>
              <w:left w:val="single" w:color="auto" w:sz="4" w:space="0"/>
            </w:tcBorders>
            <w:vAlign w:val="center"/>
          </w:tcPr>
          <w:p w14:paraId="7BD2873A">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联合体参选</w:t>
            </w:r>
          </w:p>
        </w:tc>
        <w:tc>
          <w:tcPr>
            <w:tcW w:w="5476" w:type="dxa"/>
            <w:tcBorders>
              <w:left w:val="single" w:color="auto" w:sz="4" w:space="0"/>
            </w:tcBorders>
            <w:vAlign w:val="center"/>
          </w:tcPr>
          <w:p w14:paraId="153FD9DC">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符合第一章“2. 参选人资格要求”2.8 条的要求</w:t>
            </w:r>
          </w:p>
        </w:tc>
      </w:tr>
      <w:tr w14:paraId="5F94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14:paraId="7B91435C">
            <w:pPr>
              <w:spacing w:line="360" w:lineRule="auto"/>
              <w:ind w:firstLine="0" w:firstLineChars="0"/>
              <w:jc w:val="center"/>
              <w:rPr>
                <w:rFonts w:ascii="Times New Roman" w:hAnsi="Times New Roman" w:cs="宋体"/>
                <w:sz w:val="21"/>
                <w:szCs w:val="21"/>
              </w:rPr>
            </w:pPr>
            <w:r>
              <w:rPr>
                <w:rFonts w:hint="eastAsia" w:ascii="Times New Roman" w:hAnsi="Times New Roman" w:cs="宋体"/>
                <w:kern w:val="0"/>
                <w:sz w:val="21"/>
                <w:szCs w:val="21"/>
              </w:rPr>
              <w:t>2.2.3</w:t>
            </w:r>
          </w:p>
        </w:tc>
        <w:tc>
          <w:tcPr>
            <w:tcW w:w="1253" w:type="dxa"/>
            <w:vMerge w:val="restart"/>
            <w:tcBorders>
              <w:left w:val="single" w:color="auto" w:sz="4" w:space="0"/>
            </w:tcBorders>
            <w:vAlign w:val="center"/>
          </w:tcPr>
          <w:p w14:paraId="5E02CF27">
            <w:pPr>
              <w:spacing w:line="360" w:lineRule="auto"/>
              <w:ind w:firstLine="0" w:firstLineChars="0"/>
              <w:jc w:val="center"/>
              <w:rPr>
                <w:rFonts w:ascii="Times New Roman" w:hAnsi="Times New Roman" w:cs="宋体"/>
                <w:sz w:val="21"/>
                <w:szCs w:val="21"/>
              </w:rPr>
            </w:pPr>
            <w:r>
              <w:rPr>
                <w:rFonts w:hint="eastAsia" w:ascii="Times New Roman" w:hAnsi="Times New Roman" w:cs="宋体"/>
                <w:kern w:val="0"/>
                <w:sz w:val="21"/>
                <w:szCs w:val="21"/>
              </w:rPr>
              <w:t>响应性评审标准</w:t>
            </w:r>
          </w:p>
        </w:tc>
        <w:tc>
          <w:tcPr>
            <w:tcW w:w="1753" w:type="dxa"/>
            <w:tcBorders>
              <w:left w:val="single" w:color="auto" w:sz="4" w:space="0"/>
            </w:tcBorders>
            <w:vAlign w:val="center"/>
          </w:tcPr>
          <w:p w14:paraId="5E5B07CF">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参选内容</w:t>
            </w:r>
          </w:p>
        </w:tc>
        <w:tc>
          <w:tcPr>
            <w:tcW w:w="5476" w:type="dxa"/>
            <w:tcBorders>
              <w:left w:val="single" w:color="auto" w:sz="4" w:space="0"/>
            </w:tcBorders>
            <w:vAlign w:val="center"/>
          </w:tcPr>
          <w:p w14:paraId="48ED3530">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1. 在响应承诺函中对第三章“项目要求”内容做出整体承诺；</w:t>
            </w:r>
          </w:p>
          <w:p w14:paraId="3C40CD84">
            <w:pPr>
              <w:spacing w:line="360" w:lineRule="auto"/>
              <w:ind w:firstLine="0" w:firstLineChars="0"/>
              <w:jc w:val="left"/>
              <w:rPr>
                <w:rFonts w:ascii="Times New Roman" w:hAnsi="Times New Roman" w:cs="宋体"/>
                <w:color w:val="FF0000"/>
                <w:kern w:val="0"/>
                <w:sz w:val="21"/>
                <w:szCs w:val="21"/>
              </w:rPr>
            </w:pPr>
            <w:r>
              <w:rPr>
                <w:rFonts w:hint="eastAsia" w:ascii="Times New Roman" w:hAnsi="Times New Roman" w:cs="宋体"/>
                <w:kern w:val="0"/>
                <w:sz w:val="21"/>
                <w:szCs w:val="21"/>
              </w:rPr>
              <w:t xml:space="preserve">2. 根据第一章“2. </w:t>
            </w:r>
            <w:r>
              <w:rPr>
                <w:rFonts w:ascii="Times New Roman" w:hAnsi="Times New Roman" w:cs="宋体"/>
                <w:kern w:val="0"/>
                <w:sz w:val="21"/>
                <w:szCs w:val="21"/>
              </w:rPr>
              <w:t>参选人资格要求”和第三章“项目要求”的要求规定，提供对应案例、设备原厂商授权函原件、设备原厂商服务承诺函、设备原厂商供应保障函、CPU原厂商供应保障函、服务连续性预案、项目实施方案、说明等内容，内容齐全、无遗漏。</w:t>
            </w:r>
          </w:p>
          <w:p w14:paraId="02D68A71">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3. 根据第三章“</w:t>
            </w:r>
            <w:r>
              <w:rPr>
                <w:rFonts w:ascii="Times New Roman" w:hAnsi="Times New Roman" w:cs="宋体"/>
                <w:kern w:val="0"/>
                <w:sz w:val="21"/>
                <w:szCs w:val="21"/>
              </w:rPr>
              <w:t>3</w:t>
            </w:r>
            <w:r>
              <w:rPr>
                <w:rFonts w:hint="eastAsia" w:ascii="Times New Roman" w:hAnsi="Times New Roman" w:cs="宋体"/>
                <w:kern w:val="0"/>
                <w:sz w:val="21"/>
                <w:szCs w:val="21"/>
              </w:rPr>
              <w:t xml:space="preserve">. </w:t>
            </w:r>
            <w:r>
              <w:rPr>
                <w:rFonts w:ascii="Times New Roman" w:hAnsi="Times New Roman" w:cs="宋体"/>
                <w:kern w:val="0"/>
                <w:sz w:val="21"/>
                <w:szCs w:val="21"/>
              </w:rPr>
              <w:t>技术要求</w:t>
            </w:r>
            <w:r>
              <w:rPr>
                <w:rFonts w:hint="eastAsia" w:ascii="Times New Roman" w:hAnsi="Times New Roman" w:cs="宋体"/>
                <w:kern w:val="0"/>
                <w:sz w:val="21"/>
                <w:szCs w:val="21"/>
              </w:rPr>
              <w:t>”</w:t>
            </w:r>
            <w:r>
              <w:rPr>
                <w:rFonts w:ascii="Times New Roman" w:hAnsi="Times New Roman" w:cs="宋体"/>
                <w:kern w:val="0"/>
                <w:sz w:val="21"/>
                <w:szCs w:val="21"/>
              </w:rPr>
              <w:t>中</w:t>
            </w:r>
            <w:r>
              <w:rPr>
                <w:rFonts w:hint="eastAsia" w:ascii="Times New Roman" w:hAnsi="Times New Roman" w:cs="宋体"/>
                <w:kern w:val="0"/>
                <w:sz w:val="21"/>
                <w:szCs w:val="21"/>
              </w:rPr>
              <w:t>“</w:t>
            </w:r>
            <w:r>
              <w:rPr>
                <w:rFonts w:ascii="Times New Roman" w:hAnsi="Times New Roman" w:cs="宋体"/>
                <w:kern w:val="0"/>
                <w:sz w:val="21"/>
                <w:szCs w:val="21"/>
              </w:rPr>
              <w:t>3.2 详细配置要求</w:t>
            </w:r>
            <w:r>
              <w:rPr>
                <w:rFonts w:hint="eastAsia" w:ascii="Times New Roman" w:hAnsi="Times New Roman" w:cs="宋体"/>
                <w:kern w:val="0"/>
                <w:sz w:val="21"/>
                <w:szCs w:val="21"/>
              </w:rPr>
              <w:t>”</w:t>
            </w:r>
            <w:r>
              <w:rPr>
                <w:rFonts w:ascii="Times New Roman" w:hAnsi="Times New Roman" w:cs="宋体"/>
                <w:kern w:val="0"/>
                <w:sz w:val="21"/>
                <w:szCs w:val="21"/>
              </w:rPr>
              <w:t>的要求规定，提供技术条款偏离表，内容齐全</w:t>
            </w:r>
            <w:r>
              <w:rPr>
                <w:rFonts w:hint="eastAsia" w:ascii="Times New Roman" w:hAnsi="Times New Roman" w:cs="宋体"/>
                <w:kern w:val="0"/>
                <w:sz w:val="21"/>
                <w:szCs w:val="21"/>
              </w:rPr>
              <w:t>、无遗漏，无负偏差。</w:t>
            </w:r>
          </w:p>
        </w:tc>
      </w:tr>
      <w:tr w14:paraId="635B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7225D768"/>
        </w:tc>
        <w:tc>
          <w:tcPr>
            <w:tcW w:w="1253" w:type="dxa"/>
            <w:vMerge w:val="continue"/>
            <w:tcBorders>
              <w:left w:val="single" w:color="auto" w:sz="4" w:space="0"/>
            </w:tcBorders>
          </w:tcPr>
          <w:p w14:paraId="036454D6"/>
        </w:tc>
        <w:tc>
          <w:tcPr>
            <w:tcW w:w="1753" w:type="dxa"/>
            <w:tcBorders>
              <w:left w:val="single" w:color="auto" w:sz="4" w:space="0"/>
            </w:tcBorders>
            <w:vAlign w:val="center"/>
          </w:tcPr>
          <w:p w14:paraId="72ABA5F0">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参选文件份数</w:t>
            </w:r>
          </w:p>
        </w:tc>
        <w:tc>
          <w:tcPr>
            <w:tcW w:w="5476" w:type="dxa"/>
            <w:tcBorders>
              <w:left w:val="single" w:color="auto" w:sz="4" w:space="0"/>
            </w:tcBorders>
            <w:vAlign w:val="center"/>
          </w:tcPr>
          <w:p w14:paraId="5C6C5095">
            <w:pPr>
              <w:spacing w:line="240" w:lineRule="auto"/>
              <w:ind w:firstLine="0" w:firstLineChars="0"/>
              <w:rPr>
                <w:rFonts w:ascii="Times New Roman" w:hAnsi="Times New Roman" w:cs="宋体"/>
                <w:kern w:val="0"/>
                <w:sz w:val="21"/>
                <w:szCs w:val="21"/>
              </w:rPr>
            </w:pPr>
            <w:r>
              <w:rPr>
                <w:rFonts w:hint="eastAsia" w:ascii="Times New Roman" w:hAnsi="Times New Roman" w:cs="宋体"/>
                <w:kern w:val="0"/>
                <w:sz w:val="21"/>
                <w:szCs w:val="21"/>
              </w:rPr>
              <w:t>符合第二章“参选人须知”4.5 条规定</w:t>
            </w:r>
          </w:p>
        </w:tc>
      </w:tr>
      <w:tr w14:paraId="137F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0AA706E9"/>
        </w:tc>
        <w:tc>
          <w:tcPr>
            <w:tcW w:w="1253" w:type="dxa"/>
            <w:vMerge w:val="continue"/>
            <w:tcBorders>
              <w:left w:val="single" w:color="auto" w:sz="4" w:space="0"/>
            </w:tcBorders>
          </w:tcPr>
          <w:p w14:paraId="41ABDD87"/>
        </w:tc>
        <w:tc>
          <w:tcPr>
            <w:tcW w:w="1753" w:type="dxa"/>
            <w:tcBorders>
              <w:left w:val="single" w:color="auto" w:sz="4" w:space="0"/>
            </w:tcBorders>
            <w:vAlign w:val="center"/>
          </w:tcPr>
          <w:p w14:paraId="19C77BB2">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参选方案唯一</w:t>
            </w:r>
          </w:p>
        </w:tc>
        <w:tc>
          <w:tcPr>
            <w:tcW w:w="5476" w:type="dxa"/>
            <w:tcBorders>
              <w:left w:val="single" w:color="auto" w:sz="4" w:space="0"/>
            </w:tcBorders>
            <w:vAlign w:val="center"/>
          </w:tcPr>
          <w:p w14:paraId="260D5006">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只能有一个方案参选。</w:t>
            </w:r>
          </w:p>
        </w:tc>
      </w:tr>
      <w:tr w14:paraId="0B94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23287934"/>
        </w:tc>
        <w:tc>
          <w:tcPr>
            <w:tcW w:w="1253" w:type="dxa"/>
            <w:vMerge w:val="continue"/>
            <w:tcBorders>
              <w:left w:val="single" w:color="auto" w:sz="4" w:space="0"/>
            </w:tcBorders>
          </w:tcPr>
          <w:p w14:paraId="55F8351B"/>
        </w:tc>
        <w:tc>
          <w:tcPr>
            <w:tcW w:w="1753" w:type="dxa"/>
            <w:tcBorders>
              <w:left w:val="single" w:color="auto" w:sz="4" w:space="0"/>
            </w:tcBorders>
            <w:vAlign w:val="center"/>
          </w:tcPr>
          <w:p w14:paraId="35A1294B">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参选报价</w:t>
            </w:r>
          </w:p>
        </w:tc>
        <w:tc>
          <w:tcPr>
            <w:tcW w:w="5476" w:type="dxa"/>
            <w:tcBorders>
              <w:left w:val="single" w:color="auto" w:sz="4" w:space="0"/>
            </w:tcBorders>
            <w:vAlign w:val="center"/>
          </w:tcPr>
          <w:p w14:paraId="47411AED">
            <w:pPr>
              <w:adjustRightInd w:val="0"/>
              <w:snapToGrid w:val="0"/>
              <w:spacing w:line="360" w:lineRule="auto"/>
              <w:ind w:firstLine="0" w:firstLineChars="0"/>
              <w:rPr>
                <w:rFonts w:ascii="Times New Roman" w:hAnsi="Times New Roman" w:cs="宋体"/>
                <w:kern w:val="0"/>
                <w:sz w:val="21"/>
                <w:szCs w:val="21"/>
              </w:rPr>
            </w:pPr>
            <w:r>
              <w:rPr>
                <w:rFonts w:hint="eastAsia" w:ascii="Times New Roman" w:hAnsi="Times New Roman" w:cs="宋体"/>
                <w:kern w:val="0"/>
                <w:sz w:val="21"/>
                <w:szCs w:val="21"/>
              </w:rPr>
              <w:t>符合第二章“参选人须知”4.7 条规定</w:t>
            </w:r>
          </w:p>
        </w:tc>
      </w:tr>
      <w:tr w14:paraId="4604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043ABF53"/>
        </w:tc>
        <w:tc>
          <w:tcPr>
            <w:tcW w:w="1253" w:type="dxa"/>
            <w:vMerge w:val="continue"/>
            <w:tcBorders>
              <w:left w:val="single" w:color="auto" w:sz="4" w:space="0"/>
            </w:tcBorders>
          </w:tcPr>
          <w:p w14:paraId="77181E30"/>
        </w:tc>
        <w:tc>
          <w:tcPr>
            <w:tcW w:w="1753" w:type="dxa"/>
            <w:tcBorders>
              <w:left w:val="single" w:color="auto" w:sz="4" w:space="0"/>
            </w:tcBorders>
            <w:vAlign w:val="center"/>
          </w:tcPr>
          <w:p w14:paraId="24CD0D58">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参选有效期</w:t>
            </w:r>
          </w:p>
        </w:tc>
        <w:tc>
          <w:tcPr>
            <w:tcW w:w="5476" w:type="dxa"/>
            <w:tcBorders>
              <w:left w:val="single" w:color="auto" w:sz="4" w:space="0"/>
            </w:tcBorders>
          </w:tcPr>
          <w:p w14:paraId="6357DBA2">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符合第二章“参选人须知”4.3 条规定</w:t>
            </w:r>
          </w:p>
        </w:tc>
      </w:tr>
      <w:tr w14:paraId="3EFE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3C00E3DA"/>
        </w:tc>
        <w:tc>
          <w:tcPr>
            <w:tcW w:w="1253" w:type="dxa"/>
            <w:vMerge w:val="continue"/>
            <w:tcBorders>
              <w:left w:val="single" w:color="auto" w:sz="4" w:space="0"/>
            </w:tcBorders>
          </w:tcPr>
          <w:p w14:paraId="5E143E55"/>
        </w:tc>
        <w:tc>
          <w:tcPr>
            <w:tcW w:w="1753" w:type="dxa"/>
            <w:tcBorders>
              <w:left w:val="single" w:color="auto" w:sz="4" w:space="0"/>
            </w:tcBorders>
            <w:vAlign w:val="center"/>
          </w:tcPr>
          <w:p w14:paraId="670A42EC">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参选保证金</w:t>
            </w:r>
          </w:p>
        </w:tc>
        <w:tc>
          <w:tcPr>
            <w:tcW w:w="5476" w:type="dxa"/>
            <w:tcBorders>
              <w:left w:val="single" w:color="auto" w:sz="4" w:space="0"/>
            </w:tcBorders>
          </w:tcPr>
          <w:p w14:paraId="0B93A851">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符合第二章“参选人须知”4.4 条规定</w:t>
            </w:r>
          </w:p>
        </w:tc>
      </w:tr>
      <w:tr w14:paraId="0E1E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982" w:type="dxa"/>
            <w:vAlign w:val="center"/>
          </w:tcPr>
          <w:p w14:paraId="1E5A13E6">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sz w:val="21"/>
                <w:szCs w:val="21"/>
              </w:rPr>
              <w:t>3</w:t>
            </w:r>
          </w:p>
        </w:tc>
        <w:tc>
          <w:tcPr>
            <w:tcW w:w="1253" w:type="dxa"/>
            <w:tcBorders>
              <w:left w:val="single" w:color="auto" w:sz="4" w:space="0"/>
            </w:tcBorders>
            <w:vAlign w:val="center"/>
          </w:tcPr>
          <w:p w14:paraId="00A128FA">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sz w:val="21"/>
                <w:szCs w:val="21"/>
              </w:rPr>
              <w:t>评审程序</w:t>
            </w:r>
          </w:p>
        </w:tc>
        <w:tc>
          <w:tcPr>
            <w:tcW w:w="7229" w:type="dxa"/>
            <w:gridSpan w:val="2"/>
            <w:tcBorders>
              <w:left w:val="single" w:color="auto" w:sz="4" w:space="0"/>
            </w:tcBorders>
          </w:tcPr>
          <w:p w14:paraId="5456F41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textAlignment w:val="auto"/>
              <w:rPr>
                <w:rFonts w:hint="eastAsia" w:ascii="宋体" w:hAnsi="宋体" w:eastAsia="宋体" w:cs="宋体"/>
                <w:color w:val="auto"/>
                <w:spacing w:val="4"/>
                <w:kern w:val="0"/>
                <w:sz w:val="21"/>
                <w:szCs w:val="21"/>
                <w:highlight w:val="none"/>
              </w:rPr>
            </w:pPr>
            <w:r>
              <w:rPr>
                <w:rFonts w:hint="eastAsia" w:ascii="宋体" w:hAnsi="宋体" w:cs="宋体"/>
                <w:color w:val="auto"/>
                <w:spacing w:val="4"/>
                <w:kern w:val="0"/>
                <w:sz w:val="21"/>
                <w:szCs w:val="21"/>
                <w:highlight w:val="none"/>
                <w:lang w:val="en-US" w:eastAsia="zh-CN"/>
              </w:rPr>
              <w:t>1.</w:t>
            </w:r>
            <w:r>
              <w:rPr>
                <w:rFonts w:hint="eastAsia" w:ascii="宋体" w:hAnsi="宋体" w:eastAsia="宋体" w:cs="宋体"/>
                <w:color w:val="auto"/>
                <w:spacing w:val="4"/>
                <w:kern w:val="0"/>
                <w:sz w:val="21"/>
                <w:szCs w:val="21"/>
                <w:highlight w:val="none"/>
              </w:rPr>
              <w:t>评</w:t>
            </w:r>
            <w:r>
              <w:rPr>
                <w:rFonts w:hint="eastAsia" w:ascii="宋体" w:hAnsi="宋体" w:eastAsia="宋体" w:cs="宋体"/>
                <w:color w:val="auto"/>
                <w:spacing w:val="4"/>
                <w:kern w:val="0"/>
                <w:sz w:val="21"/>
                <w:szCs w:val="21"/>
                <w:highlight w:val="none"/>
                <w:lang w:val="en-US" w:eastAsia="zh-CN"/>
              </w:rPr>
              <w:t>审</w:t>
            </w:r>
            <w:r>
              <w:rPr>
                <w:rFonts w:hint="eastAsia" w:ascii="宋体" w:hAnsi="宋体" w:eastAsia="宋体" w:cs="宋体"/>
                <w:color w:val="auto"/>
                <w:spacing w:val="4"/>
                <w:kern w:val="0"/>
                <w:sz w:val="21"/>
                <w:szCs w:val="21"/>
                <w:highlight w:val="none"/>
              </w:rPr>
              <w:t>委员会</w:t>
            </w:r>
            <w:r>
              <w:rPr>
                <w:rFonts w:hint="eastAsia" w:ascii="宋体" w:hAnsi="宋体" w:cs="宋体"/>
                <w:color w:val="auto"/>
                <w:spacing w:val="4"/>
                <w:kern w:val="0"/>
                <w:sz w:val="21"/>
                <w:szCs w:val="21"/>
                <w:highlight w:val="none"/>
                <w:lang w:val="en-US" w:eastAsia="zh-CN"/>
              </w:rPr>
              <w:t>所有参选文件</w:t>
            </w:r>
            <w:r>
              <w:rPr>
                <w:rFonts w:hint="eastAsia" w:ascii="宋体" w:hAnsi="宋体" w:eastAsia="宋体" w:cs="宋体"/>
                <w:color w:val="auto"/>
                <w:spacing w:val="4"/>
                <w:kern w:val="0"/>
                <w:sz w:val="21"/>
                <w:szCs w:val="21"/>
                <w:highlight w:val="none"/>
              </w:rPr>
              <w:t>进行符合性审查</w:t>
            </w:r>
          </w:p>
          <w:p w14:paraId="3CE32AA5">
            <w:pPr>
              <w:spacing w:line="360" w:lineRule="auto"/>
              <w:ind w:firstLine="0" w:firstLineChars="0"/>
              <w:rPr>
                <w:rFonts w:ascii="Times New Roman" w:hAnsi="Times New Roman" w:cs="宋体"/>
                <w:sz w:val="21"/>
                <w:szCs w:val="21"/>
              </w:rPr>
            </w:pPr>
            <w:r>
              <w:rPr>
                <w:rFonts w:hint="eastAsia" w:ascii="宋体" w:hAnsi="宋体" w:cs="宋体"/>
                <w:color w:val="auto"/>
                <w:spacing w:val="4"/>
                <w:kern w:val="0"/>
                <w:sz w:val="21"/>
                <w:szCs w:val="21"/>
                <w:highlight w:val="none"/>
                <w:lang w:val="en-US" w:eastAsia="zh-CN"/>
              </w:rPr>
              <w:t>2.评审委员会对通过符合性审查的参选文件</w:t>
            </w:r>
            <w:r>
              <w:rPr>
                <w:rFonts w:hint="eastAsia" w:ascii="宋体" w:hAnsi="宋体" w:eastAsia="宋体" w:cs="宋体"/>
                <w:color w:val="auto"/>
                <w:spacing w:val="4"/>
                <w:kern w:val="0"/>
                <w:sz w:val="21"/>
                <w:szCs w:val="21"/>
                <w:highlight w:val="none"/>
              </w:rPr>
              <w:t>进行报价排序，按报价由低到高推荐</w:t>
            </w:r>
            <w:r>
              <w:rPr>
                <w:rFonts w:hint="eastAsia" w:ascii="宋体" w:hAnsi="宋体" w:cs="宋体"/>
                <w:color w:val="auto"/>
                <w:spacing w:val="4"/>
                <w:kern w:val="0"/>
                <w:sz w:val="21"/>
                <w:szCs w:val="21"/>
                <w:highlight w:val="none"/>
                <w:lang w:val="en-US" w:eastAsia="zh-CN"/>
              </w:rPr>
              <w:t>1-</w:t>
            </w:r>
            <w:r>
              <w:rPr>
                <w:rFonts w:hint="eastAsia" w:ascii="宋体" w:hAnsi="宋体" w:eastAsia="宋体" w:cs="宋体"/>
                <w:color w:val="auto"/>
                <w:spacing w:val="4"/>
                <w:kern w:val="0"/>
                <w:sz w:val="21"/>
                <w:szCs w:val="21"/>
                <w:highlight w:val="none"/>
                <w:lang w:val="en-US" w:eastAsia="zh-CN"/>
              </w:rPr>
              <w:t>3名</w:t>
            </w:r>
            <w:r>
              <w:rPr>
                <w:rFonts w:hint="eastAsia" w:ascii="宋体" w:hAnsi="宋体" w:eastAsia="宋体" w:cs="宋体"/>
                <w:color w:val="auto"/>
                <w:spacing w:val="4"/>
                <w:kern w:val="0"/>
                <w:sz w:val="21"/>
                <w:szCs w:val="21"/>
                <w:highlight w:val="none"/>
              </w:rPr>
              <w:t>中</w:t>
            </w:r>
            <w:r>
              <w:rPr>
                <w:rFonts w:hint="eastAsia" w:ascii="宋体" w:hAnsi="宋体" w:eastAsia="宋体" w:cs="宋体"/>
                <w:color w:val="auto"/>
                <w:spacing w:val="4"/>
                <w:kern w:val="0"/>
                <w:sz w:val="21"/>
                <w:szCs w:val="21"/>
                <w:highlight w:val="none"/>
                <w:lang w:val="en-US" w:eastAsia="zh-CN"/>
              </w:rPr>
              <w:t>选</w:t>
            </w:r>
            <w:r>
              <w:rPr>
                <w:rFonts w:hint="eastAsia" w:ascii="宋体" w:hAnsi="宋体" w:eastAsia="宋体" w:cs="宋体"/>
                <w:color w:val="auto"/>
                <w:spacing w:val="4"/>
                <w:kern w:val="0"/>
                <w:sz w:val="21"/>
                <w:szCs w:val="21"/>
                <w:highlight w:val="none"/>
              </w:rPr>
              <w:t>候选人。</w:t>
            </w:r>
            <w:r>
              <w:rPr>
                <w:rFonts w:hint="eastAsia" w:ascii="宋体" w:hAnsi="宋体" w:eastAsia="宋体" w:cs="宋体"/>
                <w:color w:val="auto"/>
                <w:kern w:val="0"/>
                <w:sz w:val="21"/>
                <w:szCs w:val="21"/>
                <w:highlight w:val="none"/>
              </w:rPr>
              <w:t>报价最低的成为第一中</w:t>
            </w:r>
            <w:r>
              <w:rPr>
                <w:rFonts w:hint="eastAsia" w:ascii="宋体" w:hAnsi="宋体" w:eastAsia="宋体" w:cs="宋体"/>
                <w:color w:val="auto"/>
                <w:kern w:val="0"/>
                <w:sz w:val="21"/>
                <w:szCs w:val="21"/>
                <w:highlight w:val="none"/>
                <w:lang w:val="en-US" w:eastAsia="zh-CN"/>
              </w:rPr>
              <w:t>选</w:t>
            </w:r>
            <w:r>
              <w:rPr>
                <w:rFonts w:hint="eastAsia" w:ascii="宋体" w:hAnsi="宋体" w:eastAsia="宋体" w:cs="宋体"/>
                <w:color w:val="auto"/>
                <w:kern w:val="0"/>
                <w:sz w:val="21"/>
                <w:szCs w:val="21"/>
                <w:highlight w:val="none"/>
              </w:rPr>
              <w:t>候选人，报价次低的成为第二中</w:t>
            </w:r>
            <w:r>
              <w:rPr>
                <w:rFonts w:hint="eastAsia" w:ascii="宋体" w:hAnsi="宋体" w:eastAsia="宋体" w:cs="宋体"/>
                <w:color w:val="auto"/>
                <w:kern w:val="0"/>
                <w:sz w:val="21"/>
                <w:szCs w:val="21"/>
                <w:highlight w:val="none"/>
                <w:lang w:val="en-US" w:eastAsia="zh-CN"/>
              </w:rPr>
              <w:t>选</w:t>
            </w:r>
            <w:r>
              <w:rPr>
                <w:rFonts w:hint="eastAsia" w:ascii="宋体" w:hAnsi="宋体" w:eastAsia="宋体" w:cs="宋体"/>
                <w:color w:val="auto"/>
                <w:kern w:val="0"/>
                <w:sz w:val="21"/>
                <w:szCs w:val="21"/>
                <w:highlight w:val="none"/>
              </w:rPr>
              <w:t>候选人，依次类推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共推荐</w:t>
            </w:r>
            <w:r>
              <w:rPr>
                <w:rFonts w:hint="eastAsia" w:ascii="宋体" w:hAnsi="宋体" w:cs="宋体"/>
                <w:color w:val="auto"/>
                <w:kern w:val="0"/>
                <w:sz w:val="21"/>
                <w:szCs w:val="21"/>
                <w:highlight w:val="none"/>
                <w:lang w:val="en-US" w:eastAsia="zh-CN"/>
              </w:rPr>
              <w:t>1-3</w:t>
            </w:r>
            <w:r>
              <w:rPr>
                <w:rFonts w:hint="eastAsia" w:ascii="宋体" w:hAnsi="宋体" w:eastAsia="宋体" w:cs="宋体"/>
                <w:color w:val="auto"/>
                <w:kern w:val="0"/>
                <w:sz w:val="21"/>
                <w:szCs w:val="21"/>
                <w:highlight w:val="none"/>
                <w:lang w:val="en-US" w:eastAsia="zh-CN"/>
              </w:rPr>
              <w:t>名中选候选人</w:t>
            </w:r>
            <w:r>
              <w:rPr>
                <w:rFonts w:hint="eastAsia" w:ascii="宋体" w:hAnsi="宋体" w:eastAsia="宋体" w:cs="宋体"/>
                <w:color w:val="auto"/>
                <w:kern w:val="0"/>
                <w:sz w:val="21"/>
                <w:szCs w:val="21"/>
                <w:highlight w:val="none"/>
              </w:rPr>
              <w:t>。</w:t>
            </w:r>
          </w:p>
        </w:tc>
      </w:tr>
      <w:tr w14:paraId="4668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14:paraId="27285604">
            <w:pPr>
              <w:spacing w:line="360" w:lineRule="auto"/>
              <w:ind w:firstLine="0" w:firstLineChars="0"/>
              <w:jc w:val="center"/>
              <w:rPr>
                <w:rFonts w:ascii="Times New Roman" w:hAnsi="Times New Roman" w:cs="宋体"/>
                <w:sz w:val="21"/>
                <w:szCs w:val="21"/>
              </w:rPr>
            </w:pPr>
            <w:r>
              <w:rPr>
                <w:rFonts w:hint="eastAsia" w:ascii="Times New Roman" w:hAnsi="Times New Roman" w:cs="宋体"/>
                <w:sz w:val="21"/>
                <w:szCs w:val="21"/>
              </w:rPr>
              <w:t>3.4</w:t>
            </w:r>
          </w:p>
        </w:tc>
        <w:tc>
          <w:tcPr>
            <w:tcW w:w="1253" w:type="dxa"/>
            <w:tcBorders>
              <w:left w:val="single" w:color="auto" w:sz="4" w:space="0"/>
            </w:tcBorders>
            <w:vAlign w:val="center"/>
          </w:tcPr>
          <w:p w14:paraId="0C117C1D">
            <w:pPr>
              <w:spacing w:line="360" w:lineRule="auto"/>
              <w:ind w:firstLine="0" w:firstLineChars="0"/>
              <w:jc w:val="center"/>
              <w:rPr>
                <w:rFonts w:ascii="Times New Roman" w:hAnsi="Times New Roman" w:cs="宋体"/>
                <w:sz w:val="21"/>
                <w:szCs w:val="21"/>
              </w:rPr>
            </w:pPr>
            <w:r>
              <w:rPr>
                <w:rFonts w:hint="eastAsia" w:ascii="Times New Roman" w:hAnsi="Times New Roman" w:cs="宋体"/>
                <w:sz w:val="21"/>
                <w:szCs w:val="21"/>
              </w:rPr>
              <w:t>评审结果</w:t>
            </w:r>
          </w:p>
        </w:tc>
        <w:tc>
          <w:tcPr>
            <w:tcW w:w="7229" w:type="dxa"/>
            <w:gridSpan w:val="2"/>
            <w:tcBorders>
              <w:left w:val="single" w:color="auto" w:sz="4" w:space="0"/>
            </w:tcBorders>
            <w:vAlign w:val="center"/>
          </w:tcPr>
          <w:p w14:paraId="08AB7DF4">
            <w:pPr>
              <w:adjustRightInd w:val="0"/>
              <w:snapToGrid w:val="0"/>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3.</w:t>
            </w:r>
            <w:r>
              <w:rPr>
                <w:rFonts w:hint="eastAsia" w:ascii="Times New Roman" w:hAnsi="Times New Roman" w:cs="宋体"/>
                <w:spacing w:val="-1"/>
                <w:kern w:val="0"/>
                <w:sz w:val="21"/>
                <w:szCs w:val="21"/>
              </w:rPr>
              <w:t>4</w:t>
            </w:r>
            <w:r>
              <w:rPr>
                <w:rFonts w:hint="eastAsia" w:ascii="Times New Roman" w:hAnsi="Times New Roman" w:cs="宋体"/>
                <w:kern w:val="0"/>
                <w:sz w:val="21"/>
                <w:szCs w:val="21"/>
              </w:rPr>
              <w:t>.1 评审</w:t>
            </w:r>
            <w:r>
              <w:rPr>
                <w:rFonts w:hint="eastAsia" w:ascii="Times New Roman" w:hAnsi="Times New Roman" w:cs="宋体"/>
                <w:spacing w:val="1"/>
                <w:kern w:val="0"/>
                <w:sz w:val="21"/>
                <w:szCs w:val="21"/>
              </w:rPr>
              <w:t>委</w:t>
            </w:r>
            <w:r>
              <w:rPr>
                <w:rFonts w:hint="eastAsia" w:ascii="Times New Roman" w:hAnsi="Times New Roman" w:cs="宋体"/>
                <w:kern w:val="0"/>
                <w:sz w:val="21"/>
                <w:szCs w:val="21"/>
              </w:rPr>
              <w:t>员会按经评审的最低价法推荐中选候选人。</w:t>
            </w:r>
          </w:p>
          <w:p w14:paraId="2F5A63FA">
            <w:pPr>
              <w:spacing w:line="360" w:lineRule="auto"/>
              <w:ind w:firstLine="0" w:firstLineChars="0"/>
              <w:jc w:val="left"/>
              <w:rPr>
                <w:rFonts w:ascii="Times New Roman" w:hAnsi="Times New Roman" w:cs="宋体"/>
                <w:sz w:val="21"/>
                <w:szCs w:val="21"/>
              </w:rPr>
            </w:pPr>
            <w:r>
              <w:rPr>
                <w:rFonts w:hint="eastAsia" w:ascii="Times New Roman" w:hAnsi="Times New Roman" w:cs="宋体"/>
                <w:spacing w:val="1"/>
                <w:kern w:val="0"/>
                <w:sz w:val="21"/>
                <w:szCs w:val="21"/>
              </w:rPr>
              <w:t>3</w:t>
            </w:r>
            <w:r>
              <w:rPr>
                <w:rFonts w:hint="eastAsia" w:ascii="Times New Roman" w:hAnsi="Times New Roman" w:cs="宋体"/>
                <w:kern w:val="0"/>
                <w:sz w:val="21"/>
                <w:szCs w:val="21"/>
              </w:rPr>
              <w:t>.4.2 评审</w:t>
            </w:r>
            <w:r>
              <w:rPr>
                <w:rFonts w:hint="eastAsia" w:ascii="Times New Roman" w:hAnsi="Times New Roman" w:cs="宋体"/>
                <w:spacing w:val="-1"/>
                <w:kern w:val="0"/>
                <w:sz w:val="21"/>
                <w:szCs w:val="21"/>
              </w:rPr>
              <w:t>委</w:t>
            </w:r>
            <w:r>
              <w:rPr>
                <w:rFonts w:hint="eastAsia" w:ascii="Times New Roman" w:hAnsi="Times New Roman" w:cs="宋体"/>
                <w:kern w:val="0"/>
                <w:sz w:val="21"/>
                <w:szCs w:val="21"/>
              </w:rPr>
              <w:t>员会完成评审后，应当向比选人提交书面评审报告。</w:t>
            </w:r>
          </w:p>
        </w:tc>
      </w:tr>
    </w:tbl>
    <w:p w14:paraId="278F85DF">
      <w:pPr>
        <w:rPr>
          <w:rFonts w:ascii="Times New Roman" w:hAnsi="Times New Roman" w:cs="宋体"/>
          <w:snapToGrid w:val="0"/>
          <w:sz w:val="21"/>
          <w:szCs w:val="21"/>
        </w:rPr>
      </w:pPr>
      <w:r>
        <w:rPr>
          <w:rFonts w:hint="eastAsia" w:ascii="Times New Roman" w:hAnsi="Times New Roman" w:cs="宋体"/>
          <w:snapToGrid w:val="0"/>
          <w:sz w:val="21"/>
          <w:szCs w:val="21"/>
        </w:rPr>
        <w:br w:type="page"/>
      </w:r>
    </w:p>
    <w:p w14:paraId="20174D10">
      <w:pPr>
        <w:pStyle w:val="3"/>
        <w:bidi w:val="0"/>
        <w:rPr>
          <w:color w:val="auto"/>
          <w:highlight w:val="none"/>
          <w:lang w:val="en-US" w:eastAsia="zh-CN"/>
        </w:rPr>
      </w:pPr>
      <w:bookmarkStart w:id="65" w:name="_Toc32646"/>
      <w:bookmarkStart w:id="66" w:name="_Toc2724"/>
      <w:bookmarkStart w:id="67" w:name="_Toc25275"/>
      <w:r>
        <w:rPr>
          <w:color w:val="auto"/>
          <w:highlight w:val="none"/>
          <w:lang w:val="en-US" w:eastAsia="zh-CN"/>
        </w:rPr>
        <w:t>1.</w:t>
      </w:r>
      <w:r>
        <w:rPr>
          <w:rFonts w:hint="eastAsia"/>
          <w:color w:val="auto"/>
          <w:highlight w:val="none"/>
          <w:lang w:val="en-US" w:eastAsia="zh-CN"/>
        </w:rPr>
        <w:t xml:space="preserve"> 评审</w:t>
      </w:r>
      <w:r>
        <w:rPr>
          <w:color w:val="auto"/>
          <w:highlight w:val="none"/>
          <w:lang w:val="en-US" w:eastAsia="zh-CN"/>
        </w:rPr>
        <w:t>方法</w:t>
      </w:r>
    </w:p>
    <w:p w14:paraId="063C9C72">
      <w:pPr>
        <w:bidi w:val="0"/>
        <w:rPr>
          <w:color w:val="auto"/>
          <w:highlight w:val="none"/>
        </w:rPr>
      </w:pPr>
      <w:r>
        <w:rPr>
          <w:rFonts w:hint="eastAsia"/>
          <w:color w:val="auto"/>
          <w:highlight w:val="none"/>
        </w:rPr>
        <w:t>本次</w:t>
      </w:r>
      <w:r>
        <w:rPr>
          <w:rFonts w:hint="eastAsia"/>
          <w:color w:val="auto"/>
          <w:highlight w:val="none"/>
          <w:lang w:eastAsia="zh-CN"/>
        </w:rPr>
        <w:t>评审</w:t>
      </w:r>
      <w:r>
        <w:rPr>
          <w:rFonts w:hint="eastAsia"/>
          <w:color w:val="auto"/>
          <w:highlight w:val="none"/>
        </w:rPr>
        <w:t>采用</w:t>
      </w:r>
      <w:r>
        <w:rPr>
          <w:rFonts w:hint="eastAsia"/>
          <w:color w:val="auto"/>
          <w:highlight w:val="none"/>
          <w:lang w:eastAsia="zh-CN"/>
        </w:rPr>
        <w:t>经评审的最低价法</w:t>
      </w:r>
      <w:r>
        <w:rPr>
          <w:rFonts w:hint="eastAsia"/>
          <w:color w:val="auto"/>
          <w:highlight w:val="none"/>
        </w:rPr>
        <w:t>，评审委员会按照评审办法前附表第2.1 条进行符合性审查，再按照评审办法前附表第2.2 条进行报价排序，符合性审查合格的</w:t>
      </w:r>
      <w:r>
        <w:rPr>
          <w:rFonts w:hint="eastAsia"/>
          <w:color w:val="auto"/>
          <w:highlight w:val="none"/>
          <w:lang w:eastAsia="zh-CN"/>
        </w:rPr>
        <w:t>参选人</w:t>
      </w:r>
      <w:r>
        <w:rPr>
          <w:rFonts w:hint="eastAsia"/>
          <w:color w:val="auto"/>
          <w:highlight w:val="none"/>
        </w:rPr>
        <w:t>中按报价由低到高推荐</w:t>
      </w:r>
      <w:r>
        <w:rPr>
          <w:rFonts w:hint="eastAsia"/>
          <w:color w:val="auto"/>
          <w:highlight w:val="none"/>
          <w:lang w:eastAsia="zh-CN"/>
        </w:rPr>
        <w:t>中选候选人</w:t>
      </w:r>
      <w:r>
        <w:rPr>
          <w:rFonts w:hint="eastAsia"/>
          <w:color w:val="auto"/>
          <w:highlight w:val="none"/>
        </w:rPr>
        <w:t>。若出现</w:t>
      </w:r>
      <w:r>
        <w:rPr>
          <w:rFonts w:hint="eastAsia"/>
          <w:color w:val="auto"/>
          <w:highlight w:val="none"/>
          <w:lang w:eastAsia="zh-CN"/>
        </w:rPr>
        <w:t>参选人参选</w:t>
      </w:r>
      <w:r>
        <w:rPr>
          <w:rFonts w:hint="eastAsia"/>
          <w:color w:val="auto"/>
          <w:highlight w:val="none"/>
        </w:rPr>
        <w:t>报价相同的，以</w:t>
      </w:r>
      <w:r>
        <w:rPr>
          <w:rFonts w:hint="eastAsia"/>
          <w:color w:val="auto"/>
          <w:highlight w:val="none"/>
          <w:lang w:eastAsia="zh-CN"/>
        </w:rPr>
        <w:t>评审</w:t>
      </w:r>
      <w:r>
        <w:rPr>
          <w:rFonts w:hint="eastAsia"/>
          <w:color w:val="auto"/>
          <w:highlight w:val="none"/>
        </w:rPr>
        <w:t>办法前附表约定的原则确定排序。</w:t>
      </w:r>
    </w:p>
    <w:p w14:paraId="210831F4">
      <w:pPr>
        <w:pStyle w:val="3"/>
        <w:bidi w:val="0"/>
        <w:rPr>
          <w:color w:val="auto"/>
          <w:highlight w:val="none"/>
          <w:lang w:val="en-US" w:eastAsia="zh-CN"/>
        </w:rPr>
      </w:pPr>
      <w:r>
        <w:rPr>
          <w:color w:val="auto"/>
          <w:highlight w:val="none"/>
          <w:lang w:val="en-US" w:eastAsia="zh-CN"/>
        </w:rPr>
        <w:t>2.</w:t>
      </w:r>
      <w:r>
        <w:rPr>
          <w:rFonts w:hint="eastAsia"/>
          <w:color w:val="auto"/>
          <w:highlight w:val="none"/>
          <w:lang w:val="en-US" w:eastAsia="zh-CN"/>
        </w:rPr>
        <w:t xml:space="preserve"> </w:t>
      </w:r>
      <w:r>
        <w:rPr>
          <w:color w:val="auto"/>
          <w:highlight w:val="none"/>
          <w:lang w:val="en-US" w:eastAsia="zh-CN"/>
        </w:rPr>
        <w:t>评审标准</w:t>
      </w:r>
    </w:p>
    <w:p w14:paraId="3A2E805D">
      <w:pPr>
        <w:pStyle w:val="4"/>
        <w:bidi w:val="0"/>
        <w:rPr>
          <w:color w:val="auto"/>
          <w:highlight w:val="none"/>
          <w:lang w:val="en-US" w:eastAsia="zh-CN"/>
        </w:rPr>
      </w:pPr>
      <w:r>
        <w:rPr>
          <w:color w:val="auto"/>
          <w:highlight w:val="none"/>
          <w:lang w:val="en-US" w:eastAsia="zh-CN"/>
        </w:rPr>
        <w:t>2.</w:t>
      </w:r>
      <w:r>
        <w:rPr>
          <w:rFonts w:hint="eastAsia"/>
          <w:color w:val="auto"/>
          <w:highlight w:val="none"/>
          <w:lang w:val="en-US" w:eastAsia="zh-CN"/>
        </w:rPr>
        <w:t>1 符合性审查标准</w:t>
      </w:r>
    </w:p>
    <w:p w14:paraId="4007C3FE">
      <w:pPr>
        <w:bidi w:val="0"/>
        <w:rPr>
          <w:color w:val="auto"/>
          <w:highlight w:val="none"/>
        </w:rPr>
      </w:pPr>
      <w:r>
        <w:rPr>
          <w:rFonts w:hint="eastAsia"/>
          <w:color w:val="auto"/>
          <w:highlight w:val="none"/>
        </w:rPr>
        <w:t>按</w:t>
      </w:r>
      <w:r>
        <w:rPr>
          <w:rFonts w:hint="eastAsia"/>
          <w:color w:val="auto"/>
          <w:highlight w:val="none"/>
          <w:lang w:eastAsia="zh-CN"/>
        </w:rPr>
        <w:t>评审</w:t>
      </w:r>
      <w:r>
        <w:rPr>
          <w:rFonts w:hint="eastAsia"/>
          <w:color w:val="auto"/>
          <w:highlight w:val="none"/>
        </w:rPr>
        <w:t>办法前附表约定的</w:t>
      </w:r>
      <w:r>
        <w:rPr>
          <w:rFonts w:hint="eastAsia"/>
          <w:color w:val="auto"/>
          <w:highlight w:val="none"/>
          <w:lang w:val="en-US" w:eastAsia="zh-CN"/>
        </w:rPr>
        <w:t>审查标准</w:t>
      </w:r>
      <w:r>
        <w:rPr>
          <w:rFonts w:hint="eastAsia"/>
          <w:color w:val="auto"/>
          <w:highlight w:val="none"/>
        </w:rPr>
        <w:t>进行符合性审查。符合性审查内容：资格评审、形式评审、响应性评审。</w:t>
      </w:r>
    </w:p>
    <w:p w14:paraId="4745C2D4">
      <w:pPr>
        <w:bidi w:val="0"/>
        <w:rPr>
          <w:color w:val="auto"/>
          <w:highlight w:val="none"/>
        </w:rPr>
      </w:pPr>
      <w:r>
        <w:rPr>
          <w:color w:val="auto"/>
          <w:highlight w:val="none"/>
        </w:rPr>
        <w:t>2.</w:t>
      </w:r>
      <w:r>
        <w:rPr>
          <w:rFonts w:hint="eastAsia"/>
          <w:color w:val="auto"/>
          <w:highlight w:val="none"/>
          <w:lang w:val="en-US" w:eastAsia="zh-CN"/>
        </w:rPr>
        <w:t>1</w:t>
      </w:r>
      <w:r>
        <w:rPr>
          <w:color w:val="auto"/>
          <w:highlight w:val="none"/>
        </w:rPr>
        <w:t>.</w:t>
      </w:r>
      <w:r>
        <w:rPr>
          <w:rFonts w:hint="eastAsia"/>
          <w:color w:val="auto"/>
          <w:highlight w:val="none"/>
          <w:lang w:val="en-US" w:eastAsia="zh-CN"/>
        </w:rPr>
        <w:t>1</w:t>
      </w:r>
      <w:r>
        <w:rPr>
          <w:rFonts w:hint="eastAsia"/>
          <w:color w:val="auto"/>
          <w:highlight w:val="none"/>
        </w:rPr>
        <w:t xml:space="preserve"> 资格评审标准：见</w:t>
      </w:r>
      <w:r>
        <w:rPr>
          <w:rFonts w:hint="eastAsia"/>
          <w:color w:val="auto"/>
          <w:highlight w:val="none"/>
          <w:lang w:eastAsia="zh-CN"/>
        </w:rPr>
        <w:t>评审</w:t>
      </w:r>
      <w:r>
        <w:rPr>
          <w:rFonts w:hint="eastAsia"/>
          <w:color w:val="auto"/>
          <w:highlight w:val="none"/>
        </w:rPr>
        <w:t>办法前附表。</w:t>
      </w:r>
    </w:p>
    <w:p w14:paraId="44371C97">
      <w:pPr>
        <w:bidi w:val="0"/>
        <w:rPr>
          <w:color w:val="auto"/>
          <w:highlight w:val="none"/>
        </w:rPr>
      </w:pPr>
      <w:r>
        <w:rPr>
          <w:color w:val="auto"/>
          <w:highlight w:val="none"/>
        </w:rPr>
        <w:t>2.</w:t>
      </w:r>
      <w:r>
        <w:rPr>
          <w:rFonts w:hint="eastAsia"/>
          <w:color w:val="auto"/>
          <w:highlight w:val="none"/>
          <w:lang w:val="en-US" w:eastAsia="zh-CN"/>
        </w:rPr>
        <w:t>1</w:t>
      </w:r>
      <w:r>
        <w:rPr>
          <w:color w:val="auto"/>
          <w:highlight w:val="none"/>
        </w:rPr>
        <w:t>.</w:t>
      </w:r>
      <w:r>
        <w:rPr>
          <w:rFonts w:hint="eastAsia"/>
          <w:color w:val="auto"/>
          <w:highlight w:val="none"/>
          <w:lang w:val="en-US" w:eastAsia="zh-CN"/>
        </w:rPr>
        <w:t>2</w:t>
      </w:r>
      <w:r>
        <w:rPr>
          <w:rFonts w:hint="eastAsia"/>
          <w:color w:val="auto"/>
          <w:highlight w:val="none"/>
        </w:rPr>
        <w:t xml:space="preserve"> 形式评审标准：见</w:t>
      </w:r>
      <w:r>
        <w:rPr>
          <w:rFonts w:hint="eastAsia"/>
          <w:color w:val="auto"/>
          <w:highlight w:val="none"/>
          <w:lang w:eastAsia="zh-CN"/>
        </w:rPr>
        <w:t>评审</w:t>
      </w:r>
      <w:r>
        <w:rPr>
          <w:rFonts w:hint="eastAsia"/>
          <w:color w:val="auto"/>
          <w:highlight w:val="none"/>
        </w:rPr>
        <w:t>办法前附表。</w:t>
      </w:r>
    </w:p>
    <w:p w14:paraId="5E7CB0CC">
      <w:pPr>
        <w:bidi w:val="0"/>
        <w:rPr>
          <w:rFonts w:hint="eastAsia"/>
          <w:color w:val="auto"/>
          <w:highlight w:val="none"/>
        </w:rPr>
      </w:pPr>
      <w:r>
        <w:rPr>
          <w:color w:val="auto"/>
          <w:highlight w:val="none"/>
        </w:rPr>
        <w:t>2.</w:t>
      </w:r>
      <w:r>
        <w:rPr>
          <w:rFonts w:hint="eastAsia"/>
          <w:color w:val="auto"/>
          <w:highlight w:val="none"/>
          <w:lang w:val="en-US" w:eastAsia="zh-CN"/>
        </w:rPr>
        <w:t>1</w:t>
      </w:r>
      <w:r>
        <w:rPr>
          <w:color w:val="auto"/>
          <w:highlight w:val="none"/>
        </w:rPr>
        <w:t>.</w:t>
      </w:r>
      <w:r>
        <w:rPr>
          <w:rFonts w:hint="eastAsia"/>
          <w:color w:val="auto"/>
          <w:highlight w:val="none"/>
          <w:lang w:val="en-US" w:eastAsia="zh-CN"/>
        </w:rPr>
        <w:t>3</w:t>
      </w:r>
      <w:r>
        <w:rPr>
          <w:rFonts w:hint="eastAsia"/>
          <w:color w:val="auto"/>
          <w:highlight w:val="none"/>
        </w:rPr>
        <w:t xml:space="preserve"> 响应性评审标准：见</w:t>
      </w:r>
      <w:r>
        <w:rPr>
          <w:rFonts w:hint="eastAsia"/>
          <w:color w:val="auto"/>
          <w:highlight w:val="none"/>
          <w:lang w:eastAsia="zh-CN"/>
        </w:rPr>
        <w:t>评审</w:t>
      </w:r>
      <w:r>
        <w:rPr>
          <w:rFonts w:hint="eastAsia"/>
          <w:color w:val="auto"/>
          <w:highlight w:val="none"/>
        </w:rPr>
        <w:t>办法前附表。</w:t>
      </w:r>
    </w:p>
    <w:p w14:paraId="10354422">
      <w:pPr>
        <w:pStyle w:val="4"/>
        <w:bidi w:val="0"/>
        <w:rPr>
          <w:color w:val="auto"/>
          <w:highlight w:val="none"/>
          <w:lang w:val="en-US" w:eastAsia="zh-CN"/>
        </w:rPr>
      </w:pPr>
      <w:r>
        <w:rPr>
          <w:color w:val="auto"/>
          <w:highlight w:val="none"/>
          <w:lang w:val="en-US" w:eastAsia="zh-CN"/>
        </w:rPr>
        <w:t>2.</w:t>
      </w:r>
      <w:r>
        <w:rPr>
          <w:rFonts w:hint="eastAsia"/>
          <w:color w:val="auto"/>
          <w:highlight w:val="none"/>
          <w:lang w:val="en-US" w:eastAsia="zh-CN"/>
        </w:rPr>
        <w:t>2 报价</w:t>
      </w:r>
      <w:r>
        <w:rPr>
          <w:color w:val="auto"/>
          <w:highlight w:val="none"/>
          <w:lang w:val="en-US" w:eastAsia="zh-CN"/>
        </w:rPr>
        <w:t>排序</w:t>
      </w:r>
      <w:r>
        <w:rPr>
          <w:rFonts w:hint="eastAsia"/>
          <w:color w:val="auto"/>
          <w:highlight w:val="none"/>
          <w:lang w:val="en-US" w:eastAsia="zh-CN"/>
        </w:rPr>
        <w:t>标准</w:t>
      </w:r>
    </w:p>
    <w:p w14:paraId="43DD4E02">
      <w:pPr>
        <w:bidi w:val="0"/>
        <w:rPr>
          <w:color w:val="auto"/>
          <w:highlight w:val="none"/>
        </w:rPr>
      </w:pPr>
      <w:r>
        <w:rPr>
          <w:rFonts w:hint="eastAsia"/>
          <w:color w:val="auto"/>
          <w:highlight w:val="none"/>
        </w:rPr>
        <w:t>见</w:t>
      </w:r>
      <w:r>
        <w:rPr>
          <w:rFonts w:hint="eastAsia"/>
          <w:color w:val="auto"/>
          <w:highlight w:val="none"/>
          <w:lang w:eastAsia="zh-CN"/>
        </w:rPr>
        <w:t>评审</w:t>
      </w:r>
      <w:r>
        <w:rPr>
          <w:rFonts w:hint="eastAsia"/>
          <w:color w:val="auto"/>
          <w:highlight w:val="none"/>
        </w:rPr>
        <w:t>办法前附表。</w:t>
      </w:r>
    </w:p>
    <w:p w14:paraId="317F721F">
      <w:pPr>
        <w:pStyle w:val="3"/>
        <w:bidi w:val="0"/>
        <w:rPr>
          <w:color w:val="auto"/>
          <w:highlight w:val="none"/>
          <w:lang w:val="en-US" w:eastAsia="zh-CN"/>
        </w:rPr>
      </w:pPr>
      <w:r>
        <w:rPr>
          <w:color w:val="auto"/>
          <w:highlight w:val="none"/>
          <w:lang w:val="en-US" w:eastAsia="zh-CN"/>
        </w:rPr>
        <w:t>3.</w:t>
      </w:r>
      <w:r>
        <w:rPr>
          <w:rFonts w:hint="eastAsia"/>
          <w:color w:val="auto"/>
          <w:highlight w:val="none"/>
          <w:lang w:val="en-US" w:eastAsia="zh-CN"/>
        </w:rPr>
        <w:t xml:space="preserve"> 评审</w:t>
      </w:r>
      <w:r>
        <w:rPr>
          <w:color w:val="auto"/>
          <w:highlight w:val="none"/>
          <w:lang w:val="en-US" w:eastAsia="zh-CN"/>
        </w:rPr>
        <w:t>程序</w:t>
      </w:r>
    </w:p>
    <w:p w14:paraId="067AED99">
      <w:pPr>
        <w:pStyle w:val="4"/>
        <w:bidi w:val="0"/>
        <w:rPr>
          <w:color w:val="auto"/>
          <w:highlight w:val="none"/>
          <w:lang w:val="en-US" w:eastAsia="zh-CN"/>
        </w:rPr>
      </w:pPr>
      <w:r>
        <w:rPr>
          <w:color w:val="auto"/>
          <w:highlight w:val="none"/>
          <w:lang w:val="en-US" w:eastAsia="zh-CN"/>
        </w:rPr>
        <w:t>3.</w:t>
      </w:r>
      <w:r>
        <w:rPr>
          <w:rFonts w:hint="eastAsia"/>
          <w:color w:val="auto"/>
          <w:highlight w:val="none"/>
          <w:lang w:val="en-US" w:eastAsia="zh-CN"/>
        </w:rPr>
        <w:t>1 符合性审查</w:t>
      </w:r>
    </w:p>
    <w:p w14:paraId="4138DF3F">
      <w:pPr>
        <w:bidi w:val="0"/>
        <w:rPr>
          <w:color w:val="auto"/>
          <w:highlight w:val="none"/>
        </w:rPr>
      </w:pPr>
      <w:r>
        <w:rPr>
          <w:color w:val="auto"/>
          <w:highlight w:val="none"/>
        </w:rPr>
        <w:t>3.</w:t>
      </w:r>
      <w:r>
        <w:rPr>
          <w:rFonts w:hint="eastAsia"/>
          <w:color w:val="auto"/>
          <w:highlight w:val="none"/>
          <w:lang w:val="en-US" w:eastAsia="zh-CN"/>
        </w:rPr>
        <w:t>1</w:t>
      </w:r>
      <w:r>
        <w:rPr>
          <w:color w:val="auto"/>
          <w:highlight w:val="none"/>
        </w:rPr>
        <w:t>.1</w:t>
      </w:r>
      <w:r>
        <w:rPr>
          <w:rFonts w:hint="eastAsia"/>
          <w:color w:val="auto"/>
          <w:highlight w:val="none"/>
          <w:lang w:val="en-US" w:eastAsia="zh-CN"/>
        </w:rPr>
        <w:t xml:space="preserve"> </w:t>
      </w:r>
      <w:r>
        <w:rPr>
          <w:rFonts w:hint="eastAsia"/>
          <w:color w:val="auto"/>
          <w:highlight w:val="none"/>
          <w:lang w:eastAsia="zh-CN"/>
        </w:rPr>
        <w:t>评审</w:t>
      </w:r>
      <w:r>
        <w:rPr>
          <w:color w:val="auto"/>
          <w:highlight w:val="none"/>
        </w:rPr>
        <w:t>委员会依据本章第2.</w:t>
      </w:r>
      <w:r>
        <w:rPr>
          <w:rFonts w:hint="eastAsia"/>
          <w:color w:val="auto"/>
          <w:highlight w:val="none"/>
          <w:lang w:val="en-US" w:eastAsia="zh-CN"/>
        </w:rPr>
        <w:t>1</w:t>
      </w:r>
      <w:r>
        <w:rPr>
          <w:color w:val="auto"/>
          <w:highlight w:val="none"/>
        </w:rPr>
        <w:t xml:space="preserve"> </w:t>
      </w:r>
      <w:r>
        <w:rPr>
          <w:rFonts w:hint="eastAsia"/>
          <w:color w:val="auto"/>
          <w:highlight w:val="none"/>
          <w:lang w:val="en-US" w:eastAsia="zh-CN"/>
        </w:rPr>
        <w:t>条</w:t>
      </w:r>
      <w:r>
        <w:rPr>
          <w:rFonts w:hint="eastAsia"/>
          <w:color w:val="auto"/>
          <w:highlight w:val="none"/>
        </w:rPr>
        <w:t>规定的标准对</w:t>
      </w:r>
      <w:r>
        <w:rPr>
          <w:rFonts w:hint="eastAsia"/>
          <w:color w:val="auto"/>
          <w:highlight w:val="none"/>
          <w:lang w:eastAsia="zh-CN"/>
        </w:rPr>
        <w:t>参选文件</w:t>
      </w:r>
      <w:r>
        <w:rPr>
          <w:rFonts w:hint="eastAsia"/>
          <w:color w:val="auto"/>
          <w:highlight w:val="none"/>
        </w:rPr>
        <w:t>进行符合性审查。符合性审查顺序：资格评审、形式评审、响应性评审。</w:t>
      </w:r>
    </w:p>
    <w:p w14:paraId="03EA4323">
      <w:pPr>
        <w:bidi w:val="0"/>
        <w:rPr>
          <w:color w:val="auto"/>
          <w:highlight w:val="none"/>
        </w:rPr>
      </w:pPr>
      <w:r>
        <w:rPr>
          <w:rFonts w:hint="eastAsia"/>
          <w:color w:val="auto"/>
          <w:highlight w:val="none"/>
        </w:rPr>
        <w:t>有一项不符合评审标准的，作否决</w:t>
      </w:r>
      <w:r>
        <w:rPr>
          <w:rFonts w:hint="eastAsia"/>
          <w:color w:val="auto"/>
          <w:highlight w:val="none"/>
          <w:lang w:eastAsia="zh-CN"/>
        </w:rPr>
        <w:t>参选</w:t>
      </w:r>
      <w:r>
        <w:rPr>
          <w:rFonts w:hint="eastAsia"/>
          <w:color w:val="auto"/>
          <w:highlight w:val="none"/>
        </w:rPr>
        <w:t>处理。</w:t>
      </w:r>
    </w:p>
    <w:p w14:paraId="07C6483F">
      <w:pPr>
        <w:bidi w:val="0"/>
        <w:rPr>
          <w:color w:val="auto"/>
          <w:highlight w:val="none"/>
        </w:rPr>
      </w:pPr>
      <w:r>
        <w:rPr>
          <w:color w:val="auto"/>
          <w:highlight w:val="none"/>
        </w:rPr>
        <w:t>3.</w:t>
      </w:r>
      <w:r>
        <w:rPr>
          <w:rFonts w:hint="eastAsia"/>
          <w:color w:val="auto"/>
          <w:highlight w:val="none"/>
          <w:lang w:val="en-US" w:eastAsia="zh-CN"/>
        </w:rPr>
        <w:t>1</w:t>
      </w:r>
      <w:r>
        <w:rPr>
          <w:color w:val="auto"/>
          <w:highlight w:val="none"/>
        </w:rPr>
        <w:t xml:space="preserve">.2 </w:t>
      </w:r>
      <w:r>
        <w:rPr>
          <w:rFonts w:hint="eastAsia"/>
          <w:color w:val="auto"/>
          <w:highlight w:val="none"/>
          <w:lang w:eastAsia="zh-CN"/>
        </w:rPr>
        <w:t>参选人</w:t>
      </w:r>
      <w:r>
        <w:rPr>
          <w:color w:val="auto"/>
          <w:highlight w:val="none"/>
        </w:rPr>
        <w:t>有以下情形之一的，</w:t>
      </w:r>
      <w:r>
        <w:rPr>
          <w:rFonts w:hint="eastAsia"/>
          <w:color w:val="auto"/>
          <w:highlight w:val="none"/>
        </w:rPr>
        <w:t>其</w:t>
      </w:r>
      <w:r>
        <w:rPr>
          <w:rFonts w:hint="eastAsia"/>
          <w:color w:val="auto"/>
          <w:highlight w:val="none"/>
          <w:lang w:eastAsia="zh-CN"/>
        </w:rPr>
        <w:t>参选文件</w:t>
      </w:r>
      <w:r>
        <w:rPr>
          <w:rFonts w:hint="eastAsia"/>
          <w:color w:val="auto"/>
          <w:highlight w:val="none"/>
        </w:rPr>
        <w:t>将被否决：</w:t>
      </w:r>
    </w:p>
    <w:p w14:paraId="6B1CC02A">
      <w:pPr>
        <w:bidi w:val="0"/>
        <w:rPr>
          <w:color w:val="auto"/>
          <w:highlight w:val="none"/>
        </w:rPr>
      </w:pPr>
      <w:r>
        <w:rPr>
          <w:rFonts w:hint="eastAsia"/>
          <w:color w:val="auto"/>
          <w:highlight w:val="none"/>
          <w:lang w:val="en-US" w:eastAsia="zh-CN"/>
        </w:rPr>
        <w:t>3.1.2.1 有</w:t>
      </w:r>
      <w:r>
        <w:rPr>
          <w:color w:val="auto"/>
          <w:highlight w:val="none"/>
        </w:rPr>
        <w:t>第二章“</w:t>
      </w:r>
      <w:r>
        <w:rPr>
          <w:rFonts w:hint="eastAsia"/>
          <w:color w:val="auto"/>
          <w:highlight w:val="none"/>
          <w:lang w:eastAsia="zh-CN"/>
        </w:rPr>
        <w:t>参选人</w:t>
      </w:r>
      <w:r>
        <w:rPr>
          <w:color w:val="auto"/>
          <w:highlight w:val="none"/>
        </w:rPr>
        <w:t>须知”第</w:t>
      </w:r>
      <w:r>
        <w:rPr>
          <w:rFonts w:hint="eastAsia"/>
          <w:color w:val="auto"/>
          <w:highlight w:val="none"/>
          <w:lang w:val="en-US" w:eastAsia="zh-CN"/>
        </w:rPr>
        <w:t>9 条以及第11 条</w:t>
      </w:r>
      <w:r>
        <w:rPr>
          <w:color w:val="auto"/>
          <w:highlight w:val="none"/>
        </w:rPr>
        <w:t>规定的任何一种情形的；</w:t>
      </w:r>
    </w:p>
    <w:p w14:paraId="71A0B48A">
      <w:pPr>
        <w:bidi w:val="0"/>
        <w:rPr>
          <w:color w:val="auto"/>
          <w:highlight w:val="none"/>
        </w:rPr>
      </w:pPr>
      <w:r>
        <w:rPr>
          <w:rFonts w:hint="eastAsia"/>
          <w:color w:val="auto"/>
          <w:highlight w:val="none"/>
          <w:lang w:val="en-US" w:eastAsia="zh-CN"/>
        </w:rPr>
        <w:t xml:space="preserve">3.1.2.2 </w:t>
      </w:r>
      <w:r>
        <w:rPr>
          <w:rFonts w:hint="eastAsia"/>
          <w:color w:val="auto"/>
          <w:highlight w:val="none"/>
        </w:rPr>
        <w:t>有串通</w:t>
      </w:r>
      <w:r>
        <w:rPr>
          <w:rFonts w:hint="eastAsia"/>
          <w:color w:val="auto"/>
          <w:highlight w:val="none"/>
          <w:lang w:eastAsia="zh-CN"/>
        </w:rPr>
        <w:t>参选</w:t>
      </w:r>
      <w:r>
        <w:rPr>
          <w:rFonts w:hint="eastAsia"/>
          <w:color w:val="auto"/>
          <w:highlight w:val="none"/>
        </w:rPr>
        <w:t>、弄虚作假等其他违反相关法律、法规行为的；</w:t>
      </w:r>
    </w:p>
    <w:p w14:paraId="77E7D18F">
      <w:pPr>
        <w:bidi w:val="0"/>
        <w:rPr>
          <w:color w:val="auto"/>
          <w:highlight w:val="none"/>
        </w:rPr>
      </w:pPr>
      <w:r>
        <w:rPr>
          <w:rFonts w:hint="eastAsia"/>
          <w:color w:val="auto"/>
          <w:highlight w:val="none"/>
          <w:lang w:val="en-US" w:eastAsia="zh-CN"/>
        </w:rPr>
        <w:t xml:space="preserve">3.1.2.3 </w:t>
      </w:r>
      <w:r>
        <w:rPr>
          <w:rFonts w:hint="eastAsia"/>
          <w:color w:val="auto"/>
          <w:highlight w:val="none"/>
        </w:rPr>
        <w:t>不按</w:t>
      </w:r>
      <w:r>
        <w:rPr>
          <w:rFonts w:hint="eastAsia"/>
          <w:color w:val="auto"/>
          <w:highlight w:val="none"/>
          <w:lang w:eastAsia="zh-CN"/>
        </w:rPr>
        <w:t>评审委员会</w:t>
      </w:r>
      <w:r>
        <w:rPr>
          <w:rFonts w:hint="eastAsia"/>
          <w:color w:val="auto"/>
          <w:highlight w:val="none"/>
        </w:rPr>
        <w:t>要求澄清、说明或补正的。</w:t>
      </w:r>
    </w:p>
    <w:p w14:paraId="571B71D5">
      <w:pPr>
        <w:bidi w:val="0"/>
        <w:rPr>
          <w:rFonts w:hint="default" w:eastAsia="宋体"/>
          <w:color w:val="auto"/>
          <w:highlight w:val="none"/>
          <w:lang w:val="en-US" w:eastAsia="zh-CN"/>
        </w:rPr>
      </w:pPr>
      <w:r>
        <w:rPr>
          <w:rFonts w:hint="eastAsia"/>
          <w:color w:val="auto"/>
          <w:highlight w:val="none"/>
        </w:rPr>
        <w:t>3.</w:t>
      </w:r>
      <w:r>
        <w:rPr>
          <w:rFonts w:hint="eastAsia"/>
          <w:color w:val="auto"/>
          <w:highlight w:val="none"/>
          <w:lang w:val="en-US" w:eastAsia="zh-CN"/>
        </w:rPr>
        <w:t>1</w:t>
      </w:r>
      <w:r>
        <w:rPr>
          <w:rFonts w:hint="eastAsia"/>
          <w:color w:val="auto"/>
          <w:highlight w:val="none"/>
        </w:rPr>
        <w:t xml:space="preserve">.3 </w:t>
      </w:r>
      <w:r>
        <w:rPr>
          <w:rFonts w:hint="eastAsia"/>
          <w:color w:val="auto"/>
          <w:highlight w:val="none"/>
          <w:lang w:eastAsia="zh-CN"/>
        </w:rPr>
        <w:t>参选</w:t>
      </w:r>
      <w:r>
        <w:rPr>
          <w:rFonts w:hint="eastAsia"/>
          <w:color w:val="auto"/>
          <w:highlight w:val="none"/>
        </w:rPr>
        <w:t>报价有算术错误的，</w:t>
      </w:r>
      <w:r>
        <w:rPr>
          <w:rFonts w:hint="eastAsia"/>
          <w:color w:val="auto"/>
          <w:highlight w:val="none"/>
          <w:lang w:eastAsia="zh-CN"/>
        </w:rPr>
        <w:t>评审</w:t>
      </w:r>
      <w:r>
        <w:rPr>
          <w:rFonts w:hint="eastAsia"/>
          <w:color w:val="auto"/>
          <w:highlight w:val="none"/>
        </w:rPr>
        <w:t>委员会按以下原则对</w:t>
      </w:r>
      <w:r>
        <w:rPr>
          <w:rFonts w:hint="eastAsia"/>
          <w:color w:val="auto"/>
          <w:highlight w:val="none"/>
          <w:lang w:eastAsia="zh-CN"/>
        </w:rPr>
        <w:t>参选</w:t>
      </w:r>
      <w:r>
        <w:rPr>
          <w:rFonts w:hint="eastAsia"/>
          <w:color w:val="auto"/>
          <w:highlight w:val="none"/>
        </w:rPr>
        <w:t>报价进行修正，修正的价格经</w:t>
      </w:r>
      <w:r>
        <w:rPr>
          <w:rFonts w:hint="eastAsia"/>
          <w:color w:val="auto"/>
          <w:highlight w:val="none"/>
          <w:lang w:eastAsia="zh-CN"/>
        </w:rPr>
        <w:t>参选人</w:t>
      </w:r>
      <w:r>
        <w:rPr>
          <w:rFonts w:hint="eastAsia"/>
          <w:color w:val="auto"/>
          <w:highlight w:val="none"/>
        </w:rPr>
        <w:t>书面确认后具有约束力</w:t>
      </w:r>
      <w:r>
        <w:rPr>
          <w:rFonts w:hint="eastAsia"/>
          <w:color w:val="auto"/>
          <w:highlight w:val="none"/>
          <w:lang w:eastAsia="zh-CN"/>
        </w:rPr>
        <w:t>。参选人</w:t>
      </w:r>
      <w:r>
        <w:rPr>
          <w:rFonts w:hint="eastAsia"/>
          <w:color w:val="auto"/>
          <w:highlight w:val="none"/>
        </w:rPr>
        <w:t>不接受修正价格的，其</w:t>
      </w:r>
      <w:r>
        <w:rPr>
          <w:rFonts w:hint="eastAsia"/>
          <w:color w:val="auto"/>
          <w:highlight w:val="none"/>
          <w:lang w:eastAsia="zh-CN"/>
        </w:rPr>
        <w:t>参选</w:t>
      </w:r>
      <w:r>
        <w:rPr>
          <w:rFonts w:hint="eastAsia"/>
          <w:color w:val="auto"/>
          <w:highlight w:val="none"/>
        </w:rPr>
        <w:t>作</w:t>
      </w:r>
      <w:r>
        <w:rPr>
          <w:rFonts w:hint="eastAsia"/>
          <w:color w:val="auto"/>
          <w:highlight w:val="none"/>
          <w:lang w:eastAsia="zh-CN"/>
        </w:rPr>
        <w:t>否决参选</w:t>
      </w:r>
      <w:r>
        <w:rPr>
          <w:rFonts w:hint="eastAsia"/>
          <w:color w:val="auto"/>
          <w:highlight w:val="none"/>
        </w:rPr>
        <w:t>处理。修正原则</w:t>
      </w:r>
      <w:r>
        <w:rPr>
          <w:rFonts w:hint="eastAsia"/>
          <w:color w:val="auto"/>
          <w:highlight w:val="none"/>
          <w:lang w:val="en-US" w:eastAsia="zh-CN"/>
        </w:rPr>
        <w:t>见</w:t>
      </w:r>
      <w:r>
        <w:rPr>
          <w:color w:val="auto"/>
          <w:highlight w:val="none"/>
        </w:rPr>
        <w:t>第二章“</w:t>
      </w:r>
      <w:r>
        <w:rPr>
          <w:rFonts w:hint="eastAsia"/>
          <w:color w:val="auto"/>
          <w:highlight w:val="none"/>
          <w:lang w:eastAsia="zh-CN"/>
        </w:rPr>
        <w:t>参选人</w:t>
      </w:r>
      <w:r>
        <w:rPr>
          <w:color w:val="auto"/>
          <w:highlight w:val="none"/>
        </w:rPr>
        <w:t>须知”第</w:t>
      </w:r>
      <w:r>
        <w:rPr>
          <w:rFonts w:hint="eastAsia"/>
          <w:color w:val="auto"/>
          <w:highlight w:val="none"/>
          <w:lang w:val="en-US" w:eastAsia="zh-CN"/>
        </w:rPr>
        <w:t>4.8 条。</w:t>
      </w:r>
    </w:p>
    <w:p w14:paraId="10F9AB42">
      <w:pPr>
        <w:pStyle w:val="4"/>
        <w:bidi w:val="0"/>
        <w:rPr>
          <w:color w:val="auto"/>
          <w:highlight w:val="none"/>
          <w:lang w:val="en-US" w:eastAsia="zh-CN"/>
        </w:rPr>
      </w:pPr>
      <w:r>
        <w:rPr>
          <w:color w:val="auto"/>
          <w:highlight w:val="none"/>
          <w:lang w:val="en-US" w:eastAsia="zh-CN"/>
        </w:rPr>
        <w:t>3.</w:t>
      </w:r>
      <w:r>
        <w:rPr>
          <w:rFonts w:hint="eastAsia"/>
          <w:color w:val="auto"/>
          <w:highlight w:val="none"/>
          <w:lang w:val="en-US" w:eastAsia="zh-CN"/>
        </w:rPr>
        <w:t>2 报价排序</w:t>
      </w:r>
    </w:p>
    <w:p w14:paraId="325AD57C">
      <w:pPr>
        <w:bidi w:val="0"/>
        <w:rPr>
          <w:color w:val="auto"/>
          <w:highlight w:val="none"/>
        </w:rPr>
      </w:pPr>
      <w:r>
        <w:rPr>
          <w:rFonts w:hint="eastAsia"/>
          <w:color w:val="auto"/>
          <w:highlight w:val="none"/>
        </w:rPr>
        <w:t>对报价不高于最高限价的所有</w:t>
      </w:r>
      <w:r>
        <w:rPr>
          <w:rFonts w:hint="eastAsia"/>
          <w:color w:val="auto"/>
          <w:highlight w:val="none"/>
          <w:lang w:eastAsia="zh-CN"/>
        </w:rPr>
        <w:t>参选人</w:t>
      </w:r>
      <w:r>
        <w:rPr>
          <w:rFonts w:hint="eastAsia"/>
          <w:color w:val="auto"/>
          <w:highlight w:val="none"/>
        </w:rPr>
        <w:t>的</w:t>
      </w:r>
      <w:r>
        <w:rPr>
          <w:rFonts w:hint="eastAsia"/>
          <w:color w:val="auto"/>
          <w:highlight w:val="none"/>
          <w:lang w:eastAsia="zh-CN"/>
        </w:rPr>
        <w:t>参选文件</w:t>
      </w:r>
      <w:r>
        <w:rPr>
          <w:rFonts w:hint="eastAsia"/>
          <w:color w:val="auto"/>
          <w:highlight w:val="none"/>
        </w:rPr>
        <w:t>，按照报价由低到高的顺序排序。</w:t>
      </w:r>
    </w:p>
    <w:p w14:paraId="20A540F5">
      <w:pPr>
        <w:pStyle w:val="4"/>
        <w:bidi w:val="0"/>
        <w:rPr>
          <w:color w:val="auto"/>
          <w:highlight w:val="none"/>
          <w:lang w:val="en-US" w:eastAsia="zh-CN"/>
        </w:rPr>
      </w:pPr>
      <w:r>
        <w:rPr>
          <w:color w:val="auto"/>
          <w:highlight w:val="none"/>
          <w:lang w:val="en-US" w:eastAsia="zh-CN"/>
        </w:rPr>
        <w:t>3.</w:t>
      </w:r>
      <w:r>
        <w:rPr>
          <w:rFonts w:hint="eastAsia"/>
          <w:color w:val="auto"/>
          <w:highlight w:val="none"/>
          <w:lang w:val="en-US" w:eastAsia="zh-CN"/>
        </w:rPr>
        <w:t>3</w:t>
      </w:r>
      <w:r>
        <w:rPr>
          <w:color w:val="auto"/>
          <w:highlight w:val="none"/>
          <w:lang w:val="en-US" w:eastAsia="zh-CN"/>
        </w:rPr>
        <w:t xml:space="preserve"> </w:t>
      </w:r>
      <w:r>
        <w:rPr>
          <w:rFonts w:hint="eastAsia"/>
          <w:color w:val="auto"/>
          <w:highlight w:val="none"/>
          <w:lang w:val="en-US" w:eastAsia="zh-CN"/>
        </w:rPr>
        <w:t>参选文件的澄清和补正</w:t>
      </w:r>
    </w:p>
    <w:p w14:paraId="0B3D5821">
      <w:pPr>
        <w:bidi w:val="0"/>
        <w:rPr>
          <w:color w:val="auto"/>
          <w:highlight w:val="none"/>
        </w:rPr>
      </w:pPr>
      <w:r>
        <w:rPr>
          <w:color w:val="auto"/>
          <w:highlight w:val="none"/>
        </w:rPr>
        <w:t>3.</w:t>
      </w:r>
      <w:r>
        <w:rPr>
          <w:rFonts w:hint="eastAsia"/>
          <w:color w:val="auto"/>
          <w:highlight w:val="none"/>
        </w:rPr>
        <w:t>3</w:t>
      </w:r>
      <w:r>
        <w:rPr>
          <w:color w:val="auto"/>
          <w:highlight w:val="none"/>
        </w:rPr>
        <w:t xml:space="preserve">.1 </w:t>
      </w:r>
      <w:r>
        <w:rPr>
          <w:rFonts w:hint="eastAsia"/>
          <w:color w:val="auto"/>
          <w:highlight w:val="none"/>
        </w:rPr>
        <w:t>在</w:t>
      </w:r>
      <w:r>
        <w:rPr>
          <w:rFonts w:hint="eastAsia"/>
          <w:color w:val="auto"/>
          <w:highlight w:val="none"/>
          <w:lang w:eastAsia="zh-CN"/>
        </w:rPr>
        <w:t>评审</w:t>
      </w:r>
      <w:r>
        <w:rPr>
          <w:rFonts w:hint="eastAsia"/>
          <w:color w:val="auto"/>
          <w:highlight w:val="none"/>
        </w:rPr>
        <w:t>过程中，</w:t>
      </w:r>
      <w:r>
        <w:rPr>
          <w:rFonts w:hint="eastAsia"/>
          <w:color w:val="auto"/>
          <w:highlight w:val="none"/>
          <w:lang w:eastAsia="zh-CN"/>
        </w:rPr>
        <w:t>评审</w:t>
      </w:r>
      <w:r>
        <w:rPr>
          <w:rFonts w:hint="eastAsia"/>
          <w:color w:val="auto"/>
          <w:highlight w:val="none"/>
        </w:rPr>
        <w:t>委员会可以书面形式要求</w:t>
      </w:r>
      <w:r>
        <w:rPr>
          <w:rFonts w:hint="eastAsia"/>
          <w:color w:val="auto"/>
          <w:highlight w:val="none"/>
          <w:lang w:eastAsia="zh-CN"/>
        </w:rPr>
        <w:t>参选人</w:t>
      </w:r>
      <w:r>
        <w:rPr>
          <w:rFonts w:hint="eastAsia"/>
          <w:color w:val="auto"/>
          <w:highlight w:val="none"/>
        </w:rPr>
        <w:t>对所提交</w:t>
      </w:r>
      <w:r>
        <w:rPr>
          <w:rFonts w:hint="eastAsia"/>
          <w:color w:val="auto"/>
          <w:highlight w:val="none"/>
          <w:lang w:eastAsia="zh-CN"/>
        </w:rPr>
        <w:t>参选文件</w:t>
      </w:r>
      <w:r>
        <w:rPr>
          <w:rFonts w:hint="eastAsia"/>
          <w:color w:val="auto"/>
          <w:highlight w:val="none"/>
        </w:rPr>
        <w:t>中不明确的内容进行书面澄清或说明，或者对细微偏差进行补正。</w:t>
      </w:r>
      <w:r>
        <w:rPr>
          <w:rFonts w:hint="eastAsia"/>
          <w:color w:val="auto"/>
          <w:highlight w:val="none"/>
          <w:lang w:eastAsia="zh-CN"/>
        </w:rPr>
        <w:t>评审</w:t>
      </w:r>
      <w:r>
        <w:rPr>
          <w:rFonts w:hint="eastAsia"/>
          <w:color w:val="auto"/>
          <w:highlight w:val="none"/>
        </w:rPr>
        <w:t>委员会不接受</w:t>
      </w:r>
      <w:r>
        <w:rPr>
          <w:rFonts w:hint="eastAsia"/>
          <w:color w:val="auto"/>
          <w:highlight w:val="none"/>
          <w:lang w:eastAsia="zh-CN"/>
        </w:rPr>
        <w:t>参选人</w:t>
      </w:r>
      <w:r>
        <w:rPr>
          <w:rFonts w:hint="eastAsia"/>
          <w:color w:val="auto"/>
          <w:highlight w:val="none"/>
        </w:rPr>
        <w:t>主动提出的澄清、说明或补正。</w:t>
      </w:r>
    </w:p>
    <w:p w14:paraId="55649FB4">
      <w:pPr>
        <w:bidi w:val="0"/>
        <w:rPr>
          <w:color w:val="auto"/>
          <w:highlight w:val="none"/>
        </w:rPr>
      </w:pPr>
      <w:r>
        <w:rPr>
          <w:color w:val="auto"/>
          <w:highlight w:val="none"/>
        </w:rPr>
        <w:t>3.</w:t>
      </w:r>
      <w:r>
        <w:rPr>
          <w:rFonts w:hint="eastAsia"/>
          <w:color w:val="auto"/>
          <w:highlight w:val="none"/>
        </w:rPr>
        <w:t>3</w:t>
      </w:r>
      <w:r>
        <w:rPr>
          <w:color w:val="auto"/>
          <w:highlight w:val="none"/>
        </w:rPr>
        <w:t xml:space="preserve">.2 </w:t>
      </w:r>
      <w:r>
        <w:rPr>
          <w:rFonts w:hint="eastAsia"/>
          <w:color w:val="auto"/>
          <w:highlight w:val="none"/>
        </w:rPr>
        <w:t>澄清、说明和补正不得改变</w:t>
      </w:r>
      <w:r>
        <w:rPr>
          <w:rFonts w:hint="eastAsia"/>
          <w:color w:val="auto"/>
          <w:highlight w:val="none"/>
          <w:lang w:eastAsia="zh-CN"/>
        </w:rPr>
        <w:t>参选文件</w:t>
      </w:r>
      <w:r>
        <w:rPr>
          <w:rFonts w:hint="eastAsia"/>
          <w:color w:val="auto"/>
          <w:highlight w:val="none"/>
        </w:rPr>
        <w:t>的实质性内容（算术性错误修正的除外）。</w:t>
      </w:r>
      <w:r>
        <w:rPr>
          <w:rFonts w:hint="eastAsia"/>
          <w:color w:val="auto"/>
          <w:highlight w:val="none"/>
          <w:lang w:eastAsia="zh-CN"/>
        </w:rPr>
        <w:t>参选人</w:t>
      </w:r>
      <w:r>
        <w:rPr>
          <w:rFonts w:hint="eastAsia"/>
          <w:color w:val="auto"/>
          <w:highlight w:val="none"/>
        </w:rPr>
        <w:t>的书面澄清、说明和补正属于</w:t>
      </w:r>
      <w:r>
        <w:rPr>
          <w:rFonts w:hint="eastAsia"/>
          <w:color w:val="auto"/>
          <w:highlight w:val="none"/>
          <w:lang w:eastAsia="zh-CN"/>
        </w:rPr>
        <w:t>参选文件</w:t>
      </w:r>
      <w:r>
        <w:rPr>
          <w:rFonts w:hint="eastAsia"/>
          <w:color w:val="auto"/>
          <w:highlight w:val="none"/>
        </w:rPr>
        <w:t>的组成部分。</w:t>
      </w:r>
    </w:p>
    <w:p w14:paraId="0F43E09A">
      <w:pPr>
        <w:bidi w:val="0"/>
        <w:rPr>
          <w:color w:val="auto"/>
          <w:highlight w:val="none"/>
        </w:rPr>
      </w:pPr>
      <w:r>
        <w:rPr>
          <w:color w:val="auto"/>
          <w:highlight w:val="none"/>
        </w:rPr>
        <w:t>3.</w:t>
      </w:r>
      <w:r>
        <w:rPr>
          <w:rFonts w:hint="eastAsia"/>
          <w:color w:val="auto"/>
          <w:highlight w:val="none"/>
        </w:rPr>
        <w:t>3</w:t>
      </w:r>
      <w:r>
        <w:rPr>
          <w:color w:val="auto"/>
          <w:highlight w:val="none"/>
        </w:rPr>
        <w:t xml:space="preserve">.3 </w:t>
      </w:r>
      <w:r>
        <w:rPr>
          <w:rFonts w:hint="eastAsia"/>
          <w:color w:val="auto"/>
          <w:highlight w:val="none"/>
          <w:lang w:eastAsia="zh-CN"/>
        </w:rPr>
        <w:t>评审</w:t>
      </w:r>
      <w:r>
        <w:rPr>
          <w:rFonts w:hint="eastAsia"/>
          <w:color w:val="auto"/>
          <w:highlight w:val="none"/>
        </w:rPr>
        <w:t>委员会对</w:t>
      </w:r>
      <w:r>
        <w:rPr>
          <w:rFonts w:hint="eastAsia"/>
          <w:color w:val="auto"/>
          <w:highlight w:val="none"/>
          <w:lang w:eastAsia="zh-CN"/>
        </w:rPr>
        <w:t>参选人</w:t>
      </w:r>
      <w:r>
        <w:rPr>
          <w:rFonts w:hint="eastAsia"/>
          <w:color w:val="auto"/>
          <w:highlight w:val="none"/>
        </w:rPr>
        <w:t>提交的澄清、说明或补正有疑问的，可以要求</w:t>
      </w:r>
      <w:r>
        <w:rPr>
          <w:rFonts w:hint="eastAsia"/>
          <w:color w:val="auto"/>
          <w:highlight w:val="none"/>
          <w:lang w:eastAsia="zh-CN"/>
        </w:rPr>
        <w:t>参选人</w:t>
      </w:r>
      <w:r>
        <w:rPr>
          <w:rFonts w:hint="eastAsia"/>
          <w:color w:val="auto"/>
          <w:highlight w:val="none"/>
        </w:rPr>
        <w:t>进一步澄清、说明或补正，直至满足</w:t>
      </w:r>
      <w:r>
        <w:rPr>
          <w:rFonts w:hint="eastAsia"/>
          <w:color w:val="auto"/>
          <w:highlight w:val="none"/>
          <w:lang w:eastAsia="zh-CN"/>
        </w:rPr>
        <w:t>评审</w:t>
      </w:r>
      <w:r>
        <w:rPr>
          <w:rFonts w:hint="eastAsia"/>
          <w:color w:val="auto"/>
          <w:highlight w:val="none"/>
        </w:rPr>
        <w:t>委员会的要求。</w:t>
      </w:r>
    </w:p>
    <w:p w14:paraId="403717DA">
      <w:pPr>
        <w:pStyle w:val="4"/>
        <w:bidi w:val="0"/>
        <w:rPr>
          <w:color w:val="auto"/>
          <w:highlight w:val="none"/>
          <w:lang w:val="en-US" w:eastAsia="zh-CN"/>
        </w:rPr>
      </w:pPr>
      <w:r>
        <w:rPr>
          <w:color w:val="auto"/>
          <w:highlight w:val="none"/>
          <w:lang w:val="en-US" w:eastAsia="zh-CN"/>
        </w:rPr>
        <w:t>3.</w:t>
      </w:r>
      <w:r>
        <w:rPr>
          <w:rFonts w:hint="eastAsia"/>
          <w:color w:val="auto"/>
          <w:highlight w:val="none"/>
          <w:lang w:val="en-US" w:eastAsia="zh-CN"/>
        </w:rPr>
        <w:t>4</w:t>
      </w:r>
      <w:r>
        <w:rPr>
          <w:color w:val="auto"/>
          <w:highlight w:val="none"/>
          <w:lang w:val="en-US" w:eastAsia="zh-CN"/>
        </w:rPr>
        <w:t xml:space="preserve"> </w:t>
      </w:r>
      <w:r>
        <w:rPr>
          <w:rFonts w:hint="eastAsia"/>
          <w:color w:val="auto"/>
          <w:highlight w:val="none"/>
          <w:lang w:val="en-US" w:eastAsia="zh-CN"/>
        </w:rPr>
        <w:t>评审结果</w:t>
      </w:r>
    </w:p>
    <w:p w14:paraId="272FF821">
      <w:pPr>
        <w:bidi w:val="0"/>
      </w:pPr>
      <w:r>
        <w:t>3.</w:t>
      </w:r>
      <w:r>
        <w:rPr>
          <w:rFonts w:hint="eastAsia"/>
        </w:rPr>
        <w:t>4</w:t>
      </w:r>
      <w:r>
        <w:t>.1</w:t>
      </w:r>
      <w:r>
        <w:rPr>
          <w:rFonts w:hint="eastAsia"/>
          <w:lang w:val="en-US" w:eastAsia="zh-CN"/>
        </w:rPr>
        <w:t xml:space="preserve"> </w:t>
      </w:r>
      <w:r>
        <w:rPr>
          <w:rFonts w:hint="eastAsia"/>
          <w:lang w:eastAsia="zh-CN"/>
        </w:rPr>
        <w:t>评审</w:t>
      </w:r>
      <w:r>
        <w:rPr>
          <w:rFonts w:hint="eastAsia"/>
        </w:rPr>
        <w:t>委员会按</w:t>
      </w:r>
      <w:r>
        <w:rPr>
          <w:rFonts w:hint="eastAsia"/>
          <w:lang w:eastAsia="zh-CN"/>
        </w:rPr>
        <w:t>经评审的最低价法</w:t>
      </w:r>
      <w:r>
        <w:rPr>
          <w:rFonts w:hint="eastAsia"/>
        </w:rPr>
        <w:t>推荐</w:t>
      </w:r>
      <w:r>
        <w:rPr>
          <w:rFonts w:hint="eastAsia"/>
          <w:lang w:eastAsia="zh-CN"/>
        </w:rPr>
        <w:t>中选候选人</w:t>
      </w:r>
      <w:r>
        <w:rPr>
          <w:rFonts w:hint="eastAsia"/>
        </w:rPr>
        <w:t>。</w:t>
      </w:r>
    </w:p>
    <w:p w14:paraId="70F6024C">
      <w:pPr>
        <w:bidi w:val="0"/>
        <w:rPr>
          <w:rFonts w:hint="eastAsia"/>
        </w:rPr>
      </w:pPr>
      <w:r>
        <w:t>3.</w:t>
      </w:r>
      <w:r>
        <w:rPr>
          <w:rFonts w:hint="eastAsia"/>
        </w:rPr>
        <w:t>4</w:t>
      </w:r>
      <w:r>
        <w:t>.2</w:t>
      </w:r>
      <w:r>
        <w:rPr>
          <w:rFonts w:hint="eastAsia"/>
        </w:rPr>
        <w:t xml:space="preserve"> </w:t>
      </w:r>
      <w:r>
        <w:rPr>
          <w:rFonts w:hint="eastAsia"/>
          <w:lang w:eastAsia="zh-CN"/>
        </w:rPr>
        <w:t>评审</w:t>
      </w:r>
      <w:r>
        <w:rPr>
          <w:rFonts w:hint="eastAsia"/>
        </w:rPr>
        <w:t>委员会完成</w:t>
      </w:r>
      <w:r>
        <w:rPr>
          <w:rFonts w:hint="eastAsia"/>
          <w:lang w:eastAsia="zh-CN"/>
        </w:rPr>
        <w:t>评审</w:t>
      </w:r>
      <w:r>
        <w:rPr>
          <w:rFonts w:hint="eastAsia"/>
        </w:rPr>
        <w:t>后，应当向</w:t>
      </w:r>
      <w:r>
        <w:rPr>
          <w:rFonts w:hint="eastAsia"/>
          <w:lang w:eastAsia="zh-CN"/>
        </w:rPr>
        <w:t>比选人</w:t>
      </w:r>
      <w:r>
        <w:rPr>
          <w:rFonts w:hint="eastAsia"/>
        </w:rPr>
        <w:t>提交书面</w:t>
      </w:r>
      <w:r>
        <w:rPr>
          <w:rFonts w:hint="eastAsia"/>
          <w:lang w:eastAsia="zh-CN"/>
        </w:rPr>
        <w:t>评审</w:t>
      </w:r>
      <w:r>
        <w:rPr>
          <w:rFonts w:hint="eastAsia"/>
        </w:rPr>
        <w:t>报告和</w:t>
      </w:r>
      <w:r>
        <w:rPr>
          <w:rFonts w:hint="eastAsia"/>
          <w:lang w:eastAsia="zh-CN"/>
        </w:rPr>
        <w:t>中选候选人</w:t>
      </w:r>
      <w:r>
        <w:rPr>
          <w:rFonts w:hint="eastAsia"/>
        </w:rPr>
        <w:t>名单。</w:t>
      </w:r>
    </w:p>
    <w:p w14:paraId="6B32271B">
      <w:pPr>
        <w:bidi w:val="0"/>
        <w:rPr>
          <w:rFonts w:hint="eastAsia"/>
          <w:lang w:val="en-US" w:eastAsia="zh-CN"/>
        </w:rPr>
      </w:pPr>
      <w:r>
        <w:rPr>
          <w:rFonts w:hint="eastAsia"/>
          <w:lang w:val="en-US" w:eastAsia="zh-CN"/>
        </w:rPr>
        <w:t>3.4.3 有效参选不足两个的，</w:t>
      </w:r>
      <w:r>
        <w:rPr>
          <w:rFonts w:hint="eastAsia"/>
        </w:rPr>
        <w:t>经评审</w:t>
      </w:r>
      <w:r>
        <w:rPr>
          <w:rFonts w:hint="eastAsia"/>
          <w:lang w:val="en-US" w:eastAsia="zh-CN"/>
        </w:rPr>
        <w:t>委员会</w:t>
      </w:r>
      <w:r>
        <w:rPr>
          <w:rFonts w:hint="eastAsia"/>
        </w:rPr>
        <w:t>判定，</w:t>
      </w:r>
      <w:r>
        <w:rPr>
          <w:rFonts w:hint="eastAsia"/>
          <w:lang w:val="en-US" w:eastAsia="zh-CN"/>
        </w:rPr>
        <w:t>参选人</w:t>
      </w:r>
      <w:r>
        <w:rPr>
          <w:rFonts w:hint="eastAsia"/>
        </w:rPr>
        <w:t>具有相对行业竞争力的，可继续进行评审</w:t>
      </w:r>
      <w:r>
        <w:rPr>
          <w:rFonts w:hint="eastAsia"/>
          <w:lang w:val="en-US" w:eastAsia="zh-CN"/>
        </w:rPr>
        <w:t>。</w:t>
      </w:r>
    </w:p>
    <w:p w14:paraId="07BD90E3">
      <w:pPr>
        <w:pStyle w:val="4"/>
        <w:bidi w:val="0"/>
        <w:rPr>
          <w:rFonts w:hint="eastAsia"/>
          <w:color w:val="auto"/>
          <w:highlight w:val="none"/>
          <w:lang w:val="en-US" w:eastAsia="zh-CN"/>
        </w:rPr>
      </w:pPr>
      <w:r>
        <w:rPr>
          <w:rFonts w:hint="eastAsia"/>
          <w:color w:val="auto"/>
          <w:highlight w:val="none"/>
          <w:lang w:val="en-US" w:eastAsia="zh-CN"/>
        </w:rPr>
        <w:t>3.5 对评审委员会成员的纪律要求</w:t>
      </w:r>
    </w:p>
    <w:p w14:paraId="2578662E">
      <w:pPr>
        <w:bidi w:val="0"/>
        <w:rPr>
          <w:rFonts w:hint="eastAsia"/>
          <w:color w:val="auto"/>
          <w:highlight w:val="none"/>
        </w:rPr>
      </w:pPr>
      <w:r>
        <w:rPr>
          <w:rFonts w:hint="eastAsia"/>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22DE80F4">
      <w:pPr>
        <w:pStyle w:val="4"/>
        <w:bidi w:val="0"/>
        <w:rPr>
          <w:rFonts w:hint="eastAsia"/>
          <w:color w:val="auto"/>
          <w:highlight w:val="none"/>
          <w:lang w:val="en-US" w:eastAsia="zh-CN"/>
        </w:rPr>
      </w:pPr>
      <w:r>
        <w:rPr>
          <w:rFonts w:hint="eastAsia"/>
          <w:color w:val="auto"/>
          <w:highlight w:val="none"/>
          <w:lang w:val="en-US" w:eastAsia="zh-CN"/>
        </w:rPr>
        <w:t>3.6 对与评审活动有关的工作人员的纪律要求</w:t>
      </w:r>
    </w:p>
    <w:p w14:paraId="3CAFF883">
      <w:pPr>
        <w:bidi w:val="0"/>
        <w:rPr>
          <w:rFonts w:hint="eastAsia"/>
          <w:color w:val="auto"/>
          <w:highlight w:val="none"/>
        </w:rPr>
      </w:pPr>
      <w:r>
        <w:rPr>
          <w:rFonts w:hint="eastAsia"/>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w:t>
      </w:r>
      <w:r>
        <w:rPr>
          <w:rFonts w:hint="eastAsia"/>
          <w:color w:val="auto"/>
          <w:highlight w:val="none"/>
          <w:lang w:eastAsia="zh-CN"/>
        </w:rPr>
        <w:t>评审</w:t>
      </w:r>
      <w:r>
        <w:rPr>
          <w:rFonts w:hint="eastAsia"/>
          <w:color w:val="auto"/>
          <w:highlight w:val="none"/>
        </w:rPr>
        <w:t>程序正常进行。</w:t>
      </w:r>
    </w:p>
    <w:p w14:paraId="3641C0B0">
      <w:pPr>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br w:type="page"/>
      </w:r>
    </w:p>
    <w:bookmarkEnd w:id="64"/>
    <w:bookmarkEnd w:id="65"/>
    <w:bookmarkEnd w:id="66"/>
    <w:bookmarkEnd w:id="67"/>
    <w:p w14:paraId="22F77766">
      <w:pPr>
        <w:pStyle w:val="2"/>
        <w:rPr>
          <w:rFonts w:ascii="Times New Roman" w:hAnsi="Times New Roman"/>
        </w:rPr>
      </w:pPr>
      <w:bookmarkStart w:id="68" w:name="_Toc23995"/>
      <w:bookmarkStart w:id="69" w:name="_Toc150953074"/>
      <w:bookmarkStart w:id="70" w:name="_Toc303066034"/>
      <w:bookmarkStart w:id="71" w:name="_Toc89675170"/>
      <w:r>
        <w:rPr>
          <w:rFonts w:hint="eastAsia" w:ascii="Times New Roman" w:hAnsi="Times New Roman"/>
        </w:rPr>
        <w:t>第五章 合同</w:t>
      </w:r>
      <w:r>
        <w:rPr>
          <w:rFonts w:ascii="Times New Roman" w:hAnsi="Times New Roman"/>
        </w:rPr>
        <w:t>模板</w:t>
      </w:r>
      <w:bookmarkEnd w:id="68"/>
      <w:bookmarkEnd w:id="69"/>
    </w:p>
    <w:p w14:paraId="48E8E4B2">
      <w:pPr>
        <w:ind w:firstLine="0" w:firstLineChars="0"/>
        <w:jc w:val="center"/>
        <w:rPr>
          <w:rFonts w:ascii="Times New Roman" w:hAnsi="Times New Roman"/>
        </w:rPr>
      </w:pPr>
      <w:r>
        <w:rPr>
          <w:rFonts w:hint="eastAsia" w:ascii="Times New Roman" w:hAnsi="Times New Roman"/>
        </w:rPr>
        <w:t>（本章节的合同条款及格式仅供参考，具体以合同签订时为准）</w:t>
      </w:r>
    </w:p>
    <w:p w14:paraId="473990DE">
      <w:pPr>
        <w:spacing w:line="360" w:lineRule="auto"/>
        <w:jc w:val="right"/>
        <w:rPr>
          <w:rFonts w:hint="eastAsia" w:ascii="宋体"/>
          <w:sz w:val="28"/>
        </w:rPr>
      </w:pPr>
      <w:r>
        <w:rPr>
          <w:rFonts w:hint="eastAsia" w:ascii="宋体"/>
          <w:sz w:val="28"/>
        </w:rPr>
        <w:t>编号：SXYH20240101018____</w:t>
      </w:r>
    </w:p>
    <w:p w14:paraId="12F4E717">
      <w:pPr>
        <w:spacing w:line="360" w:lineRule="auto"/>
        <w:jc w:val="center"/>
        <w:rPr>
          <w:rFonts w:hint="eastAsia" w:ascii="宋体"/>
          <w:b/>
          <w:sz w:val="44"/>
        </w:rPr>
      </w:pPr>
    </w:p>
    <w:p w14:paraId="78D3C70F">
      <w:pPr>
        <w:spacing w:line="360" w:lineRule="auto"/>
        <w:jc w:val="center"/>
        <w:rPr>
          <w:rFonts w:hint="eastAsia" w:ascii="宋体"/>
          <w:b/>
          <w:sz w:val="44"/>
        </w:rPr>
      </w:pPr>
    </w:p>
    <w:p w14:paraId="399CA2B5">
      <w:pPr>
        <w:spacing w:line="360" w:lineRule="auto"/>
        <w:jc w:val="center"/>
        <w:rPr>
          <w:rFonts w:hint="eastAsia" w:ascii="宋体"/>
          <w:b/>
          <w:sz w:val="44"/>
        </w:rPr>
      </w:pPr>
    </w:p>
    <w:p w14:paraId="41ED9CEF">
      <w:pPr>
        <w:spacing w:line="360" w:lineRule="auto"/>
        <w:jc w:val="center"/>
        <w:rPr>
          <w:rFonts w:hint="eastAsia" w:ascii="宋体"/>
          <w:b/>
          <w:sz w:val="44"/>
        </w:rPr>
      </w:pPr>
      <w:r>
        <w:rPr>
          <w:rFonts w:hint="eastAsia" w:ascii="宋体"/>
          <w:b/>
          <w:sz w:val="44"/>
        </w:rPr>
        <w:t>重庆三峡银行股份有限公司</w:t>
      </w:r>
    </w:p>
    <w:p w14:paraId="3D7B17B6">
      <w:pPr>
        <w:spacing w:line="360" w:lineRule="auto"/>
        <w:jc w:val="center"/>
        <w:rPr>
          <w:rFonts w:hint="eastAsia" w:ascii="宋体"/>
          <w:b/>
          <w:sz w:val="44"/>
        </w:rPr>
      </w:pPr>
    </w:p>
    <w:p w14:paraId="3F0BFF69">
      <w:pPr>
        <w:spacing w:line="360" w:lineRule="auto"/>
        <w:jc w:val="center"/>
        <w:rPr>
          <w:rFonts w:hint="eastAsia" w:ascii="宋体"/>
          <w:b/>
          <w:sz w:val="44"/>
        </w:rPr>
      </w:pPr>
      <w:r>
        <w:rPr>
          <w:rFonts w:hint="eastAsia" w:ascii="宋体"/>
          <w:b/>
          <w:sz w:val="44"/>
        </w:rPr>
        <w:t>与</w:t>
      </w:r>
    </w:p>
    <w:p w14:paraId="66C6FE6C">
      <w:pPr>
        <w:spacing w:line="360" w:lineRule="auto"/>
        <w:jc w:val="center"/>
        <w:rPr>
          <w:rFonts w:hint="eastAsia" w:ascii="宋体"/>
          <w:b/>
          <w:sz w:val="44"/>
        </w:rPr>
      </w:pPr>
    </w:p>
    <w:p w14:paraId="41DCCA11">
      <w:pPr>
        <w:spacing w:line="360" w:lineRule="auto"/>
        <w:jc w:val="center"/>
        <w:rPr>
          <w:rFonts w:hint="eastAsia" w:ascii="宋体"/>
          <w:b/>
          <w:sz w:val="44"/>
        </w:rPr>
      </w:pPr>
      <w:r>
        <w:rPr>
          <w:rFonts w:hint="eastAsia" w:ascii="宋体"/>
          <w:b/>
          <w:sz w:val="44"/>
        </w:rPr>
        <w:t xml:space="preserve">  xxxxx公司</w:t>
      </w:r>
    </w:p>
    <w:p w14:paraId="2866D629">
      <w:pPr>
        <w:spacing w:line="360" w:lineRule="auto"/>
        <w:jc w:val="center"/>
        <w:rPr>
          <w:rFonts w:hint="eastAsia" w:ascii="宋体"/>
          <w:sz w:val="32"/>
          <w:szCs w:val="32"/>
        </w:rPr>
      </w:pPr>
    </w:p>
    <w:p w14:paraId="48F89285">
      <w:pPr>
        <w:spacing w:line="360" w:lineRule="auto"/>
        <w:jc w:val="center"/>
        <w:rPr>
          <w:rFonts w:hint="eastAsia" w:ascii="宋体"/>
          <w:sz w:val="32"/>
          <w:szCs w:val="32"/>
        </w:rPr>
      </w:pPr>
    </w:p>
    <w:p w14:paraId="22130301">
      <w:pPr>
        <w:spacing w:line="360" w:lineRule="auto"/>
        <w:jc w:val="center"/>
        <w:rPr>
          <w:rFonts w:hint="eastAsia" w:ascii="宋体"/>
          <w:sz w:val="32"/>
          <w:szCs w:val="32"/>
        </w:rPr>
      </w:pPr>
      <w:r>
        <w:rPr>
          <w:rFonts w:hint="eastAsia" w:ascii="宋体"/>
          <w:sz w:val="32"/>
          <w:szCs w:val="32"/>
        </w:rPr>
        <w:t>（</w:t>
      </w:r>
      <w:r>
        <w:rPr>
          <w:rFonts w:ascii="宋体"/>
          <w:sz w:val="32"/>
          <w:szCs w:val="32"/>
        </w:rPr>
        <w:t>XX服务器</w:t>
      </w:r>
      <w:r>
        <w:rPr>
          <w:rFonts w:hint="eastAsia" w:ascii="宋体"/>
          <w:sz w:val="32"/>
          <w:szCs w:val="32"/>
        </w:rPr>
        <w:t>）</w:t>
      </w:r>
    </w:p>
    <w:p w14:paraId="4BFBDFF3">
      <w:pPr>
        <w:spacing w:line="360" w:lineRule="auto"/>
        <w:jc w:val="center"/>
        <w:rPr>
          <w:rFonts w:hint="eastAsia" w:ascii="宋体"/>
          <w:sz w:val="36"/>
        </w:rPr>
      </w:pPr>
    </w:p>
    <w:p w14:paraId="5068B859">
      <w:pPr>
        <w:spacing w:line="360" w:lineRule="auto"/>
        <w:jc w:val="center"/>
        <w:rPr>
          <w:rFonts w:hint="eastAsia" w:ascii="宋体"/>
          <w:b/>
          <w:sz w:val="48"/>
        </w:rPr>
      </w:pPr>
      <w:r>
        <w:rPr>
          <w:rFonts w:hint="eastAsia" w:ascii="宋体"/>
          <w:b/>
          <w:sz w:val="48"/>
        </w:rPr>
        <w:t>购 销 合 同</w:t>
      </w:r>
    </w:p>
    <w:p w14:paraId="4A6E97CF">
      <w:pPr>
        <w:spacing w:line="360" w:lineRule="auto"/>
        <w:rPr>
          <w:rFonts w:hint="eastAsia" w:ascii="宋体"/>
          <w:b/>
          <w:sz w:val="48"/>
        </w:rPr>
      </w:pPr>
    </w:p>
    <w:p w14:paraId="7CF4FEA1">
      <w:pPr>
        <w:spacing w:line="360" w:lineRule="auto"/>
        <w:rPr>
          <w:rFonts w:hint="eastAsia" w:ascii="宋体"/>
          <w:b/>
          <w:sz w:val="18"/>
        </w:rPr>
      </w:pPr>
    </w:p>
    <w:p w14:paraId="0A13BCDB">
      <w:pPr>
        <w:spacing w:line="360" w:lineRule="auto"/>
        <w:rPr>
          <w:rFonts w:hint="eastAsia" w:ascii="宋体"/>
          <w:b/>
          <w:sz w:val="18"/>
        </w:rPr>
      </w:pPr>
    </w:p>
    <w:p w14:paraId="015358A8">
      <w:pPr>
        <w:tabs>
          <w:tab w:val="left" w:pos="1843"/>
        </w:tabs>
        <w:spacing w:line="360" w:lineRule="auto"/>
        <w:rPr>
          <w:rFonts w:hint="eastAsia" w:ascii="宋体"/>
          <w:b/>
          <w:sz w:val="18"/>
        </w:rPr>
      </w:pPr>
    </w:p>
    <w:p w14:paraId="49176FC0">
      <w:pPr>
        <w:spacing w:line="360" w:lineRule="auto"/>
        <w:ind w:firstLine="2389" w:firstLineChars="850"/>
        <w:rPr>
          <w:rFonts w:hint="eastAsia" w:ascii="宋体"/>
          <w:b/>
          <w:sz w:val="28"/>
          <w:szCs w:val="28"/>
        </w:rPr>
      </w:pPr>
      <w:r>
        <w:rPr>
          <w:rFonts w:ascii="宋体"/>
          <w:b/>
          <w:sz w:val="28"/>
          <w:szCs w:val="28"/>
        </w:rPr>
        <w:t>项目名称：2024年信创服务器采购</w:t>
      </w:r>
    </w:p>
    <w:p w14:paraId="0FDFB442">
      <w:pPr>
        <w:spacing w:line="360" w:lineRule="auto"/>
        <w:ind w:left="2551" w:leftChars="1215"/>
        <w:rPr>
          <w:rFonts w:hint="eastAsia" w:ascii="宋体"/>
          <w:b/>
          <w:sz w:val="28"/>
          <w:szCs w:val="28"/>
        </w:rPr>
      </w:pPr>
      <w:r>
        <w:rPr>
          <w:rFonts w:hint="eastAsia" w:ascii="宋体"/>
          <w:b/>
          <w:sz w:val="28"/>
          <w:szCs w:val="28"/>
        </w:rPr>
        <w:t>签订地点：重庆</w:t>
      </w:r>
    </w:p>
    <w:p w14:paraId="233AC81C">
      <w:pPr>
        <w:spacing w:line="360" w:lineRule="auto"/>
        <w:ind w:left="2551" w:leftChars="1215"/>
        <w:rPr>
          <w:rFonts w:hint="eastAsia" w:ascii="宋体"/>
          <w:b/>
          <w:sz w:val="28"/>
          <w:szCs w:val="28"/>
        </w:rPr>
        <w:sectPr>
          <w:footerReference r:id="rId5" w:type="default"/>
          <w:pgSz w:w="11906" w:h="16838"/>
          <w:pgMar w:top="1440" w:right="1800" w:bottom="1440" w:left="1800" w:header="851" w:footer="992" w:gutter="0"/>
          <w:pgNumType w:fmt="decimal"/>
          <w:cols w:space="720" w:num="1"/>
          <w:docGrid w:type="lines" w:linePitch="312" w:charSpace="0"/>
        </w:sectPr>
      </w:pPr>
    </w:p>
    <w:p w14:paraId="03CC3EDC">
      <w:pPr>
        <w:spacing w:line="360" w:lineRule="auto"/>
        <w:rPr>
          <w:rFonts w:hint="eastAsia" w:ascii="宋体"/>
        </w:rPr>
      </w:pPr>
      <w:r>
        <w:rPr>
          <w:rFonts w:hint="eastAsia" w:ascii="宋体"/>
          <w:b/>
        </w:rPr>
        <w:t>甲    方：重庆三峡银行股份有限公司</w:t>
      </w:r>
    </w:p>
    <w:p w14:paraId="1D32DD93">
      <w:pPr>
        <w:spacing w:line="360" w:lineRule="auto"/>
        <w:rPr>
          <w:rFonts w:hint="eastAsia" w:ascii="宋体"/>
          <w:b/>
          <w:sz w:val="24"/>
        </w:rPr>
      </w:pPr>
      <w:r>
        <w:rPr>
          <w:rFonts w:hint="eastAsia" w:ascii="宋体"/>
          <w:sz w:val="24"/>
        </w:rPr>
        <w:t>地    址：</w:t>
      </w:r>
      <w:r>
        <w:rPr>
          <w:rFonts w:ascii="宋体"/>
          <w:sz w:val="24"/>
          <w:szCs w:val="20"/>
        </w:rPr>
        <w:t>重庆市渝北区嘉州路88号中渝国际都会4号写字楼</w:t>
      </w:r>
    </w:p>
    <w:p w14:paraId="79655D26">
      <w:pPr>
        <w:spacing w:line="360" w:lineRule="auto"/>
        <w:rPr>
          <w:rFonts w:hint="eastAsia" w:ascii="宋体"/>
          <w:sz w:val="24"/>
        </w:rPr>
      </w:pPr>
      <w:r>
        <w:rPr>
          <w:rFonts w:hint="eastAsia" w:ascii="宋体"/>
          <w:sz w:val="24"/>
        </w:rPr>
        <w:t>法定代表人：刘江桥</w:t>
      </w:r>
    </w:p>
    <w:p w14:paraId="370ACF2D">
      <w:pPr>
        <w:spacing w:line="360" w:lineRule="auto"/>
        <w:rPr>
          <w:rFonts w:hint="eastAsia" w:ascii="宋体"/>
          <w:bCs/>
          <w:sz w:val="24"/>
        </w:rPr>
      </w:pPr>
      <w:r>
        <w:rPr>
          <w:rFonts w:hint="eastAsia" w:ascii="宋体"/>
          <w:sz w:val="24"/>
        </w:rPr>
        <w:t>邮政编码：</w:t>
      </w:r>
    </w:p>
    <w:p w14:paraId="3976A918">
      <w:pPr>
        <w:spacing w:line="360" w:lineRule="auto"/>
        <w:rPr>
          <w:rFonts w:hint="eastAsia" w:ascii="宋体"/>
          <w:sz w:val="24"/>
        </w:rPr>
      </w:pPr>
      <w:r>
        <w:rPr>
          <w:rFonts w:hint="eastAsia" w:ascii="宋体"/>
          <w:sz w:val="24"/>
        </w:rPr>
        <w:t>联系人：</w:t>
      </w:r>
    </w:p>
    <w:p w14:paraId="2E8D0814">
      <w:pPr>
        <w:spacing w:line="360" w:lineRule="auto"/>
        <w:rPr>
          <w:rFonts w:hint="eastAsia" w:ascii="宋体"/>
          <w:sz w:val="24"/>
        </w:rPr>
      </w:pPr>
      <w:r>
        <w:rPr>
          <w:rFonts w:hint="eastAsia" w:ascii="宋体"/>
          <w:sz w:val="24"/>
        </w:rPr>
        <w:t>联系电话：</w:t>
      </w:r>
    </w:p>
    <w:p w14:paraId="081C5588">
      <w:pPr>
        <w:spacing w:line="360" w:lineRule="auto"/>
        <w:rPr>
          <w:rFonts w:hint="eastAsia" w:ascii="宋体"/>
          <w:sz w:val="24"/>
        </w:rPr>
      </w:pPr>
      <w:r>
        <w:rPr>
          <w:rFonts w:hint="eastAsia" w:ascii="宋体"/>
          <w:sz w:val="24"/>
        </w:rPr>
        <w:t>传真号码：</w:t>
      </w:r>
    </w:p>
    <w:p w14:paraId="7E2D1BB8">
      <w:pPr>
        <w:spacing w:line="360" w:lineRule="auto"/>
        <w:rPr>
          <w:rFonts w:hint="eastAsia" w:ascii="宋体"/>
          <w:bCs/>
          <w:sz w:val="24"/>
        </w:rPr>
      </w:pPr>
      <w:r>
        <w:rPr>
          <w:rFonts w:hint="eastAsia" w:ascii="宋体"/>
          <w:bCs/>
          <w:sz w:val="24"/>
        </w:rPr>
        <w:t>电子邮箱：</w:t>
      </w:r>
    </w:p>
    <w:p w14:paraId="61FA6CFD">
      <w:pPr>
        <w:spacing w:line="360" w:lineRule="auto"/>
        <w:rPr>
          <w:rFonts w:hint="eastAsia" w:ascii="宋体"/>
          <w:b/>
          <w:sz w:val="24"/>
        </w:rPr>
      </w:pPr>
    </w:p>
    <w:p w14:paraId="4B379F29">
      <w:pPr>
        <w:spacing w:line="360" w:lineRule="auto"/>
        <w:rPr>
          <w:rFonts w:hint="eastAsia" w:ascii="宋体"/>
        </w:rPr>
      </w:pPr>
      <w:r>
        <w:rPr>
          <w:rFonts w:hint="eastAsia" w:ascii="宋体"/>
          <w:b/>
        </w:rPr>
        <w:t>乙    方：xxxxx公司</w:t>
      </w:r>
      <w:r>
        <w:rPr>
          <w:rFonts w:hint="eastAsia" w:ascii="宋体"/>
        </w:rPr>
        <w:tab/>
      </w:r>
    </w:p>
    <w:p w14:paraId="5E933C7E">
      <w:pPr>
        <w:spacing w:line="360" w:lineRule="auto"/>
        <w:rPr>
          <w:rFonts w:hint="eastAsia" w:ascii="宋体"/>
          <w:bCs/>
          <w:sz w:val="24"/>
        </w:rPr>
      </w:pPr>
      <w:r>
        <w:rPr>
          <w:rFonts w:hint="eastAsia" w:ascii="宋体"/>
          <w:bCs/>
          <w:sz w:val="24"/>
        </w:rPr>
        <w:t>地    址：</w:t>
      </w:r>
    </w:p>
    <w:p w14:paraId="7333413C">
      <w:pPr>
        <w:spacing w:line="360" w:lineRule="auto"/>
        <w:rPr>
          <w:rFonts w:hint="eastAsia" w:ascii="宋体"/>
          <w:bCs/>
          <w:sz w:val="24"/>
        </w:rPr>
      </w:pPr>
      <w:r>
        <w:rPr>
          <w:rFonts w:hint="eastAsia" w:ascii="宋体"/>
          <w:bCs/>
          <w:sz w:val="24"/>
        </w:rPr>
        <w:t xml:space="preserve">法人代表： </w:t>
      </w:r>
    </w:p>
    <w:p w14:paraId="3AADC773">
      <w:pPr>
        <w:spacing w:line="360" w:lineRule="auto"/>
        <w:rPr>
          <w:rFonts w:hint="eastAsia" w:ascii="宋体"/>
          <w:bCs/>
          <w:sz w:val="24"/>
        </w:rPr>
      </w:pPr>
      <w:r>
        <w:rPr>
          <w:rFonts w:hint="eastAsia" w:ascii="宋体"/>
          <w:bCs/>
          <w:sz w:val="24"/>
        </w:rPr>
        <w:t>邮政编码：</w:t>
      </w:r>
    </w:p>
    <w:p w14:paraId="7250C974">
      <w:pPr>
        <w:spacing w:line="360" w:lineRule="auto"/>
        <w:rPr>
          <w:rFonts w:hint="eastAsia" w:ascii="宋体"/>
          <w:bCs/>
          <w:sz w:val="24"/>
        </w:rPr>
      </w:pPr>
      <w:r>
        <w:rPr>
          <w:rFonts w:hint="eastAsia" w:ascii="宋体"/>
          <w:bCs/>
          <w:sz w:val="24"/>
        </w:rPr>
        <w:t>联系人：</w:t>
      </w:r>
    </w:p>
    <w:p w14:paraId="1D2D729B">
      <w:pPr>
        <w:spacing w:line="360" w:lineRule="auto"/>
        <w:rPr>
          <w:rFonts w:hint="eastAsia" w:ascii="宋体"/>
          <w:bCs/>
          <w:sz w:val="24"/>
        </w:rPr>
      </w:pPr>
      <w:r>
        <w:rPr>
          <w:rFonts w:hint="eastAsia" w:ascii="宋体"/>
          <w:bCs/>
          <w:sz w:val="24"/>
        </w:rPr>
        <w:t>联系电话：</w:t>
      </w:r>
    </w:p>
    <w:p w14:paraId="18B4241A">
      <w:pPr>
        <w:spacing w:line="360" w:lineRule="auto"/>
        <w:rPr>
          <w:rFonts w:hint="eastAsia" w:ascii="宋体"/>
          <w:bCs/>
          <w:sz w:val="24"/>
        </w:rPr>
      </w:pPr>
      <w:r>
        <w:rPr>
          <w:rFonts w:hint="eastAsia" w:ascii="宋体"/>
          <w:bCs/>
          <w:sz w:val="24"/>
        </w:rPr>
        <w:t>传真号码：</w:t>
      </w:r>
    </w:p>
    <w:p w14:paraId="27BE2986">
      <w:pPr>
        <w:spacing w:line="360" w:lineRule="auto"/>
        <w:rPr>
          <w:rFonts w:hint="eastAsia" w:ascii="宋体"/>
          <w:bCs/>
          <w:sz w:val="24"/>
        </w:rPr>
      </w:pPr>
      <w:r>
        <w:rPr>
          <w:rFonts w:hint="eastAsia" w:ascii="宋体"/>
          <w:bCs/>
          <w:sz w:val="24"/>
        </w:rPr>
        <w:t>电子邮箱：</w:t>
      </w:r>
    </w:p>
    <w:p w14:paraId="780F8620">
      <w:pPr>
        <w:pStyle w:val="35"/>
        <w:bidi w:val="0"/>
        <w:rPr>
          <w:rFonts w:hint="eastAsia"/>
        </w:rPr>
      </w:pPr>
      <w:r>
        <w:rPr>
          <w:rFonts w:hint="eastAsia"/>
          <w:lang w:val="en-US" w:eastAsia="zh-CN"/>
        </w:rPr>
        <w:t xml:space="preserve">第一条 </w:t>
      </w:r>
      <w:r>
        <w:rPr>
          <w:rFonts w:hint="eastAsia"/>
        </w:rPr>
        <w:t>本合同事宜</w:t>
      </w:r>
    </w:p>
    <w:p w14:paraId="5890A5E6">
      <w:pPr>
        <w:bidi w:val="0"/>
        <w:rPr>
          <w:rFonts w:hint="eastAsia"/>
        </w:rPr>
      </w:pPr>
      <w:r>
        <w:rPr>
          <w:rFonts w:hint="eastAsia"/>
        </w:rPr>
        <w:t>甲乙双方经友好协商并达成一致，依据相关法律、法规的规定，就甲方向乙方订购                产品的事宜订立本合同，以资信守：</w:t>
      </w:r>
    </w:p>
    <w:p w14:paraId="79E3FEDA">
      <w:pPr>
        <w:pStyle w:val="35"/>
        <w:bidi w:val="0"/>
        <w:rPr>
          <w:rFonts w:hint="eastAsia"/>
        </w:rPr>
      </w:pPr>
      <w:r>
        <w:rPr>
          <w:rFonts w:hint="eastAsia"/>
          <w:lang w:val="en-US" w:eastAsia="zh-CN"/>
        </w:rPr>
        <w:t xml:space="preserve">第二条 </w:t>
      </w:r>
      <w:r>
        <w:rPr>
          <w:rFonts w:hint="eastAsia"/>
        </w:rPr>
        <w:t>本合同产品及金额</w:t>
      </w:r>
    </w:p>
    <w:tbl>
      <w:tblPr>
        <w:tblStyle w:val="14"/>
        <w:tblW w:w="89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924"/>
        <w:gridCol w:w="1207"/>
        <w:gridCol w:w="1250"/>
        <w:gridCol w:w="728"/>
        <w:gridCol w:w="2639"/>
      </w:tblGrid>
      <w:tr w14:paraId="6017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rPr>
        <w:tc>
          <w:tcPr>
            <w:tcW w:w="1183" w:type="dxa"/>
            <w:tcBorders>
              <w:tl2br w:val="nil"/>
              <w:tr2bl w:val="nil"/>
            </w:tcBorders>
            <w:vAlign w:val="center"/>
          </w:tcPr>
          <w:p w14:paraId="2234F4B7">
            <w:pPr>
              <w:pStyle w:val="34"/>
              <w:bidi w:val="0"/>
              <w:rPr>
                <w:rFonts w:hint="eastAsia"/>
              </w:rPr>
            </w:pPr>
            <w:r>
              <w:rPr>
                <w:rFonts w:hint="eastAsia"/>
              </w:rPr>
              <w:t>产品名称</w:t>
            </w:r>
          </w:p>
        </w:tc>
        <w:tc>
          <w:tcPr>
            <w:tcW w:w="1924" w:type="dxa"/>
            <w:tcBorders>
              <w:tl2br w:val="nil"/>
              <w:tr2bl w:val="nil"/>
            </w:tcBorders>
            <w:vAlign w:val="center"/>
          </w:tcPr>
          <w:p w14:paraId="391D989A">
            <w:pPr>
              <w:pStyle w:val="34"/>
              <w:bidi w:val="0"/>
              <w:rPr>
                <w:rFonts w:hint="eastAsia"/>
              </w:rPr>
            </w:pPr>
            <w:r>
              <w:rPr>
                <w:rFonts w:hint="eastAsia"/>
              </w:rPr>
              <w:t>产品型号及规格</w:t>
            </w:r>
          </w:p>
        </w:tc>
        <w:tc>
          <w:tcPr>
            <w:tcW w:w="1207" w:type="dxa"/>
            <w:tcBorders>
              <w:tl2br w:val="nil"/>
              <w:tr2bl w:val="nil"/>
            </w:tcBorders>
            <w:vAlign w:val="center"/>
          </w:tcPr>
          <w:p w14:paraId="67BCE7A6">
            <w:pPr>
              <w:pStyle w:val="34"/>
              <w:bidi w:val="0"/>
              <w:rPr>
                <w:rFonts w:hint="eastAsia"/>
              </w:rPr>
            </w:pPr>
            <w:r>
              <w:rPr>
                <w:rFonts w:hint="eastAsia"/>
              </w:rPr>
              <w:t>单价（元）</w:t>
            </w:r>
          </w:p>
        </w:tc>
        <w:tc>
          <w:tcPr>
            <w:tcW w:w="1250" w:type="dxa"/>
            <w:tcBorders>
              <w:tl2br w:val="nil"/>
              <w:tr2bl w:val="nil"/>
            </w:tcBorders>
            <w:vAlign w:val="center"/>
          </w:tcPr>
          <w:p w14:paraId="1CE9686B">
            <w:pPr>
              <w:pStyle w:val="34"/>
              <w:bidi w:val="0"/>
              <w:rPr>
                <w:rFonts w:hint="eastAsia"/>
              </w:rPr>
            </w:pPr>
            <w:r>
              <w:rPr>
                <w:rFonts w:hint="eastAsia"/>
              </w:rPr>
              <w:t>数量（台）</w:t>
            </w:r>
          </w:p>
        </w:tc>
        <w:tc>
          <w:tcPr>
            <w:tcW w:w="728" w:type="dxa"/>
            <w:tcBorders>
              <w:tl2br w:val="nil"/>
              <w:tr2bl w:val="nil"/>
            </w:tcBorders>
            <w:vAlign w:val="center"/>
          </w:tcPr>
          <w:p w14:paraId="48BEA09E">
            <w:pPr>
              <w:pStyle w:val="34"/>
              <w:bidi w:val="0"/>
              <w:rPr>
                <w:rFonts w:hint="eastAsia"/>
              </w:rPr>
            </w:pPr>
            <w:r>
              <w:rPr>
                <w:rFonts w:hint="eastAsia"/>
              </w:rPr>
              <w:t>税率</w:t>
            </w:r>
          </w:p>
        </w:tc>
        <w:tc>
          <w:tcPr>
            <w:tcW w:w="2639" w:type="dxa"/>
            <w:tcBorders>
              <w:tl2br w:val="nil"/>
              <w:tr2bl w:val="nil"/>
            </w:tcBorders>
            <w:vAlign w:val="center"/>
          </w:tcPr>
          <w:p w14:paraId="222104A9">
            <w:pPr>
              <w:pStyle w:val="34"/>
              <w:bidi w:val="0"/>
              <w:rPr>
                <w:rFonts w:hint="eastAsia"/>
              </w:rPr>
            </w:pPr>
            <w:r>
              <w:rPr>
                <w:rFonts w:hint="eastAsia"/>
              </w:rPr>
              <w:t>总金额含税（元）</w:t>
            </w:r>
          </w:p>
        </w:tc>
      </w:tr>
      <w:tr w14:paraId="2F2A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83" w:type="dxa"/>
            <w:tcBorders>
              <w:tl2br w:val="nil"/>
              <w:tr2bl w:val="nil"/>
            </w:tcBorders>
            <w:vAlign w:val="center"/>
          </w:tcPr>
          <w:p w14:paraId="62965DD6">
            <w:pPr>
              <w:pStyle w:val="33"/>
              <w:bidi w:val="0"/>
              <w:rPr>
                <w:rFonts w:hint="eastAsia"/>
              </w:rPr>
            </w:pPr>
          </w:p>
        </w:tc>
        <w:tc>
          <w:tcPr>
            <w:tcW w:w="1924" w:type="dxa"/>
            <w:tcBorders>
              <w:tl2br w:val="nil"/>
              <w:tr2bl w:val="nil"/>
            </w:tcBorders>
            <w:vAlign w:val="center"/>
          </w:tcPr>
          <w:p w14:paraId="1E5E48EA">
            <w:pPr>
              <w:pStyle w:val="33"/>
              <w:bidi w:val="0"/>
              <w:rPr>
                <w:rFonts w:hint="eastAsia"/>
              </w:rPr>
            </w:pPr>
          </w:p>
        </w:tc>
        <w:tc>
          <w:tcPr>
            <w:tcW w:w="1207" w:type="dxa"/>
            <w:tcBorders>
              <w:tl2br w:val="nil"/>
              <w:tr2bl w:val="nil"/>
            </w:tcBorders>
            <w:vAlign w:val="center"/>
          </w:tcPr>
          <w:p w14:paraId="721C7E19">
            <w:pPr>
              <w:pStyle w:val="33"/>
              <w:bidi w:val="0"/>
              <w:rPr>
                <w:rFonts w:hint="eastAsia"/>
              </w:rPr>
            </w:pPr>
          </w:p>
        </w:tc>
        <w:tc>
          <w:tcPr>
            <w:tcW w:w="1250" w:type="dxa"/>
            <w:tcBorders>
              <w:tl2br w:val="nil"/>
              <w:tr2bl w:val="nil"/>
            </w:tcBorders>
            <w:vAlign w:val="center"/>
          </w:tcPr>
          <w:p w14:paraId="485D65A1">
            <w:pPr>
              <w:pStyle w:val="33"/>
              <w:bidi w:val="0"/>
              <w:rPr>
                <w:rFonts w:hint="eastAsia"/>
              </w:rPr>
            </w:pPr>
          </w:p>
        </w:tc>
        <w:tc>
          <w:tcPr>
            <w:tcW w:w="728" w:type="dxa"/>
            <w:tcBorders>
              <w:tl2br w:val="nil"/>
              <w:tr2bl w:val="nil"/>
            </w:tcBorders>
          </w:tcPr>
          <w:p w14:paraId="59A4903A">
            <w:pPr>
              <w:pStyle w:val="33"/>
              <w:bidi w:val="0"/>
              <w:rPr>
                <w:rFonts w:hint="eastAsia"/>
              </w:rPr>
            </w:pPr>
          </w:p>
        </w:tc>
        <w:tc>
          <w:tcPr>
            <w:tcW w:w="2639" w:type="dxa"/>
            <w:tcBorders>
              <w:tl2br w:val="nil"/>
              <w:tr2bl w:val="nil"/>
            </w:tcBorders>
            <w:vAlign w:val="center"/>
          </w:tcPr>
          <w:p w14:paraId="0919D03E">
            <w:pPr>
              <w:pStyle w:val="33"/>
              <w:bidi w:val="0"/>
              <w:rPr>
                <w:rFonts w:hint="eastAsia"/>
              </w:rPr>
            </w:pPr>
          </w:p>
        </w:tc>
      </w:tr>
      <w:tr w14:paraId="093A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83" w:type="dxa"/>
            <w:tcBorders>
              <w:tl2br w:val="nil"/>
              <w:tr2bl w:val="nil"/>
            </w:tcBorders>
            <w:vAlign w:val="center"/>
          </w:tcPr>
          <w:p w14:paraId="61810DB7">
            <w:pPr>
              <w:pStyle w:val="33"/>
              <w:bidi w:val="0"/>
              <w:rPr>
                <w:rFonts w:hint="eastAsia"/>
              </w:rPr>
            </w:pPr>
          </w:p>
        </w:tc>
        <w:tc>
          <w:tcPr>
            <w:tcW w:w="1924" w:type="dxa"/>
            <w:tcBorders>
              <w:tl2br w:val="nil"/>
              <w:tr2bl w:val="nil"/>
            </w:tcBorders>
            <w:vAlign w:val="center"/>
          </w:tcPr>
          <w:p w14:paraId="581EF95C">
            <w:pPr>
              <w:pStyle w:val="33"/>
              <w:bidi w:val="0"/>
              <w:rPr>
                <w:rFonts w:hint="eastAsia"/>
              </w:rPr>
            </w:pPr>
          </w:p>
        </w:tc>
        <w:tc>
          <w:tcPr>
            <w:tcW w:w="1207" w:type="dxa"/>
            <w:tcBorders>
              <w:tl2br w:val="nil"/>
              <w:tr2bl w:val="nil"/>
            </w:tcBorders>
            <w:vAlign w:val="center"/>
          </w:tcPr>
          <w:p w14:paraId="6DC0A200">
            <w:pPr>
              <w:pStyle w:val="33"/>
              <w:bidi w:val="0"/>
              <w:rPr>
                <w:rFonts w:hint="eastAsia"/>
              </w:rPr>
            </w:pPr>
          </w:p>
        </w:tc>
        <w:tc>
          <w:tcPr>
            <w:tcW w:w="1250" w:type="dxa"/>
            <w:tcBorders>
              <w:tl2br w:val="nil"/>
              <w:tr2bl w:val="nil"/>
            </w:tcBorders>
            <w:vAlign w:val="center"/>
          </w:tcPr>
          <w:p w14:paraId="1B36FB05">
            <w:pPr>
              <w:pStyle w:val="33"/>
              <w:bidi w:val="0"/>
              <w:rPr>
                <w:rFonts w:hint="eastAsia"/>
              </w:rPr>
            </w:pPr>
          </w:p>
        </w:tc>
        <w:tc>
          <w:tcPr>
            <w:tcW w:w="728" w:type="dxa"/>
            <w:tcBorders>
              <w:tl2br w:val="nil"/>
              <w:tr2bl w:val="nil"/>
            </w:tcBorders>
          </w:tcPr>
          <w:p w14:paraId="297657F5">
            <w:pPr>
              <w:pStyle w:val="33"/>
              <w:bidi w:val="0"/>
              <w:rPr>
                <w:rFonts w:hint="eastAsia"/>
              </w:rPr>
            </w:pPr>
          </w:p>
        </w:tc>
        <w:tc>
          <w:tcPr>
            <w:tcW w:w="2639" w:type="dxa"/>
            <w:tcBorders>
              <w:tl2br w:val="nil"/>
              <w:tr2bl w:val="nil"/>
            </w:tcBorders>
            <w:vAlign w:val="center"/>
          </w:tcPr>
          <w:p w14:paraId="3006690E">
            <w:pPr>
              <w:pStyle w:val="33"/>
              <w:bidi w:val="0"/>
              <w:rPr>
                <w:rFonts w:hint="eastAsia"/>
              </w:rPr>
            </w:pPr>
          </w:p>
        </w:tc>
      </w:tr>
      <w:tr w14:paraId="66EA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83" w:type="dxa"/>
            <w:tcBorders>
              <w:tl2br w:val="nil"/>
              <w:tr2bl w:val="nil"/>
            </w:tcBorders>
            <w:vAlign w:val="center"/>
          </w:tcPr>
          <w:p w14:paraId="4BD9830D">
            <w:pPr>
              <w:pStyle w:val="33"/>
              <w:bidi w:val="0"/>
              <w:rPr>
                <w:rFonts w:hint="eastAsia"/>
              </w:rPr>
            </w:pPr>
          </w:p>
        </w:tc>
        <w:tc>
          <w:tcPr>
            <w:tcW w:w="1924" w:type="dxa"/>
            <w:tcBorders>
              <w:tl2br w:val="nil"/>
              <w:tr2bl w:val="nil"/>
            </w:tcBorders>
            <w:vAlign w:val="center"/>
          </w:tcPr>
          <w:p w14:paraId="641B5E3B">
            <w:pPr>
              <w:pStyle w:val="33"/>
              <w:bidi w:val="0"/>
              <w:rPr>
                <w:rFonts w:hint="eastAsia"/>
              </w:rPr>
            </w:pPr>
          </w:p>
        </w:tc>
        <w:tc>
          <w:tcPr>
            <w:tcW w:w="1207" w:type="dxa"/>
            <w:tcBorders>
              <w:tl2br w:val="nil"/>
              <w:tr2bl w:val="nil"/>
            </w:tcBorders>
            <w:vAlign w:val="center"/>
          </w:tcPr>
          <w:p w14:paraId="26835A27">
            <w:pPr>
              <w:pStyle w:val="33"/>
              <w:bidi w:val="0"/>
              <w:rPr>
                <w:rFonts w:hint="eastAsia"/>
              </w:rPr>
            </w:pPr>
          </w:p>
        </w:tc>
        <w:tc>
          <w:tcPr>
            <w:tcW w:w="1250" w:type="dxa"/>
            <w:tcBorders>
              <w:tl2br w:val="nil"/>
              <w:tr2bl w:val="nil"/>
            </w:tcBorders>
            <w:vAlign w:val="center"/>
          </w:tcPr>
          <w:p w14:paraId="143A0268">
            <w:pPr>
              <w:pStyle w:val="33"/>
              <w:bidi w:val="0"/>
              <w:rPr>
                <w:rFonts w:hint="eastAsia"/>
              </w:rPr>
            </w:pPr>
          </w:p>
        </w:tc>
        <w:tc>
          <w:tcPr>
            <w:tcW w:w="728" w:type="dxa"/>
            <w:tcBorders>
              <w:tl2br w:val="nil"/>
              <w:tr2bl w:val="nil"/>
            </w:tcBorders>
          </w:tcPr>
          <w:p w14:paraId="57A3E540">
            <w:pPr>
              <w:pStyle w:val="33"/>
              <w:bidi w:val="0"/>
              <w:rPr>
                <w:rFonts w:hint="eastAsia"/>
              </w:rPr>
            </w:pPr>
          </w:p>
        </w:tc>
        <w:tc>
          <w:tcPr>
            <w:tcW w:w="2639" w:type="dxa"/>
            <w:tcBorders>
              <w:tl2br w:val="nil"/>
              <w:tr2bl w:val="nil"/>
            </w:tcBorders>
            <w:vAlign w:val="center"/>
          </w:tcPr>
          <w:p w14:paraId="6666124B">
            <w:pPr>
              <w:pStyle w:val="33"/>
              <w:bidi w:val="0"/>
              <w:rPr>
                <w:rFonts w:hint="eastAsia"/>
              </w:rPr>
            </w:pPr>
          </w:p>
        </w:tc>
      </w:tr>
      <w:tr w14:paraId="2C57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83" w:type="dxa"/>
            <w:tcBorders>
              <w:tl2br w:val="nil"/>
              <w:tr2bl w:val="nil"/>
            </w:tcBorders>
            <w:vAlign w:val="center"/>
          </w:tcPr>
          <w:p w14:paraId="1E641820">
            <w:pPr>
              <w:pStyle w:val="33"/>
              <w:bidi w:val="0"/>
              <w:rPr>
                <w:rFonts w:hint="eastAsia"/>
              </w:rPr>
            </w:pPr>
          </w:p>
        </w:tc>
        <w:tc>
          <w:tcPr>
            <w:tcW w:w="1924" w:type="dxa"/>
            <w:tcBorders>
              <w:tl2br w:val="nil"/>
              <w:tr2bl w:val="nil"/>
            </w:tcBorders>
            <w:vAlign w:val="center"/>
          </w:tcPr>
          <w:p w14:paraId="099DD0B2">
            <w:pPr>
              <w:pStyle w:val="33"/>
              <w:bidi w:val="0"/>
              <w:rPr>
                <w:rFonts w:hint="eastAsia"/>
              </w:rPr>
            </w:pPr>
          </w:p>
        </w:tc>
        <w:tc>
          <w:tcPr>
            <w:tcW w:w="1207" w:type="dxa"/>
            <w:tcBorders>
              <w:tl2br w:val="nil"/>
              <w:tr2bl w:val="nil"/>
            </w:tcBorders>
            <w:vAlign w:val="center"/>
          </w:tcPr>
          <w:p w14:paraId="5267076C">
            <w:pPr>
              <w:pStyle w:val="33"/>
              <w:bidi w:val="0"/>
              <w:rPr>
                <w:rFonts w:hint="eastAsia"/>
              </w:rPr>
            </w:pPr>
          </w:p>
        </w:tc>
        <w:tc>
          <w:tcPr>
            <w:tcW w:w="1250" w:type="dxa"/>
            <w:tcBorders>
              <w:tl2br w:val="nil"/>
              <w:tr2bl w:val="nil"/>
            </w:tcBorders>
            <w:vAlign w:val="center"/>
          </w:tcPr>
          <w:p w14:paraId="18C5DBFD">
            <w:pPr>
              <w:pStyle w:val="33"/>
              <w:bidi w:val="0"/>
              <w:rPr>
                <w:rFonts w:hint="eastAsia"/>
              </w:rPr>
            </w:pPr>
          </w:p>
        </w:tc>
        <w:tc>
          <w:tcPr>
            <w:tcW w:w="728" w:type="dxa"/>
            <w:tcBorders>
              <w:tl2br w:val="nil"/>
              <w:tr2bl w:val="nil"/>
            </w:tcBorders>
          </w:tcPr>
          <w:p w14:paraId="00CD9F35">
            <w:pPr>
              <w:pStyle w:val="33"/>
              <w:bidi w:val="0"/>
              <w:rPr>
                <w:rFonts w:hint="eastAsia"/>
              </w:rPr>
            </w:pPr>
          </w:p>
        </w:tc>
        <w:tc>
          <w:tcPr>
            <w:tcW w:w="2639" w:type="dxa"/>
            <w:tcBorders>
              <w:tl2br w:val="nil"/>
              <w:tr2bl w:val="nil"/>
            </w:tcBorders>
            <w:vAlign w:val="center"/>
          </w:tcPr>
          <w:p w14:paraId="467C5C8C">
            <w:pPr>
              <w:pStyle w:val="33"/>
              <w:bidi w:val="0"/>
              <w:rPr>
                <w:rFonts w:hint="eastAsia"/>
              </w:rPr>
            </w:pPr>
          </w:p>
        </w:tc>
      </w:tr>
      <w:tr w14:paraId="33D9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83" w:type="dxa"/>
            <w:tcBorders>
              <w:tl2br w:val="nil"/>
              <w:tr2bl w:val="nil"/>
            </w:tcBorders>
            <w:vAlign w:val="center"/>
          </w:tcPr>
          <w:p w14:paraId="25E00710">
            <w:pPr>
              <w:pStyle w:val="33"/>
              <w:bidi w:val="0"/>
              <w:rPr>
                <w:rFonts w:hint="eastAsia"/>
              </w:rPr>
            </w:pPr>
          </w:p>
        </w:tc>
        <w:tc>
          <w:tcPr>
            <w:tcW w:w="7748" w:type="dxa"/>
            <w:gridSpan w:val="5"/>
            <w:tcBorders>
              <w:tl2br w:val="nil"/>
              <w:tr2bl w:val="nil"/>
            </w:tcBorders>
            <w:vAlign w:val="center"/>
          </w:tcPr>
          <w:p w14:paraId="23BDCDB0">
            <w:pPr>
              <w:pStyle w:val="33"/>
              <w:bidi w:val="0"/>
              <w:rPr>
                <w:rFonts w:hint="eastAsia"/>
              </w:rPr>
            </w:pPr>
            <w:r>
              <w:rPr>
                <w:rFonts w:hint="eastAsia"/>
              </w:rPr>
              <w:t>合计（含税） 大写（人民币）：</w:t>
            </w:r>
          </w:p>
        </w:tc>
      </w:tr>
    </w:tbl>
    <w:p w14:paraId="753FD255">
      <w:pPr>
        <w:bidi w:val="0"/>
        <w:rPr>
          <w:rFonts w:hint="eastAsia"/>
        </w:rPr>
      </w:pPr>
      <w:r>
        <w:rPr>
          <w:rFonts w:hint="eastAsia"/>
        </w:rPr>
        <w:t>其中不含税价为：       元（大写：         ），税额为：    元（大写：         ）；不含税价格不因国家税率变化而变化，若在合同履行期间，如遇国家的税率调整，则价税合计应相应调整，以开具发票的时间为准。</w:t>
      </w:r>
    </w:p>
    <w:p w14:paraId="698560EF">
      <w:pPr>
        <w:bidi w:val="0"/>
        <w:rPr>
          <w:rFonts w:hint="eastAsia"/>
        </w:rPr>
      </w:pPr>
      <w:r>
        <w:rPr>
          <w:rFonts w:hint="eastAsia"/>
        </w:rPr>
        <w:t>上述合同金额包含5年XX公司（以下简称“</w:t>
      </w:r>
      <w:r>
        <w:t>设备</w:t>
      </w:r>
      <w:r>
        <w:rPr>
          <w:rFonts w:hint="eastAsia"/>
        </w:rPr>
        <w:t>原厂</w:t>
      </w:r>
      <w:r>
        <w:t>商</w:t>
      </w:r>
      <w:r>
        <w:rPr>
          <w:rFonts w:hint="eastAsia"/>
        </w:rPr>
        <w:t>”）提供的7*24*4（4小时内人员到现场，包括硬盘不返还）级别服务维保服务，维保期为设备到货加电测试通过完成签收工作之日起5年，维保期内服务内容详见附件3。除此外甲方无需支付其他费用。</w:t>
      </w:r>
    </w:p>
    <w:p w14:paraId="7555F586">
      <w:pPr>
        <w:pStyle w:val="35"/>
        <w:bidi w:val="0"/>
        <w:rPr>
          <w:rFonts w:hint="eastAsia"/>
        </w:rPr>
      </w:pPr>
      <w:r>
        <w:rPr>
          <w:rFonts w:hint="eastAsia"/>
          <w:lang w:val="en-US" w:eastAsia="zh-CN"/>
        </w:rPr>
        <w:t xml:space="preserve">第三条 </w:t>
      </w:r>
      <w:r>
        <w:rPr>
          <w:rFonts w:hint="eastAsia"/>
        </w:rPr>
        <w:t>付款方式</w:t>
      </w:r>
    </w:p>
    <w:p w14:paraId="4CAE40AB">
      <w:pPr>
        <w:bidi w:val="0"/>
        <w:rPr>
          <w:rFonts w:hint="eastAsia"/>
        </w:rPr>
      </w:pPr>
      <w:r>
        <w:rPr>
          <w:rFonts w:hint="eastAsia"/>
        </w:rPr>
        <w:t>3.1</w:t>
      </w:r>
      <w:r>
        <w:t xml:space="preserve"> </w:t>
      </w:r>
      <w:r>
        <w:rPr>
          <w:rFonts w:hint="eastAsia"/>
        </w:rPr>
        <w:t>设备到达甲方指定现场，</w:t>
      </w:r>
      <w:r>
        <w:t>加电</w:t>
      </w:r>
      <w:r>
        <w:rPr>
          <w:rFonts w:hint="eastAsia"/>
        </w:rPr>
        <w:t>测试通过</w:t>
      </w:r>
      <w:r>
        <w:t>完成签收工作</w:t>
      </w:r>
      <w:r>
        <w:rPr>
          <w:rFonts w:hint="eastAsia"/>
        </w:rPr>
        <w:t>，且确认</w:t>
      </w:r>
      <w:r>
        <w:t>设备原</w:t>
      </w:r>
      <w:r>
        <w:rPr>
          <w:rFonts w:hint="eastAsia"/>
        </w:rPr>
        <w:t>厂商</w:t>
      </w:r>
      <w:r>
        <w:t>维保服务</w:t>
      </w:r>
      <w:r>
        <w:rPr>
          <w:rFonts w:hint="eastAsia"/>
        </w:rPr>
        <w:t>承诺</w:t>
      </w:r>
      <w:r>
        <w:t>函</w:t>
      </w:r>
      <w:r>
        <w:rPr>
          <w:rFonts w:hint="eastAsia"/>
        </w:rPr>
        <w:t>符合要求后，</w:t>
      </w:r>
      <w:r>
        <w:t>由</w:t>
      </w:r>
      <w:r>
        <w:rPr>
          <w:rFonts w:hint="eastAsia"/>
        </w:rPr>
        <w:t>乙方</w:t>
      </w:r>
      <w:r>
        <w:t>发起付款申请并</w:t>
      </w:r>
      <w:r>
        <w:rPr>
          <w:rFonts w:hint="eastAsia"/>
        </w:rPr>
        <w:t>向甲方提供合法、</w:t>
      </w:r>
      <w:r>
        <w:t>全额</w:t>
      </w:r>
      <w:r>
        <w:rPr>
          <w:rFonts w:hint="eastAsia"/>
        </w:rPr>
        <w:t>（本合同</w:t>
      </w:r>
      <w:r>
        <w:t>全部款项</w:t>
      </w:r>
      <w:r>
        <w:rPr>
          <w:rFonts w:hint="eastAsia"/>
        </w:rPr>
        <w:t>）的增值税专用发票，</w:t>
      </w:r>
      <w:r>
        <w:t>甲方在收到付款申请及合法全额的增值税专用发票后30个工作日，</w:t>
      </w:r>
      <w:r>
        <w:rPr>
          <w:rFonts w:hint="eastAsia"/>
        </w:rPr>
        <w:t>支付合同总金额的50%，计      元（大写：       ）；设备自签收之日起正常运行三个月，</w:t>
      </w:r>
      <w:r>
        <w:t>甲方完成终验工作</w:t>
      </w:r>
      <w:r>
        <w:rPr>
          <w:rFonts w:hint="eastAsia"/>
        </w:rPr>
        <w:t>后，</w:t>
      </w:r>
      <w:r>
        <w:t>由乙方发起付款申请，甲方在收到付款申请后</w:t>
      </w:r>
      <w:r>
        <w:rPr>
          <w:rFonts w:hint="eastAsia"/>
        </w:rPr>
        <w:t>30个工作日内，支付合同总额的4</w:t>
      </w:r>
      <w:r>
        <w:t>9</w:t>
      </w:r>
      <w:r>
        <w:rPr>
          <w:rFonts w:hint="eastAsia"/>
        </w:rPr>
        <w:t>%，计      元（大写：      ）；</w:t>
      </w:r>
      <w:r>
        <w:t>维保</w:t>
      </w:r>
      <w:r>
        <w:rPr>
          <w:rFonts w:hint="eastAsia"/>
        </w:rPr>
        <w:t>满</w:t>
      </w:r>
      <w:r>
        <w:t>5年</w:t>
      </w:r>
      <w:r>
        <w:rPr>
          <w:rFonts w:hint="eastAsia"/>
        </w:rPr>
        <w:t>后，经甲方评价</w:t>
      </w:r>
      <w:r>
        <w:t>维保</w:t>
      </w:r>
      <w:r>
        <w:rPr>
          <w:rFonts w:hint="eastAsia"/>
        </w:rPr>
        <w:t>期内服务合格后由乙方发起付款申请，甲方在收到付款申请后30个工作日内支付合同总金额的1%，计      元（大写：      ）。</w:t>
      </w:r>
    </w:p>
    <w:p w14:paraId="54688A4B">
      <w:pPr>
        <w:bidi w:val="0"/>
        <w:rPr>
          <w:rFonts w:hint="eastAsia"/>
        </w:rPr>
      </w:pPr>
      <w:r>
        <w:rPr>
          <w:rFonts w:hint="eastAsia"/>
        </w:rPr>
        <w:t>3.2</w:t>
      </w:r>
      <w:r>
        <w:t xml:space="preserve"> </w:t>
      </w:r>
      <w:r>
        <w:rPr>
          <w:rFonts w:hint="eastAsia"/>
        </w:rPr>
        <w:t>到本合同甲方所指定的交货地点并</w:t>
      </w:r>
      <w:r>
        <w:t>经甲方</w:t>
      </w:r>
      <w:r>
        <w:rPr>
          <w:rFonts w:hint="eastAsia"/>
        </w:rPr>
        <w:t>签收前所发生的包装、运输、装卸、保险费用及货物毁损灭失风险由乙方负责。</w:t>
      </w:r>
    </w:p>
    <w:p w14:paraId="41397DF8">
      <w:pPr>
        <w:bidi w:val="0"/>
        <w:rPr>
          <w:rFonts w:hint="eastAsia"/>
        </w:rPr>
      </w:pPr>
      <w:r>
        <w:rPr>
          <w:rFonts w:hint="eastAsia"/>
        </w:rPr>
        <w:t>3.3</w:t>
      </w:r>
      <w:r>
        <w:t xml:space="preserve"> </w:t>
      </w:r>
      <w:r>
        <w:rPr>
          <w:rFonts w:hint="eastAsia"/>
        </w:rPr>
        <w:t>发票要求：乙方须严格按照合同内容开具税率为13%的增值税专用发票（若遇国家税率调整另议），乙方在甲方付款前30个工作日需向甲方交付相应的发票，否则甲方有权拒绝支付任何费用且不承担逾期付款违约责任。</w:t>
      </w:r>
    </w:p>
    <w:p w14:paraId="1A8FE721">
      <w:pPr>
        <w:bidi w:val="0"/>
        <w:rPr>
          <w:rFonts w:hint="eastAsia"/>
        </w:rPr>
      </w:pPr>
      <w:r>
        <w:rPr>
          <w:rFonts w:hint="eastAsia"/>
        </w:rPr>
        <w:t>3.4</w:t>
      </w:r>
      <w:r>
        <w:t xml:space="preserve"> 甲方</w:t>
      </w:r>
      <w:r>
        <w:rPr>
          <w:rFonts w:hint="eastAsia"/>
        </w:rPr>
        <w:t>按照</w:t>
      </w:r>
      <w:r>
        <w:t>本合同约定支付费用后，即视为已向乙方及设备原厂商履行完所有付款义务，如有任何人向甲方主张费用的，由乙方负责，给甲方造成损失的，乙方应</w:t>
      </w:r>
      <w:r>
        <w:rPr>
          <w:rFonts w:hint="eastAsia"/>
        </w:rPr>
        <w:t>全额</w:t>
      </w:r>
      <w:r>
        <w:t>赔偿甲方。</w:t>
      </w:r>
    </w:p>
    <w:p w14:paraId="7C13D95C">
      <w:pPr>
        <w:pStyle w:val="35"/>
        <w:bidi w:val="0"/>
        <w:rPr>
          <w:rFonts w:hint="eastAsia"/>
        </w:rPr>
      </w:pPr>
      <w:r>
        <w:rPr>
          <w:rFonts w:hint="eastAsia"/>
          <w:lang w:val="en-US" w:eastAsia="zh-CN"/>
        </w:rPr>
        <w:t xml:space="preserve">第四条 </w:t>
      </w:r>
      <w:r>
        <w:rPr>
          <w:rFonts w:hint="eastAsia"/>
        </w:rPr>
        <w:t>收货方式和交货时间</w:t>
      </w:r>
    </w:p>
    <w:p w14:paraId="6ACDC9E3">
      <w:pPr>
        <w:bidi w:val="0"/>
        <w:rPr>
          <w:rFonts w:hint="eastAsia"/>
        </w:rPr>
      </w:pPr>
      <w:r>
        <w:rPr>
          <w:rFonts w:hint="eastAsia"/>
        </w:rPr>
        <w:t>4.1</w:t>
      </w:r>
      <w:r>
        <w:t xml:space="preserve"> </w:t>
      </w:r>
      <w:r>
        <w:rPr>
          <w:rFonts w:hint="eastAsia"/>
        </w:rPr>
        <w:t>乙方将货物送到甲方指定的收货地点，由甲方指定收货联系人签字确认。</w:t>
      </w:r>
    </w:p>
    <w:p w14:paraId="59FA4BB5">
      <w:pPr>
        <w:bidi w:val="0"/>
        <w:rPr>
          <w:rFonts w:hint="eastAsia"/>
        </w:rPr>
      </w:pPr>
      <w:r>
        <w:rPr>
          <w:rFonts w:hint="eastAsia"/>
        </w:rPr>
        <w:t xml:space="preserve">收货地点： </w:t>
      </w:r>
      <w:r>
        <w:t>甲方要求的重庆市内指定地点</w:t>
      </w:r>
      <w:r>
        <w:rPr>
          <w:rFonts w:hint="eastAsia"/>
        </w:rPr>
        <w:t xml:space="preserve"> </w:t>
      </w:r>
    </w:p>
    <w:p w14:paraId="64248BD7">
      <w:pPr>
        <w:bidi w:val="0"/>
        <w:rPr>
          <w:rFonts w:hint="eastAsia"/>
        </w:rPr>
      </w:pPr>
      <w:r>
        <w:rPr>
          <w:rFonts w:hint="eastAsia"/>
        </w:rPr>
        <w:t xml:space="preserve">收货联系人：  </w:t>
      </w:r>
      <w:r>
        <w:t>魏恩</w:t>
      </w:r>
      <w:r>
        <w:rPr>
          <w:rFonts w:hint="eastAsia"/>
        </w:rPr>
        <w:t xml:space="preserve"> </w:t>
      </w:r>
    </w:p>
    <w:p w14:paraId="77629124">
      <w:pPr>
        <w:bidi w:val="0"/>
        <w:rPr>
          <w:rFonts w:hint="eastAsia"/>
        </w:rPr>
      </w:pPr>
      <w:r>
        <w:rPr>
          <w:rFonts w:hint="eastAsia"/>
        </w:rPr>
        <w:t xml:space="preserve">收货联系电话：  </w:t>
      </w:r>
      <w:r>
        <w:t>17783826559</w:t>
      </w:r>
      <w:r>
        <w:rPr>
          <w:rFonts w:hint="eastAsia"/>
        </w:rPr>
        <w:t xml:space="preserve">  </w:t>
      </w:r>
    </w:p>
    <w:p w14:paraId="0F11B2E8">
      <w:pPr>
        <w:bidi w:val="0"/>
        <w:rPr>
          <w:rFonts w:hint="eastAsia"/>
        </w:rPr>
      </w:pPr>
      <w:r>
        <w:rPr>
          <w:rFonts w:hint="default"/>
          <w:lang w:val="en-US" w:eastAsia="zh-CN"/>
        </w:rPr>
        <w:t>4.2</w:t>
      </w:r>
      <w:r>
        <w:rPr>
          <w:rFonts w:hint="eastAsia"/>
        </w:rPr>
        <w:t xml:space="preserve"> 交货时间：合同签订后  </w:t>
      </w:r>
      <w:r>
        <w:t>30</w:t>
      </w:r>
      <w:r>
        <w:rPr>
          <w:rFonts w:hint="eastAsia"/>
        </w:rPr>
        <w:t xml:space="preserve">   个工作日内。</w:t>
      </w:r>
    </w:p>
    <w:p w14:paraId="5748182A">
      <w:pPr>
        <w:pStyle w:val="35"/>
        <w:bidi w:val="0"/>
        <w:rPr>
          <w:rFonts w:hint="eastAsia"/>
        </w:rPr>
      </w:pPr>
      <w:r>
        <w:rPr>
          <w:rFonts w:hint="eastAsia"/>
          <w:lang w:val="en-US" w:eastAsia="zh-CN"/>
        </w:rPr>
        <w:t xml:space="preserve">第五条 </w:t>
      </w:r>
      <w:r>
        <w:rPr>
          <w:rFonts w:hint="eastAsia"/>
        </w:rPr>
        <w:t>运输和包装</w:t>
      </w:r>
    </w:p>
    <w:p w14:paraId="0B84814B">
      <w:pPr>
        <w:bidi w:val="0"/>
      </w:pPr>
      <w:r>
        <w:t xml:space="preserve">5.1 </w:t>
      </w:r>
      <w:r>
        <w:rPr>
          <w:rFonts w:hint="eastAsia"/>
        </w:rPr>
        <w:t>乙方应根据货物特点和要求采取适当的包装，以使货物在正常装卸和搬运条件下能够安全抵达甲方指定的收货现场。</w:t>
      </w:r>
    </w:p>
    <w:p w14:paraId="2A59CF64">
      <w:pPr>
        <w:bidi w:val="0"/>
        <w:rPr>
          <w:rFonts w:hint="eastAsia"/>
        </w:rPr>
      </w:pPr>
      <w:r>
        <w:t>5.2 乙方在</w:t>
      </w:r>
      <w:r>
        <w:rPr>
          <w:rFonts w:hint="eastAsia"/>
        </w:rPr>
        <w:t>服务器供货时须随箱提供设备原厂商配置清单。</w:t>
      </w:r>
    </w:p>
    <w:p w14:paraId="0EB40B0D">
      <w:pPr>
        <w:pStyle w:val="35"/>
        <w:bidi w:val="0"/>
        <w:rPr>
          <w:rFonts w:hint="eastAsia"/>
        </w:rPr>
      </w:pPr>
      <w:r>
        <w:rPr>
          <w:rFonts w:hint="eastAsia"/>
          <w:lang w:val="en-US" w:eastAsia="zh-CN"/>
        </w:rPr>
        <w:t xml:space="preserve">第六条 </w:t>
      </w:r>
      <w:r>
        <w:rPr>
          <w:rFonts w:hint="eastAsia"/>
        </w:rPr>
        <w:t>货物的交付与验收</w:t>
      </w:r>
    </w:p>
    <w:p w14:paraId="16CCE138">
      <w:pPr>
        <w:bidi w:val="0"/>
        <w:rPr>
          <w:rFonts w:hint="eastAsia"/>
        </w:rPr>
      </w:pPr>
      <w:r>
        <w:rPr>
          <w:rFonts w:hint="eastAsia"/>
        </w:rPr>
        <w:t>6.1 甲方在收到货之日起15个工作日内（遇节假日顺延），由乙方协调</w:t>
      </w:r>
      <w:r>
        <w:t>设备原</w:t>
      </w:r>
      <w:r>
        <w:rPr>
          <w:rFonts w:hint="eastAsia"/>
        </w:rPr>
        <w:t>厂商工程师进行硬件设备安装、加电调试，硬件设备加电调试完毕后向甲方提供安装服务报告，甲方进行到货签收并向乙方提供货物签收单，签收以《附件1：硬件设备签收表》所列硬件设备货物明细清单为准。如甲方对到货签收结果有异议，则应在乙方交货后30个工作日内（遇节假日顺延）向乙方提出，乙方应负责提供包括更换设备等形式直至甲方签收合格，由此产生的费用由乙方负责。设备上架过程涉及的低值易耗品所产生的费用由乙方承担。</w:t>
      </w:r>
    </w:p>
    <w:p w14:paraId="465211A5">
      <w:pPr>
        <w:bidi w:val="0"/>
      </w:pPr>
      <w:r>
        <w:rPr>
          <w:rFonts w:hint="eastAsia"/>
        </w:rPr>
        <w:t>6.2</w:t>
      </w:r>
      <w:r>
        <w:t xml:space="preserve"> </w:t>
      </w:r>
      <w:r>
        <w:rPr>
          <w:rFonts w:hint="eastAsia"/>
        </w:rPr>
        <w:t>设备自签收之日起3个月内运行正常，经甲方确认后，签署最终验收表，具体详见《附件2：最终验收表》，视为验收合格。如对终验结果有异议，甲方应及时以邮件或书面形式向乙方提出，乙方负责整改至甲方验收合格，由此产生的费用由乙方承担。</w:t>
      </w:r>
    </w:p>
    <w:p w14:paraId="4B1A8D6C">
      <w:pPr>
        <w:bidi w:val="0"/>
      </w:pPr>
      <w:r>
        <w:rPr>
          <w:rFonts w:hint="eastAsia"/>
        </w:rPr>
        <w:t>6.3</w:t>
      </w:r>
      <w:r>
        <w:t xml:space="preserve"> </w:t>
      </w:r>
      <w:r>
        <w:rPr>
          <w:rFonts w:hint="eastAsia"/>
        </w:rPr>
        <w:t>乙方在本项目中未使用第三方</w:t>
      </w:r>
      <w:r>
        <w:t>产品</w:t>
      </w:r>
      <w:r>
        <w:rPr>
          <w:rFonts w:hint="eastAsia"/>
        </w:rPr>
        <w:t>，</w:t>
      </w:r>
      <w:r>
        <w:t>包括第三方</w:t>
      </w:r>
      <w:r>
        <w:rPr>
          <w:rFonts w:hint="eastAsia"/>
        </w:rPr>
        <w:t>SDK、小程序、软件、开源组件等。</w:t>
      </w:r>
    </w:p>
    <w:p w14:paraId="04970FB2">
      <w:pPr>
        <w:bidi w:val="0"/>
        <w:rPr>
          <w:rFonts w:hint="eastAsia"/>
        </w:rPr>
      </w:pPr>
      <w:r>
        <w:rPr>
          <w:rFonts w:hint="eastAsia"/>
        </w:rPr>
        <w:t>6.</w:t>
      </w:r>
      <w:r>
        <w:t xml:space="preserve">4 </w:t>
      </w:r>
      <w:r>
        <w:rPr>
          <w:rFonts w:hint="eastAsia"/>
        </w:rPr>
        <w:t>乙方保证向甲方提供的项目产品（含第三方产品）的安全性、合规性，保证无恶意脚本、后门及恶意漏洞，不携带任何病毒，不越权收集、处理客户信息。</w:t>
      </w:r>
    </w:p>
    <w:p w14:paraId="6894BF06">
      <w:pPr>
        <w:bidi w:val="0"/>
        <w:rPr>
          <w:rFonts w:hint="eastAsia"/>
        </w:rPr>
      </w:pPr>
      <w:r>
        <w:rPr>
          <w:rFonts w:hint="eastAsia"/>
        </w:rPr>
        <w:t>6.</w:t>
      </w:r>
      <w:r>
        <w:t xml:space="preserve">5 </w:t>
      </w:r>
      <w:r>
        <w:rPr>
          <w:rFonts w:hint="eastAsia"/>
        </w:rPr>
        <w:t>乙方向甲方提供的产品和服务不会有任何第三方主张权利，也不会侵害任何第三方的合法权益，包括知识产权。</w:t>
      </w:r>
    </w:p>
    <w:p w14:paraId="6A6E863D">
      <w:pPr>
        <w:bidi w:val="0"/>
      </w:pPr>
    </w:p>
    <w:p w14:paraId="38963B6A">
      <w:pPr>
        <w:pStyle w:val="35"/>
        <w:bidi w:val="0"/>
        <w:rPr>
          <w:rFonts w:hint="eastAsia"/>
        </w:rPr>
      </w:pPr>
      <w:r>
        <w:rPr>
          <w:rFonts w:hint="eastAsia"/>
          <w:lang w:val="en-US" w:eastAsia="zh-CN"/>
        </w:rPr>
        <w:t xml:space="preserve">第七条 </w:t>
      </w:r>
      <w:r>
        <w:rPr>
          <w:rFonts w:hint="eastAsia"/>
        </w:rPr>
        <w:t>质量保证和售后服务</w:t>
      </w:r>
    </w:p>
    <w:p w14:paraId="7D3DAC2C">
      <w:pPr>
        <w:bidi w:val="0"/>
        <w:rPr>
          <w:rFonts w:hint="eastAsia"/>
        </w:rPr>
      </w:pPr>
      <w:r>
        <w:rPr>
          <w:rFonts w:hint="eastAsia"/>
        </w:rPr>
        <w:t>7.1 乙方保证交付甲方的本合同项下的所有设备均符合</w:t>
      </w:r>
      <w:r>
        <w:t>设备原</w:t>
      </w:r>
      <w:r>
        <w:rPr>
          <w:rFonts w:hint="eastAsia"/>
        </w:rPr>
        <w:t>厂商的相关技术规范。因产品质量、缺陷等问题对甲方造成经济损失的，甲方有权拒绝收货、不予支付任何费用并要求乙方进行赔偿，乙方应当承担相关赔偿责任。</w:t>
      </w:r>
    </w:p>
    <w:p w14:paraId="38F8030E">
      <w:pPr>
        <w:bidi w:val="0"/>
        <w:rPr>
          <w:rFonts w:hint="eastAsia"/>
        </w:rPr>
      </w:pPr>
      <w:r>
        <w:rPr>
          <w:rFonts w:hint="eastAsia"/>
        </w:rPr>
        <w:t>7.2 乙方保证交付甲方的硬件产品能达到合同相关的指标要求，并在不影响应用运行及改变系统架构前提下，能平滑过渡升级满足未来3-5年设备性能的需求。</w:t>
      </w:r>
    </w:p>
    <w:p w14:paraId="0B29C85A">
      <w:pPr>
        <w:bidi w:val="0"/>
        <w:rPr>
          <w:rFonts w:hint="eastAsia"/>
        </w:rPr>
      </w:pPr>
      <w:r>
        <w:rPr>
          <w:rFonts w:hint="eastAsia"/>
        </w:rPr>
        <w:t>7.3 在维保期内如果合同设备出现故障，乙方应提供（含乙方确保</w:t>
      </w:r>
      <w:r>
        <w:t>设备原</w:t>
      </w:r>
      <w:r>
        <w:rPr>
          <w:rFonts w:hint="eastAsia"/>
        </w:rPr>
        <w:t>厂商提供）维保服务，对合同设备进行修理或更换以消除故障。维保期内服务内容详见《附件3：维护服务内容》。</w:t>
      </w:r>
    </w:p>
    <w:p w14:paraId="71816E0B">
      <w:pPr>
        <w:bidi w:val="0"/>
        <w:rPr>
          <w:rFonts w:hint="eastAsia"/>
        </w:rPr>
      </w:pPr>
      <w:r>
        <w:rPr>
          <w:rFonts w:hint="eastAsia"/>
        </w:rPr>
        <w:t>7.</w:t>
      </w:r>
      <w:r>
        <w:t>4 维保</w:t>
      </w:r>
      <w:r>
        <w:rPr>
          <w:rFonts w:hint="eastAsia"/>
        </w:rPr>
        <w:t>期到期后【5】年内，本合同项下产品可选择_______</w:t>
      </w:r>
      <w:r>
        <w:t>维保</w:t>
      </w:r>
      <w:r>
        <w:rPr>
          <w:rFonts w:hint="eastAsia"/>
        </w:rPr>
        <w:t>服务。</w:t>
      </w:r>
    </w:p>
    <w:p w14:paraId="2D0EDA3A">
      <w:pPr>
        <w:bidi w:val="0"/>
        <w:rPr>
          <w:rFonts w:hint="eastAsia"/>
        </w:rPr>
      </w:pPr>
      <w:r>
        <w:rPr>
          <w:rFonts w:hint="eastAsia"/>
        </w:rPr>
        <w:t>7.</w:t>
      </w:r>
      <w:r>
        <w:t>4</w:t>
      </w:r>
      <w:r>
        <w:rPr>
          <w:rFonts w:hint="eastAsia"/>
        </w:rPr>
        <w:t>.1</w:t>
      </w:r>
      <w:r>
        <w:t xml:space="preserve"> 设备原</w:t>
      </w:r>
      <w:r>
        <w:rPr>
          <w:rFonts w:hint="eastAsia"/>
        </w:rPr>
        <w:t>厂商将以合同项下产品金额的_______%的</w:t>
      </w:r>
      <w:r>
        <w:t>维保</w:t>
      </w:r>
      <w:r>
        <w:rPr>
          <w:rFonts w:hint="eastAsia"/>
        </w:rPr>
        <w:t>费率提供</w:t>
      </w:r>
      <w:r>
        <w:t>设备原</w:t>
      </w:r>
      <w:r>
        <w:rPr>
          <w:rFonts w:hint="eastAsia"/>
        </w:rPr>
        <w:t>厂商</w:t>
      </w:r>
      <w:r>
        <w:t>维保</w:t>
      </w:r>
      <w:r>
        <w:rPr>
          <w:rFonts w:hint="eastAsia"/>
        </w:rPr>
        <w:t>服务，附</w:t>
      </w:r>
      <w:r>
        <w:t>设备原</w:t>
      </w:r>
      <w:r>
        <w:rPr>
          <w:rFonts w:hint="eastAsia"/>
        </w:rPr>
        <w:t>厂商</w:t>
      </w:r>
      <w:r>
        <w:t>维保</w:t>
      </w:r>
      <w:r>
        <w:rPr>
          <w:rFonts w:hint="eastAsia"/>
        </w:rPr>
        <w:t>服务承诺函，若</w:t>
      </w:r>
      <w:r>
        <w:t>设备原</w:t>
      </w:r>
      <w:r>
        <w:rPr>
          <w:rFonts w:hint="eastAsia"/>
        </w:rPr>
        <w:t>厂商无法以承诺费用续保，由乙方承担违约责任，乙方应</w:t>
      </w:r>
      <w:r>
        <w:t>向</w:t>
      </w:r>
      <w:r>
        <w:rPr>
          <w:rFonts w:hint="eastAsia"/>
        </w:rPr>
        <w:t>甲方支付超出约定</w:t>
      </w:r>
      <w:r>
        <w:t>维保</w:t>
      </w:r>
      <w:r>
        <w:rPr>
          <w:rFonts w:hint="eastAsia"/>
        </w:rPr>
        <w:t>费部分的费用。</w:t>
      </w:r>
    </w:p>
    <w:p w14:paraId="79703387">
      <w:pPr>
        <w:bidi w:val="0"/>
        <w:rPr>
          <w:rFonts w:hint="eastAsia"/>
        </w:rPr>
      </w:pPr>
      <w:r>
        <w:rPr>
          <w:rFonts w:hint="eastAsia"/>
        </w:rPr>
        <w:t>7.</w:t>
      </w:r>
      <w:r>
        <w:t>4</w:t>
      </w:r>
      <w:r>
        <w:rPr>
          <w:rFonts w:hint="eastAsia"/>
        </w:rPr>
        <w:t>.2</w:t>
      </w:r>
      <w:r>
        <w:t xml:space="preserve"> 维保</w:t>
      </w:r>
      <w:r>
        <w:rPr>
          <w:rFonts w:hint="eastAsia"/>
        </w:rPr>
        <w:t>期到期后五年内，乙方将以合同项下产品金额的________%的</w:t>
      </w:r>
      <w:r>
        <w:t>维保</w:t>
      </w:r>
      <w:r>
        <w:rPr>
          <w:rFonts w:hint="eastAsia"/>
        </w:rPr>
        <w:t>费率提供付费</w:t>
      </w:r>
      <w:r>
        <w:t>维保</w:t>
      </w:r>
      <w:r>
        <w:rPr>
          <w:rFonts w:hint="eastAsia"/>
        </w:rPr>
        <w:t xml:space="preserve">服务。 </w:t>
      </w:r>
    </w:p>
    <w:p w14:paraId="1F43DF2C">
      <w:pPr>
        <w:bidi w:val="0"/>
        <w:rPr>
          <w:rFonts w:hint="eastAsia"/>
        </w:rPr>
      </w:pPr>
      <w:r>
        <w:rPr>
          <w:rFonts w:hint="eastAsia"/>
        </w:rPr>
        <w:t>7.</w:t>
      </w:r>
      <w:r>
        <w:t xml:space="preserve">5 </w:t>
      </w:r>
      <w:r>
        <w:rPr>
          <w:rFonts w:hint="eastAsia"/>
        </w:rPr>
        <w:t>质保期到期后【5】年内，如甲方需要乙方提供</w:t>
      </w:r>
      <w:r>
        <w:t>维保</w:t>
      </w:r>
      <w:r>
        <w:rPr>
          <w:rFonts w:hint="eastAsia"/>
        </w:rPr>
        <w:t>服务或代理</w:t>
      </w:r>
      <w:r>
        <w:t>设备原</w:t>
      </w:r>
      <w:r>
        <w:rPr>
          <w:rFonts w:hint="eastAsia"/>
        </w:rPr>
        <w:t>厂商服务,乙方应予提供。</w:t>
      </w:r>
      <w:r>
        <w:t>维保</w:t>
      </w:r>
      <w:r>
        <w:rPr>
          <w:rFonts w:hint="eastAsia"/>
        </w:rPr>
        <w:t>期结束后，由双方另行协商并签订</w:t>
      </w:r>
      <w:r>
        <w:t>维保</w:t>
      </w:r>
      <w:r>
        <w:rPr>
          <w:rFonts w:hint="eastAsia"/>
        </w:rPr>
        <w:t>技术服务合同约定产品</w:t>
      </w:r>
      <w:r>
        <w:t>维保</w:t>
      </w:r>
      <w:r>
        <w:rPr>
          <w:rFonts w:hint="eastAsia"/>
        </w:rPr>
        <w:t>期限和支付方式。甲方有权选择是否继续向乙方购买</w:t>
      </w:r>
      <w:r>
        <w:t>维保</w:t>
      </w:r>
      <w:r>
        <w:rPr>
          <w:rFonts w:hint="eastAsia"/>
        </w:rPr>
        <w:t>，乙方无权要求甲方对未使用</w:t>
      </w:r>
      <w:r>
        <w:t>维保</w:t>
      </w:r>
      <w:r>
        <w:rPr>
          <w:rFonts w:hint="eastAsia"/>
        </w:rPr>
        <w:t>服务的期间支付费用。</w:t>
      </w:r>
    </w:p>
    <w:p w14:paraId="09BD819F">
      <w:pPr>
        <w:bidi w:val="0"/>
        <w:rPr>
          <w:rFonts w:hint="eastAsia"/>
        </w:rPr>
      </w:pPr>
    </w:p>
    <w:p w14:paraId="109395DB">
      <w:pPr>
        <w:pStyle w:val="35"/>
        <w:bidi w:val="0"/>
        <w:rPr>
          <w:rFonts w:hint="eastAsia"/>
        </w:rPr>
      </w:pPr>
      <w:r>
        <w:rPr>
          <w:rFonts w:hint="eastAsia"/>
          <w:lang w:val="en-US" w:eastAsia="zh-CN"/>
        </w:rPr>
        <w:t xml:space="preserve">第八条 </w:t>
      </w:r>
      <w:r>
        <w:rPr>
          <w:rFonts w:hint="eastAsia"/>
        </w:rPr>
        <w:t>保管风险</w:t>
      </w:r>
    </w:p>
    <w:p w14:paraId="5AA217D9">
      <w:pPr>
        <w:bidi w:val="0"/>
        <w:rPr>
          <w:rFonts w:hint="eastAsia"/>
        </w:rPr>
      </w:pPr>
      <w:r>
        <w:rPr>
          <w:rFonts w:hint="eastAsia"/>
        </w:rPr>
        <w:t>从本合同生效起，到乙方将设备交付甲方并</w:t>
      </w:r>
      <w:r>
        <w:t>经甲方</w:t>
      </w:r>
      <w:r>
        <w:rPr>
          <w:rFonts w:hint="eastAsia"/>
        </w:rPr>
        <w:t>签收合格前，本合同中所列的设备的保管风险由乙方承担。在乙方将货物按本合同所定的交货地点交货由甲方签收合格后，货物的保管风险自动转移至甲方，乙方不再承担任何保管责任。</w:t>
      </w:r>
    </w:p>
    <w:p w14:paraId="189862F5">
      <w:pPr>
        <w:bidi w:val="0"/>
        <w:rPr>
          <w:rFonts w:hint="eastAsia"/>
        </w:rPr>
      </w:pPr>
    </w:p>
    <w:p w14:paraId="2E0D98B1">
      <w:pPr>
        <w:pStyle w:val="35"/>
        <w:bidi w:val="0"/>
        <w:rPr>
          <w:rFonts w:hint="eastAsia"/>
        </w:rPr>
      </w:pPr>
      <w:r>
        <w:rPr>
          <w:rFonts w:hint="eastAsia"/>
          <w:lang w:val="en-US" w:eastAsia="zh-CN"/>
        </w:rPr>
        <w:t xml:space="preserve">第九条 </w:t>
      </w:r>
      <w:r>
        <w:rPr>
          <w:rFonts w:hint="eastAsia"/>
        </w:rPr>
        <w:t>违约责任</w:t>
      </w:r>
    </w:p>
    <w:p w14:paraId="51C55585">
      <w:pPr>
        <w:bidi w:val="0"/>
        <w:rPr>
          <w:rFonts w:hint="eastAsia"/>
        </w:rPr>
      </w:pPr>
      <w:r>
        <w:rPr>
          <w:rFonts w:hint="eastAsia"/>
        </w:rPr>
        <w:t>9.1 如果乙方无法按时交货（含</w:t>
      </w:r>
      <w:r>
        <w:t>乙方交货后未通过甲方验收</w:t>
      </w:r>
      <w:r>
        <w:rPr>
          <w:rFonts w:hint="eastAsia"/>
        </w:rPr>
        <w:t>），每延迟五个工作日，乙方须向甲方支付迟交货物总额的百分之一的违约金。乙方延迟交货三十个工作日以上，甲方有权终止合同，不予支付任何费用，由此造成的甲方损失由乙方承担。</w:t>
      </w:r>
    </w:p>
    <w:p w14:paraId="6BF340E4">
      <w:pPr>
        <w:bidi w:val="0"/>
        <w:rPr>
          <w:rFonts w:hint="eastAsia"/>
        </w:rPr>
      </w:pPr>
      <w:r>
        <w:rPr>
          <w:rFonts w:hint="eastAsia"/>
        </w:rPr>
        <w:t>9.2 如果乙方提交的产品不满足合同约定的技术要求或安装调试完毕未通过甲方验收，甲方有权终止合同，不予支付任何费用，甲方已支付的费用乙方予以返还，并要求乙方支付合同总额百分之二十的违约金。</w:t>
      </w:r>
    </w:p>
    <w:p w14:paraId="44896724">
      <w:pPr>
        <w:bidi w:val="0"/>
        <w:rPr>
          <w:rFonts w:hint="eastAsia"/>
        </w:rPr>
      </w:pPr>
      <w:r>
        <w:rPr>
          <w:rFonts w:hint="eastAsia"/>
        </w:rPr>
        <w:t>9.3 如果乙方在</w:t>
      </w:r>
      <w:r>
        <w:t>维保</w:t>
      </w:r>
      <w:r>
        <w:rPr>
          <w:rFonts w:hint="eastAsia"/>
        </w:rPr>
        <w:t>期内未按合同附件要求提供服务（含</w:t>
      </w:r>
      <w:r>
        <w:t>设备原</w:t>
      </w:r>
      <w:r>
        <w:rPr>
          <w:rFonts w:hint="eastAsia"/>
        </w:rPr>
        <w:t>厂商服务），每违反一条，乙方需向甲方支付合同总额百分之五的违约金。若乙方未按约履行</w:t>
      </w:r>
      <w:r>
        <w:t>维保</w:t>
      </w:r>
      <w:r>
        <w:rPr>
          <w:rFonts w:hint="eastAsia"/>
        </w:rPr>
        <w:t>义务（含</w:t>
      </w:r>
      <w:r>
        <w:t>设备原厂商</w:t>
      </w:r>
      <w:r>
        <w:rPr>
          <w:rFonts w:hint="eastAsia"/>
        </w:rPr>
        <w:t>未履行</w:t>
      </w:r>
      <w:r>
        <w:t>维保</w:t>
      </w:r>
      <w:r>
        <w:rPr>
          <w:rFonts w:hint="eastAsia"/>
        </w:rPr>
        <w:t>），甲方有权自行或另行委托第三方维修，由此产生的费用甲方有权直接从应支付乙方的任意一笔款项中扣除。</w:t>
      </w:r>
    </w:p>
    <w:p w14:paraId="71A7E28F">
      <w:pPr>
        <w:bidi w:val="0"/>
        <w:rPr>
          <w:rFonts w:hint="eastAsia"/>
        </w:rPr>
      </w:pPr>
      <w:r>
        <w:rPr>
          <w:rFonts w:hint="eastAsia"/>
        </w:rPr>
        <w:t>9.4 如果因甲方原因不能按时付款，在逾期一个月后，每延迟一个工作日，甲方须向乙方支付应付未付款部分的万分之五的违约金，违约金总额不超过应付款额的百分之五。</w:t>
      </w:r>
    </w:p>
    <w:p w14:paraId="62D61915">
      <w:pPr>
        <w:bidi w:val="0"/>
        <w:rPr>
          <w:rFonts w:hint="eastAsia"/>
        </w:rPr>
      </w:pPr>
      <w:r>
        <w:rPr>
          <w:rFonts w:hint="eastAsia"/>
        </w:rPr>
        <w:t>9.5 不得因乙方原因（含乙方合作的第三方）导致甲方发生网络安全事件，如因乙方直接或间接原因导致甲方发生网络安全事件，每发生一次网络安全事件扣除乙方违约金，按甲方已采购设备总金额不低于3%计算，并要求乙方赔偿实际损失。发生【两】次及以上的，甲方有权解除本合同，不再支付任何费用，乙方应返还已收取的费用并赔偿甲方因此遭受的损失。</w:t>
      </w:r>
    </w:p>
    <w:p w14:paraId="2ADB7072">
      <w:pPr>
        <w:bidi w:val="0"/>
        <w:rPr>
          <w:rFonts w:hint="eastAsia"/>
        </w:rPr>
      </w:pPr>
      <w:r>
        <w:rPr>
          <w:rFonts w:hint="eastAsia"/>
        </w:rPr>
        <w:t>9.6 若乙方合作的第三方停止生产和维护本项目产品中的某些部件或组件，乙方应立即采取替代方案消除对甲方产生的影响，若因此给甲方造成任何损失，乙方应承担赔偿责任。</w:t>
      </w:r>
    </w:p>
    <w:p w14:paraId="0D7CB467">
      <w:pPr>
        <w:bidi w:val="0"/>
        <w:rPr>
          <w:rFonts w:hint="eastAsia"/>
        </w:rPr>
      </w:pPr>
      <w:r>
        <w:rPr>
          <w:rFonts w:hint="eastAsia"/>
        </w:rPr>
        <w:t>9.7</w:t>
      </w:r>
      <w:r>
        <w:t xml:space="preserve"> </w:t>
      </w:r>
      <w:r>
        <w:rPr>
          <w:rFonts w:hint="eastAsia"/>
        </w:rPr>
        <w:t>本合同项下乙方应支付的违约金、赔偿金等，甲方均有权从应支付给乙方的任意一笔款项中优先扣除，若有不足，乙方应另行筹措资金补足。</w:t>
      </w:r>
    </w:p>
    <w:p w14:paraId="0FBED43D">
      <w:pPr>
        <w:bidi w:val="0"/>
        <w:rPr>
          <w:rFonts w:hint="eastAsia"/>
        </w:rPr>
      </w:pPr>
    </w:p>
    <w:p w14:paraId="6231E553">
      <w:pPr>
        <w:pStyle w:val="35"/>
        <w:bidi w:val="0"/>
        <w:rPr>
          <w:rFonts w:hint="eastAsia"/>
        </w:rPr>
      </w:pPr>
      <w:r>
        <w:rPr>
          <w:rFonts w:hint="eastAsia"/>
          <w:lang w:val="en-US" w:eastAsia="zh-CN"/>
        </w:rPr>
        <w:t xml:space="preserve">第十条 </w:t>
      </w:r>
      <w:r>
        <w:rPr>
          <w:rFonts w:hint="eastAsia"/>
        </w:rPr>
        <w:t>不可抗力</w:t>
      </w:r>
    </w:p>
    <w:p w14:paraId="2C79AD47">
      <w:pPr>
        <w:bidi w:val="0"/>
        <w:rPr>
          <w:rFonts w:hint="eastAsia"/>
        </w:rPr>
      </w:pPr>
      <w:r>
        <w:rPr>
          <w:rFonts w:hint="eastAsia"/>
        </w:rPr>
        <w:t>10.1</w:t>
      </w:r>
      <w:r>
        <w:t xml:space="preserve"> </w:t>
      </w:r>
      <w:r>
        <w:rPr>
          <w:rFonts w:hint="eastAsia"/>
        </w:rPr>
        <w:t>不可抗力是指本合同生效后，发生不能预见并且对其发生和后果不能防止或避免的事件，如地震、台风、水灾、火灾、战争、传染病等，致使直接影响本合同的履行或不能按约定的条件履行。</w:t>
      </w:r>
    </w:p>
    <w:p w14:paraId="39480852">
      <w:pPr>
        <w:bidi w:val="0"/>
        <w:rPr>
          <w:rFonts w:hint="eastAsia"/>
        </w:rPr>
      </w:pPr>
      <w:r>
        <w:rPr>
          <w:rFonts w:hint="eastAsia"/>
        </w:rPr>
        <w:t>10.2</w:t>
      </w:r>
      <w:r>
        <w:t xml:space="preserve"> </w:t>
      </w:r>
      <w:r>
        <w:rPr>
          <w:rFonts w:hint="eastAsia"/>
        </w:rPr>
        <w:t>发生不可抗力的一方应立即通知对方，并在十五天内提供不可抗力的详情及将有关证明文件送交对方。</w:t>
      </w:r>
    </w:p>
    <w:p w14:paraId="1472D206">
      <w:pPr>
        <w:bidi w:val="0"/>
        <w:rPr>
          <w:rFonts w:hint="eastAsia"/>
        </w:rPr>
      </w:pPr>
      <w:r>
        <w:rPr>
          <w:rFonts w:hint="eastAsia"/>
        </w:rPr>
        <w:t>10.3</w:t>
      </w:r>
      <w:r>
        <w:t xml:space="preserve"> </w:t>
      </w:r>
      <w:r>
        <w:rPr>
          <w:rFonts w:hint="eastAsia"/>
        </w:rPr>
        <w:t>发生不可抗力事件时，甲乙双方应协商以寻找一个合理的解决方法，并尽一切努力减轻不可抗力产生的后果。</w:t>
      </w:r>
    </w:p>
    <w:p w14:paraId="2D05E3E8">
      <w:pPr>
        <w:bidi w:val="0"/>
        <w:rPr>
          <w:rFonts w:hint="eastAsia"/>
        </w:rPr>
      </w:pPr>
      <w:r>
        <w:rPr>
          <w:rFonts w:hint="eastAsia"/>
        </w:rPr>
        <w:t>10.4</w:t>
      </w:r>
      <w:r>
        <w:t xml:space="preserve"> </w:t>
      </w:r>
      <w:r>
        <w:rPr>
          <w:rFonts w:hint="eastAsia"/>
        </w:rPr>
        <w:t>如不可抗力事件持续三十天时，甲乙双方应友好协商解决本合同是否继续履行或终止的问题。</w:t>
      </w:r>
    </w:p>
    <w:p w14:paraId="3003727B">
      <w:pPr>
        <w:pStyle w:val="35"/>
        <w:bidi w:val="0"/>
        <w:rPr>
          <w:rFonts w:hint="eastAsia"/>
        </w:rPr>
      </w:pPr>
      <w:r>
        <w:rPr>
          <w:rFonts w:hint="eastAsia"/>
          <w:lang w:val="en-US" w:eastAsia="zh-CN"/>
        </w:rPr>
        <w:t xml:space="preserve">第十一条 </w:t>
      </w:r>
      <w:r>
        <w:rPr>
          <w:rFonts w:hint="eastAsia"/>
        </w:rPr>
        <w:t>争议解决</w:t>
      </w:r>
    </w:p>
    <w:p w14:paraId="6BE651C4">
      <w:pPr>
        <w:bidi w:val="0"/>
        <w:rPr>
          <w:rFonts w:hint="eastAsia"/>
        </w:rPr>
      </w:pPr>
      <w:r>
        <w:rPr>
          <w:rFonts w:hint="eastAsia"/>
        </w:rPr>
        <w:t>因本合同引起的或与本合同有关的任何争议，双方可通过协商解决，协商不成，任何一方均可向重庆仲裁委员会按照该会届时有效的仲裁规则申请仲裁。</w:t>
      </w:r>
    </w:p>
    <w:p w14:paraId="02B71F2A">
      <w:pPr>
        <w:pStyle w:val="35"/>
        <w:bidi w:val="0"/>
        <w:rPr>
          <w:rFonts w:hint="eastAsia"/>
        </w:rPr>
      </w:pPr>
      <w:r>
        <w:rPr>
          <w:rFonts w:hint="eastAsia"/>
          <w:lang w:val="en-US" w:eastAsia="zh-CN"/>
        </w:rPr>
        <w:t xml:space="preserve">第十二条 </w:t>
      </w:r>
      <w:r>
        <w:rPr>
          <w:rFonts w:hint="eastAsia"/>
        </w:rPr>
        <w:t>保密</w:t>
      </w:r>
    </w:p>
    <w:p w14:paraId="60A7443F">
      <w:pPr>
        <w:bidi w:val="0"/>
        <w:rPr>
          <w:rFonts w:hint="eastAsia"/>
        </w:rPr>
      </w:pPr>
      <w:r>
        <w:rPr>
          <w:rFonts w:hint="eastAsia"/>
        </w:rPr>
        <w:t>12.1</w:t>
      </w:r>
      <w:r>
        <w:t xml:space="preserve"> </w:t>
      </w:r>
      <w:r>
        <w:rPr>
          <w:rFonts w:hint="eastAsia"/>
        </w:rPr>
        <w:t>乙方须对本合同项下的所有条款保密。</w:t>
      </w:r>
    </w:p>
    <w:p w14:paraId="7CA4B4B4">
      <w:pPr>
        <w:bidi w:val="0"/>
        <w:rPr>
          <w:rFonts w:hint="eastAsia"/>
        </w:rPr>
      </w:pPr>
      <w:r>
        <w:rPr>
          <w:rFonts w:hint="eastAsia"/>
        </w:rPr>
        <w:t>12.2</w:t>
      </w:r>
      <w:r>
        <w:t xml:space="preserve"> </w:t>
      </w:r>
      <w:r>
        <w:rPr>
          <w:rFonts w:hint="eastAsia"/>
        </w:rPr>
        <w:t>乙方不得在合同允许范围外使用或披露甲方以及甲方客户信息、技术框架、系统架构、业务流程等核心信息。</w:t>
      </w:r>
    </w:p>
    <w:p w14:paraId="05EDBEC5">
      <w:pPr>
        <w:bidi w:val="0"/>
        <w:rPr>
          <w:rFonts w:hint="eastAsia"/>
        </w:rPr>
      </w:pPr>
      <w:r>
        <w:rPr>
          <w:rFonts w:hint="eastAsia"/>
        </w:rPr>
        <w:t>12.3</w:t>
      </w:r>
      <w:r>
        <w:t xml:space="preserve"> </w:t>
      </w:r>
      <w:r>
        <w:rPr>
          <w:rFonts w:hint="eastAsia"/>
        </w:rPr>
        <w:t>乙方应对本合同所述的客户信息、技术框架、系统架构、业务流程等核心信息采取保密措施，乙方未经甲方的书面同意，不得将本项目所涉及的客户信息、技术资料和秘密在合同允许范围外使用、披露、向无关人员或第三方透露，也不能就有关合同内容的任何部分进行新闻的发布、公开的宣称、否认或承认。</w:t>
      </w:r>
    </w:p>
    <w:p w14:paraId="2D43419F">
      <w:pPr>
        <w:bidi w:val="0"/>
        <w:rPr>
          <w:rFonts w:hint="eastAsia"/>
        </w:rPr>
      </w:pPr>
      <w:r>
        <w:rPr>
          <w:rFonts w:hint="eastAsia"/>
        </w:rPr>
        <w:t>12.4</w:t>
      </w:r>
      <w:r>
        <w:t xml:space="preserve"> </w:t>
      </w:r>
      <w:r>
        <w:rPr>
          <w:rFonts w:hint="eastAsia"/>
        </w:rPr>
        <w:t>乙方知道违反本条规定将给甲方客户权利以及甲方造成难以弥补的损失，为此同意承担由此产生的经济上和法律上的责任和</w:t>
      </w:r>
      <w:r>
        <w:t>损失</w:t>
      </w:r>
      <w:r>
        <w:rPr>
          <w:rFonts w:hint="eastAsia"/>
        </w:rPr>
        <w:t>。</w:t>
      </w:r>
    </w:p>
    <w:p w14:paraId="16BA3E57">
      <w:pPr>
        <w:bidi w:val="0"/>
        <w:rPr>
          <w:rFonts w:hint="eastAsia"/>
        </w:rPr>
      </w:pPr>
      <w:r>
        <w:rPr>
          <w:rFonts w:hint="eastAsia"/>
        </w:rPr>
        <w:t>12.5</w:t>
      </w:r>
      <w:r>
        <w:t xml:space="preserve"> </w:t>
      </w:r>
      <w:r>
        <w:rPr>
          <w:rFonts w:hint="eastAsia"/>
        </w:rPr>
        <w:t>乙方承认本合同中的技术资料和技术秘密为甲方所专有，将其对乙方进行披露并不意味着任何所有权、专利权的转让。</w:t>
      </w:r>
    </w:p>
    <w:p w14:paraId="0FE36681">
      <w:pPr>
        <w:bidi w:val="0"/>
        <w:rPr>
          <w:rFonts w:hint="eastAsia"/>
        </w:rPr>
      </w:pPr>
      <w:r>
        <w:rPr>
          <w:rFonts w:hint="eastAsia"/>
        </w:rPr>
        <w:t>12.6</w:t>
      </w:r>
      <w:r>
        <w:t xml:space="preserve"> </w:t>
      </w:r>
      <w:r>
        <w:rPr>
          <w:rFonts w:hint="eastAsia"/>
        </w:rPr>
        <w:t>在本合同项目通过验收后，乙方应归还甲方提供的所有技术资料或文件等，并承诺不保留任何复印件。</w:t>
      </w:r>
    </w:p>
    <w:p w14:paraId="6CBC6DAF">
      <w:pPr>
        <w:bidi w:val="0"/>
        <w:rPr>
          <w:rFonts w:hint="eastAsia"/>
        </w:rPr>
      </w:pPr>
      <w:r>
        <w:rPr>
          <w:rFonts w:hint="eastAsia"/>
        </w:rPr>
        <w:t>12.7</w:t>
      </w:r>
      <w:r>
        <w:t xml:space="preserve"> </w:t>
      </w:r>
      <w:r>
        <w:rPr>
          <w:rFonts w:hint="eastAsia"/>
        </w:rPr>
        <w:t>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35E35B77">
      <w:pPr>
        <w:bidi w:val="0"/>
        <w:rPr>
          <w:rFonts w:hint="eastAsia"/>
        </w:rPr>
      </w:pPr>
      <w:r>
        <w:rPr>
          <w:rFonts w:hint="eastAsia"/>
        </w:rPr>
        <w:t>12.8</w:t>
      </w:r>
      <w:r>
        <w:t xml:space="preserve"> </w:t>
      </w:r>
      <w:r>
        <w:rPr>
          <w:rFonts w:hint="eastAsia"/>
        </w:rPr>
        <w:t>除非甲方特别声明，乙方对于保密信息的保密义务为无限期保密，直至甲方宣布解密或者保密信息实际上已经公开。</w:t>
      </w:r>
    </w:p>
    <w:p w14:paraId="3DFC4DB4">
      <w:pPr>
        <w:bidi w:val="0"/>
        <w:rPr>
          <w:rFonts w:hint="eastAsia"/>
        </w:rPr>
      </w:pPr>
    </w:p>
    <w:p w14:paraId="68C161A8">
      <w:pPr>
        <w:pStyle w:val="35"/>
        <w:bidi w:val="0"/>
        <w:rPr>
          <w:rFonts w:hint="eastAsia"/>
        </w:rPr>
      </w:pPr>
      <w:r>
        <w:rPr>
          <w:rFonts w:hint="eastAsia"/>
          <w:lang w:val="en-US" w:eastAsia="zh-CN"/>
        </w:rPr>
        <w:t xml:space="preserve">第十三条 </w:t>
      </w:r>
      <w:r>
        <w:rPr>
          <w:rFonts w:hint="eastAsia"/>
        </w:rPr>
        <w:t>通知与送达</w:t>
      </w:r>
    </w:p>
    <w:p w14:paraId="67E45BB2">
      <w:pPr>
        <w:bidi w:val="0"/>
        <w:rPr>
          <w:rFonts w:hint="eastAsia"/>
        </w:rPr>
      </w:pPr>
      <w:r>
        <w:rPr>
          <w:rFonts w:hint="eastAsia"/>
        </w:rPr>
        <w:t>除双方另有约定，本合同项下的所有书面通知，按本合同首部载明的地址及联系方式进行，乙方地址、联系方式如有变动，应于10日内以书面形式通知甲方，甲方地址、联系方式如有变动，应采用公告、函件、网上银行、电话银行等方式通知乙方。否则，向本合同首部所载明的地址和联系方式发送有关文件，均视为送达。</w:t>
      </w:r>
    </w:p>
    <w:p w14:paraId="211F756B">
      <w:pPr>
        <w:bidi w:val="0"/>
        <w:rPr>
          <w:rFonts w:hint="eastAsia"/>
        </w:rPr>
      </w:pPr>
      <w:r>
        <w:rPr>
          <w:rFonts w:hint="eastAsia"/>
        </w:rPr>
        <w:t>发生纠纷的，本合同首部所载明的地址为司法送达地址，法院、仲裁机构等有权机关依照前述地址邮寄的传票、证据、通知、裁定、判决等诉讼（仲裁）文书及执行阶段法律文书资料，无论是否签收，均视为送达，当事人承担法律责任。</w:t>
      </w:r>
    </w:p>
    <w:p w14:paraId="3476B5CF">
      <w:pPr>
        <w:pStyle w:val="35"/>
        <w:bidi w:val="0"/>
        <w:rPr>
          <w:rFonts w:hint="eastAsia"/>
        </w:rPr>
      </w:pPr>
      <w:bookmarkStart w:id="72" w:name="_Toc388368880"/>
      <w:r>
        <w:rPr>
          <w:rFonts w:hint="eastAsia"/>
          <w:lang w:val="en-US" w:eastAsia="zh-CN"/>
        </w:rPr>
        <w:t xml:space="preserve">第十四条 </w:t>
      </w:r>
      <w:r>
        <w:rPr>
          <w:rFonts w:hint="eastAsia"/>
        </w:rPr>
        <w:t>反商业贿赂</w:t>
      </w:r>
      <w:bookmarkEnd w:id="72"/>
    </w:p>
    <w:p w14:paraId="4C9081D8">
      <w:pPr>
        <w:bidi w:val="0"/>
        <w:rPr>
          <w:rFonts w:hint="eastAsia"/>
        </w:rPr>
      </w:pPr>
      <w:r>
        <w:rPr>
          <w:rFonts w:hint="eastAsia"/>
        </w:rPr>
        <w:t>乙方不得对甲方或甲方任何员工有任何商业贿赂的行为，否则经查证属实后，乙方应对甲方赔付相当于合同总额50%的赔偿金。该条在法律允许的范围内，不受任何免责或限制责任的条款制约。</w:t>
      </w:r>
    </w:p>
    <w:p w14:paraId="565DE624">
      <w:pPr>
        <w:pStyle w:val="35"/>
        <w:bidi w:val="0"/>
        <w:rPr>
          <w:rFonts w:hint="eastAsia"/>
        </w:rPr>
      </w:pPr>
      <w:r>
        <w:rPr>
          <w:rFonts w:hint="eastAsia"/>
          <w:lang w:val="en-US" w:eastAsia="zh-CN"/>
        </w:rPr>
        <w:t xml:space="preserve">第十五条 </w:t>
      </w:r>
      <w:r>
        <w:rPr>
          <w:rFonts w:hint="eastAsia"/>
        </w:rPr>
        <w:t>附件</w:t>
      </w:r>
    </w:p>
    <w:p w14:paraId="6F61F053">
      <w:pPr>
        <w:bidi w:val="0"/>
        <w:rPr>
          <w:rFonts w:hint="eastAsia"/>
        </w:rPr>
      </w:pPr>
      <w:r>
        <w:rPr>
          <w:rFonts w:hint="eastAsia"/>
        </w:rPr>
        <w:t>本合同的附件如下，附件与合同正本具有同等法律效力，主合同与附件如有冲突，以主合同为准。</w:t>
      </w:r>
    </w:p>
    <w:p w14:paraId="3BF33E00">
      <w:pPr>
        <w:bidi w:val="0"/>
        <w:rPr>
          <w:rFonts w:hint="eastAsia"/>
        </w:rPr>
      </w:pPr>
      <w:r>
        <w:rPr>
          <w:rFonts w:hint="eastAsia"/>
        </w:rPr>
        <w:t>附件一：硬件设备签收表</w:t>
      </w:r>
    </w:p>
    <w:p w14:paraId="7BF7591B">
      <w:pPr>
        <w:bidi w:val="0"/>
        <w:rPr>
          <w:rFonts w:hint="eastAsia"/>
        </w:rPr>
      </w:pPr>
      <w:r>
        <w:rPr>
          <w:rFonts w:hint="eastAsia"/>
        </w:rPr>
        <w:t>附件二：最终验收表</w:t>
      </w:r>
    </w:p>
    <w:p w14:paraId="5C906244">
      <w:pPr>
        <w:bidi w:val="0"/>
        <w:rPr>
          <w:rFonts w:hint="eastAsia"/>
        </w:rPr>
      </w:pPr>
      <w:r>
        <w:rPr>
          <w:rFonts w:hint="eastAsia"/>
        </w:rPr>
        <w:t>附件三：维护服务内容</w:t>
      </w:r>
    </w:p>
    <w:p w14:paraId="11874DDA">
      <w:pPr>
        <w:bidi w:val="0"/>
        <w:rPr>
          <w:rFonts w:hint="eastAsia"/>
        </w:rPr>
      </w:pPr>
      <w:r>
        <w:rPr>
          <w:rFonts w:hint="eastAsia"/>
        </w:rPr>
        <w:t>附件四：服务连续性预案</w:t>
      </w:r>
    </w:p>
    <w:p w14:paraId="3D93EBC5">
      <w:pPr>
        <w:pStyle w:val="35"/>
        <w:bidi w:val="0"/>
        <w:rPr>
          <w:rFonts w:hint="eastAsia"/>
        </w:rPr>
      </w:pPr>
      <w:r>
        <w:rPr>
          <w:rFonts w:hint="eastAsia"/>
          <w:lang w:val="en-US" w:eastAsia="zh-CN"/>
        </w:rPr>
        <w:t xml:space="preserve">第十六条 </w:t>
      </w:r>
      <w:r>
        <w:rPr>
          <w:rFonts w:hint="eastAsia"/>
        </w:rPr>
        <w:t>其他事宜</w:t>
      </w:r>
    </w:p>
    <w:p w14:paraId="2A9EA4E5">
      <w:pPr>
        <w:bidi w:val="0"/>
        <w:rPr>
          <w:rFonts w:hint="eastAsia"/>
        </w:rPr>
      </w:pPr>
      <w:r>
        <w:rPr>
          <w:rFonts w:hint="eastAsia"/>
        </w:rPr>
        <w:t>16.1</w:t>
      </w:r>
      <w:r>
        <w:t xml:space="preserve"> </w:t>
      </w:r>
      <w:r>
        <w:rPr>
          <w:rFonts w:hint="eastAsia"/>
        </w:rPr>
        <w:t>本合同在甲乙双方加盖公章或合同章后生效。</w:t>
      </w:r>
    </w:p>
    <w:p w14:paraId="51521265">
      <w:pPr>
        <w:bidi w:val="0"/>
        <w:rPr>
          <w:rFonts w:hint="eastAsia"/>
        </w:rPr>
      </w:pPr>
      <w:r>
        <w:rPr>
          <w:rFonts w:hint="eastAsia"/>
        </w:rPr>
        <w:t>16.2</w:t>
      </w:r>
      <w:r>
        <w:t xml:space="preserve"> </w:t>
      </w:r>
      <w:r>
        <w:rPr>
          <w:rFonts w:hint="eastAsia"/>
        </w:rPr>
        <w:t>本合同双方在未取得对方事先书面同意的前提下，均不得将各自本合同项下的任何权利或义务转让给第三方。</w:t>
      </w:r>
    </w:p>
    <w:p w14:paraId="093B499C">
      <w:pPr>
        <w:bidi w:val="0"/>
        <w:rPr>
          <w:rFonts w:hint="eastAsia"/>
        </w:rPr>
      </w:pPr>
      <w:r>
        <w:rPr>
          <w:rFonts w:hint="eastAsia"/>
        </w:rPr>
        <w:t>16.3</w:t>
      </w:r>
      <w:r>
        <w:t xml:space="preserve"> </w:t>
      </w:r>
      <w:r>
        <w:rPr>
          <w:rFonts w:hint="eastAsia"/>
        </w:rPr>
        <w:t>本合同之未尽事宜双方协商解决，对本合同及其附件的内容进行变更，必须经双方协商一致并签订补充协议。</w:t>
      </w:r>
    </w:p>
    <w:p w14:paraId="522772F3">
      <w:pPr>
        <w:bidi w:val="0"/>
        <w:rPr>
          <w:rFonts w:hint="eastAsia"/>
        </w:rPr>
      </w:pPr>
      <w:r>
        <w:rPr>
          <w:rFonts w:hint="eastAsia"/>
        </w:rPr>
        <w:t>16.4</w:t>
      </w:r>
      <w:r>
        <w:t xml:space="preserve"> </w:t>
      </w:r>
      <w:r>
        <w:rPr>
          <w:rFonts w:hint="eastAsia"/>
        </w:rPr>
        <w:t>本合同一式  肆  份，甲、乙双方各  贰  份，具有同等法律效力。</w:t>
      </w:r>
    </w:p>
    <w:p w14:paraId="122B1A92">
      <w:pPr>
        <w:bidi w:val="0"/>
        <w:rPr>
          <w:rFonts w:hint="eastAsia"/>
        </w:rPr>
      </w:pPr>
      <w:r>
        <w:rPr>
          <w:rFonts w:hint="eastAsia"/>
        </w:rPr>
        <w:t>16.5</w:t>
      </w:r>
      <w:r>
        <w:t xml:space="preserve"> </w:t>
      </w:r>
      <w:r>
        <w:rPr>
          <w:rFonts w:hint="eastAsia"/>
        </w:rPr>
        <w:t>本合同传真件和复印件无效。</w:t>
      </w:r>
    </w:p>
    <w:p w14:paraId="26B4B0D2">
      <w:pPr>
        <w:bidi w:val="0"/>
        <w:rPr>
          <w:rFonts w:hint="eastAsia"/>
        </w:rPr>
      </w:pPr>
      <w:r>
        <w:rPr>
          <w:rFonts w:hint="eastAsia"/>
        </w:rPr>
        <w:t>16.6</w:t>
      </w:r>
      <w:r>
        <w:t xml:space="preserve"> </w:t>
      </w:r>
      <w:r>
        <w:rPr>
          <w:rFonts w:hint="eastAsia"/>
        </w:rPr>
        <w:t>乙方保证遵守甲方《重庆三峡银行员工回避管理办法》中招录回避、任职回避、公务回避的相关要求。若发现乙方人员与甲方内部人员存在亲属关系，乙方应主动报告，并采取相应回避措施。</w:t>
      </w:r>
    </w:p>
    <w:p w14:paraId="30BE269E">
      <w:pPr>
        <w:bidi w:val="0"/>
        <w:rPr>
          <w:rFonts w:hint="eastAsia"/>
          <w:b/>
          <w:bCs/>
        </w:rPr>
      </w:pPr>
      <w:r>
        <w:rPr>
          <w:rFonts w:hint="eastAsia"/>
          <w:b/>
          <w:bCs/>
        </w:rPr>
        <w:t>（以下无正文）</w:t>
      </w:r>
    </w:p>
    <w:p w14:paraId="36D3C9CE">
      <w:pPr>
        <w:bidi w:val="0"/>
        <w:rPr>
          <w:rFonts w:hint="eastAsia"/>
        </w:rPr>
      </w:pPr>
    </w:p>
    <w:p w14:paraId="36A0B4CE">
      <w:pPr>
        <w:bidi w:val="0"/>
      </w:pPr>
    </w:p>
    <w:p w14:paraId="0C226293">
      <w:pPr>
        <w:bidi w:val="0"/>
      </w:pPr>
    </w:p>
    <w:p w14:paraId="2F0C0366">
      <w:pPr>
        <w:bidi w:val="0"/>
      </w:pPr>
    </w:p>
    <w:p w14:paraId="67621548">
      <w:pPr>
        <w:bidi w:val="0"/>
        <w:rPr>
          <w:rFonts w:hint="eastAsia"/>
        </w:rPr>
      </w:pPr>
      <w:r>
        <w:rPr>
          <w:rFonts w:hint="eastAsia"/>
        </w:rPr>
        <w:t xml:space="preserve">甲方：重庆三峡银行股份有限公司     乙方：        xxxxx公司       </w:t>
      </w:r>
    </w:p>
    <w:p w14:paraId="42E4A8AB">
      <w:pPr>
        <w:bidi w:val="0"/>
        <w:rPr>
          <w:rFonts w:hint="eastAsia"/>
        </w:rPr>
      </w:pPr>
    </w:p>
    <w:p w14:paraId="001DB812">
      <w:pPr>
        <w:bidi w:val="0"/>
        <w:rPr>
          <w:rFonts w:hint="eastAsia"/>
        </w:rPr>
      </w:pPr>
      <w:r>
        <w:rPr>
          <w:rFonts w:hint="eastAsia"/>
        </w:rPr>
        <w:t xml:space="preserve">（签章）：                          （签章）：           </w:t>
      </w:r>
    </w:p>
    <w:p w14:paraId="50919E7F">
      <w:pPr>
        <w:bidi w:val="0"/>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p>
    <w:p w14:paraId="56E67321">
      <w:pPr>
        <w:bidi w:val="0"/>
        <w:rPr>
          <w:rFonts w:hint="eastAsia"/>
        </w:rPr>
      </w:pPr>
      <w:r>
        <w:rPr>
          <w:rFonts w:hint="eastAsia"/>
        </w:rPr>
        <w:t xml:space="preserve">         日期：      年    月    日</w:t>
      </w:r>
    </w:p>
    <w:p w14:paraId="6C4953FD">
      <w:pPr>
        <w:bidi w:val="0"/>
        <w:rPr>
          <w:rFonts w:hint="eastAsia"/>
        </w:rPr>
      </w:pPr>
    </w:p>
    <w:p w14:paraId="15943134">
      <w:pPr>
        <w:bidi w:val="0"/>
        <w:rPr>
          <w:rFonts w:hint="eastAsia"/>
        </w:rPr>
      </w:pPr>
    </w:p>
    <w:p w14:paraId="354E2835">
      <w:pPr>
        <w:bidi w:val="0"/>
        <w:rPr>
          <w:rFonts w:hint="eastAsia"/>
        </w:rPr>
      </w:pPr>
    </w:p>
    <w:p w14:paraId="1FE926AD">
      <w:pPr>
        <w:bidi w:val="0"/>
        <w:rPr>
          <w:rFonts w:hint="eastAsia"/>
        </w:rPr>
      </w:pPr>
    </w:p>
    <w:p w14:paraId="54851EBD">
      <w:pPr>
        <w:bidi w:val="0"/>
        <w:rPr>
          <w:rFonts w:hint="eastAsia"/>
        </w:rPr>
      </w:pPr>
    </w:p>
    <w:p w14:paraId="5634C5D9">
      <w:pPr>
        <w:bidi w:val="0"/>
        <w:rPr>
          <w:rFonts w:hint="eastAsia" w:ascii="宋体"/>
          <w:b/>
          <w:color w:val="000000"/>
        </w:rPr>
      </w:pPr>
      <w:r>
        <w:rPr>
          <w:rFonts w:hint="eastAsia"/>
        </w:rPr>
        <w:br w:type="page"/>
      </w:r>
      <w:r>
        <w:rPr>
          <w:rFonts w:hint="eastAsia" w:ascii="宋体"/>
          <w:b/>
          <w:color w:val="000000"/>
        </w:rPr>
        <w:t>附件1 硬件设备签收表</w:t>
      </w:r>
    </w:p>
    <w:tbl>
      <w:tblPr>
        <w:tblStyle w:val="14"/>
        <w:tblW w:w="9639"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2"/>
        <w:gridCol w:w="143"/>
        <w:gridCol w:w="566"/>
        <w:gridCol w:w="993"/>
        <w:gridCol w:w="1422"/>
        <w:gridCol w:w="707"/>
        <w:gridCol w:w="427"/>
        <w:gridCol w:w="283"/>
        <w:gridCol w:w="1134"/>
        <w:gridCol w:w="1558"/>
        <w:gridCol w:w="1128"/>
        <w:gridCol w:w="716"/>
      </w:tblGrid>
      <w:tr w14:paraId="4A499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62" w:type="dxa"/>
          <w:wAfter w:w="716" w:type="dxa"/>
          <w:trHeight w:val="300" w:hRule="atLeast"/>
        </w:trPr>
        <w:tc>
          <w:tcPr>
            <w:tcW w:w="8361" w:type="dxa"/>
            <w:gridSpan w:val="10"/>
            <w:tcBorders>
              <w:top w:val="nil"/>
              <w:left w:val="nil"/>
              <w:bottom w:val="nil"/>
              <w:right w:val="nil"/>
              <w:tl2br w:val="nil"/>
              <w:tr2bl w:val="nil"/>
            </w:tcBorders>
            <w:vAlign w:val="center"/>
          </w:tcPr>
          <w:p w14:paraId="492A8E01">
            <w:pPr>
              <w:widowControl/>
              <w:jc w:val="center"/>
              <w:rPr>
                <w:rFonts w:hint="eastAsia" w:ascii="方正小标宋_GBK" w:eastAsia="方正小标宋_GBK" w:cs="宋体"/>
                <w:color w:val="000000"/>
                <w:kern w:val="0"/>
                <w:sz w:val="44"/>
                <w:szCs w:val="44"/>
              </w:rPr>
            </w:pPr>
            <w:r>
              <w:rPr>
                <w:rFonts w:hint="eastAsia" w:ascii="方正小标宋_GBK" w:eastAsia="方正小标宋_GBK" w:cs="宋体"/>
                <w:color w:val="000000"/>
                <w:kern w:val="0"/>
                <w:sz w:val="44"/>
                <w:szCs w:val="44"/>
              </w:rPr>
              <w:t>硬件设备签收表</w:t>
            </w:r>
          </w:p>
        </w:tc>
      </w:tr>
      <w:tr w14:paraId="7FD6F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271"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7E3159B">
            <w:pPr>
              <w:pStyle w:val="33"/>
              <w:bidi w:val="0"/>
              <w:rPr>
                <w:rFonts w:hint="eastAsia"/>
              </w:rPr>
            </w:pPr>
            <w:r>
              <w:rPr>
                <w:rFonts w:hint="eastAsia"/>
              </w:rPr>
              <w:t>项目名称</w:t>
            </w:r>
          </w:p>
        </w:tc>
        <w:tc>
          <w:tcPr>
            <w:tcW w:w="3832"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01126694">
            <w:pPr>
              <w:pStyle w:val="33"/>
              <w:bidi w:val="0"/>
              <w:rPr>
                <w:rFonts w:hint="eastAsia"/>
              </w:rPr>
            </w:pPr>
          </w:p>
        </w:tc>
        <w:tc>
          <w:tcPr>
            <w:tcW w:w="269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3E592E8">
            <w:pPr>
              <w:pStyle w:val="33"/>
              <w:bidi w:val="0"/>
              <w:rPr>
                <w:rFonts w:hint="eastAsia"/>
              </w:rPr>
            </w:pPr>
            <w:r>
              <w:rPr>
                <w:rFonts w:hint="eastAsia"/>
              </w:rPr>
              <w:t>交付时间</w:t>
            </w:r>
          </w:p>
        </w:tc>
        <w:tc>
          <w:tcPr>
            <w:tcW w:w="18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63A66FE">
            <w:pPr>
              <w:pStyle w:val="33"/>
              <w:bidi w:val="0"/>
              <w:rPr>
                <w:rFonts w:hint="eastAsia"/>
              </w:rPr>
            </w:pPr>
          </w:p>
        </w:tc>
      </w:tr>
      <w:tr w14:paraId="2D592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0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2CED9B6">
            <w:pPr>
              <w:pStyle w:val="33"/>
              <w:bidi w:val="0"/>
              <w:rPr>
                <w:rFonts w:hint="eastAsia"/>
              </w:rPr>
            </w:pPr>
            <w:r>
              <w:rPr>
                <w:rFonts w:hint="eastAsia"/>
              </w:rPr>
              <w:t>序号</w:t>
            </w: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4077D52">
            <w:pPr>
              <w:pStyle w:val="33"/>
              <w:bidi w:val="0"/>
              <w:rPr>
                <w:rFonts w:hint="eastAsia"/>
              </w:rPr>
            </w:pPr>
            <w:r>
              <w:rPr>
                <w:rFonts w:hint="eastAsia"/>
              </w:rPr>
              <w:t>设备名称</w:t>
            </w:r>
          </w:p>
        </w:tc>
        <w:tc>
          <w:tcPr>
            <w:tcW w:w="1422" w:type="dxa"/>
            <w:tcBorders>
              <w:top w:val="single" w:color="auto" w:sz="4" w:space="0"/>
              <w:left w:val="single" w:color="auto" w:sz="4" w:space="0"/>
              <w:bottom w:val="single" w:color="auto" w:sz="4" w:space="0"/>
              <w:right w:val="single" w:color="auto" w:sz="4" w:space="0"/>
              <w:tl2br w:val="nil"/>
              <w:tr2bl w:val="nil"/>
            </w:tcBorders>
            <w:vAlign w:val="center"/>
          </w:tcPr>
          <w:p w14:paraId="2FFF7CB0">
            <w:pPr>
              <w:pStyle w:val="33"/>
              <w:bidi w:val="0"/>
              <w:rPr>
                <w:rFonts w:hint="eastAsia"/>
              </w:rPr>
            </w:pPr>
            <w:r>
              <w:rPr>
                <w:rFonts w:hint="eastAsia"/>
              </w:rPr>
              <w:t>序列号</w:t>
            </w: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5F74371F">
            <w:pPr>
              <w:pStyle w:val="33"/>
              <w:bidi w:val="0"/>
              <w:rPr>
                <w:rFonts w:hint="eastAsia"/>
              </w:rPr>
            </w:pPr>
            <w:r>
              <w:rPr>
                <w:rFonts w:hint="eastAsia"/>
              </w:rPr>
              <w:t>单价</w:t>
            </w: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ED622D6">
            <w:pPr>
              <w:pStyle w:val="33"/>
              <w:bidi w:val="0"/>
              <w:rPr>
                <w:rFonts w:hint="eastAsia"/>
              </w:rPr>
            </w:pPr>
            <w:r>
              <w:rPr>
                <w:rFonts w:hint="eastAsia"/>
              </w:rPr>
              <w:t>数量</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4042F8C8">
            <w:pPr>
              <w:pStyle w:val="33"/>
              <w:bidi w:val="0"/>
              <w:rPr>
                <w:rFonts w:hint="eastAsia"/>
              </w:rPr>
            </w:pPr>
            <w:r>
              <w:rPr>
                <w:rFonts w:hint="eastAsia"/>
              </w:rPr>
              <w:t>税率</w:t>
            </w: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31F72BCC">
            <w:pPr>
              <w:pStyle w:val="33"/>
              <w:bidi w:val="0"/>
              <w:rPr>
                <w:rFonts w:hint="eastAsia"/>
              </w:rPr>
            </w:pPr>
            <w:r>
              <w:rPr>
                <w:rFonts w:hint="eastAsia"/>
              </w:rPr>
              <w:t>总价</w:t>
            </w:r>
          </w:p>
        </w:tc>
        <w:tc>
          <w:tcPr>
            <w:tcW w:w="18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14F7E0F">
            <w:pPr>
              <w:pStyle w:val="33"/>
              <w:bidi w:val="0"/>
              <w:rPr>
                <w:rFonts w:hint="eastAsia"/>
              </w:rPr>
            </w:pPr>
            <w:r>
              <w:rPr>
                <w:rFonts w:hint="eastAsia"/>
              </w:rPr>
              <w:t>检验结果</w:t>
            </w:r>
          </w:p>
        </w:tc>
      </w:tr>
      <w:tr w14:paraId="340F9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0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4744699">
            <w:pPr>
              <w:pStyle w:val="33"/>
              <w:bidi w:val="0"/>
              <w:rPr>
                <w:rFonts w:hint="eastAsia"/>
              </w:rPr>
            </w:pP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DA731E2">
            <w:pPr>
              <w:pStyle w:val="33"/>
              <w:bidi w:val="0"/>
              <w:rPr>
                <w:rFonts w:hint="eastAsia"/>
              </w:rPr>
            </w:pPr>
          </w:p>
        </w:tc>
        <w:tc>
          <w:tcPr>
            <w:tcW w:w="1422" w:type="dxa"/>
            <w:tcBorders>
              <w:top w:val="single" w:color="auto" w:sz="4" w:space="0"/>
              <w:left w:val="single" w:color="auto" w:sz="4" w:space="0"/>
              <w:bottom w:val="single" w:color="auto" w:sz="4" w:space="0"/>
              <w:right w:val="single" w:color="auto" w:sz="4" w:space="0"/>
              <w:tl2br w:val="nil"/>
              <w:tr2bl w:val="nil"/>
            </w:tcBorders>
            <w:vAlign w:val="center"/>
          </w:tcPr>
          <w:p w14:paraId="24138A56">
            <w:pPr>
              <w:pStyle w:val="33"/>
              <w:bidi w:val="0"/>
              <w:rPr>
                <w:rFonts w:hint="eastAsia"/>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5EA8A2F9">
            <w:pPr>
              <w:pStyle w:val="33"/>
              <w:bidi w:val="0"/>
              <w:rPr>
                <w:rFonts w:hint="eastAsia"/>
              </w:rPr>
            </w:pP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914FAF6">
            <w:pPr>
              <w:pStyle w:val="33"/>
              <w:bidi w:val="0"/>
              <w:rPr>
                <w:rFonts w:hint="eastAsia"/>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1E8FC7D9">
            <w:pPr>
              <w:pStyle w:val="33"/>
              <w:bidi w:val="0"/>
              <w:rPr>
                <w:rFonts w:hint="eastAsia"/>
              </w:rPr>
            </w:pP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34A76DFF">
            <w:pPr>
              <w:pStyle w:val="33"/>
              <w:bidi w:val="0"/>
              <w:rPr>
                <w:rFonts w:hint="eastAsia"/>
              </w:rPr>
            </w:pPr>
          </w:p>
        </w:tc>
        <w:tc>
          <w:tcPr>
            <w:tcW w:w="18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769B47B">
            <w:pPr>
              <w:pStyle w:val="33"/>
              <w:bidi w:val="0"/>
              <w:rPr>
                <w:rFonts w:hint="eastAsia"/>
              </w:rPr>
            </w:pPr>
          </w:p>
        </w:tc>
      </w:tr>
      <w:tr w14:paraId="33AF7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9E5D84A">
            <w:pPr>
              <w:pStyle w:val="33"/>
              <w:bidi w:val="0"/>
              <w:rPr>
                <w:rFonts w:hint="eastAsia"/>
              </w:rPr>
            </w:pP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F895917">
            <w:pPr>
              <w:pStyle w:val="33"/>
              <w:bidi w:val="0"/>
              <w:rPr>
                <w:rFonts w:hint="eastAsia"/>
              </w:rPr>
            </w:pPr>
          </w:p>
        </w:tc>
        <w:tc>
          <w:tcPr>
            <w:tcW w:w="1422" w:type="dxa"/>
            <w:tcBorders>
              <w:top w:val="single" w:color="auto" w:sz="4" w:space="0"/>
              <w:left w:val="single" w:color="auto" w:sz="4" w:space="0"/>
              <w:bottom w:val="single" w:color="auto" w:sz="4" w:space="0"/>
              <w:right w:val="single" w:color="auto" w:sz="4" w:space="0"/>
              <w:tl2br w:val="nil"/>
              <w:tr2bl w:val="nil"/>
            </w:tcBorders>
            <w:vAlign w:val="center"/>
          </w:tcPr>
          <w:p w14:paraId="38105DBA">
            <w:pPr>
              <w:pStyle w:val="33"/>
              <w:bidi w:val="0"/>
              <w:rPr>
                <w:rFonts w:hint="eastAsia"/>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771A5F41">
            <w:pPr>
              <w:pStyle w:val="33"/>
              <w:bidi w:val="0"/>
              <w:rPr>
                <w:rFonts w:hint="eastAsia"/>
              </w:rPr>
            </w:pP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9696EA6">
            <w:pPr>
              <w:pStyle w:val="33"/>
              <w:bidi w:val="0"/>
              <w:rPr>
                <w:rFonts w:hint="eastAsia"/>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7768111E">
            <w:pPr>
              <w:pStyle w:val="33"/>
              <w:bidi w:val="0"/>
              <w:rPr>
                <w:rFonts w:hint="eastAsia"/>
              </w:rPr>
            </w:pP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09AEC680">
            <w:pPr>
              <w:pStyle w:val="33"/>
              <w:bidi w:val="0"/>
              <w:rPr>
                <w:rFonts w:hint="eastAsia"/>
              </w:rPr>
            </w:pPr>
          </w:p>
        </w:tc>
        <w:tc>
          <w:tcPr>
            <w:tcW w:w="18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28250E8">
            <w:pPr>
              <w:pStyle w:val="33"/>
              <w:bidi w:val="0"/>
              <w:rPr>
                <w:rFonts w:hint="eastAsia"/>
              </w:rPr>
            </w:pPr>
          </w:p>
        </w:tc>
      </w:tr>
      <w:tr w14:paraId="0A7AF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0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C3FDD53">
            <w:pPr>
              <w:pStyle w:val="33"/>
              <w:bidi w:val="0"/>
              <w:rPr>
                <w:rFonts w:hint="eastAsia"/>
              </w:rPr>
            </w:pPr>
          </w:p>
        </w:tc>
        <w:tc>
          <w:tcPr>
            <w:tcW w:w="155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132684E">
            <w:pPr>
              <w:pStyle w:val="33"/>
              <w:bidi w:val="0"/>
              <w:rPr>
                <w:rFonts w:hint="eastAsia"/>
              </w:rPr>
            </w:pPr>
          </w:p>
        </w:tc>
        <w:tc>
          <w:tcPr>
            <w:tcW w:w="1422" w:type="dxa"/>
            <w:tcBorders>
              <w:top w:val="single" w:color="auto" w:sz="4" w:space="0"/>
              <w:left w:val="single" w:color="auto" w:sz="4" w:space="0"/>
              <w:bottom w:val="single" w:color="auto" w:sz="4" w:space="0"/>
              <w:right w:val="single" w:color="auto" w:sz="4" w:space="0"/>
              <w:tl2br w:val="nil"/>
              <w:tr2bl w:val="nil"/>
            </w:tcBorders>
            <w:vAlign w:val="center"/>
          </w:tcPr>
          <w:p w14:paraId="6869634B">
            <w:pPr>
              <w:pStyle w:val="33"/>
              <w:bidi w:val="0"/>
              <w:rPr>
                <w:rFonts w:hint="eastAsia"/>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14:paraId="13BB884E">
            <w:pPr>
              <w:pStyle w:val="33"/>
              <w:bidi w:val="0"/>
              <w:rPr>
                <w:rFonts w:hint="eastAsia"/>
              </w:rPr>
            </w:pPr>
          </w:p>
        </w:tc>
        <w:tc>
          <w:tcPr>
            <w:tcW w:w="71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5C6AA05">
            <w:pPr>
              <w:pStyle w:val="33"/>
              <w:bidi w:val="0"/>
              <w:rPr>
                <w:rFonts w:hint="eastAsia"/>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14:paraId="059FD6EA">
            <w:pPr>
              <w:pStyle w:val="33"/>
              <w:bidi w:val="0"/>
              <w:rPr>
                <w:rFonts w:hint="eastAsia"/>
              </w:rPr>
            </w:pPr>
          </w:p>
        </w:tc>
        <w:tc>
          <w:tcPr>
            <w:tcW w:w="1558" w:type="dxa"/>
            <w:tcBorders>
              <w:top w:val="single" w:color="auto" w:sz="4" w:space="0"/>
              <w:left w:val="single" w:color="auto" w:sz="4" w:space="0"/>
              <w:bottom w:val="single" w:color="auto" w:sz="4" w:space="0"/>
              <w:right w:val="single" w:color="auto" w:sz="4" w:space="0"/>
              <w:tl2br w:val="nil"/>
              <w:tr2bl w:val="nil"/>
            </w:tcBorders>
            <w:vAlign w:val="center"/>
          </w:tcPr>
          <w:p w14:paraId="3C533C95">
            <w:pPr>
              <w:pStyle w:val="33"/>
              <w:bidi w:val="0"/>
              <w:rPr>
                <w:rFonts w:hint="eastAsia"/>
              </w:rPr>
            </w:pPr>
          </w:p>
        </w:tc>
        <w:tc>
          <w:tcPr>
            <w:tcW w:w="184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911591C">
            <w:pPr>
              <w:pStyle w:val="33"/>
              <w:bidi w:val="0"/>
              <w:rPr>
                <w:rFonts w:hint="eastAsia"/>
              </w:rPr>
            </w:pPr>
          </w:p>
        </w:tc>
      </w:tr>
      <w:tr w14:paraId="0B895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9639" w:type="dxa"/>
            <w:gridSpan w:val="12"/>
            <w:tcBorders>
              <w:top w:val="single" w:color="auto" w:sz="4" w:space="0"/>
              <w:left w:val="single" w:color="auto" w:sz="4" w:space="0"/>
              <w:bottom w:val="single" w:color="auto" w:sz="4" w:space="0"/>
              <w:right w:val="single" w:color="auto" w:sz="4" w:space="0"/>
              <w:tl2br w:val="nil"/>
              <w:tr2bl w:val="nil"/>
            </w:tcBorders>
          </w:tcPr>
          <w:p w14:paraId="50F2C066">
            <w:pPr>
              <w:pStyle w:val="33"/>
              <w:bidi w:val="0"/>
              <w:rPr>
                <w:rFonts w:hint="eastAsia"/>
              </w:rPr>
            </w:pPr>
            <w:r>
              <w:rPr>
                <w:rFonts w:hint="eastAsia"/>
              </w:rPr>
              <w:t>签收说明：我单位已收到货物，型号无误、数量齐全、加电测试通过，可进行签收。</w:t>
            </w:r>
          </w:p>
        </w:tc>
      </w:tr>
      <w:tr w14:paraId="28CB2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4820" w:type="dxa"/>
            <w:gridSpan w:val="7"/>
            <w:tcBorders>
              <w:top w:val="single" w:color="auto" w:sz="4" w:space="0"/>
              <w:left w:val="single" w:color="auto" w:sz="4" w:space="0"/>
              <w:bottom w:val="single" w:color="auto" w:sz="4" w:space="0"/>
              <w:right w:val="single" w:color="auto" w:sz="4" w:space="0"/>
              <w:tl2br w:val="nil"/>
              <w:tr2bl w:val="nil"/>
            </w:tcBorders>
          </w:tcPr>
          <w:p w14:paraId="44E0679C">
            <w:pPr>
              <w:pStyle w:val="33"/>
              <w:bidi w:val="0"/>
              <w:rPr>
                <w:rFonts w:hint="eastAsia"/>
              </w:rPr>
            </w:pPr>
            <w:r>
              <w:rPr>
                <w:rFonts w:hint="eastAsia"/>
              </w:rPr>
              <w:t>签收人：</w:t>
            </w:r>
          </w:p>
          <w:p w14:paraId="1DB3D474">
            <w:pPr>
              <w:pStyle w:val="33"/>
              <w:bidi w:val="0"/>
              <w:rPr>
                <w:rFonts w:hint="eastAsia"/>
              </w:rPr>
            </w:pPr>
          </w:p>
          <w:p w14:paraId="41AB9043">
            <w:pPr>
              <w:pStyle w:val="33"/>
              <w:bidi w:val="0"/>
              <w:rPr>
                <w:rFonts w:hint="eastAsia"/>
              </w:rPr>
            </w:pPr>
          </w:p>
          <w:p w14:paraId="08EA9AF1">
            <w:pPr>
              <w:pStyle w:val="33"/>
              <w:bidi w:val="0"/>
              <w:rPr>
                <w:rFonts w:hint="eastAsia"/>
              </w:rPr>
            </w:pPr>
          </w:p>
          <w:p w14:paraId="5CAF9CCD">
            <w:pPr>
              <w:pStyle w:val="33"/>
              <w:bidi w:val="0"/>
              <w:rPr>
                <w:rFonts w:hint="eastAsia"/>
              </w:rPr>
            </w:pPr>
            <w:r>
              <w:rPr>
                <w:rFonts w:hint="eastAsia"/>
              </w:rPr>
              <w:t>年  月  日</w:t>
            </w:r>
          </w:p>
        </w:tc>
        <w:tc>
          <w:tcPr>
            <w:tcW w:w="4819" w:type="dxa"/>
            <w:gridSpan w:val="5"/>
            <w:tcBorders>
              <w:top w:val="single" w:color="auto" w:sz="4" w:space="0"/>
              <w:left w:val="single" w:color="auto" w:sz="4" w:space="0"/>
              <w:bottom w:val="single" w:color="auto" w:sz="4" w:space="0"/>
              <w:right w:val="single" w:color="auto" w:sz="4" w:space="0"/>
              <w:tl2br w:val="nil"/>
              <w:tr2bl w:val="nil"/>
            </w:tcBorders>
          </w:tcPr>
          <w:p w14:paraId="1AA5574A">
            <w:pPr>
              <w:pStyle w:val="33"/>
              <w:bidi w:val="0"/>
              <w:rPr>
                <w:rFonts w:hint="eastAsia"/>
              </w:rPr>
            </w:pPr>
            <w:r>
              <w:rPr>
                <w:rFonts w:hint="eastAsia"/>
              </w:rPr>
              <w:t>复核人：</w:t>
            </w:r>
          </w:p>
          <w:p w14:paraId="6C6303FE">
            <w:pPr>
              <w:pStyle w:val="33"/>
              <w:bidi w:val="0"/>
              <w:rPr>
                <w:rFonts w:hint="eastAsia"/>
              </w:rPr>
            </w:pPr>
          </w:p>
          <w:p w14:paraId="1321BB3D">
            <w:pPr>
              <w:pStyle w:val="33"/>
              <w:bidi w:val="0"/>
              <w:rPr>
                <w:rFonts w:hint="eastAsia"/>
              </w:rPr>
            </w:pPr>
          </w:p>
          <w:p w14:paraId="3A9040FB">
            <w:pPr>
              <w:pStyle w:val="33"/>
              <w:bidi w:val="0"/>
              <w:rPr>
                <w:rFonts w:hint="eastAsia"/>
              </w:rPr>
            </w:pPr>
          </w:p>
          <w:p w14:paraId="2400AD6F">
            <w:pPr>
              <w:pStyle w:val="33"/>
              <w:bidi w:val="0"/>
              <w:rPr>
                <w:rFonts w:hint="eastAsia"/>
              </w:rPr>
            </w:pPr>
            <w:r>
              <w:rPr>
                <w:rFonts w:hint="eastAsia"/>
              </w:rPr>
              <w:t xml:space="preserve">                      年  月  日</w:t>
            </w:r>
          </w:p>
        </w:tc>
      </w:tr>
    </w:tbl>
    <w:p w14:paraId="507C170A">
      <w:pPr>
        <w:tabs>
          <w:tab w:val="left" w:pos="2505"/>
        </w:tabs>
        <w:spacing w:line="360" w:lineRule="auto"/>
        <w:rPr>
          <w:rFonts w:hint="eastAsia" w:ascii="宋体"/>
          <w:sz w:val="24"/>
        </w:rPr>
      </w:pPr>
    </w:p>
    <w:p w14:paraId="3FB71264">
      <w:pPr>
        <w:spacing w:line="360" w:lineRule="auto"/>
        <w:rPr>
          <w:rFonts w:hint="eastAsia" w:ascii="宋体"/>
          <w:sz w:val="24"/>
        </w:rPr>
      </w:pPr>
      <w:r>
        <w:rPr>
          <w:rFonts w:hint="eastAsia" w:ascii="宋体"/>
          <w:sz w:val="24"/>
        </w:rPr>
        <w:br w:type="page"/>
      </w:r>
      <w:r>
        <w:rPr>
          <w:rFonts w:hint="eastAsia" w:ascii="宋体"/>
          <w:b/>
          <w:color w:val="000000"/>
          <w:sz w:val="24"/>
        </w:rPr>
        <w:t>附件2  最终验收表</w:t>
      </w:r>
    </w:p>
    <w:tbl>
      <w:tblPr>
        <w:tblStyle w:val="14"/>
        <w:tblW w:w="9639"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6"/>
        <w:gridCol w:w="710"/>
        <w:gridCol w:w="1701"/>
        <w:gridCol w:w="1134"/>
        <w:gridCol w:w="629"/>
        <w:gridCol w:w="505"/>
        <w:gridCol w:w="851"/>
        <w:gridCol w:w="1795"/>
        <w:gridCol w:w="1037"/>
        <w:gridCol w:w="711"/>
      </w:tblGrid>
      <w:tr w14:paraId="27FD3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66" w:type="dxa"/>
          <w:wAfter w:w="711" w:type="dxa"/>
          <w:trHeight w:val="300" w:hRule="atLeast"/>
        </w:trPr>
        <w:tc>
          <w:tcPr>
            <w:tcW w:w="8362" w:type="dxa"/>
            <w:gridSpan w:val="8"/>
            <w:tcBorders>
              <w:top w:val="nil"/>
              <w:left w:val="nil"/>
              <w:bottom w:val="nil"/>
              <w:right w:val="nil"/>
              <w:tl2br w:val="nil"/>
              <w:tr2bl w:val="nil"/>
            </w:tcBorders>
            <w:vAlign w:val="center"/>
          </w:tcPr>
          <w:p w14:paraId="52499542">
            <w:pPr>
              <w:widowControl/>
              <w:jc w:val="center"/>
              <w:rPr>
                <w:rFonts w:hint="eastAsia" w:ascii="方正小标宋_GBK" w:eastAsia="方正小标宋_GBK" w:cs="宋体"/>
                <w:color w:val="000000"/>
                <w:kern w:val="0"/>
                <w:sz w:val="44"/>
                <w:szCs w:val="44"/>
              </w:rPr>
            </w:pPr>
            <w:r>
              <w:rPr>
                <w:rFonts w:hint="eastAsia" w:ascii="方正小标宋_GBK" w:eastAsia="方正小标宋_GBK" w:cs="宋体"/>
                <w:color w:val="000000"/>
                <w:kern w:val="0"/>
                <w:sz w:val="44"/>
                <w:szCs w:val="44"/>
              </w:rPr>
              <w:t>最终验收表</w:t>
            </w:r>
          </w:p>
        </w:tc>
      </w:tr>
      <w:tr w14:paraId="1F1C7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7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991150D">
            <w:pPr>
              <w:pStyle w:val="33"/>
              <w:bidi w:val="0"/>
              <w:rPr>
                <w:rFonts w:hint="eastAsia"/>
              </w:rPr>
            </w:pPr>
            <w:r>
              <w:rPr>
                <w:rFonts w:hint="eastAsia"/>
              </w:rPr>
              <w:t>项目名称</w:t>
            </w:r>
          </w:p>
        </w:tc>
        <w:tc>
          <w:tcPr>
            <w:tcW w:w="4820"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16E97013">
            <w:pPr>
              <w:pStyle w:val="33"/>
              <w:bidi w:val="0"/>
              <w:rPr>
                <w:rFonts w:hint="eastAsia"/>
              </w:rPr>
            </w:pPr>
          </w:p>
        </w:tc>
        <w:tc>
          <w:tcPr>
            <w:tcW w:w="1795" w:type="dxa"/>
            <w:tcBorders>
              <w:top w:val="single" w:color="auto" w:sz="4" w:space="0"/>
              <w:left w:val="single" w:color="auto" w:sz="4" w:space="0"/>
              <w:bottom w:val="single" w:color="auto" w:sz="4" w:space="0"/>
              <w:right w:val="single" w:color="auto" w:sz="4" w:space="0"/>
              <w:tl2br w:val="nil"/>
              <w:tr2bl w:val="nil"/>
            </w:tcBorders>
            <w:vAlign w:val="center"/>
          </w:tcPr>
          <w:p w14:paraId="729B6CD6">
            <w:pPr>
              <w:pStyle w:val="33"/>
              <w:bidi w:val="0"/>
              <w:rPr>
                <w:rFonts w:hint="eastAsia"/>
              </w:rPr>
            </w:pPr>
            <w:r>
              <w:rPr>
                <w:rFonts w:hint="eastAsia"/>
              </w:rPr>
              <w:t>验收时间</w:t>
            </w:r>
          </w:p>
        </w:tc>
        <w:tc>
          <w:tcPr>
            <w:tcW w:w="174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0B21341">
            <w:pPr>
              <w:pStyle w:val="33"/>
              <w:bidi w:val="0"/>
              <w:rPr>
                <w:rFonts w:hint="eastAsia"/>
              </w:rPr>
            </w:pPr>
          </w:p>
        </w:tc>
      </w:tr>
      <w:tr w14:paraId="58B27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7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7F73ABE">
            <w:pPr>
              <w:pStyle w:val="33"/>
              <w:bidi w:val="0"/>
              <w:rPr>
                <w:rFonts w:hint="eastAsia"/>
              </w:rPr>
            </w:pPr>
            <w:r>
              <w:rPr>
                <w:rFonts w:hint="eastAsia"/>
              </w:rPr>
              <w:t>验收地点</w:t>
            </w:r>
          </w:p>
        </w:tc>
        <w:tc>
          <w:tcPr>
            <w:tcW w:w="283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64B1826">
            <w:pPr>
              <w:pStyle w:val="33"/>
              <w:bidi w:val="0"/>
              <w:rPr>
                <w:rFonts w:hint="eastAsia"/>
              </w:rPr>
            </w:pPr>
          </w:p>
        </w:tc>
        <w:tc>
          <w:tcPr>
            <w:tcW w:w="198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31C2C9BD">
            <w:pPr>
              <w:pStyle w:val="33"/>
              <w:bidi w:val="0"/>
              <w:rPr>
                <w:rFonts w:hint="eastAsia"/>
              </w:rPr>
            </w:pPr>
            <w:r>
              <w:rPr>
                <w:rFonts w:hint="eastAsia"/>
              </w:rPr>
              <w:t>项目经理</w:t>
            </w:r>
          </w:p>
        </w:tc>
        <w:tc>
          <w:tcPr>
            <w:tcW w:w="35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28D60E14">
            <w:pPr>
              <w:pStyle w:val="33"/>
              <w:bidi w:val="0"/>
              <w:rPr>
                <w:rFonts w:hint="eastAsia"/>
              </w:rPr>
            </w:pPr>
          </w:p>
        </w:tc>
      </w:tr>
      <w:tr w14:paraId="0118A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76"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728B92DB">
            <w:pPr>
              <w:pStyle w:val="33"/>
              <w:bidi w:val="0"/>
              <w:rPr>
                <w:rFonts w:hint="eastAsia"/>
              </w:rPr>
            </w:pPr>
            <w:r>
              <w:rPr>
                <w:rFonts w:hint="eastAsia"/>
              </w:rPr>
              <w:t>硬件设备运行情况</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14:paraId="56276C48">
            <w:pPr>
              <w:pStyle w:val="33"/>
              <w:bidi w:val="0"/>
              <w:rPr>
                <w:rFonts w:hint="eastAsia"/>
              </w:rPr>
            </w:pPr>
            <w:r>
              <w:rPr>
                <w:rFonts w:hint="eastAsia"/>
              </w:rPr>
              <w:t>设备名称</w:t>
            </w:r>
          </w:p>
        </w:tc>
        <w:tc>
          <w:tcPr>
            <w:tcW w:w="2268"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31D16B27">
            <w:pPr>
              <w:pStyle w:val="33"/>
              <w:bidi w:val="0"/>
              <w:rPr>
                <w:rFonts w:hint="eastAsia"/>
              </w:rPr>
            </w:pPr>
            <w:r>
              <w:rPr>
                <w:rFonts w:hint="eastAsia"/>
              </w:rPr>
              <w:t>序列号</w:t>
            </w: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5AAE3EC2">
            <w:pPr>
              <w:pStyle w:val="33"/>
              <w:bidi w:val="0"/>
              <w:rPr>
                <w:rFonts w:hint="eastAsia"/>
              </w:rPr>
            </w:pPr>
            <w:r>
              <w:rPr>
                <w:rFonts w:hint="eastAsia"/>
              </w:rPr>
              <w:t>数量</w:t>
            </w:r>
          </w:p>
        </w:tc>
        <w:tc>
          <w:tcPr>
            <w:tcW w:w="1795" w:type="dxa"/>
            <w:tcBorders>
              <w:top w:val="single" w:color="auto" w:sz="4" w:space="0"/>
              <w:left w:val="single" w:color="auto" w:sz="4" w:space="0"/>
              <w:bottom w:val="single" w:color="auto" w:sz="4" w:space="0"/>
              <w:right w:val="single" w:color="auto" w:sz="4" w:space="0"/>
              <w:tl2br w:val="nil"/>
              <w:tr2bl w:val="nil"/>
            </w:tcBorders>
            <w:vAlign w:val="center"/>
          </w:tcPr>
          <w:p w14:paraId="5FAE6B0F">
            <w:pPr>
              <w:pStyle w:val="33"/>
              <w:bidi w:val="0"/>
            </w:pPr>
            <w:r>
              <w:t>设备原</w:t>
            </w:r>
            <w:r>
              <w:rPr>
                <w:rFonts w:hint="eastAsia"/>
              </w:rPr>
              <w:t>厂商</w:t>
            </w:r>
          </w:p>
          <w:p w14:paraId="74C31A5A">
            <w:pPr>
              <w:pStyle w:val="33"/>
              <w:bidi w:val="0"/>
              <w:rPr>
                <w:rFonts w:hint="eastAsia"/>
              </w:rPr>
            </w:pPr>
            <w:r>
              <w:rPr>
                <w:rFonts w:hint="eastAsia"/>
              </w:rPr>
              <w:t>服务起止时间</w:t>
            </w:r>
          </w:p>
        </w:tc>
        <w:tc>
          <w:tcPr>
            <w:tcW w:w="174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0C745B8">
            <w:pPr>
              <w:pStyle w:val="33"/>
              <w:bidi w:val="0"/>
              <w:rPr>
                <w:rFonts w:hint="eastAsia"/>
              </w:rPr>
            </w:pPr>
            <w:r>
              <w:rPr>
                <w:rFonts w:hint="eastAsia"/>
              </w:rPr>
              <w:t>运行情况</w:t>
            </w:r>
          </w:p>
        </w:tc>
      </w:tr>
      <w:tr w14:paraId="78472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7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62568536">
            <w:pPr>
              <w:pStyle w:val="33"/>
              <w:bidi w:val="0"/>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14:paraId="43498F91">
            <w:pPr>
              <w:pStyle w:val="33"/>
              <w:bidi w:val="0"/>
              <w:rPr>
                <w:rFonts w:hint="eastAsia"/>
              </w:rPr>
            </w:pPr>
          </w:p>
        </w:tc>
        <w:tc>
          <w:tcPr>
            <w:tcW w:w="2268"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45BCF8EF">
            <w:pPr>
              <w:pStyle w:val="33"/>
              <w:bidi w:val="0"/>
              <w:rPr>
                <w:rFonts w:hint="eastAsia"/>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33E1DDD5">
            <w:pPr>
              <w:pStyle w:val="33"/>
              <w:bidi w:val="0"/>
              <w:rPr>
                <w:rFonts w:hint="eastAsia"/>
              </w:rPr>
            </w:pPr>
          </w:p>
        </w:tc>
        <w:tc>
          <w:tcPr>
            <w:tcW w:w="1795" w:type="dxa"/>
            <w:tcBorders>
              <w:top w:val="single" w:color="auto" w:sz="4" w:space="0"/>
              <w:left w:val="single" w:color="auto" w:sz="4" w:space="0"/>
              <w:bottom w:val="single" w:color="auto" w:sz="4" w:space="0"/>
              <w:right w:val="single" w:color="auto" w:sz="4" w:space="0"/>
              <w:tl2br w:val="nil"/>
              <w:tr2bl w:val="nil"/>
            </w:tcBorders>
            <w:vAlign w:val="center"/>
          </w:tcPr>
          <w:p w14:paraId="78230F29">
            <w:pPr>
              <w:pStyle w:val="33"/>
              <w:bidi w:val="0"/>
              <w:rPr>
                <w:rFonts w:hint="eastAsia"/>
              </w:rPr>
            </w:pPr>
          </w:p>
        </w:tc>
        <w:tc>
          <w:tcPr>
            <w:tcW w:w="174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32308EE">
            <w:pPr>
              <w:pStyle w:val="33"/>
              <w:bidi w:val="0"/>
              <w:rPr>
                <w:rFonts w:hint="eastAsia"/>
              </w:rPr>
            </w:pPr>
          </w:p>
        </w:tc>
      </w:tr>
      <w:tr w14:paraId="7CCC7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7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460FD362">
            <w:pPr>
              <w:pStyle w:val="33"/>
              <w:bidi w:val="0"/>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14:paraId="7C35087C">
            <w:pPr>
              <w:pStyle w:val="33"/>
              <w:bidi w:val="0"/>
              <w:rPr>
                <w:rFonts w:hint="eastAsia"/>
              </w:rPr>
            </w:pPr>
          </w:p>
        </w:tc>
        <w:tc>
          <w:tcPr>
            <w:tcW w:w="2268"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AC2CFB1">
            <w:pPr>
              <w:pStyle w:val="33"/>
              <w:bidi w:val="0"/>
              <w:rPr>
                <w:rFonts w:hint="eastAsia"/>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522A69FA">
            <w:pPr>
              <w:pStyle w:val="33"/>
              <w:bidi w:val="0"/>
              <w:rPr>
                <w:rFonts w:hint="eastAsia"/>
              </w:rPr>
            </w:pPr>
          </w:p>
        </w:tc>
        <w:tc>
          <w:tcPr>
            <w:tcW w:w="1795" w:type="dxa"/>
            <w:tcBorders>
              <w:top w:val="single" w:color="auto" w:sz="4" w:space="0"/>
              <w:left w:val="single" w:color="auto" w:sz="4" w:space="0"/>
              <w:bottom w:val="single" w:color="auto" w:sz="4" w:space="0"/>
              <w:right w:val="single" w:color="auto" w:sz="4" w:space="0"/>
              <w:tl2br w:val="nil"/>
              <w:tr2bl w:val="nil"/>
            </w:tcBorders>
            <w:vAlign w:val="center"/>
          </w:tcPr>
          <w:p w14:paraId="736BBB0A">
            <w:pPr>
              <w:pStyle w:val="33"/>
              <w:bidi w:val="0"/>
              <w:rPr>
                <w:rFonts w:hint="eastAsia"/>
              </w:rPr>
            </w:pPr>
          </w:p>
        </w:tc>
        <w:tc>
          <w:tcPr>
            <w:tcW w:w="174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554ACE4">
            <w:pPr>
              <w:pStyle w:val="33"/>
              <w:bidi w:val="0"/>
              <w:rPr>
                <w:rFonts w:hint="eastAsia"/>
              </w:rPr>
            </w:pPr>
          </w:p>
        </w:tc>
      </w:tr>
      <w:tr w14:paraId="1204D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7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9C4DA57">
            <w:pPr>
              <w:pStyle w:val="33"/>
              <w:bidi w:val="0"/>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14:paraId="103791F3">
            <w:pPr>
              <w:pStyle w:val="33"/>
              <w:bidi w:val="0"/>
              <w:rPr>
                <w:rFonts w:hint="eastAsia"/>
              </w:rPr>
            </w:pPr>
          </w:p>
        </w:tc>
        <w:tc>
          <w:tcPr>
            <w:tcW w:w="2268"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E5CE992">
            <w:pPr>
              <w:pStyle w:val="33"/>
              <w:bidi w:val="0"/>
              <w:rPr>
                <w:rFonts w:hint="eastAsia"/>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300B721C">
            <w:pPr>
              <w:pStyle w:val="33"/>
              <w:bidi w:val="0"/>
              <w:rPr>
                <w:rFonts w:hint="eastAsia"/>
              </w:rPr>
            </w:pPr>
          </w:p>
        </w:tc>
        <w:tc>
          <w:tcPr>
            <w:tcW w:w="1795" w:type="dxa"/>
            <w:tcBorders>
              <w:top w:val="single" w:color="auto" w:sz="4" w:space="0"/>
              <w:left w:val="single" w:color="auto" w:sz="4" w:space="0"/>
              <w:bottom w:val="single" w:color="auto" w:sz="4" w:space="0"/>
              <w:right w:val="single" w:color="auto" w:sz="4" w:space="0"/>
              <w:tl2br w:val="nil"/>
              <w:tr2bl w:val="nil"/>
            </w:tcBorders>
            <w:vAlign w:val="center"/>
          </w:tcPr>
          <w:p w14:paraId="08E79543">
            <w:pPr>
              <w:pStyle w:val="33"/>
              <w:bidi w:val="0"/>
              <w:rPr>
                <w:rFonts w:hint="eastAsia"/>
              </w:rPr>
            </w:pPr>
          </w:p>
        </w:tc>
        <w:tc>
          <w:tcPr>
            <w:tcW w:w="174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2C663B6">
            <w:pPr>
              <w:pStyle w:val="33"/>
              <w:bidi w:val="0"/>
              <w:rPr>
                <w:rFonts w:hint="eastAsia"/>
              </w:rPr>
            </w:pPr>
          </w:p>
        </w:tc>
      </w:tr>
      <w:tr w14:paraId="3E552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096" w:type="dxa"/>
            <w:gridSpan w:val="7"/>
            <w:tcBorders>
              <w:top w:val="single" w:color="auto" w:sz="4" w:space="0"/>
              <w:left w:val="single" w:color="auto" w:sz="4" w:space="0"/>
              <w:bottom w:val="single" w:color="auto" w:sz="4" w:space="0"/>
              <w:right w:val="single" w:color="auto" w:sz="4" w:space="0"/>
              <w:tl2br w:val="nil"/>
              <w:tr2bl w:val="nil"/>
            </w:tcBorders>
            <w:vAlign w:val="center"/>
          </w:tcPr>
          <w:p w14:paraId="50BAB607">
            <w:pPr>
              <w:pStyle w:val="33"/>
              <w:bidi w:val="0"/>
            </w:pPr>
            <w:r>
              <w:t>设备原</w:t>
            </w:r>
            <w:r>
              <w:rPr>
                <w:rFonts w:hint="eastAsia"/>
              </w:rPr>
              <w:t>厂商维保服务承诺函是否满足要求</w:t>
            </w:r>
          </w:p>
        </w:tc>
        <w:tc>
          <w:tcPr>
            <w:tcW w:w="35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B97CBC3">
            <w:pPr>
              <w:pStyle w:val="33"/>
              <w:bidi w:val="0"/>
            </w:pPr>
            <w:r>
              <w:rPr>
                <w:rFonts w:hint="eastAsia"/>
              </w:rPr>
              <w:t>是□              否□</w:t>
            </w:r>
          </w:p>
        </w:tc>
      </w:tr>
      <w:tr w14:paraId="0F887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7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E829D56">
            <w:pPr>
              <w:pStyle w:val="33"/>
              <w:bidi w:val="0"/>
              <w:rPr>
                <w:rFonts w:hint="eastAsia"/>
              </w:rPr>
            </w:pPr>
            <w:r>
              <w:rPr>
                <w:rFonts w:hint="eastAsia"/>
              </w:rPr>
              <w:t>最终验收评审结论</w:t>
            </w:r>
          </w:p>
        </w:tc>
        <w:tc>
          <w:tcPr>
            <w:tcW w:w="8363" w:type="dxa"/>
            <w:gridSpan w:val="8"/>
            <w:tcBorders>
              <w:top w:val="single" w:color="auto" w:sz="4" w:space="0"/>
              <w:left w:val="single" w:color="auto" w:sz="4" w:space="0"/>
              <w:bottom w:val="single" w:color="auto" w:sz="4" w:space="0"/>
              <w:right w:val="single" w:color="auto" w:sz="4" w:space="0"/>
              <w:tl2br w:val="nil"/>
              <w:tr2bl w:val="nil"/>
            </w:tcBorders>
          </w:tcPr>
          <w:p w14:paraId="1A492846">
            <w:pPr>
              <w:pStyle w:val="33"/>
              <w:bidi w:val="0"/>
              <w:rPr>
                <w:rFonts w:hint="eastAsia"/>
              </w:rPr>
            </w:pPr>
            <w:r>
              <w:rPr>
                <w:rFonts w:hint="eastAsia"/>
              </w:rPr>
              <w:t>（可另附验收情况报告）</w:t>
            </w:r>
          </w:p>
        </w:tc>
      </w:tr>
      <w:tr w14:paraId="67B94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40" w:type="dxa"/>
            <w:gridSpan w:val="5"/>
            <w:tcBorders>
              <w:top w:val="single" w:color="auto" w:sz="4" w:space="0"/>
              <w:left w:val="single" w:color="auto" w:sz="4" w:space="0"/>
              <w:bottom w:val="single" w:color="auto" w:sz="4" w:space="0"/>
              <w:right w:val="single" w:color="auto" w:sz="4" w:space="0"/>
              <w:tl2br w:val="nil"/>
              <w:tr2bl w:val="nil"/>
            </w:tcBorders>
          </w:tcPr>
          <w:p w14:paraId="4CD247C4">
            <w:pPr>
              <w:pStyle w:val="33"/>
              <w:bidi w:val="0"/>
              <w:rPr>
                <w:rFonts w:hint="eastAsia"/>
              </w:rPr>
            </w:pPr>
            <w:r>
              <w:rPr>
                <w:rFonts w:hint="eastAsia"/>
              </w:rPr>
              <w:t>参验人员：</w:t>
            </w:r>
          </w:p>
          <w:p w14:paraId="52A5313D">
            <w:pPr>
              <w:pStyle w:val="33"/>
              <w:bidi w:val="0"/>
              <w:rPr>
                <w:rFonts w:hint="eastAsia"/>
              </w:rPr>
            </w:pPr>
          </w:p>
          <w:p w14:paraId="2570137B">
            <w:pPr>
              <w:pStyle w:val="33"/>
              <w:bidi w:val="0"/>
              <w:rPr>
                <w:rFonts w:hint="eastAsia"/>
              </w:rPr>
            </w:pPr>
          </w:p>
          <w:p w14:paraId="628461C6">
            <w:pPr>
              <w:pStyle w:val="33"/>
              <w:bidi w:val="0"/>
              <w:rPr>
                <w:rFonts w:hint="eastAsia"/>
              </w:rPr>
            </w:pPr>
          </w:p>
          <w:p w14:paraId="6DE0A1BF">
            <w:pPr>
              <w:pStyle w:val="33"/>
              <w:bidi w:val="0"/>
              <w:rPr>
                <w:rFonts w:hint="eastAsia"/>
              </w:rPr>
            </w:pPr>
            <w:r>
              <w:rPr>
                <w:rFonts w:hint="eastAsia"/>
              </w:rPr>
              <w:t>年  月  日</w:t>
            </w:r>
          </w:p>
        </w:tc>
        <w:tc>
          <w:tcPr>
            <w:tcW w:w="4899" w:type="dxa"/>
            <w:gridSpan w:val="5"/>
            <w:tcBorders>
              <w:top w:val="single" w:color="auto" w:sz="4" w:space="0"/>
              <w:left w:val="single" w:color="auto" w:sz="4" w:space="0"/>
              <w:bottom w:val="single" w:color="auto" w:sz="4" w:space="0"/>
              <w:right w:val="single" w:color="auto" w:sz="4" w:space="0"/>
              <w:tl2br w:val="nil"/>
              <w:tr2bl w:val="nil"/>
            </w:tcBorders>
          </w:tcPr>
          <w:p w14:paraId="146F30EF">
            <w:pPr>
              <w:pStyle w:val="33"/>
              <w:bidi w:val="0"/>
              <w:rPr>
                <w:rFonts w:hint="eastAsia"/>
              </w:rPr>
            </w:pPr>
            <w:r>
              <w:rPr>
                <w:rFonts w:hint="eastAsia"/>
              </w:rPr>
              <w:t>部门负责人：</w:t>
            </w:r>
          </w:p>
          <w:p w14:paraId="5D412D5D">
            <w:pPr>
              <w:pStyle w:val="33"/>
              <w:bidi w:val="0"/>
              <w:rPr>
                <w:rFonts w:hint="eastAsia"/>
              </w:rPr>
            </w:pPr>
          </w:p>
          <w:p w14:paraId="11EA04B3">
            <w:pPr>
              <w:pStyle w:val="33"/>
              <w:bidi w:val="0"/>
              <w:rPr>
                <w:rFonts w:hint="eastAsia"/>
              </w:rPr>
            </w:pPr>
          </w:p>
          <w:p w14:paraId="33852669">
            <w:pPr>
              <w:pStyle w:val="33"/>
              <w:bidi w:val="0"/>
              <w:rPr>
                <w:rFonts w:hint="eastAsia"/>
              </w:rPr>
            </w:pPr>
          </w:p>
          <w:p w14:paraId="141A4113">
            <w:pPr>
              <w:pStyle w:val="33"/>
              <w:bidi w:val="0"/>
              <w:rPr>
                <w:rFonts w:hint="eastAsia"/>
              </w:rPr>
            </w:pPr>
            <w:r>
              <w:rPr>
                <w:rFonts w:hint="eastAsia"/>
              </w:rPr>
              <w:t xml:space="preserve">                      年  月  日</w:t>
            </w:r>
          </w:p>
        </w:tc>
      </w:tr>
    </w:tbl>
    <w:p w14:paraId="3B9B54F7">
      <w:pPr>
        <w:ind w:left="0" w:firstLine="0" w:firstLineChars="0"/>
        <w:rPr>
          <w:rFonts w:hint="eastAsia" w:ascii="宋体"/>
          <w:b/>
          <w:color w:val="000000"/>
          <w:sz w:val="24"/>
        </w:rPr>
      </w:pPr>
      <w:r>
        <w:rPr>
          <w:rFonts w:hint="eastAsia" w:ascii="宋体"/>
          <w:b/>
          <w:color w:val="000000"/>
          <w:sz w:val="24"/>
        </w:rPr>
        <w:br w:type="page"/>
      </w:r>
      <w:r>
        <w:rPr>
          <w:rFonts w:hint="eastAsia" w:ascii="宋体"/>
          <w:b/>
          <w:color w:val="000000"/>
          <w:sz w:val="24"/>
        </w:rPr>
        <w:t>附件3：</w:t>
      </w:r>
    </w:p>
    <w:p w14:paraId="051A5ECE">
      <w:pPr>
        <w:spacing w:line="360" w:lineRule="auto"/>
        <w:jc w:val="center"/>
        <w:rPr>
          <w:rFonts w:ascii="宋体"/>
          <w:b/>
          <w:color w:val="000000"/>
          <w:sz w:val="24"/>
        </w:rPr>
      </w:pPr>
      <w:r>
        <w:rPr>
          <w:rFonts w:hint="eastAsia" w:ascii="宋体"/>
          <w:b/>
          <w:color w:val="000000"/>
          <w:sz w:val="24"/>
        </w:rPr>
        <w:t>维护服务内容</w:t>
      </w:r>
    </w:p>
    <w:p w14:paraId="2AFB5931">
      <w:pPr>
        <w:bidi w:val="0"/>
        <w:rPr>
          <w:rFonts w:hint="eastAsia"/>
        </w:rPr>
      </w:pPr>
      <w:r>
        <w:rPr>
          <w:rFonts w:hint="eastAsia"/>
        </w:rPr>
        <w:t>1.遵守《中华人民共和国产品质量法》和《消费者权益保护法》的相关规定，</w:t>
      </w:r>
      <w:r>
        <w:t>设备原</w:t>
      </w:r>
      <w:r>
        <w:rPr>
          <w:rFonts w:hint="eastAsia"/>
        </w:rPr>
        <w:t>厂商应提供服务标准可高于以上规定，但不得降低；</w:t>
      </w:r>
    </w:p>
    <w:p w14:paraId="04568D8B">
      <w:pPr>
        <w:bidi w:val="0"/>
        <w:rPr>
          <w:rFonts w:hint="eastAsia"/>
        </w:rPr>
      </w:pPr>
      <w:r>
        <w:rPr>
          <w:rFonts w:hint="eastAsia"/>
        </w:rPr>
        <w:t>2.为甲方提供维保前咨询服务，设备到货后提供设备原厂商安装服务，按照甲方要求进行服务器基础配置并提供安装服务报告。在项目实施过程中提供必要的技术培训直至甲方能熟练使用产品；</w:t>
      </w:r>
    </w:p>
    <w:p w14:paraId="6E98F515">
      <w:pPr>
        <w:bidi w:val="0"/>
        <w:rPr>
          <w:rFonts w:hint="eastAsia"/>
        </w:rPr>
      </w:pPr>
      <w:r>
        <w:rPr>
          <w:rFonts w:hint="eastAsia"/>
        </w:rPr>
        <w:t>3.本采购项目设备包含5年</w:t>
      </w:r>
      <w:r>
        <w:t>设备原</w:t>
      </w:r>
      <w:r>
        <w:rPr>
          <w:rFonts w:hint="eastAsia"/>
        </w:rPr>
        <w:t>厂商7*24*4（4小时内人员到现场，包括硬盘不返还）级别维保服务，维保期为从该次采购设备到货加电测试通过签收完成之日起5年；</w:t>
      </w:r>
    </w:p>
    <w:p w14:paraId="4C5A1934">
      <w:pPr>
        <w:bidi w:val="0"/>
        <w:rPr>
          <w:rFonts w:hint="eastAsia"/>
        </w:rPr>
      </w:pPr>
      <w:r>
        <w:rPr>
          <w:rFonts w:hint="eastAsia"/>
        </w:rPr>
        <w:t>4.设备5年设备原厂商维保服务结束后，</w:t>
      </w:r>
      <w:r>
        <w:t>若</w:t>
      </w:r>
      <w:r>
        <w:rPr>
          <w:rFonts w:hint="eastAsia"/>
        </w:rPr>
        <w:t>续保设备原厂商7*24*4（4小时内人员到现场，包括硬盘不返还）级别服务，单台设备每年维保费为本合同中产品金额的X%；</w:t>
      </w:r>
    </w:p>
    <w:p w14:paraId="5982F1A5">
      <w:pPr>
        <w:bidi w:val="0"/>
        <w:rPr>
          <w:rFonts w:hint="eastAsia"/>
        </w:rPr>
      </w:pPr>
      <w:r>
        <w:t>5</w:t>
      </w:r>
      <w:r>
        <w:rPr>
          <w:rFonts w:hint="eastAsia"/>
        </w:rPr>
        <w:t>.维保服务质量保证期以设备原厂商的有效期承诺为准，但不得低于上述第3点要求。</w:t>
      </w:r>
    </w:p>
    <w:p w14:paraId="2E9B20DB">
      <w:pPr>
        <w:bidi w:val="0"/>
        <w:rPr>
          <w:rFonts w:hint="eastAsia"/>
        </w:rPr>
      </w:pPr>
    </w:p>
    <w:p w14:paraId="0EBF77B9">
      <w:pPr>
        <w:bidi w:val="0"/>
        <w:rPr>
          <w:rFonts w:hint="eastAsia"/>
        </w:rPr>
      </w:pPr>
    </w:p>
    <w:p w14:paraId="374391D4">
      <w:pPr>
        <w:bidi w:val="0"/>
        <w:rPr>
          <w:rFonts w:hint="eastAsia"/>
        </w:rPr>
      </w:pPr>
    </w:p>
    <w:p w14:paraId="4EA819C8">
      <w:pPr>
        <w:bidi w:val="0"/>
        <w:rPr>
          <w:rFonts w:hint="eastAsia"/>
        </w:rPr>
      </w:pPr>
    </w:p>
    <w:p w14:paraId="25AB0A89">
      <w:pPr>
        <w:bidi w:val="0"/>
        <w:rPr>
          <w:rFonts w:hint="eastAsia"/>
        </w:rPr>
      </w:pPr>
    </w:p>
    <w:p w14:paraId="4C3CAC5C">
      <w:pPr>
        <w:bidi w:val="0"/>
      </w:pPr>
      <w:r>
        <w:br w:type="page"/>
      </w:r>
    </w:p>
    <w:p w14:paraId="3A3BAC96">
      <w:pPr>
        <w:spacing w:line="360" w:lineRule="auto"/>
        <w:rPr>
          <w:rFonts w:hint="eastAsia" w:ascii="宋体"/>
          <w:b/>
          <w:color w:val="000000"/>
          <w:sz w:val="24"/>
        </w:rPr>
      </w:pPr>
      <w:r>
        <w:rPr>
          <w:rFonts w:hint="eastAsia" w:ascii="宋体"/>
          <w:b/>
          <w:color w:val="000000"/>
          <w:sz w:val="24"/>
        </w:rPr>
        <w:t>附件4：</w:t>
      </w:r>
    </w:p>
    <w:p w14:paraId="1C7C8870">
      <w:pPr>
        <w:spacing w:line="360" w:lineRule="auto"/>
        <w:jc w:val="center"/>
        <w:rPr>
          <w:rFonts w:hint="eastAsia"/>
          <w:b/>
          <w:color w:val="000000"/>
          <w:sz w:val="24"/>
        </w:rPr>
      </w:pPr>
      <w:r>
        <w:rPr>
          <w:rFonts w:hint="eastAsia"/>
          <w:b/>
          <w:color w:val="000000"/>
          <w:sz w:val="24"/>
        </w:rPr>
        <w:t>服务连续性预案</w:t>
      </w:r>
    </w:p>
    <w:p w14:paraId="503D5F02">
      <w:pPr>
        <w:jc w:val="center"/>
        <w:rPr>
          <w:rFonts w:hint="eastAsia" w:ascii="方正小标宋_GBK" w:eastAsia="方正小标宋_GBK"/>
          <w:color w:val="FF0000"/>
          <w:sz w:val="24"/>
        </w:rPr>
      </w:pPr>
      <w:r>
        <w:rPr>
          <w:rFonts w:hint="eastAsia" w:ascii="方正小标宋_GBK" w:eastAsia="方正小标宋_GBK"/>
          <w:color w:val="FF0000"/>
          <w:sz w:val="24"/>
        </w:rPr>
        <w:t>（</w:t>
      </w:r>
      <w:r>
        <w:rPr>
          <w:rFonts w:hint="eastAsia" w:ascii="Times New Roman" w:hAnsi="Times New Roman"/>
        </w:rPr>
        <w:t>应</w:t>
      </w:r>
      <w:r>
        <w:rPr>
          <w:rFonts w:ascii="Times New Roman" w:hAnsi="Times New Roman"/>
        </w:rPr>
        <w:t>体现设备原厂商售后服务保障措施及</w:t>
      </w:r>
      <w:r>
        <w:rPr>
          <w:rFonts w:hint="eastAsia" w:ascii="Times New Roman" w:hAnsi="Times New Roman"/>
        </w:rPr>
        <w:t>考虑供应链风险产生的影响</w:t>
      </w:r>
      <w:r>
        <w:rPr>
          <w:rFonts w:ascii="Times New Roman" w:hAnsi="Times New Roman"/>
        </w:rPr>
        <w:t>和保障措施</w:t>
      </w:r>
      <w:r>
        <w:rPr>
          <w:rFonts w:hint="eastAsia" w:ascii="方正小标宋_GBK" w:eastAsia="方正小标宋_GBK"/>
          <w:color w:val="FF0000"/>
          <w:sz w:val="24"/>
        </w:rPr>
        <w:t>）</w:t>
      </w:r>
    </w:p>
    <w:p w14:paraId="49A71BA2">
      <w:pPr>
        <w:spacing w:line="360" w:lineRule="auto"/>
        <w:jc w:val="center"/>
        <w:rPr>
          <w:rFonts w:hint="eastAsia" w:ascii="宋体"/>
          <w:b/>
          <w:color w:val="000000"/>
          <w:sz w:val="24"/>
        </w:rPr>
      </w:pPr>
    </w:p>
    <w:p w14:paraId="5057DFCD">
      <w:pPr>
        <w:ind w:firstLine="0" w:firstLineChars="0"/>
        <w:jc w:val="center"/>
        <w:rPr>
          <w:rFonts w:ascii="Times New Roman" w:hAnsi="Times New Roman"/>
        </w:rPr>
      </w:pPr>
    </w:p>
    <w:p w14:paraId="2B3559F3">
      <w:pPr>
        <w:rPr>
          <w:rFonts w:ascii="Times New Roman" w:hAnsi="Times New Roman"/>
        </w:rPr>
      </w:pPr>
      <w:r>
        <w:rPr>
          <w:rFonts w:hint="eastAsia" w:ascii="Times New Roman" w:hAnsi="Times New Roman"/>
        </w:rPr>
        <w:br w:type="page"/>
      </w:r>
    </w:p>
    <w:p w14:paraId="6EAF9DAC">
      <w:pPr>
        <w:pStyle w:val="2"/>
        <w:rPr>
          <w:rFonts w:ascii="Times New Roman" w:hAnsi="Times New Roman"/>
        </w:rPr>
      </w:pPr>
      <w:bookmarkStart w:id="73" w:name="_Toc16449"/>
      <w:r>
        <w:rPr>
          <w:rFonts w:hint="eastAsia" w:ascii="Times New Roman" w:hAnsi="Times New Roman"/>
        </w:rPr>
        <w:t>第六章 参选文件</w:t>
      </w:r>
      <w:bookmarkEnd w:id="70"/>
      <w:bookmarkEnd w:id="71"/>
      <w:bookmarkStart w:id="74" w:name="_Toc303066035"/>
      <w:r>
        <w:rPr>
          <w:rFonts w:hint="eastAsia" w:ascii="Times New Roman" w:hAnsi="Times New Roman"/>
        </w:rPr>
        <w:t>格式</w:t>
      </w:r>
      <w:bookmarkEnd w:id="73"/>
    </w:p>
    <w:bookmarkEnd w:id="74"/>
    <w:p w14:paraId="2C772151">
      <w:pPr>
        <w:tabs>
          <w:tab w:val="left" w:pos="6516"/>
        </w:tabs>
        <w:adjustRightInd w:val="0"/>
        <w:snapToGrid w:val="0"/>
        <w:spacing w:line="360" w:lineRule="auto"/>
        <w:ind w:firstLine="0" w:firstLineChars="0"/>
        <w:jc w:val="center"/>
        <w:rPr>
          <w:rFonts w:ascii="Times New Roman" w:hAnsi="Times New Roman"/>
          <w:b/>
          <w:kern w:val="0"/>
          <w:u w:val="single"/>
        </w:rPr>
      </w:pPr>
    </w:p>
    <w:p w14:paraId="7829F36B">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重庆三峡银行</w:t>
      </w:r>
    </w:p>
    <w:p w14:paraId="0F6EE167">
      <w:pPr>
        <w:adjustRightInd/>
        <w:snapToGrid/>
        <w:spacing w:line="360" w:lineRule="auto"/>
        <w:ind w:firstLine="0" w:firstLineChars="0"/>
        <w:jc w:val="center"/>
        <w:rPr>
          <w:rFonts w:hint="eastAsia" w:ascii="Times New Roman" w:hAnsi="Times New Roman" w:cs="Times New Roman"/>
          <w:b/>
          <w:snapToGrid w:val="0"/>
          <w:kern w:val="0"/>
          <w:sz w:val="48"/>
          <w:szCs w:val="84"/>
          <w:u w:val="none"/>
        </w:rPr>
      </w:pPr>
      <w:r>
        <w:rPr>
          <w:rFonts w:hint="eastAsia" w:ascii="Times New Roman" w:hAnsi="Times New Roman" w:cs="Times New Roman"/>
          <w:b/>
          <w:snapToGrid w:val="0"/>
          <w:kern w:val="0"/>
          <w:sz w:val="48"/>
          <w:szCs w:val="84"/>
          <w:u w:val="none"/>
        </w:rPr>
        <w:t>2024年信创服务器采购项目</w:t>
      </w:r>
    </w:p>
    <w:p w14:paraId="1D4CFA11">
      <w:pPr>
        <w:adjustRightInd/>
        <w:snapToGrid/>
        <w:spacing w:line="360" w:lineRule="auto"/>
        <w:ind w:firstLine="0" w:firstLineChars="0"/>
        <w:jc w:val="center"/>
        <w:rPr>
          <w:rFonts w:hint="eastAsia" w:ascii="Times New Roman" w:hAnsi="Times New Roman" w:cs="Times New Roman"/>
          <w:b/>
          <w:snapToGrid w:val="0"/>
          <w:kern w:val="0"/>
          <w:sz w:val="48"/>
          <w:szCs w:val="84"/>
          <w:u w:val="none"/>
        </w:rPr>
      </w:pPr>
      <w:r>
        <w:rPr>
          <w:rFonts w:hint="eastAsia" w:ascii="Times New Roman" w:hAnsi="Times New Roman" w:cs="Times New Roman"/>
          <w:b/>
          <w:snapToGrid w:val="0"/>
          <w:kern w:val="0"/>
          <w:sz w:val="48"/>
          <w:szCs w:val="84"/>
          <w:u w:val="none"/>
          <w:lang w:eastAsia="zh-CN"/>
        </w:rPr>
        <w:t>（</w:t>
      </w:r>
      <w:r>
        <w:rPr>
          <w:rFonts w:hint="eastAsia" w:ascii="Times New Roman" w:hAnsi="Times New Roman" w:cs="Times New Roman"/>
          <w:b/>
          <w:snapToGrid w:val="0"/>
          <w:kern w:val="0"/>
          <w:sz w:val="48"/>
          <w:szCs w:val="84"/>
          <w:u w:val="none"/>
        </w:rPr>
        <w:t>标段</w:t>
      </w:r>
      <w:r>
        <w:rPr>
          <w:rFonts w:hint="eastAsia" w:ascii="Times New Roman" w:hAnsi="Times New Roman" w:cs="Times New Roman"/>
          <w:b/>
          <w:snapToGrid w:val="0"/>
          <w:kern w:val="0"/>
          <w:sz w:val="48"/>
          <w:szCs w:val="84"/>
          <w:u w:val="none"/>
          <w:lang w:val="en-US" w:eastAsia="zh-CN"/>
        </w:rPr>
        <w:t>1/标段2/标段3/标段4</w:t>
      </w:r>
      <w:r>
        <w:rPr>
          <w:rFonts w:hint="eastAsia" w:ascii="Times New Roman" w:hAnsi="Times New Roman" w:cs="Times New Roman"/>
          <w:b/>
          <w:snapToGrid w:val="0"/>
          <w:kern w:val="0"/>
          <w:sz w:val="48"/>
          <w:szCs w:val="84"/>
          <w:u w:val="none"/>
          <w:lang w:eastAsia="zh-CN"/>
        </w:rPr>
        <w:t>）</w:t>
      </w:r>
    </w:p>
    <w:p w14:paraId="0252DD1F">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rPr>
      </w:pPr>
    </w:p>
    <w:p w14:paraId="0612712C">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rPr>
      </w:pPr>
    </w:p>
    <w:p w14:paraId="27EAC07E">
      <w:pPr>
        <w:tabs>
          <w:tab w:val="left" w:pos="3600"/>
          <w:tab w:val="left" w:pos="4480"/>
          <w:tab w:val="left" w:pos="5360"/>
        </w:tabs>
        <w:adjustRightInd w:val="0"/>
        <w:snapToGrid w:val="0"/>
        <w:spacing w:line="360" w:lineRule="auto"/>
        <w:ind w:firstLine="0" w:firstLineChars="0"/>
        <w:jc w:val="center"/>
        <w:rPr>
          <w:rFonts w:ascii="Times New Roman" w:hAnsi="Times New Roman"/>
          <w:b/>
          <w:kern w:val="0"/>
          <w:sz w:val="84"/>
        </w:rPr>
      </w:pPr>
      <w:r>
        <w:rPr>
          <w:rFonts w:hint="eastAsia" w:ascii="Times New Roman" w:hAnsi="Times New Roman"/>
          <w:b/>
          <w:kern w:val="0"/>
          <w:sz w:val="84"/>
        </w:rPr>
        <w:t>参  选  文  件</w:t>
      </w:r>
    </w:p>
    <w:p w14:paraId="64A24199">
      <w:pPr>
        <w:adjustRightInd w:val="0"/>
        <w:snapToGrid w:val="0"/>
        <w:spacing w:line="360" w:lineRule="auto"/>
        <w:ind w:firstLine="0" w:firstLineChars="0"/>
        <w:jc w:val="center"/>
        <w:rPr>
          <w:rFonts w:ascii="Times New Roman" w:hAnsi="Times New Roman"/>
          <w:kern w:val="0"/>
          <w:sz w:val="16"/>
        </w:rPr>
      </w:pPr>
    </w:p>
    <w:p w14:paraId="44B8BCA9">
      <w:pPr>
        <w:adjustRightInd w:val="0"/>
        <w:snapToGrid w:val="0"/>
        <w:spacing w:line="360" w:lineRule="auto"/>
        <w:ind w:firstLine="0" w:firstLineChars="0"/>
        <w:jc w:val="center"/>
        <w:rPr>
          <w:rFonts w:ascii="Times New Roman" w:hAnsi="Times New Roman"/>
          <w:b/>
          <w:kern w:val="0"/>
          <w:sz w:val="20"/>
        </w:rPr>
      </w:pPr>
    </w:p>
    <w:p w14:paraId="156EF3E0">
      <w:pPr>
        <w:adjustRightInd w:val="0"/>
        <w:snapToGrid w:val="0"/>
        <w:spacing w:line="360" w:lineRule="auto"/>
        <w:ind w:firstLine="0" w:firstLineChars="0"/>
        <w:jc w:val="center"/>
        <w:rPr>
          <w:rFonts w:ascii="Times New Roman" w:hAnsi="Times New Roman"/>
          <w:b/>
          <w:kern w:val="0"/>
          <w:sz w:val="20"/>
        </w:rPr>
      </w:pPr>
    </w:p>
    <w:p w14:paraId="23AAB2F0">
      <w:pPr>
        <w:adjustRightInd w:val="0"/>
        <w:snapToGrid w:val="0"/>
        <w:spacing w:line="360" w:lineRule="auto"/>
        <w:ind w:firstLine="0" w:firstLineChars="0"/>
        <w:jc w:val="center"/>
        <w:rPr>
          <w:rFonts w:ascii="Times New Roman" w:hAnsi="Times New Roman"/>
          <w:b/>
          <w:kern w:val="0"/>
          <w:sz w:val="20"/>
        </w:rPr>
      </w:pPr>
    </w:p>
    <w:p w14:paraId="6473A683">
      <w:pPr>
        <w:adjustRightInd w:val="0"/>
        <w:snapToGrid w:val="0"/>
        <w:spacing w:line="360" w:lineRule="auto"/>
        <w:ind w:firstLine="0" w:firstLineChars="0"/>
        <w:jc w:val="center"/>
        <w:rPr>
          <w:rFonts w:ascii="Times New Roman" w:hAnsi="Times New Roman"/>
          <w:b/>
          <w:kern w:val="0"/>
          <w:sz w:val="20"/>
        </w:rPr>
      </w:pPr>
    </w:p>
    <w:p w14:paraId="514FE426">
      <w:pPr>
        <w:adjustRightInd w:val="0"/>
        <w:snapToGrid w:val="0"/>
        <w:spacing w:line="360" w:lineRule="auto"/>
        <w:ind w:firstLine="0" w:firstLineChars="0"/>
        <w:jc w:val="center"/>
        <w:rPr>
          <w:rFonts w:ascii="Times New Roman" w:hAnsi="Times New Roman"/>
          <w:b/>
          <w:kern w:val="0"/>
          <w:sz w:val="20"/>
        </w:rPr>
      </w:pPr>
    </w:p>
    <w:p w14:paraId="508B0D6D">
      <w:pPr>
        <w:adjustRightInd w:val="0"/>
        <w:snapToGrid w:val="0"/>
        <w:spacing w:line="360" w:lineRule="auto"/>
        <w:ind w:firstLine="0" w:firstLineChars="0"/>
        <w:jc w:val="center"/>
        <w:rPr>
          <w:rFonts w:ascii="Times New Roman" w:hAnsi="Times New Roman"/>
          <w:b/>
          <w:kern w:val="0"/>
          <w:sz w:val="20"/>
        </w:rPr>
      </w:pPr>
    </w:p>
    <w:p w14:paraId="11207104">
      <w:pPr>
        <w:adjustRightInd w:val="0"/>
        <w:snapToGrid w:val="0"/>
        <w:spacing w:line="360" w:lineRule="auto"/>
        <w:ind w:firstLine="0" w:firstLineChars="0"/>
        <w:jc w:val="center"/>
        <w:rPr>
          <w:rFonts w:ascii="Times New Roman" w:hAnsi="Times New Roman"/>
          <w:b/>
          <w:kern w:val="0"/>
          <w:sz w:val="20"/>
        </w:rPr>
      </w:pPr>
    </w:p>
    <w:p w14:paraId="15EFD193">
      <w:pPr>
        <w:adjustRightInd w:val="0"/>
        <w:snapToGrid w:val="0"/>
        <w:spacing w:line="360" w:lineRule="auto"/>
        <w:ind w:firstLine="0" w:firstLineChars="0"/>
        <w:jc w:val="center"/>
        <w:rPr>
          <w:rFonts w:ascii="Times New Roman" w:hAnsi="Times New Roman"/>
          <w:b/>
          <w:kern w:val="0"/>
          <w:sz w:val="20"/>
        </w:rPr>
      </w:pPr>
    </w:p>
    <w:p w14:paraId="38B7BD84">
      <w:pPr>
        <w:adjustRightInd w:val="0"/>
        <w:snapToGrid w:val="0"/>
        <w:spacing w:line="360" w:lineRule="auto"/>
        <w:ind w:firstLine="0" w:firstLineChars="0"/>
        <w:jc w:val="center"/>
        <w:rPr>
          <w:rFonts w:ascii="Times New Roman" w:hAnsi="Times New Roman"/>
          <w:b/>
          <w:kern w:val="0"/>
          <w:sz w:val="20"/>
        </w:rPr>
      </w:pPr>
    </w:p>
    <w:p w14:paraId="32F7480E">
      <w:pPr>
        <w:spacing w:line="360" w:lineRule="auto"/>
        <w:ind w:firstLine="0" w:firstLineChars="0"/>
        <w:jc w:val="center"/>
        <w:rPr>
          <w:rFonts w:ascii="Times New Roman" w:hAnsi="Times New Roman"/>
        </w:rPr>
      </w:pPr>
      <w:r>
        <w:rPr>
          <w:rFonts w:hint="eastAsia" w:ascii="Times New Roman" w:hAnsi="Times New Roman"/>
        </w:rPr>
        <w:t>参选人：</w:t>
      </w:r>
      <w:r>
        <w:rPr>
          <w:rFonts w:hint="eastAsia" w:ascii="Times New Roman" w:hAnsi="Times New Roman"/>
          <w:u w:val="single"/>
        </w:rPr>
        <w:t xml:space="preserve">                </w:t>
      </w:r>
      <w:r>
        <w:rPr>
          <w:rFonts w:hint="eastAsia" w:ascii="Times New Roman" w:hAnsi="Times New Roman"/>
        </w:rPr>
        <w:t>（盖单位公章）</w:t>
      </w:r>
    </w:p>
    <w:p w14:paraId="4BBBB747">
      <w:pPr>
        <w:spacing w:line="360" w:lineRule="auto"/>
        <w:ind w:firstLine="0" w:firstLineChars="0"/>
        <w:jc w:val="center"/>
        <w:rPr>
          <w:rFonts w:ascii="Times New Roman" w:hAnsi="Times New Roman"/>
        </w:rPr>
      </w:pPr>
      <w:r>
        <w:rPr>
          <w:rFonts w:hint="eastAsia" w:ascii="Times New Roman" w:hAnsi="Times New Roman"/>
          <w:snapToGrid w:val="0"/>
          <w:kern w:val="0"/>
        </w:rPr>
        <w:t>法定代表人</w:t>
      </w:r>
      <w:r>
        <w:rPr>
          <w:rFonts w:hint="eastAsia" w:ascii="Times New Roman" w:hAnsi="Times New Roman"/>
        </w:rPr>
        <w:t>其委托代理人：</w:t>
      </w:r>
      <w:r>
        <w:rPr>
          <w:rFonts w:hint="eastAsia" w:ascii="Times New Roman" w:hAnsi="Times New Roman"/>
          <w:u w:val="single"/>
        </w:rPr>
        <w:t xml:space="preserve">              </w:t>
      </w:r>
      <w:r>
        <w:rPr>
          <w:rFonts w:hint="eastAsia" w:ascii="Times New Roman" w:hAnsi="Times New Roman"/>
        </w:rPr>
        <w:t>（签字）</w:t>
      </w:r>
    </w:p>
    <w:p w14:paraId="1EC15BE6">
      <w:pPr>
        <w:spacing w:line="360" w:lineRule="auto"/>
        <w:ind w:firstLine="0" w:firstLineChars="0"/>
        <w:jc w:val="center"/>
        <w:rPr>
          <w:rFonts w:ascii="Times New Roman" w:hAnsi="Times New Roman"/>
        </w:rPr>
      </w:pPr>
      <w:r>
        <w:rPr>
          <w:rFonts w:hint="eastAsia" w:ascii="Times New Roman" w:hAnsi="Times New Roman"/>
        </w:rPr>
        <w:t>年     月     日</w:t>
      </w:r>
    </w:p>
    <w:p w14:paraId="59916394">
      <w:pPr>
        <w:tabs>
          <w:tab w:val="left" w:pos="3280"/>
          <w:tab w:val="left" w:pos="4680"/>
          <w:tab w:val="left" w:pos="6080"/>
        </w:tabs>
        <w:adjustRightInd w:val="0"/>
        <w:snapToGrid w:val="0"/>
        <w:spacing w:line="360" w:lineRule="auto"/>
        <w:ind w:firstLine="0" w:firstLineChars="0"/>
        <w:jc w:val="center"/>
        <w:rPr>
          <w:rFonts w:ascii="Times New Roman" w:hAnsi="Times New Roman"/>
          <w:b/>
          <w:kern w:val="0"/>
        </w:rPr>
      </w:pPr>
    </w:p>
    <w:p w14:paraId="5DD8C921">
      <w:pPr>
        <w:tabs>
          <w:tab w:val="left" w:pos="6300"/>
        </w:tabs>
        <w:snapToGrid w:val="0"/>
        <w:spacing w:line="360" w:lineRule="auto"/>
        <w:ind w:firstLine="0" w:firstLineChars="0"/>
        <w:jc w:val="center"/>
        <w:rPr>
          <w:rFonts w:ascii="Times New Roman" w:hAnsi="Times New Roman"/>
          <w:snapToGrid w:val="0"/>
          <w:kern w:val="0"/>
          <w:szCs w:val="28"/>
        </w:rPr>
      </w:pPr>
    </w:p>
    <w:p w14:paraId="7EC2420E">
      <w:pPr>
        <w:tabs>
          <w:tab w:val="left" w:pos="6300"/>
        </w:tabs>
        <w:snapToGrid w:val="0"/>
        <w:spacing w:line="360" w:lineRule="auto"/>
        <w:ind w:firstLine="0" w:firstLineChars="0"/>
        <w:jc w:val="center"/>
        <w:rPr>
          <w:rFonts w:ascii="Times New Roman" w:hAnsi="Times New Roman"/>
          <w:snapToGrid w:val="0"/>
          <w:kern w:val="0"/>
          <w:szCs w:val="28"/>
        </w:rPr>
      </w:pPr>
    </w:p>
    <w:p w14:paraId="40ADDFA9">
      <w:pPr>
        <w:tabs>
          <w:tab w:val="left" w:pos="6300"/>
        </w:tabs>
        <w:snapToGrid w:val="0"/>
        <w:spacing w:line="360" w:lineRule="auto"/>
        <w:ind w:firstLine="0" w:firstLineChars="0"/>
        <w:jc w:val="center"/>
        <w:rPr>
          <w:rFonts w:ascii="Times New Roman" w:hAnsi="Times New Roman"/>
          <w:snapToGrid w:val="0"/>
          <w:kern w:val="0"/>
          <w:szCs w:val="28"/>
        </w:rPr>
        <w:sectPr>
          <w:pgSz w:w="11906" w:h="16838"/>
          <w:pgMar w:top="1440" w:right="1800" w:bottom="1440" w:left="1800" w:header="851" w:footer="992" w:gutter="0"/>
          <w:pgNumType w:fmt="decimal"/>
          <w:cols w:space="720" w:num="1"/>
          <w:docGrid w:type="lines" w:linePitch="312" w:charSpace="0"/>
        </w:sectPr>
      </w:pPr>
    </w:p>
    <w:p w14:paraId="7B976ABF">
      <w:pPr>
        <w:tabs>
          <w:tab w:val="left" w:pos="6300"/>
        </w:tabs>
        <w:snapToGrid w:val="0"/>
        <w:spacing w:line="360" w:lineRule="auto"/>
        <w:ind w:firstLine="0" w:firstLineChars="0"/>
        <w:jc w:val="center"/>
        <w:outlineLvl w:val="1"/>
        <w:rPr>
          <w:rFonts w:ascii="Times New Roman" w:hAnsi="Times New Roman"/>
          <w:b/>
          <w:snapToGrid w:val="0"/>
          <w:kern w:val="0"/>
          <w:sz w:val="36"/>
          <w:szCs w:val="28"/>
        </w:rPr>
      </w:pPr>
      <w:r>
        <w:rPr>
          <w:rFonts w:hint="eastAsia" w:ascii="Times New Roman" w:hAnsi="Times New Roman"/>
          <w:b/>
          <w:snapToGrid w:val="0"/>
          <w:kern w:val="0"/>
          <w:sz w:val="36"/>
          <w:szCs w:val="28"/>
        </w:rPr>
        <w:t>目  录</w:t>
      </w:r>
    </w:p>
    <w:p w14:paraId="738FB3AE">
      <w:pPr>
        <w:spacing w:line="240" w:lineRule="auto"/>
        <w:ind w:firstLine="0" w:firstLineChars="0"/>
        <w:jc w:val="left"/>
        <w:outlineLvl w:val="9"/>
        <w:rPr>
          <w:rFonts w:hint="eastAsia"/>
        </w:rPr>
      </w:pPr>
      <w:r>
        <w:rPr>
          <w:rFonts w:hint="eastAsia"/>
        </w:rPr>
        <w:t>一、参选函</w:t>
      </w:r>
    </w:p>
    <w:p w14:paraId="29CA3EB6">
      <w:pPr>
        <w:spacing w:line="240" w:lineRule="auto"/>
        <w:ind w:firstLine="0" w:firstLineChars="0"/>
        <w:jc w:val="left"/>
        <w:outlineLvl w:val="9"/>
        <w:rPr>
          <w:rFonts w:hint="eastAsia"/>
        </w:rPr>
      </w:pPr>
      <w:r>
        <w:rPr>
          <w:rFonts w:hint="eastAsia"/>
        </w:rPr>
        <w:t>二、报价一览表</w:t>
      </w:r>
    </w:p>
    <w:p w14:paraId="4B0C9AA4">
      <w:pPr>
        <w:spacing w:line="240" w:lineRule="auto"/>
        <w:ind w:firstLine="0" w:firstLineChars="0"/>
        <w:jc w:val="left"/>
        <w:outlineLvl w:val="9"/>
        <w:rPr>
          <w:rFonts w:hint="eastAsia"/>
        </w:rPr>
      </w:pPr>
      <w:r>
        <w:rPr>
          <w:rFonts w:hint="eastAsia"/>
        </w:rPr>
        <w:t>三、分项报价明细表</w:t>
      </w:r>
    </w:p>
    <w:p w14:paraId="2AF0BF8B">
      <w:pPr>
        <w:spacing w:line="240" w:lineRule="auto"/>
        <w:ind w:firstLine="0" w:firstLineChars="0"/>
        <w:jc w:val="left"/>
        <w:outlineLvl w:val="9"/>
        <w:rPr>
          <w:rFonts w:hint="eastAsia"/>
        </w:rPr>
      </w:pPr>
      <w:r>
        <w:rPr>
          <w:rFonts w:hint="eastAsia"/>
        </w:rPr>
        <w:t>四、资格性文件</w:t>
      </w:r>
    </w:p>
    <w:p w14:paraId="21D1C3FE">
      <w:pPr>
        <w:spacing w:line="240" w:lineRule="auto"/>
        <w:ind w:firstLine="0" w:firstLineChars="0"/>
        <w:jc w:val="left"/>
        <w:outlineLvl w:val="9"/>
        <w:rPr>
          <w:rFonts w:hint="eastAsia"/>
        </w:rPr>
      </w:pPr>
      <w:r>
        <w:rPr>
          <w:rFonts w:hint="eastAsia"/>
        </w:rPr>
        <w:t>（一）参选人基本情况介绍，资质证明等</w:t>
      </w:r>
    </w:p>
    <w:p w14:paraId="6A371C10">
      <w:pPr>
        <w:spacing w:line="240" w:lineRule="auto"/>
        <w:ind w:firstLine="0" w:firstLineChars="0"/>
        <w:jc w:val="left"/>
        <w:outlineLvl w:val="9"/>
        <w:rPr>
          <w:rFonts w:hint="eastAsia"/>
        </w:rPr>
      </w:pPr>
      <w:r>
        <w:rPr>
          <w:rFonts w:hint="eastAsia"/>
        </w:rPr>
        <w:t>（二）法定代表人身份证明及授权委托书</w:t>
      </w:r>
    </w:p>
    <w:p w14:paraId="0F715F48">
      <w:pPr>
        <w:spacing w:line="240" w:lineRule="auto"/>
        <w:ind w:firstLine="0" w:firstLineChars="0"/>
        <w:jc w:val="left"/>
        <w:outlineLvl w:val="9"/>
        <w:rPr>
          <w:rFonts w:hint="eastAsia"/>
        </w:rPr>
      </w:pPr>
      <w:r>
        <w:rPr>
          <w:rFonts w:hint="eastAsia"/>
        </w:rPr>
        <w:t>（三）书面声明</w:t>
      </w:r>
    </w:p>
    <w:p w14:paraId="49DB2495">
      <w:pPr>
        <w:spacing w:line="240" w:lineRule="auto"/>
        <w:ind w:firstLine="0" w:firstLineChars="0"/>
        <w:jc w:val="left"/>
        <w:outlineLvl w:val="9"/>
        <w:rPr>
          <w:rFonts w:hint="eastAsia"/>
        </w:rPr>
      </w:pPr>
      <w:r>
        <w:rPr>
          <w:rFonts w:hint="eastAsia"/>
        </w:rPr>
        <w:t>（四）中国执行信息公开网截图</w:t>
      </w:r>
    </w:p>
    <w:p w14:paraId="16743186">
      <w:pPr>
        <w:spacing w:line="240" w:lineRule="auto"/>
        <w:ind w:firstLine="0" w:firstLineChars="0"/>
        <w:jc w:val="left"/>
        <w:outlineLvl w:val="9"/>
        <w:rPr>
          <w:rFonts w:hint="eastAsia"/>
        </w:rPr>
      </w:pPr>
      <w:r>
        <w:rPr>
          <w:rFonts w:hint="eastAsia"/>
        </w:rPr>
        <w:t>（五）参选品牌在重庆具备分公司或办事处证明材料</w:t>
      </w:r>
    </w:p>
    <w:p w14:paraId="790C6A63">
      <w:pPr>
        <w:spacing w:line="240" w:lineRule="auto"/>
        <w:ind w:firstLine="0" w:firstLineChars="0"/>
        <w:jc w:val="left"/>
        <w:outlineLvl w:val="9"/>
        <w:rPr>
          <w:rFonts w:hint="eastAsia"/>
        </w:rPr>
      </w:pPr>
      <w:r>
        <w:rPr>
          <w:rFonts w:hint="eastAsia"/>
        </w:rPr>
        <w:t>（六）参选品牌在重庆具有备件库的证明材料</w:t>
      </w:r>
    </w:p>
    <w:p w14:paraId="6E877C99">
      <w:pPr>
        <w:spacing w:line="240" w:lineRule="auto"/>
        <w:ind w:firstLine="0" w:firstLineChars="0"/>
        <w:jc w:val="left"/>
        <w:outlineLvl w:val="9"/>
        <w:rPr>
          <w:rFonts w:hint="eastAsia"/>
        </w:rPr>
      </w:pPr>
      <w:r>
        <w:rPr>
          <w:rFonts w:hint="eastAsia"/>
        </w:rPr>
        <w:t>（七）注册资本相关证明材料（如有）</w:t>
      </w:r>
    </w:p>
    <w:p w14:paraId="4CF57A79">
      <w:pPr>
        <w:spacing w:line="240" w:lineRule="auto"/>
        <w:ind w:firstLine="0" w:firstLineChars="0"/>
        <w:jc w:val="left"/>
        <w:outlineLvl w:val="9"/>
        <w:rPr>
          <w:rFonts w:hint="eastAsia"/>
        </w:rPr>
      </w:pPr>
      <w:r>
        <w:rPr>
          <w:rFonts w:hint="eastAsia"/>
        </w:rPr>
        <w:t>（八）2024年8月1日至今任意月份的员工社保缴纳总人数及社保缴纳材料证明</w:t>
      </w:r>
    </w:p>
    <w:p w14:paraId="774155B5">
      <w:pPr>
        <w:spacing w:line="240" w:lineRule="auto"/>
        <w:ind w:firstLine="0" w:firstLineChars="0"/>
        <w:jc w:val="left"/>
        <w:outlineLvl w:val="9"/>
        <w:rPr>
          <w:rFonts w:hint="eastAsia"/>
        </w:rPr>
      </w:pPr>
      <w:r>
        <w:rPr>
          <w:rFonts w:hint="eastAsia"/>
        </w:rPr>
        <w:t>（九）参选人案例证明材料</w:t>
      </w:r>
    </w:p>
    <w:p w14:paraId="3F85AFFB">
      <w:pPr>
        <w:spacing w:line="240" w:lineRule="auto"/>
        <w:ind w:firstLine="0" w:firstLineChars="0"/>
        <w:jc w:val="left"/>
        <w:outlineLvl w:val="9"/>
        <w:rPr>
          <w:rFonts w:hint="eastAsia"/>
        </w:rPr>
      </w:pPr>
      <w:r>
        <w:rPr>
          <w:rFonts w:hint="eastAsia"/>
        </w:rPr>
        <w:t>（十）参选品牌案例证明材料</w:t>
      </w:r>
    </w:p>
    <w:p w14:paraId="26EE161B">
      <w:pPr>
        <w:spacing w:line="240" w:lineRule="auto"/>
        <w:ind w:firstLine="0" w:firstLineChars="0"/>
        <w:jc w:val="left"/>
        <w:outlineLvl w:val="9"/>
        <w:rPr>
          <w:rFonts w:hint="eastAsia"/>
        </w:rPr>
      </w:pPr>
      <w:r>
        <w:rPr>
          <w:rFonts w:hint="eastAsia"/>
        </w:rPr>
        <w:t>（十一）服务器设备原厂商维保服务承诺函原件</w:t>
      </w:r>
    </w:p>
    <w:p w14:paraId="5573722C">
      <w:pPr>
        <w:spacing w:line="240" w:lineRule="auto"/>
        <w:ind w:firstLine="0" w:firstLineChars="0"/>
        <w:jc w:val="left"/>
        <w:outlineLvl w:val="9"/>
        <w:rPr>
          <w:rFonts w:hint="eastAsia"/>
        </w:rPr>
      </w:pPr>
      <w:r>
        <w:rPr>
          <w:rFonts w:hint="eastAsia"/>
        </w:rPr>
        <w:t>（十二）服务器设备原厂商参选授权函原件</w:t>
      </w:r>
    </w:p>
    <w:p w14:paraId="0216D7A5">
      <w:pPr>
        <w:spacing w:line="240" w:lineRule="auto"/>
        <w:ind w:firstLine="0" w:firstLineChars="0"/>
        <w:jc w:val="left"/>
        <w:outlineLvl w:val="9"/>
        <w:rPr>
          <w:rFonts w:hint="eastAsia"/>
        </w:rPr>
      </w:pPr>
      <w:r>
        <w:rPr>
          <w:rFonts w:hint="eastAsia"/>
        </w:rPr>
        <w:t>（十三）服务器设备原厂商供应保障函原件</w:t>
      </w:r>
    </w:p>
    <w:p w14:paraId="709393AE">
      <w:pPr>
        <w:spacing w:line="240" w:lineRule="auto"/>
        <w:ind w:firstLine="0" w:firstLineChars="0"/>
        <w:jc w:val="left"/>
        <w:outlineLvl w:val="9"/>
        <w:rPr>
          <w:rFonts w:hint="eastAsia"/>
        </w:rPr>
      </w:pPr>
      <w:r>
        <w:rPr>
          <w:rFonts w:hint="eastAsia"/>
        </w:rPr>
        <w:t>（十四）服务器CPU原厂商供应保障函原件</w:t>
      </w:r>
    </w:p>
    <w:p w14:paraId="6E53972E">
      <w:pPr>
        <w:spacing w:line="240" w:lineRule="auto"/>
        <w:ind w:firstLine="0" w:firstLineChars="0"/>
        <w:jc w:val="left"/>
        <w:outlineLvl w:val="9"/>
        <w:rPr>
          <w:rFonts w:hint="eastAsia"/>
        </w:rPr>
      </w:pPr>
      <w:r>
        <w:rPr>
          <w:rFonts w:hint="eastAsia"/>
        </w:rPr>
        <w:t>（十五）其他（如有）</w:t>
      </w:r>
    </w:p>
    <w:p w14:paraId="19C3B445">
      <w:pPr>
        <w:spacing w:line="240" w:lineRule="auto"/>
        <w:ind w:firstLine="0" w:firstLineChars="0"/>
        <w:jc w:val="left"/>
        <w:outlineLvl w:val="9"/>
        <w:rPr>
          <w:rFonts w:hint="eastAsia"/>
        </w:rPr>
      </w:pPr>
      <w:r>
        <w:rPr>
          <w:rFonts w:hint="eastAsia"/>
        </w:rPr>
        <w:t>五、响应性文件</w:t>
      </w:r>
    </w:p>
    <w:p w14:paraId="1A23713B">
      <w:pPr>
        <w:spacing w:line="240" w:lineRule="auto"/>
        <w:ind w:firstLine="0" w:firstLineChars="0"/>
        <w:jc w:val="left"/>
        <w:outlineLvl w:val="9"/>
        <w:rPr>
          <w:rFonts w:hint="eastAsia"/>
        </w:rPr>
      </w:pPr>
      <w:r>
        <w:rPr>
          <w:rFonts w:hint="eastAsia"/>
        </w:rPr>
        <w:t>（一）响应承诺函</w:t>
      </w:r>
    </w:p>
    <w:p w14:paraId="0CAFCDAB">
      <w:pPr>
        <w:spacing w:line="240" w:lineRule="auto"/>
        <w:ind w:firstLine="0" w:firstLineChars="0"/>
        <w:jc w:val="left"/>
        <w:outlineLvl w:val="9"/>
        <w:rPr>
          <w:rFonts w:hint="eastAsia"/>
        </w:rPr>
      </w:pPr>
      <w:r>
        <w:rPr>
          <w:rFonts w:hint="eastAsia"/>
        </w:rPr>
        <w:t>（二）技术条款偏离表</w:t>
      </w:r>
    </w:p>
    <w:p w14:paraId="67408142">
      <w:pPr>
        <w:spacing w:line="240" w:lineRule="auto"/>
        <w:ind w:firstLine="0" w:firstLineChars="0"/>
        <w:jc w:val="left"/>
        <w:outlineLvl w:val="9"/>
        <w:rPr>
          <w:rFonts w:hint="eastAsia"/>
        </w:rPr>
      </w:pPr>
      <w:r>
        <w:rPr>
          <w:rFonts w:hint="eastAsia"/>
        </w:rPr>
        <w:t>（三）参选保证金</w:t>
      </w:r>
    </w:p>
    <w:p w14:paraId="786415A2">
      <w:pPr>
        <w:spacing w:line="240" w:lineRule="auto"/>
        <w:ind w:firstLine="0" w:firstLineChars="0"/>
        <w:jc w:val="left"/>
        <w:outlineLvl w:val="9"/>
        <w:rPr>
          <w:rFonts w:hint="eastAsia"/>
        </w:rPr>
      </w:pPr>
      <w:r>
        <w:rPr>
          <w:rFonts w:hint="eastAsia"/>
        </w:rPr>
        <w:t>（四）参选产品硬盘的DWPD和性能指标证明材料、阵列卡的性能指标证明材料</w:t>
      </w:r>
    </w:p>
    <w:p w14:paraId="417E9658">
      <w:pPr>
        <w:spacing w:line="240" w:lineRule="auto"/>
        <w:ind w:firstLine="0" w:firstLineChars="0"/>
        <w:jc w:val="left"/>
        <w:outlineLvl w:val="9"/>
        <w:rPr>
          <w:rFonts w:hint="eastAsia"/>
        </w:rPr>
      </w:pPr>
      <w:r>
        <w:rPr>
          <w:rFonts w:hint="eastAsia"/>
        </w:rPr>
        <w:t>（五）服务连续性预案</w:t>
      </w:r>
    </w:p>
    <w:p w14:paraId="4F79F1EA">
      <w:pPr>
        <w:spacing w:line="240" w:lineRule="auto"/>
        <w:ind w:firstLine="0" w:firstLineChars="0"/>
        <w:jc w:val="left"/>
        <w:outlineLvl w:val="9"/>
        <w:rPr>
          <w:rFonts w:hint="eastAsia"/>
        </w:rPr>
      </w:pPr>
      <w:r>
        <w:rPr>
          <w:rFonts w:hint="eastAsia"/>
        </w:rPr>
        <w:t>（六）项目实施方案</w:t>
      </w:r>
    </w:p>
    <w:p w14:paraId="6322AD0D">
      <w:pPr>
        <w:spacing w:line="240" w:lineRule="auto"/>
        <w:ind w:firstLine="0" w:firstLineChars="0"/>
        <w:jc w:val="left"/>
        <w:outlineLvl w:val="9"/>
        <w:rPr>
          <w:rFonts w:hint="eastAsia"/>
        </w:rPr>
      </w:pPr>
      <w:r>
        <w:rPr>
          <w:rFonts w:hint="eastAsia"/>
        </w:rPr>
        <w:t>（七）其他（如有）</w:t>
      </w:r>
    </w:p>
    <w:p w14:paraId="0EAE8108">
      <w:pPr>
        <w:spacing w:line="240" w:lineRule="auto"/>
        <w:ind w:firstLine="0" w:firstLineChars="0"/>
        <w:jc w:val="left"/>
        <w:outlineLvl w:val="9"/>
        <w:rPr>
          <w:rFonts w:hint="eastAsia"/>
        </w:rPr>
      </w:pPr>
      <w:r>
        <w:rPr>
          <w:rFonts w:hint="eastAsia"/>
        </w:rPr>
        <w:t>六、其他（如有）</w:t>
      </w:r>
      <w:r>
        <w:rPr>
          <w:rFonts w:hint="eastAsia"/>
        </w:rPr>
        <w:br w:type="page"/>
      </w:r>
    </w:p>
    <w:p w14:paraId="72040A92">
      <w:pPr>
        <w:pStyle w:val="22"/>
      </w:pPr>
      <w:r>
        <w:rPr>
          <w:rFonts w:hint="eastAsia"/>
        </w:rPr>
        <w:t>一、参选函</w:t>
      </w:r>
    </w:p>
    <w:p w14:paraId="76EC3EC0">
      <w:pPr>
        <w:tabs>
          <w:tab w:val="left" w:pos="6300"/>
        </w:tabs>
        <w:snapToGrid w:val="0"/>
        <w:spacing w:line="360" w:lineRule="auto"/>
        <w:ind w:right="-29" w:rightChars="-14"/>
        <w:rPr>
          <w:rFonts w:ascii="Times New Roman" w:hAnsi="Times New Roman"/>
          <w:snapToGrid w:val="0"/>
          <w:kern w:val="0"/>
          <w:szCs w:val="24"/>
          <w:u w:val="single"/>
        </w:rPr>
      </w:pPr>
    </w:p>
    <w:p w14:paraId="6C34CB95">
      <w:pPr>
        <w:tabs>
          <w:tab w:val="left" w:pos="6300"/>
        </w:tabs>
        <w:snapToGrid w:val="0"/>
        <w:spacing w:line="360" w:lineRule="auto"/>
        <w:ind w:right="-29" w:rightChars="-14"/>
        <w:rPr>
          <w:rFonts w:ascii="Times New Roman" w:hAnsi="Times New Roman"/>
          <w:snapToGrid w:val="0"/>
          <w:kern w:val="0"/>
          <w:szCs w:val="24"/>
        </w:rPr>
      </w:pPr>
      <w:r>
        <w:rPr>
          <w:rFonts w:hint="eastAsia" w:ascii="Times New Roman" w:hAnsi="Times New Roman"/>
          <w:snapToGrid w:val="0"/>
          <w:kern w:val="0"/>
          <w:szCs w:val="24"/>
          <w:u w:val="single"/>
        </w:rPr>
        <w:t>重庆三峡银行股份有限公司</w:t>
      </w:r>
      <w:r>
        <w:rPr>
          <w:rFonts w:hint="eastAsia" w:ascii="Times New Roman" w:hAnsi="Times New Roman"/>
          <w:snapToGrid w:val="0"/>
          <w:kern w:val="0"/>
          <w:szCs w:val="24"/>
        </w:rPr>
        <w:t>：</w:t>
      </w:r>
    </w:p>
    <w:p w14:paraId="58A9D213">
      <w:pPr>
        <w:tabs>
          <w:tab w:val="left" w:pos="6300"/>
        </w:tabs>
        <w:snapToGrid w:val="0"/>
        <w:spacing w:line="360" w:lineRule="auto"/>
        <w:ind w:right="-29" w:rightChars="-14"/>
        <w:rPr>
          <w:rFonts w:hint="eastAsia" w:ascii="Times New Roman" w:hAnsi="Times New Roman"/>
          <w:snapToGrid w:val="0"/>
          <w:kern w:val="0"/>
          <w:szCs w:val="24"/>
        </w:rPr>
      </w:pPr>
      <w:r>
        <w:rPr>
          <w:rFonts w:hint="eastAsia" w:ascii="Times New Roman" w:hAnsi="Times New Roman"/>
          <w:snapToGrid w:val="0"/>
          <w:kern w:val="0"/>
          <w:szCs w:val="24"/>
        </w:rPr>
        <w:t>我方收到</w:t>
      </w:r>
      <w:r>
        <w:rPr>
          <w:rFonts w:hint="eastAsia"/>
          <w:snapToGrid w:val="0"/>
          <w:kern w:val="0"/>
          <w:szCs w:val="24"/>
          <w:u w:val="single"/>
          <w:lang w:val="en-US" w:eastAsia="zh-CN"/>
        </w:rPr>
        <w:t>重庆三峡银行</w:t>
      </w:r>
      <w:r>
        <w:rPr>
          <w:rFonts w:ascii="Times New Roman" w:hAnsi="Times New Roman"/>
          <w:snapToGrid w:val="0"/>
          <w:kern w:val="0"/>
          <w:szCs w:val="24"/>
          <w:u w:val="single"/>
        </w:rPr>
        <w:t>2024年信创服务器采购项目</w:t>
      </w:r>
      <w:r>
        <w:rPr>
          <w:rFonts w:hint="eastAsia"/>
          <w:snapToGrid w:val="0"/>
          <w:kern w:val="0"/>
          <w:szCs w:val="24"/>
          <w:u w:val="single"/>
          <w:lang w:eastAsia="zh-CN"/>
        </w:rPr>
        <w:t>（标段1/标段2/标段3/标段4）</w:t>
      </w:r>
      <w:r>
        <w:rPr>
          <w:rFonts w:hint="eastAsia" w:ascii="Times New Roman" w:hAnsi="Times New Roman"/>
          <w:snapToGrid w:val="0"/>
          <w:kern w:val="0"/>
          <w:szCs w:val="24"/>
        </w:rPr>
        <w:t>比选文件，经详细研究，决定参加该比选项目的参选。</w:t>
      </w:r>
    </w:p>
    <w:p w14:paraId="58BDDC5E">
      <w:pPr>
        <w:tabs>
          <w:tab w:val="left" w:pos="6300"/>
        </w:tabs>
        <w:snapToGrid w:val="0"/>
        <w:spacing w:line="360" w:lineRule="auto"/>
        <w:ind w:right="-29" w:rightChars="-14"/>
        <w:rPr>
          <w:rFonts w:hint="eastAsia" w:ascii="Times New Roman" w:hAnsi="Times New Roman"/>
          <w:snapToGrid w:val="0"/>
          <w:kern w:val="0"/>
          <w:szCs w:val="24"/>
        </w:rPr>
      </w:pPr>
      <w:r>
        <w:rPr>
          <w:rFonts w:hint="eastAsia" w:ascii="Times New Roman" w:hAnsi="Times New Roman"/>
          <w:snapToGrid w:val="0"/>
          <w:kern w:val="0"/>
          <w:szCs w:val="24"/>
        </w:rPr>
        <w:t>1、愿意按照比选文件中的一切要求，以人民币小写：</w:t>
      </w:r>
      <w:r>
        <w:rPr>
          <w:rFonts w:hint="eastAsia" w:ascii="Times New Roman" w:hAnsi="Times New Roman"/>
          <w:snapToGrid w:val="0"/>
          <w:kern w:val="0"/>
          <w:szCs w:val="24"/>
          <w:u w:val="single"/>
        </w:rPr>
        <w:t xml:space="preserve">       </w:t>
      </w:r>
      <w:r>
        <w:rPr>
          <w:rFonts w:hint="eastAsia" w:ascii="Times New Roman" w:hAnsi="Times New Roman"/>
          <w:snapToGrid w:val="0"/>
          <w:kern w:val="0"/>
          <w:szCs w:val="24"/>
        </w:rPr>
        <w:t>，人民币大写：</w:t>
      </w:r>
      <w:r>
        <w:rPr>
          <w:rFonts w:hint="eastAsia" w:ascii="Times New Roman" w:hAnsi="Times New Roman"/>
          <w:snapToGrid w:val="0"/>
          <w:kern w:val="0"/>
          <w:szCs w:val="24"/>
          <w:u w:val="single"/>
        </w:rPr>
        <w:t xml:space="preserve">          </w:t>
      </w:r>
      <w:r>
        <w:rPr>
          <w:rFonts w:hint="eastAsia" w:ascii="Times New Roman" w:hAnsi="Times New Roman"/>
          <w:snapToGrid w:val="0"/>
          <w:kern w:val="0"/>
          <w:szCs w:val="24"/>
        </w:rPr>
        <w:t>的参选总价（含税）承担和完成本项目。</w:t>
      </w:r>
    </w:p>
    <w:p w14:paraId="653DAF61">
      <w:pPr>
        <w:tabs>
          <w:tab w:val="left" w:pos="6300"/>
        </w:tabs>
        <w:snapToGrid w:val="0"/>
        <w:spacing w:line="360" w:lineRule="auto"/>
        <w:ind w:right="-29" w:rightChars="-14"/>
        <w:rPr>
          <w:rFonts w:hint="eastAsia" w:ascii="Times New Roman" w:hAnsi="Times New Roman"/>
          <w:snapToGrid w:val="0"/>
          <w:kern w:val="0"/>
          <w:szCs w:val="24"/>
        </w:rPr>
      </w:pPr>
      <w:r>
        <w:rPr>
          <w:rFonts w:hint="eastAsia" w:ascii="Times New Roman" w:hAnsi="Times New Roman"/>
          <w:snapToGrid w:val="0"/>
          <w:kern w:val="0"/>
          <w:szCs w:val="24"/>
        </w:rPr>
        <w:t>2、我方现提交的参选文件为：参选文件正本一份，副本一份，电子文件一份。</w:t>
      </w:r>
    </w:p>
    <w:p w14:paraId="489CF5D2">
      <w:pPr>
        <w:tabs>
          <w:tab w:val="left" w:pos="6300"/>
        </w:tabs>
        <w:snapToGrid w:val="0"/>
        <w:spacing w:line="360" w:lineRule="auto"/>
        <w:ind w:right="-29" w:rightChars="-14"/>
        <w:rPr>
          <w:rFonts w:hint="eastAsia" w:ascii="Times New Roman" w:hAnsi="Times New Roman"/>
          <w:snapToGrid w:val="0"/>
          <w:kern w:val="0"/>
          <w:szCs w:val="24"/>
        </w:rPr>
      </w:pPr>
      <w:r>
        <w:rPr>
          <w:rFonts w:hint="eastAsia" w:ascii="Times New Roman" w:hAnsi="Times New Roman"/>
          <w:snapToGrid w:val="0"/>
          <w:kern w:val="0"/>
          <w:szCs w:val="24"/>
        </w:rPr>
        <w:t>3、如果我方参选文件被接受，我方将履行比选文件中规定的各项要求，按相关法律法规和合同约定条款承担我方的责任。</w:t>
      </w:r>
    </w:p>
    <w:p w14:paraId="5725EDBB">
      <w:pPr>
        <w:tabs>
          <w:tab w:val="left" w:pos="6300"/>
        </w:tabs>
        <w:snapToGrid w:val="0"/>
        <w:spacing w:line="360" w:lineRule="auto"/>
        <w:ind w:right="-29" w:rightChars="-14"/>
        <w:rPr>
          <w:rFonts w:hint="eastAsia" w:ascii="Times New Roman" w:hAnsi="Times New Roman"/>
          <w:snapToGrid w:val="0"/>
          <w:kern w:val="0"/>
          <w:szCs w:val="24"/>
        </w:rPr>
      </w:pPr>
      <w:r>
        <w:rPr>
          <w:rFonts w:hint="eastAsia" w:ascii="Times New Roman" w:hAnsi="Times New Roman"/>
          <w:snapToGrid w:val="0"/>
          <w:kern w:val="0"/>
          <w:szCs w:val="24"/>
        </w:rPr>
        <w:t>4、我方愿意提供比选文件中要求的所有资料，并对其真实性负责。</w:t>
      </w:r>
    </w:p>
    <w:p w14:paraId="3DAA921B">
      <w:pPr>
        <w:tabs>
          <w:tab w:val="left" w:pos="6300"/>
        </w:tabs>
        <w:snapToGrid w:val="0"/>
        <w:spacing w:line="360" w:lineRule="auto"/>
        <w:ind w:right="-29" w:rightChars="-14"/>
        <w:rPr>
          <w:rFonts w:hint="eastAsia" w:ascii="Times New Roman" w:hAnsi="Times New Roman"/>
          <w:snapToGrid w:val="0"/>
          <w:kern w:val="0"/>
          <w:szCs w:val="24"/>
        </w:rPr>
      </w:pPr>
      <w:r>
        <w:rPr>
          <w:rFonts w:hint="eastAsia" w:ascii="Times New Roman" w:hAnsi="Times New Roman"/>
          <w:snapToGrid w:val="0"/>
          <w:kern w:val="0"/>
          <w:szCs w:val="24"/>
        </w:rPr>
        <w:t>5、我方理解最低价格不是中选的唯一条件。</w:t>
      </w:r>
    </w:p>
    <w:p w14:paraId="1FA7E1BF">
      <w:pPr>
        <w:tabs>
          <w:tab w:val="left" w:pos="6300"/>
        </w:tabs>
        <w:snapToGrid w:val="0"/>
        <w:spacing w:line="360" w:lineRule="auto"/>
        <w:ind w:right="-29" w:rightChars="-14"/>
        <w:rPr>
          <w:rFonts w:hint="eastAsia" w:ascii="Times New Roman" w:hAnsi="Times New Roman"/>
          <w:snapToGrid w:val="0"/>
          <w:kern w:val="0"/>
          <w:szCs w:val="24"/>
        </w:rPr>
      </w:pPr>
      <w:r>
        <w:rPr>
          <w:rFonts w:hint="eastAsia" w:ascii="Times New Roman" w:hAnsi="Times New Roman"/>
          <w:snapToGrid w:val="0"/>
          <w:kern w:val="0"/>
          <w:szCs w:val="24"/>
        </w:rPr>
        <w:t>6、参选有效期为参选截止日期后90天内。</w:t>
      </w:r>
    </w:p>
    <w:p w14:paraId="7B29675D">
      <w:pPr>
        <w:tabs>
          <w:tab w:val="left" w:pos="6300"/>
        </w:tabs>
        <w:snapToGrid w:val="0"/>
        <w:spacing w:line="360" w:lineRule="auto"/>
        <w:ind w:right="-29" w:rightChars="-14"/>
        <w:rPr>
          <w:rFonts w:hint="eastAsia" w:ascii="Times New Roman" w:hAnsi="Times New Roman"/>
          <w:snapToGrid w:val="0"/>
          <w:kern w:val="0"/>
          <w:szCs w:val="24"/>
        </w:rPr>
      </w:pPr>
      <w:r>
        <w:rPr>
          <w:rFonts w:hint="eastAsia" w:ascii="Times New Roman" w:hAnsi="Times New Roman"/>
          <w:snapToGrid w:val="0"/>
          <w:kern w:val="0"/>
          <w:szCs w:val="24"/>
        </w:rPr>
        <w:t>7、若我方中选，我方开具税率为13%的增值税专用发票。</w:t>
      </w:r>
    </w:p>
    <w:p w14:paraId="3B9A2C55">
      <w:pPr>
        <w:tabs>
          <w:tab w:val="left" w:pos="6300"/>
        </w:tabs>
        <w:snapToGrid w:val="0"/>
        <w:spacing w:line="360" w:lineRule="auto"/>
        <w:ind w:right="-29" w:rightChars="-14"/>
        <w:rPr>
          <w:rFonts w:ascii="Times New Roman" w:hAnsi="Times New Roman"/>
          <w:snapToGrid w:val="0"/>
          <w:kern w:val="0"/>
          <w:szCs w:val="24"/>
        </w:rPr>
      </w:pPr>
    </w:p>
    <w:p w14:paraId="73EA576C">
      <w:pPr>
        <w:tabs>
          <w:tab w:val="left" w:pos="6300"/>
        </w:tabs>
        <w:snapToGrid w:val="0"/>
        <w:spacing w:line="360" w:lineRule="auto"/>
        <w:ind w:right="-29" w:rightChars="-14"/>
        <w:rPr>
          <w:rFonts w:ascii="Times New Roman" w:hAnsi="Times New Roman"/>
          <w:snapToGrid w:val="0"/>
          <w:kern w:val="0"/>
          <w:szCs w:val="24"/>
        </w:rPr>
      </w:pPr>
      <w:r>
        <w:rPr>
          <w:rFonts w:hint="eastAsia" w:ascii="Times New Roman" w:hAnsi="Times New Roman" w:cs="Cambria"/>
          <w:snapToGrid w:val="0"/>
          <w:kern w:val="0"/>
          <w:szCs w:val="24"/>
        </w:rPr>
        <w:t>参选</w:t>
      </w:r>
      <w:r>
        <w:rPr>
          <w:rFonts w:hint="eastAsia" w:ascii="Times New Roman" w:hAnsi="Times New Roman"/>
          <w:snapToGrid w:val="0"/>
          <w:kern w:val="0"/>
          <w:szCs w:val="24"/>
        </w:rPr>
        <w:t>人（公章）：</w:t>
      </w:r>
    </w:p>
    <w:p w14:paraId="04D15F0E">
      <w:pPr>
        <w:tabs>
          <w:tab w:val="left" w:pos="6300"/>
        </w:tabs>
        <w:snapToGrid w:val="0"/>
        <w:spacing w:line="360" w:lineRule="auto"/>
        <w:ind w:right="-29" w:rightChars="-14"/>
        <w:rPr>
          <w:rFonts w:ascii="Times New Roman" w:hAnsi="Times New Roman"/>
          <w:snapToGrid w:val="0"/>
          <w:kern w:val="0"/>
          <w:szCs w:val="24"/>
        </w:rPr>
      </w:pPr>
      <w:r>
        <w:rPr>
          <w:rFonts w:hint="eastAsia" w:ascii="Times New Roman" w:hAnsi="Times New Roman"/>
          <w:snapToGrid w:val="0"/>
          <w:kern w:val="0"/>
          <w:szCs w:val="24"/>
        </w:rPr>
        <w:t xml:space="preserve">地址：  </w:t>
      </w:r>
    </w:p>
    <w:p w14:paraId="41A359DD">
      <w:pPr>
        <w:tabs>
          <w:tab w:val="left" w:pos="6300"/>
        </w:tabs>
        <w:snapToGrid w:val="0"/>
        <w:spacing w:line="360" w:lineRule="auto"/>
        <w:ind w:right="-29" w:rightChars="-14"/>
        <w:rPr>
          <w:rFonts w:ascii="Times New Roman" w:hAnsi="Times New Roman"/>
          <w:snapToGrid w:val="0"/>
          <w:kern w:val="0"/>
          <w:szCs w:val="24"/>
        </w:rPr>
      </w:pPr>
      <w:r>
        <w:rPr>
          <w:rFonts w:hint="eastAsia" w:ascii="Times New Roman" w:hAnsi="Times New Roman"/>
          <w:snapToGrid w:val="0"/>
          <w:kern w:val="0"/>
          <w:szCs w:val="24"/>
        </w:rPr>
        <w:t>电话：                           传真：</w:t>
      </w:r>
    </w:p>
    <w:p w14:paraId="0B99FB55">
      <w:pPr>
        <w:tabs>
          <w:tab w:val="left" w:pos="6300"/>
        </w:tabs>
        <w:snapToGrid w:val="0"/>
        <w:spacing w:line="360" w:lineRule="auto"/>
        <w:ind w:right="-29" w:rightChars="-14"/>
        <w:rPr>
          <w:rFonts w:ascii="Times New Roman" w:hAnsi="Times New Roman"/>
          <w:snapToGrid w:val="0"/>
          <w:kern w:val="0"/>
          <w:szCs w:val="24"/>
        </w:rPr>
      </w:pPr>
      <w:r>
        <w:rPr>
          <w:rFonts w:hint="eastAsia" w:ascii="Times New Roman" w:hAnsi="Times New Roman"/>
          <w:snapToGrid w:val="0"/>
          <w:kern w:val="0"/>
          <w:szCs w:val="24"/>
        </w:rPr>
        <w:t xml:space="preserve">网址：                         </w:t>
      </w:r>
    </w:p>
    <w:p w14:paraId="5DCB246E">
      <w:pPr>
        <w:tabs>
          <w:tab w:val="left" w:pos="6300"/>
        </w:tabs>
        <w:snapToGrid w:val="0"/>
        <w:spacing w:line="360" w:lineRule="auto"/>
        <w:ind w:right="-29" w:rightChars="-14" w:firstLine="5722" w:firstLineChars="2725"/>
        <w:rPr>
          <w:rFonts w:ascii="Times New Roman" w:hAnsi="Times New Roman"/>
          <w:snapToGrid w:val="0"/>
          <w:kern w:val="0"/>
          <w:szCs w:val="24"/>
        </w:rPr>
      </w:pPr>
    </w:p>
    <w:p w14:paraId="341A0F66">
      <w:pPr>
        <w:tabs>
          <w:tab w:val="left" w:pos="6300"/>
        </w:tabs>
        <w:snapToGrid w:val="0"/>
        <w:spacing w:line="360" w:lineRule="auto"/>
        <w:ind w:right="-29" w:rightChars="-14" w:firstLine="4725" w:firstLineChars="2250"/>
        <w:rPr>
          <w:rFonts w:ascii="Times New Roman" w:hAnsi="Times New Roman"/>
          <w:snapToGrid w:val="0"/>
          <w:kern w:val="0"/>
          <w:szCs w:val="24"/>
        </w:rPr>
      </w:pPr>
      <w:r>
        <w:rPr>
          <w:rFonts w:hint="eastAsia" w:ascii="Times New Roman" w:hAnsi="Times New Roman"/>
          <w:snapToGrid w:val="0"/>
          <w:kern w:val="0"/>
          <w:szCs w:val="24"/>
        </w:rPr>
        <w:t>年     月     日</w:t>
      </w:r>
    </w:p>
    <w:p w14:paraId="320C9785">
      <w:pPr>
        <w:widowControl/>
        <w:spacing w:line="360" w:lineRule="auto"/>
        <w:jc w:val="left"/>
        <w:rPr>
          <w:rFonts w:ascii="Times New Roman" w:hAnsi="Times New Roman"/>
          <w:snapToGrid w:val="0"/>
          <w:kern w:val="0"/>
          <w:szCs w:val="24"/>
        </w:rPr>
      </w:pPr>
    </w:p>
    <w:p w14:paraId="0EC285D0">
      <w:pPr>
        <w:tabs>
          <w:tab w:val="left" w:pos="6300"/>
        </w:tabs>
        <w:snapToGrid w:val="0"/>
        <w:spacing w:line="360" w:lineRule="auto"/>
        <w:rPr>
          <w:rFonts w:ascii="Times New Roman" w:hAnsi="Times New Roman"/>
          <w:snapToGrid w:val="0"/>
          <w:kern w:val="0"/>
          <w:szCs w:val="24"/>
        </w:rPr>
      </w:pPr>
    </w:p>
    <w:p w14:paraId="481AEA1F">
      <w:pPr>
        <w:widowControl/>
        <w:spacing w:line="360" w:lineRule="auto"/>
        <w:jc w:val="left"/>
        <w:rPr>
          <w:rFonts w:ascii="Times New Roman" w:hAnsi="Times New Roman"/>
          <w:snapToGrid w:val="0"/>
          <w:kern w:val="0"/>
          <w:szCs w:val="24"/>
        </w:rPr>
      </w:pPr>
    </w:p>
    <w:p w14:paraId="52D1E322">
      <w:pPr>
        <w:widowControl/>
        <w:spacing w:line="360" w:lineRule="auto"/>
        <w:jc w:val="left"/>
        <w:rPr>
          <w:rFonts w:ascii="Times New Roman" w:hAnsi="Times New Roman"/>
          <w:snapToGrid w:val="0"/>
          <w:kern w:val="0"/>
          <w:szCs w:val="24"/>
        </w:rPr>
      </w:pPr>
    </w:p>
    <w:p w14:paraId="590E911D">
      <w:pPr>
        <w:widowControl/>
        <w:spacing w:line="360" w:lineRule="auto"/>
        <w:jc w:val="left"/>
        <w:rPr>
          <w:rFonts w:ascii="Times New Roman" w:hAnsi="Times New Roman"/>
          <w:snapToGrid w:val="0"/>
          <w:kern w:val="0"/>
          <w:szCs w:val="24"/>
        </w:rPr>
      </w:pPr>
    </w:p>
    <w:p w14:paraId="6E61B03F">
      <w:pPr>
        <w:snapToGrid w:val="0"/>
        <w:spacing w:line="360" w:lineRule="auto"/>
        <w:rPr>
          <w:rFonts w:ascii="Times New Roman" w:hAnsi="Times New Roman"/>
          <w:snapToGrid w:val="0"/>
          <w:kern w:val="0"/>
          <w:szCs w:val="24"/>
        </w:rPr>
      </w:pPr>
      <w:r>
        <w:rPr>
          <w:rFonts w:hint="eastAsia" w:ascii="Times New Roman" w:hAnsi="Times New Roman"/>
          <w:kern w:val="0"/>
        </w:rPr>
        <w:br w:type="page"/>
      </w:r>
    </w:p>
    <w:p w14:paraId="6464740A">
      <w:pPr>
        <w:pStyle w:val="22"/>
      </w:pPr>
      <w:r>
        <w:t>二、</w:t>
      </w:r>
      <w:r>
        <w:rPr>
          <w:rFonts w:hint="eastAsia"/>
        </w:rPr>
        <w:t>报价一览表</w:t>
      </w:r>
    </w:p>
    <w:tbl>
      <w:tblPr>
        <w:tblStyle w:val="14"/>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5661"/>
      </w:tblGrid>
      <w:tr w14:paraId="3562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63767A84">
            <w:pPr>
              <w:pStyle w:val="33"/>
              <w:bidi w:val="0"/>
              <w:ind w:left="0" w:leftChars="0" w:right="0" w:rightChars="0" w:firstLine="0" w:firstLineChars="0"/>
              <w:jc w:val="center"/>
            </w:pPr>
            <w:r>
              <w:rPr>
                <w:rFonts w:hint="eastAsia"/>
              </w:rPr>
              <w:t>参选人全称</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7F8AD383">
            <w:pPr>
              <w:autoSpaceDE/>
              <w:autoSpaceDN/>
              <w:spacing w:line="360" w:lineRule="auto"/>
              <w:ind w:firstLine="0" w:firstLineChars="0"/>
              <w:jc w:val="left"/>
              <w:rPr>
                <w:rFonts w:ascii="宋体" w:hAnsi="宋体"/>
                <w:color w:val="auto"/>
                <w:szCs w:val="24"/>
                <w:highlight w:val="none"/>
              </w:rPr>
            </w:pPr>
          </w:p>
        </w:tc>
      </w:tr>
      <w:tr w14:paraId="63F0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2E31AF5A">
            <w:pPr>
              <w:pStyle w:val="33"/>
              <w:bidi w:val="0"/>
              <w:ind w:left="0" w:leftChars="0" w:right="0" w:rightChars="0" w:firstLine="0" w:firstLineChars="0"/>
              <w:jc w:val="center"/>
            </w:pPr>
            <w:r>
              <w:rPr>
                <w:rFonts w:hint="eastAsia"/>
              </w:rPr>
              <w:t>比选项目</w:t>
            </w:r>
            <w:r>
              <w:rPr>
                <w:rFonts w:hint="eastAsia"/>
                <w:lang w:val="en-US" w:eastAsia="zh-CN"/>
              </w:rPr>
              <w:t>标段</w:t>
            </w:r>
            <w:r>
              <w:rPr>
                <w:rFonts w:hint="eastAsia"/>
              </w:rPr>
              <w:t>名称</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119A2006">
            <w:pPr>
              <w:autoSpaceDE/>
              <w:autoSpaceDN/>
              <w:spacing w:line="360" w:lineRule="auto"/>
              <w:ind w:firstLine="0" w:firstLineChars="0"/>
              <w:jc w:val="left"/>
              <w:rPr>
                <w:rFonts w:ascii="宋体" w:hAnsi="宋体" w:cs="Cambria"/>
                <w:color w:val="auto"/>
                <w:sz w:val="21"/>
                <w:szCs w:val="21"/>
                <w:highlight w:val="none"/>
              </w:rPr>
            </w:pPr>
            <w:r>
              <w:t>重庆三峡银行2024</w:t>
            </w:r>
            <w:r>
              <w:rPr>
                <w:rFonts w:hint="eastAsia"/>
              </w:rPr>
              <w:t>年</w:t>
            </w:r>
            <w:r>
              <w:t>信创</w:t>
            </w:r>
            <w:r>
              <w:rPr>
                <w:rFonts w:hint="eastAsia"/>
              </w:rPr>
              <w:t>服务器采购项目</w:t>
            </w:r>
            <w:r>
              <w:rPr>
                <w:rFonts w:hint="eastAsia"/>
                <w:lang w:eastAsia="zh-CN"/>
              </w:rPr>
              <w:t>（</w:t>
            </w:r>
            <w:r>
              <w:rPr>
                <w:rFonts w:hint="eastAsia"/>
                <w:lang w:val="en-US" w:eastAsia="zh-CN"/>
              </w:rPr>
              <w:t>标段X</w:t>
            </w:r>
            <w:r>
              <w:rPr>
                <w:rFonts w:hint="eastAsia"/>
                <w:lang w:eastAsia="zh-CN"/>
              </w:rPr>
              <w:t>）</w:t>
            </w:r>
          </w:p>
        </w:tc>
      </w:tr>
      <w:tr w14:paraId="46EC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379E95CD">
            <w:pPr>
              <w:pStyle w:val="33"/>
              <w:bidi w:val="0"/>
              <w:ind w:left="0" w:leftChars="0" w:right="0" w:rightChars="0" w:firstLine="0" w:firstLineChars="0"/>
              <w:jc w:val="center"/>
            </w:pPr>
            <w:r>
              <w:rPr>
                <w:rFonts w:hint="eastAsia"/>
              </w:rPr>
              <w:t>参选报价（含税）</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76BAF6E3">
            <w:pPr>
              <w:spacing w:line="360" w:lineRule="auto"/>
              <w:ind w:firstLine="480"/>
              <w:jc w:val="left"/>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小写</w:t>
            </w:r>
            <w:r>
              <w:rPr>
                <w:rFonts w:hint="eastAsia" w:ascii="Times New Roman" w:hAnsi="Times New Roman"/>
                <w:snapToGrid w:val="0"/>
                <w:color w:val="auto"/>
                <w:kern w:val="0"/>
                <w:szCs w:val="24"/>
                <w:highlight w:val="none"/>
              </w:rPr>
              <w:t xml:space="preserve">：            </w:t>
            </w:r>
            <w:r>
              <w:rPr>
                <w:rFonts w:ascii="Times New Roman" w:hAnsi="Times New Roman"/>
                <w:snapToGrid w:val="0"/>
                <w:color w:val="auto"/>
                <w:kern w:val="0"/>
                <w:szCs w:val="24"/>
                <w:highlight w:val="none"/>
              </w:rPr>
              <w:t>人民币</w:t>
            </w:r>
          </w:p>
          <w:p w14:paraId="4FA161B2">
            <w:pPr>
              <w:autoSpaceDE/>
              <w:autoSpaceDN/>
              <w:spacing w:line="360" w:lineRule="auto"/>
              <w:ind w:firstLine="480"/>
              <w:jc w:val="left"/>
              <w:rPr>
                <w:rFonts w:ascii="宋体" w:hAnsi="宋体"/>
                <w:color w:val="auto"/>
                <w:szCs w:val="24"/>
                <w:highlight w:val="none"/>
              </w:rPr>
            </w:pPr>
            <w:r>
              <w:rPr>
                <w:rFonts w:hint="eastAsia" w:ascii="Times New Roman" w:hAnsi="Times New Roman"/>
                <w:snapToGrid w:val="0"/>
                <w:color w:val="auto"/>
                <w:kern w:val="0"/>
                <w:szCs w:val="24"/>
                <w:highlight w:val="none"/>
              </w:rPr>
              <w:t>大写：            人民币</w:t>
            </w:r>
          </w:p>
        </w:tc>
      </w:tr>
      <w:tr w14:paraId="5944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77A2F7AD">
            <w:pPr>
              <w:pStyle w:val="33"/>
              <w:bidi w:val="0"/>
              <w:ind w:left="0" w:leftChars="0" w:right="0" w:rightChars="0" w:firstLine="0" w:firstLineChars="0"/>
              <w:jc w:val="center"/>
            </w:pPr>
            <w:r>
              <w:rPr>
                <w:rFonts w:hint="eastAsia"/>
              </w:rPr>
              <w:t>开具发票类型</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6BA7E92F">
            <w:pPr>
              <w:autoSpaceDE/>
              <w:autoSpaceDN/>
              <w:spacing w:line="360" w:lineRule="auto"/>
              <w:ind w:firstLine="0" w:firstLineChars="0"/>
              <w:jc w:val="left"/>
              <w:rPr>
                <w:rFonts w:ascii="宋体" w:hAnsi="宋体"/>
                <w:color w:val="auto"/>
                <w:szCs w:val="24"/>
                <w:highlight w:val="none"/>
              </w:rPr>
            </w:pPr>
            <w:r>
              <w:rPr>
                <w:rFonts w:hint="eastAsia" w:ascii="宋体" w:hAnsi="宋体"/>
                <w:color w:val="auto"/>
                <w:szCs w:val="24"/>
                <w:highlight w:val="none"/>
              </w:rPr>
              <w:t>税率为</w:t>
            </w:r>
            <w:r>
              <w:rPr>
                <w:rFonts w:hint="eastAsia" w:ascii="宋体" w:hAnsi="宋体"/>
                <w:color w:val="auto"/>
                <w:szCs w:val="24"/>
                <w:highlight w:val="none"/>
                <w:u w:val="single"/>
              </w:rPr>
              <w:t xml:space="preserve"> </w:t>
            </w:r>
            <w:r>
              <w:rPr>
                <w:rFonts w:hint="eastAsia" w:ascii="宋体" w:hAnsi="宋体"/>
                <w:color w:val="auto"/>
                <w:szCs w:val="24"/>
                <w:highlight w:val="none"/>
                <w:u w:val="single"/>
                <w:lang w:val="en-US" w:eastAsia="zh-CN"/>
              </w:rPr>
              <w:t xml:space="preserve">  </w:t>
            </w:r>
            <w:r>
              <w:rPr>
                <w:rFonts w:hint="eastAsia" w:ascii="宋体" w:hAnsi="宋体"/>
                <w:color w:val="auto"/>
                <w:szCs w:val="24"/>
                <w:highlight w:val="none"/>
                <w:u w:val="single"/>
              </w:rPr>
              <w:t xml:space="preserve"> </w:t>
            </w:r>
            <w:r>
              <w:rPr>
                <w:rFonts w:hint="eastAsia" w:ascii="宋体" w:hAnsi="宋体"/>
                <w:color w:val="auto"/>
                <w:szCs w:val="24"/>
                <w:highlight w:val="none"/>
              </w:rPr>
              <w:t>%的增值税专用发票</w:t>
            </w:r>
          </w:p>
        </w:tc>
      </w:tr>
      <w:tr w14:paraId="1175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top"/>
          </w:tcPr>
          <w:p w14:paraId="55E88F22">
            <w:pPr>
              <w:pStyle w:val="33"/>
              <w:bidi w:val="0"/>
              <w:ind w:left="0" w:leftChars="0" w:right="0" w:rightChars="0" w:firstLine="0" w:firstLineChars="0"/>
              <w:jc w:val="center"/>
              <w:rPr>
                <w:rFonts w:hint="eastAsia"/>
              </w:rPr>
            </w:pPr>
            <w:r>
              <w:rPr>
                <w:rFonts w:hint="eastAsia"/>
              </w:rPr>
              <w:t>交货期</w:t>
            </w:r>
          </w:p>
        </w:tc>
        <w:tc>
          <w:tcPr>
            <w:tcW w:w="5661" w:type="dxa"/>
            <w:tcBorders>
              <w:top w:val="single" w:color="auto" w:sz="4" w:space="0"/>
              <w:left w:val="single" w:color="auto" w:sz="4" w:space="0"/>
              <w:bottom w:val="single" w:color="auto" w:sz="4" w:space="0"/>
              <w:right w:val="single" w:color="auto" w:sz="4" w:space="0"/>
            </w:tcBorders>
            <w:noWrap w:val="0"/>
            <w:vAlign w:val="top"/>
          </w:tcPr>
          <w:p w14:paraId="5F7B56C7">
            <w:pPr>
              <w:autoSpaceDE/>
              <w:autoSpaceDN/>
              <w:spacing w:line="360" w:lineRule="auto"/>
              <w:ind w:firstLine="0" w:firstLineChars="0"/>
              <w:jc w:val="left"/>
              <w:rPr>
                <w:rFonts w:hint="eastAsia" w:ascii="宋体" w:hAnsi="宋体" w:cs="Times New Roman"/>
                <w:snapToGrid w:val="0"/>
                <w:color w:val="auto"/>
                <w:kern w:val="0"/>
                <w:szCs w:val="24"/>
                <w:highlight w:val="none"/>
              </w:rPr>
            </w:pPr>
          </w:p>
        </w:tc>
      </w:tr>
      <w:tr w14:paraId="19BB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top"/>
          </w:tcPr>
          <w:p w14:paraId="63884533">
            <w:pPr>
              <w:pStyle w:val="33"/>
              <w:bidi w:val="0"/>
              <w:ind w:left="0" w:leftChars="0" w:right="0" w:rightChars="0" w:firstLine="0" w:firstLineChars="0"/>
              <w:jc w:val="center"/>
              <w:rPr>
                <w:rFonts w:hint="eastAsia"/>
              </w:rPr>
            </w:pPr>
            <w:r>
              <w:rPr>
                <w:rFonts w:hint="eastAsia"/>
              </w:rPr>
              <w:t>交货地点</w:t>
            </w:r>
          </w:p>
        </w:tc>
        <w:tc>
          <w:tcPr>
            <w:tcW w:w="5661" w:type="dxa"/>
            <w:tcBorders>
              <w:top w:val="single" w:color="auto" w:sz="4" w:space="0"/>
              <w:left w:val="single" w:color="auto" w:sz="4" w:space="0"/>
              <w:bottom w:val="single" w:color="auto" w:sz="4" w:space="0"/>
              <w:right w:val="single" w:color="auto" w:sz="4" w:space="0"/>
            </w:tcBorders>
            <w:noWrap w:val="0"/>
            <w:vAlign w:val="top"/>
          </w:tcPr>
          <w:p w14:paraId="4972AA66">
            <w:pPr>
              <w:autoSpaceDE/>
              <w:autoSpaceDN/>
              <w:spacing w:line="360" w:lineRule="auto"/>
              <w:ind w:firstLine="0" w:firstLineChars="0"/>
              <w:jc w:val="left"/>
              <w:rPr>
                <w:rFonts w:hint="eastAsia" w:ascii="宋体" w:hAnsi="宋体" w:cs="Times New Roman"/>
                <w:snapToGrid w:val="0"/>
                <w:color w:val="auto"/>
                <w:kern w:val="0"/>
                <w:szCs w:val="24"/>
                <w:highlight w:val="none"/>
              </w:rPr>
            </w:pPr>
          </w:p>
        </w:tc>
      </w:tr>
      <w:tr w14:paraId="2E11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top"/>
          </w:tcPr>
          <w:p w14:paraId="3744D9DC">
            <w:pPr>
              <w:pStyle w:val="33"/>
              <w:bidi w:val="0"/>
              <w:ind w:left="0" w:leftChars="0" w:right="0" w:rightChars="0" w:firstLine="0" w:firstLineChars="0"/>
              <w:jc w:val="center"/>
              <w:rPr>
                <w:rFonts w:hint="eastAsia"/>
              </w:rPr>
            </w:pPr>
            <w:r>
              <w:rPr>
                <w:rFonts w:hint="eastAsia"/>
              </w:rPr>
              <w:t>5年维保到期后是否支持与设备原厂商签订维保合同</w:t>
            </w:r>
          </w:p>
        </w:tc>
        <w:tc>
          <w:tcPr>
            <w:tcW w:w="5661" w:type="dxa"/>
            <w:tcBorders>
              <w:top w:val="single" w:color="auto" w:sz="4" w:space="0"/>
              <w:left w:val="single" w:color="auto" w:sz="4" w:space="0"/>
              <w:bottom w:val="single" w:color="auto" w:sz="4" w:space="0"/>
              <w:right w:val="single" w:color="auto" w:sz="4" w:space="0"/>
            </w:tcBorders>
            <w:noWrap w:val="0"/>
            <w:vAlign w:val="top"/>
          </w:tcPr>
          <w:p w14:paraId="4FD6029D">
            <w:pPr>
              <w:autoSpaceDE/>
              <w:autoSpaceDN/>
              <w:spacing w:line="360" w:lineRule="auto"/>
              <w:ind w:firstLine="0" w:firstLineChars="0"/>
              <w:jc w:val="left"/>
              <w:rPr>
                <w:rFonts w:hint="eastAsia" w:ascii="Times New Roman" w:hAnsi="Times New Roman"/>
                <w:snapToGrid w:val="0"/>
                <w:kern w:val="0"/>
                <w:szCs w:val="24"/>
              </w:rPr>
            </w:pPr>
            <w:r>
              <w:rPr>
                <w:rFonts w:hint="eastAsia" w:ascii="Times New Roman" w:hAnsi="Times New Roman"/>
                <w:snapToGrid w:val="0"/>
                <w:kern w:val="0"/>
                <w:szCs w:val="24"/>
              </w:rPr>
              <w:t xml:space="preserve">是 </w:t>
            </w:r>
            <w:r>
              <w:rPr>
                <w:rFonts w:hint="eastAsia" w:ascii="Times New Roman" w:hAnsi="Times New Roman"/>
                <w:snapToGrid w:val="0"/>
                <w:kern w:val="0"/>
                <w:szCs w:val="24"/>
              </w:rPr>
              <w:sym w:font="Wingdings 2" w:char="00A3"/>
            </w:r>
          </w:p>
          <w:p w14:paraId="5941678B">
            <w:pPr>
              <w:autoSpaceDE/>
              <w:autoSpaceDN/>
              <w:spacing w:line="360" w:lineRule="auto"/>
              <w:ind w:firstLine="0" w:firstLineChars="0"/>
              <w:jc w:val="left"/>
              <w:rPr>
                <w:rFonts w:hint="eastAsia" w:ascii="Times New Roman" w:hAnsi="Times New Roman"/>
                <w:snapToGrid w:val="0"/>
                <w:kern w:val="0"/>
                <w:szCs w:val="24"/>
              </w:rPr>
            </w:pPr>
            <w:r>
              <w:rPr>
                <w:rFonts w:hint="eastAsia" w:ascii="Times New Roman" w:hAnsi="Times New Roman"/>
                <w:snapToGrid w:val="0"/>
                <w:kern w:val="0"/>
                <w:szCs w:val="24"/>
              </w:rPr>
              <w:t xml:space="preserve">否 </w:t>
            </w:r>
            <w:r>
              <w:rPr>
                <w:rFonts w:hint="eastAsia" w:ascii="Times New Roman" w:hAnsi="Times New Roman"/>
                <w:snapToGrid w:val="0"/>
                <w:kern w:val="0"/>
                <w:szCs w:val="24"/>
              </w:rPr>
              <w:sym w:font="Wingdings 2" w:char="00A3"/>
            </w:r>
          </w:p>
        </w:tc>
      </w:tr>
      <w:tr w14:paraId="586AD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top"/>
          </w:tcPr>
          <w:p w14:paraId="4FC5A7FD">
            <w:pPr>
              <w:pStyle w:val="33"/>
              <w:bidi w:val="0"/>
              <w:ind w:left="0" w:leftChars="0" w:right="0" w:rightChars="0" w:firstLine="0" w:firstLineChars="0"/>
              <w:jc w:val="center"/>
              <w:rPr>
                <w:rFonts w:hint="eastAsia"/>
              </w:rPr>
            </w:pPr>
            <w:r>
              <w:rPr>
                <w:rFonts w:hint="eastAsia"/>
              </w:rPr>
              <w:t>若支持，单台设备的年续保费率</w:t>
            </w:r>
          </w:p>
        </w:tc>
        <w:tc>
          <w:tcPr>
            <w:tcW w:w="5661" w:type="dxa"/>
            <w:tcBorders>
              <w:top w:val="single" w:color="auto" w:sz="4" w:space="0"/>
              <w:left w:val="single" w:color="auto" w:sz="4" w:space="0"/>
              <w:bottom w:val="single" w:color="auto" w:sz="4" w:space="0"/>
              <w:right w:val="single" w:color="auto" w:sz="4" w:space="0"/>
            </w:tcBorders>
            <w:noWrap w:val="0"/>
            <w:vAlign w:val="top"/>
          </w:tcPr>
          <w:p w14:paraId="761BECBC">
            <w:pPr>
              <w:autoSpaceDE/>
              <w:autoSpaceDN/>
              <w:spacing w:line="360" w:lineRule="auto"/>
              <w:ind w:firstLine="0" w:firstLineChars="0"/>
              <w:jc w:val="left"/>
              <w:rPr>
                <w:rFonts w:hint="eastAsia" w:ascii="Times New Roman" w:hAnsi="Times New Roman"/>
                <w:snapToGrid w:val="0"/>
                <w:kern w:val="0"/>
                <w:szCs w:val="24"/>
              </w:rPr>
            </w:pPr>
          </w:p>
        </w:tc>
      </w:tr>
      <w:tr w14:paraId="0088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14:paraId="4EA3FF75">
            <w:pPr>
              <w:autoSpaceDE/>
              <w:autoSpaceDN/>
              <w:spacing w:line="360" w:lineRule="auto"/>
              <w:ind w:firstLine="0" w:firstLineChars="0"/>
              <w:rPr>
                <w:rFonts w:hint="eastAsia" w:ascii="宋体" w:hAnsi="宋体" w:cs="Times New Roman"/>
                <w:snapToGrid w:val="0"/>
                <w:color w:val="auto"/>
                <w:kern w:val="0"/>
                <w:szCs w:val="24"/>
                <w:highlight w:val="none"/>
              </w:rPr>
            </w:pPr>
            <w:r>
              <w:rPr>
                <w:rFonts w:hint="eastAsia" w:ascii="宋体" w:hAnsi="宋体" w:cs="Times New Roman"/>
                <w:snapToGrid w:val="0"/>
                <w:color w:val="auto"/>
                <w:kern w:val="0"/>
                <w:szCs w:val="24"/>
                <w:highlight w:val="none"/>
              </w:rPr>
              <w:t>备注：</w:t>
            </w:r>
          </w:p>
          <w:p w14:paraId="51CA6709">
            <w:pPr>
              <w:autoSpaceDE/>
              <w:autoSpaceDN/>
              <w:spacing w:line="360" w:lineRule="auto"/>
              <w:ind w:firstLine="0" w:firstLineChars="0"/>
              <w:rPr>
                <w:rFonts w:hint="eastAsia" w:ascii="宋体" w:hAnsi="宋体" w:cs="Times New Roman"/>
                <w:snapToGrid w:val="0"/>
                <w:color w:val="auto"/>
                <w:kern w:val="0"/>
                <w:szCs w:val="24"/>
                <w:highlight w:val="none"/>
              </w:rPr>
            </w:pPr>
          </w:p>
        </w:tc>
      </w:tr>
    </w:tbl>
    <w:p w14:paraId="5BBDA8A6">
      <w:pPr>
        <w:spacing w:line="360" w:lineRule="auto"/>
        <w:ind w:right="-29" w:rightChars="-14" w:firstLine="480"/>
        <w:rPr>
          <w:rFonts w:ascii="Times New Roman" w:hAnsi="Times New Roman"/>
          <w:color w:val="auto"/>
          <w:szCs w:val="28"/>
          <w:highlight w:val="none"/>
        </w:rPr>
      </w:pPr>
      <w:r>
        <w:rPr>
          <w:rFonts w:hint="eastAsia" w:ascii="Times New Roman" w:hAnsi="Times New Roman"/>
          <w:color w:val="auto"/>
          <w:szCs w:val="28"/>
          <w:highlight w:val="none"/>
        </w:rPr>
        <w:t>注：上述税率为推荐税率，因国家政策产生的特殊情况除外，若有税收优惠请附相关凭证。若遇国家税率调整，则保持不含税价不变，重新计算含税价格。</w:t>
      </w:r>
    </w:p>
    <w:p w14:paraId="6E5BC6C6">
      <w:pPr>
        <w:spacing w:line="360" w:lineRule="auto"/>
        <w:ind w:right="-29" w:rightChars="-14" w:firstLine="480"/>
        <w:rPr>
          <w:rFonts w:ascii="Times New Roman" w:hAnsi="Times New Roman"/>
          <w:color w:val="auto"/>
          <w:szCs w:val="28"/>
          <w:highlight w:val="none"/>
        </w:rPr>
      </w:pPr>
    </w:p>
    <w:p w14:paraId="2666A488">
      <w:pPr>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szCs w:val="24"/>
          <w:highlight w:val="none"/>
        </w:rPr>
        <w:t>人：                            法人授权代表：</w:t>
      </w:r>
    </w:p>
    <w:p w14:paraId="73D9175A">
      <w:pPr>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（公章）                               （签字或盖章）</w:t>
      </w:r>
    </w:p>
    <w:p w14:paraId="5CCD0F33">
      <w:pPr>
        <w:spacing w:line="360" w:lineRule="auto"/>
        <w:ind w:right="-29" w:rightChars="-14" w:firstLine="480"/>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年     月     日</w:t>
      </w:r>
    </w:p>
    <w:p w14:paraId="19F64F50">
      <w:pPr>
        <w:snapToGrid w:val="0"/>
        <w:spacing w:line="360" w:lineRule="auto"/>
        <w:ind w:firstLine="480"/>
        <w:rPr>
          <w:rFonts w:ascii="Times New Roman" w:hAnsi="Times New Roman"/>
          <w:snapToGrid w:val="0"/>
          <w:color w:val="auto"/>
          <w:kern w:val="0"/>
          <w:szCs w:val="24"/>
          <w:highlight w:val="none"/>
        </w:rPr>
      </w:pPr>
    </w:p>
    <w:p w14:paraId="63BB1177">
      <w:pPr>
        <w:snapToGrid w:val="0"/>
        <w:spacing w:line="360" w:lineRule="auto"/>
        <w:ind w:firstLine="480"/>
        <w:rPr>
          <w:rFonts w:ascii="Times New Roman" w:hAnsi="Times New Roman"/>
          <w:snapToGrid w:val="0"/>
          <w:color w:val="auto"/>
          <w:kern w:val="0"/>
          <w:szCs w:val="24"/>
          <w:highlight w:val="none"/>
        </w:rPr>
      </w:pPr>
    </w:p>
    <w:p w14:paraId="0074011E">
      <w:pPr>
        <w:snapToGrid w:val="0"/>
        <w:spacing w:line="360" w:lineRule="auto"/>
        <w:ind w:firstLine="480"/>
        <w:jc w:val="lef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有关说明：</w:t>
      </w:r>
    </w:p>
    <w:p w14:paraId="7537CF90">
      <w:pPr>
        <w:snapToGrid w:val="0"/>
        <w:spacing w:line="360" w:lineRule="auto"/>
        <w:ind w:firstLine="480"/>
        <w:jc w:val="lef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报价一览表在开标大会上当众宣读，务必填写清楚，准确无误。表格可扩展。</w:t>
      </w:r>
    </w:p>
    <w:p w14:paraId="7BCA9CCE">
      <w:pPr>
        <w:tabs>
          <w:tab w:val="left" w:pos="6300"/>
        </w:tabs>
        <w:snapToGrid w:val="0"/>
        <w:spacing w:line="360" w:lineRule="auto"/>
        <w:ind w:right="480" w:firstLine="480"/>
        <w:jc w:val="left"/>
        <w:rPr>
          <w:rFonts w:hint="eastAsia"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本次报价包含维护期</w:t>
      </w:r>
      <w:r>
        <w:rPr>
          <w:rFonts w:hint="eastAsia" w:ascii="Times New Roman" w:hAnsi="Times New Roman"/>
          <w:snapToGrid w:val="0"/>
          <w:color w:val="auto"/>
          <w:kern w:val="0"/>
          <w:szCs w:val="24"/>
          <w:highlight w:val="none"/>
          <w:lang w:val="en-US" w:eastAsia="zh-CN"/>
        </w:rPr>
        <w:t>的</w:t>
      </w:r>
      <w:r>
        <w:rPr>
          <w:rFonts w:hint="eastAsia" w:ascii="Times New Roman" w:hAnsi="Times New Roman"/>
          <w:snapToGrid w:val="0"/>
          <w:color w:val="auto"/>
          <w:kern w:val="0"/>
          <w:szCs w:val="24"/>
          <w:highlight w:val="none"/>
        </w:rPr>
        <w:t>，比选人不再另行支付该维护期内维护费用。</w:t>
      </w:r>
    </w:p>
    <w:p w14:paraId="6D1C7F09">
      <w:pPr>
        <w:tabs>
          <w:tab w:val="left" w:pos="6300"/>
        </w:tabs>
        <w:snapToGrid w:val="0"/>
        <w:spacing w:line="360" w:lineRule="auto"/>
        <w:ind w:right="480" w:firstLine="480"/>
        <w:jc w:val="left"/>
        <w:rPr>
          <w:rFonts w:hint="eastAsia" w:ascii="Times New Roman" w:hAnsi="Times New Roman"/>
          <w:snapToGrid w:val="0"/>
          <w:color w:val="auto"/>
          <w:kern w:val="0"/>
          <w:szCs w:val="24"/>
          <w:highlight w:val="none"/>
        </w:rPr>
      </w:pPr>
    </w:p>
    <w:p w14:paraId="15847937">
      <w:pPr>
        <w:pStyle w:val="22"/>
        <w:rPr>
          <w:rFonts w:ascii="Times New Roman" w:hAnsi="Times New Roman"/>
        </w:rPr>
      </w:pPr>
      <w:r>
        <w:rPr>
          <w:rStyle w:val="38"/>
          <w:rFonts w:hint="eastAsia" w:ascii="Times New Roman" w:hAnsi="Times New Roman"/>
          <w:b w:val="0"/>
          <w:color w:val="auto"/>
          <w:highlight w:val="none"/>
        </w:rPr>
        <w:br w:type="page"/>
      </w:r>
      <w:r>
        <w:rPr>
          <w:rFonts w:hint="eastAsia"/>
          <w:lang w:val="en-US" w:eastAsia="zh-CN"/>
        </w:rPr>
        <w:t>三</w:t>
      </w:r>
      <w:r>
        <w:rPr>
          <w:rFonts w:ascii="Times New Roman" w:hAnsi="Times New Roman"/>
        </w:rPr>
        <w:t>、分项报价明细表</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905"/>
        <w:gridCol w:w="1280"/>
        <w:gridCol w:w="1306"/>
        <w:gridCol w:w="1589"/>
        <w:gridCol w:w="2008"/>
      </w:tblGrid>
      <w:tr w14:paraId="354F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pct"/>
          </w:tcPr>
          <w:p w14:paraId="3883F2DE">
            <w:pPr>
              <w:ind w:firstLine="0" w:firstLineChars="0"/>
              <w:jc w:val="center"/>
              <w:rPr>
                <w:rFonts w:ascii="Times New Roman" w:hAnsi="Times New Roman"/>
                <w:bCs/>
              </w:rPr>
            </w:pPr>
            <w:r>
              <w:rPr>
                <w:rFonts w:ascii="Times New Roman" w:hAnsi="Times New Roman"/>
                <w:bCs/>
              </w:rPr>
              <w:t>标段名称</w:t>
            </w:r>
          </w:p>
        </w:tc>
        <w:tc>
          <w:tcPr>
            <w:tcW w:w="4158" w:type="pct"/>
            <w:gridSpan w:val="5"/>
          </w:tcPr>
          <w:p w14:paraId="7CA90366">
            <w:pPr>
              <w:ind w:firstLine="0" w:firstLineChars="0"/>
              <w:jc w:val="center"/>
              <w:rPr>
                <w:rFonts w:ascii="Times New Roman" w:hAnsi="Times New Roman"/>
                <w:bCs/>
              </w:rPr>
            </w:pPr>
            <w:r>
              <w:t>重庆三峡银行2024</w:t>
            </w:r>
            <w:r>
              <w:rPr>
                <w:rFonts w:hint="eastAsia"/>
              </w:rPr>
              <w:t>年</w:t>
            </w:r>
            <w:r>
              <w:t>信创</w:t>
            </w:r>
            <w:r>
              <w:rPr>
                <w:rFonts w:hint="eastAsia"/>
              </w:rPr>
              <w:t>服务器采购项目</w:t>
            </w:r>
            <w:r>
              <w:rPr>
                <w:rFonts w:hint="eastAsia"/>
                <w:lang w:eastAsia="zh-CN"/>
              </w:rPr>
              <w:t>（</w:t>
            </w:r>
            <w:r>
              <w:rPr>
                <w:rFonts w:hint="eastAsia"/>
                <w:lang w:val="en-US" w:eastAsia="zh-CN"/>
              </w:rPr>
              <w:t>标段X</w:t>
            </w:r>
            <w:r>
              <w:rPr>
                <w:rFonts w:hint="eastAsia"/>
                <w:lang w:eastAsia="zh-CN"/>
              </w:rPr>
              <w:t>）</w:t>
            </w:r>
          </w:p>
        </w:tc>
      </w:tr>
      <w:tr w14:paraId="2C90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pct"/>
          </w:tcPr>
          <w:p w14:paraId="07D96308">
            <w:pPr>
              <w:ind w:firstLine="0" w:firstLineChars="0"/>
              <w:jc w:val="center"/>
              <w:rPr>
                <w:rFonts w:ascii="Times New Roman" w:hAnsi="Times New Roman"/>
                <w:bCs/>
              </w:rPr>
            </w:pPr>
            <w:r>
              <w:rPr>
                <w:rFonts w:ascii="Times New Roman" w:hAnsi="Times New Roman"/>
                <w:bCs/>
              </w:rPr>
              <w:t>配置名称</w:t>
            </w:r>
          </w:p>
        </w:tc>
        <w:tc>
          <w:tcPr>
            <w:tcW w:w="531" w:type="pct"/>
          </w:tcPr>
          <w:p w14:paraId="16CEF9F3">
            <w:pPr>
              <w:ind w:firstLine="0" w:firstLineChars="0"/>
              <w:jc w:val="center"/>
              <w:rPr>
                <w:rFonts w:ascii="Times New Roman" w:hAnsi="Times New Roman"/>
                <w:bCs/>
              </w:rPr>
            </w:pPr>
            <w:r>
              <w:rPr>
                <w:rFonts w:ascii="Times New Roman" w:hAnsi="Times New Roman"/>
                <w:bCs/>
              </w:rPr>
              <w:t>品牌</w:t>
            </w:r>
          </w:p>
        </w:tc>
        <w:tc>
          <w:tcPr>
            <w:tcW w:w="751" w:type="pct"/>
          </w:tcPr>
          <w:p w14:paraId="28DC0788">
            <w:pPr>
              <w:ind w:firstLine="0" w:firstLineChars="0"/>
              <w:jc w:val="center"/>
              <w:rPr>
                <w:rFonts w:ascii="Times New Roman" w:hAnsi="Times New Roman"/>
                <w:bCs/>
              </w:rPr>
            </w:pPr>
            <w:r>
              <w:rPr>
                <w:rFonts w:ascii="Times New Roman" w:hAnsi="Times New Roman"/>
                <w:bCs/>
              </w:rPr>
              <w:t>型号</w:t>
            </w:r>
          </w:p>
        </w:tc>
        <w:tc>
          <w:tcPr>
            <w:tcW w:w="766" w:type="pct"/>
          </w:tcPr>
          <w:p w14:paraId="29BD6706">
            <w:pPr>
              <w:ind w:firstLine="0" w:firstLineChars="0"/>
              <w:jc w:val="center"/>
              <w:rPr>
                <w:rFonts w:ascii="Times New Roman" w:hAnsi="Times New Roman"/>
                <w:bCs/>
              </w:rPr>
            </w:pPr>
            <w:r>
              <w:rPr>
                <w:rFonts w:ascii="Times New Roman" w:hAnsi="Times New Roman"/>
                <w:bCs/>
              </w:rPr>
              <w:t>数量(台)</w:t>
            </w:r>
          </w:p>
        </w:tc>
        <w:tc>
          <w:tcPr>
            <w:tcW w:w="932" w:type="pct"/>
          </w:tcPr>
          <w:p w14:paraId="0F802BAA">
            <w:pPr>
              <w:ind w:firstLine="0" w:firstLineChars="0"/>
              <w:jc w:val="center"/>
              <w:rPr>
                <w:rFonts w:ascii="Times New Roman" w:hAnsi="Times New Roman"/>
                <w:bCs/>
              </w:rPr>
            </w:pPr>
            <w:r>
              <w:rPr>
                <w:rFonts w:ascii="Times New Roman" w:hAnsi="Times New Roman"/>
                <w:bCs/>
              </w:rPr>
              <w:t>单价（元）</w:t>
            </w:r>
          </w:p>
        </w:tc>
        <w:tc>
          <w:tcPr>
            <w:tcW w:w="1177" w:type="pct"/>
          </w:tcPr>
          <w:p w14:paraId="74829428">
            <w:pPr>
              <w:ind w:firstLine="0" w:firstLineChars="0"/>
              <w:jc w:val="center"/>
              <w:rPr>
                <w:rFonts w:ascii="Times New Roman" w:hAnsi="Times New Roman"/>
                <w:bCs/>
              </w:rPr>
            </w:pPr>
            <w:r>
              <w:rPr>
                <w:rFonts w:ascii="Times New Roman" w:hAnsi="Times New Roman"/>
                <w:bCs/>
              </w:rPr>
              <w:t>单项总价（元）</w:t>
            </w:r>
          </w:p>
        </w:tc>
      </w:tr>
      <w:tr w14:paraId="0C45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pct"/>
            <w:tcBorders>
              <w:left w:val="single" w:color="auto" w:sz="4" w:space="0"/>
            </w:tcBorders>
          </w:tcPr>
          <w:p w14:paraId="4D21A005">
            <w:pPr>
              <w:ind w:firstLine="0" w:firstLineChars="0"/>
              <w:jc w:val="center"/>
              <w:rPr>
                <w:rFonts w:ascii="Times New Roman" w:hAnsi="Times New Roman"/>
                <w:bCs/>
              </w:rPr>
            </w:pPr>
            <w:r>
              <w:rPr>
                <w:rFonts w:ascii="Times New Roman" w:hAnsi="Times New Roman"/>
                <w:bCs/>
              </w:rPr>
              <w:t>配置X</w:t>
            </w:r>
          </w:p>
        </w:tc>
        <w:tc>
          <w:tcPr>
            <w:tcW w:w="531" w:type="pct"/>
            <w:tcBorders>
              <w:left w:val="single" w:color="auto" w:sz="4" w:space="0"/>
            </w:tcBorders>
          </w:tcPr>
          <w:p w14:paraId="47B255DD">
            <w:pPr>
              <w:ind w:firstLine="0" w:firstLineChars="0"/>
              <w:jc w:val="center"/>
              <w:rPr>
                <w:rFonts w:ascii="Times New Roman" w:hAnsi="Times New Roman"/>
                <w:bCs/>
              </w:rPr>
            </w:pPr>
            <w:r>
              <w:rPr>
                <w:rFonts w:ascii="Times New Roman" w:hAnsi="Times New Roman"/>
                <w:bCs/>
              </w:rPr>
              <w:t>XX</w:t>
            </w:r>
          </w:p>
        </w:tc>
        <w:tc>
          <w:tcPr>
            <w:tcW w:w="751" w:type="pct"/>
            <w:tcBorders>
              <w:left w:val="single" w:color="auto" w:sz="4" w:space="0"/>
            </w:tcBorders>
          </w:tcPr>
          <w:p w14:paraId="66FBB2C1">
            <w:pPr>
              <w:ind w:firstLine="0" w:firstLineChars="0"/>
              <w:jc w:val="center"/>
              <w:rPr>
                <w:rFonts w:ascii="Times New Roman" w:hAnsi="Times New Roman"/>
                <w:bCs/>
              </w:rPr>
            </w:pPr>
            <w:r>
              <w:rPr>
                <w:rFonts w:ascii="Times New Roman" w:hAnsi="Times New Roman"/>
                <w:bCs/>
              </w:rPr>
              <w:t>XX</w:t>
            </w:r>
          </w:p>
        </w:tc>
        <w:tc>
          <w:tcPr>
            <w:tcW w:w="766" w:type="pct"/>
            <w:tcBorders>
              <w:left w:val="single" w:color="auto" w:sz="4" w:space="0"/>
            </w:tcBorders>
          </w:tcPr>
          <w:p w14:paraId="30D13C33">
            <w:pPr>
              <w:ind w:firstLine="0" w:firstLineChars="0"/>
              <w:jc w:val="center"/>
              <w:rPr>
                <w:rFonts w:ascii="Times New Roman" w:hAnsi="Times New Roman"/>
                <w:bCs/>
              </w:rPr>
            </w:pPr>
            <w:r>
              <w:rPr>
                <w:rFonts w:ascii="Times New Roman" w:hAnsi="Times New Roman"/>
                <w:bCs/>
              </w:rPr>
              <w:t>X</w:t>
            </w:r>
          </w:p>
        </w:tc>
        <w:tc>
          <w:tcPr>
            <w:tcW w:w="932" w:type="pct"/>
            <w:tcBorders>
              <w:left w:val="single" w:color="auto" w:sz="4" w:space="0"/>
            </w:tcBorders>
          </w:tcPr>
          <w:p w14:paraId="1097AB75">
            <w:pPr>
              <w:ind w:firstLine="0" w:firstLineChars="0"/>
              <w:jc w:val="center"/>
              <w:rPr>
                <w:rFonts w:ascii="Times New Roman" w:hAnsi="Times New Roman"/>
                <w:bCs/>
              </w:rPr>
            </w:pPr>
            <w:r>
              <w:rPr>
                <w:rFonts w:ascii="Times New Roman" w:hAnsi="Times New Roman"/>
                <w:bCs/>
              </w:rPr>
              <w:t>X</w:t>
            </w:r>
          </w:p>
        </w:tc>
        <w:tc>
          <w:tcPr>
            <w:tcW w:w="1177" w:type="pct"/>
            <w:tcBorders>
              <w:left w:val="single" w:color="auto" w:sz="4" w:space="0"/>
            </w:tcBorders>
          </w:tcPr>
          <w:p w14:paraId="7C99B0D2">
            <w:pPr>
              <w:ind w:firstLine="0" w:firstLineChars="0"/>
              <w:jc w:val="center"/>
              <w:rPr>
                <w:rFonts w:ascii="Times New Roman" w:hAnsi="Times New Roman"/>
                <w:bCs/>
              </w:rPr>
            </w:pPr>
            <w:r>
              <w:rPr>
                <w:rFonts w:ascii="Times New Roman" w:hAnsi="Times New Roman"/>
                <w:bCs/>
              </w:rPr>
              <w:t>X</w:t>
            </w:r>
          </w:p>
        </w:tc>
      </w:tr>
      <w:tr w14:paraId="0AE3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pct"/>
            <w:tcBorders>
              <w:left w:val="single" w:color="auto" w:sz="4" w:space="0"/>
            </w:tcBorders>
          </w:tcPr>
          <w:p w14:paraId="3E885967">
            <w:pPr>
              <w:pBdr>
                <w:top w:val="none" w:color="auto" w:sz="0" w:space="0"/>
                <w:left w:val="none" w:color="auto" w:sz="0" w:space="0"/>
                <w:bottom w:val="none" w:color="auto" w:sz="0" w:space="0"/>
                <w:right w:val="none" w:color="auto" w:sz="0" w:space="0"/>
              </w:pBdr>
              <w:ind w:firstLine="0" w:firstLineChars="0"/>
              <w:rPr>
                <w:rStyle w:val="19"/>
                <w:rFonts w:ascii="Times New Roman" w:hAnsi="Times New Roman"/>
                <w:b/>
              </w:rPr>
            </w:pPr>
          </w:p>
        </w:tc>
        <w:tc>
          <w:tcPr>
            <w:tcW w:w="531" w:type="pct"/>
            <w:tcBorders>
              <w:left w:val="single" w:color="auto" w:sz="4" w:space="0"/>
            </w:tcBorders>
          </w:tcPr>
          <w:p w14:paraId="17884EF5">
            <w:pPr>
              <w:pBdr>
                <w:top w:val="none" w:color="auto" w:sz="0" w:space="0"/>
                <w:left w:val="none" w:color="auto" w:sz="0" w:space="0"/>
                <w:bottom w:val="none" w:color="auto" w:sz="0" w:space="0"/>
                <w:right w:val="none" w:color="auto" w:sz="0" w:space="0"/>
              </w:pBdr>
              <w:ind w:firstLine="0" w:firstLineChars="0"/>
              <w:rPr>
                <w:rStyle w:val="19"/>
                <w:rFonts w:ascii="Times New Roman" w:hAnsi="Times New Roman"/>
                <w:b/>
              </w:rPr>
            </w:pPr>
          </w:p>
        </w:tc>
        <w:tc>
          <w:tcPr>
            <w:tcW w:w="751" w:type="pct"/>
            <w:tcBorders>
              <w:left w:val="single" w:color="auto" w:sz="4" w:space="0"/>
            </w:tcBorders>
          </w:tcPr>
          <w:p w14:paraId="62BFF026">
            <w:pPr>
              <w:pBdr>
                <w:top w:val="none" w:color="auto" w:sz="0" w:space="0"/>
                <w:left w:val="none" w:color="auto" w:sz="0" w:space="0"/>
                <w:bottom w:val="none" w:color="auto" w:sz="0" w:space="0"/>
                <w:right w:val="none" w:color="auto" w:sz="0" w:space="0"/>
              </w:pBdr>
              <w:ind w:firstLine="0" w:firstLineChars="0"/>
              <w:rPr>
                <w:rStyle w:val="19"/>
                <w:rFonts w:ascii="Times New Roman" w:hAnsi="Times New Roman"/>
                <w:b/>
              </w:rPr>
            </w:pPr>
          </w:p>
        </w:tc>
        <w:tc>
          <w:tcPr>
            <w:tcW w:w="766" w:type="pct"/>
            <w:tcBorders>
              <w:left w:val="single" w:color="auto" w:sz="4" w:space="0"/>
            </w:tcBorders>
          </w:tcPr>
          <w:p w14:paraId="1378C5A7">
            <w:pPr>
              <w:pBdr>
                <w:top w:val="none" w:color="auto" w:sz="0" w:space="0"/>
                <w:left w:val="none" w:color="auto" w:sz="0" w:space="0"/>
                <w:bottom w:val="none" w:color="auto" w:sz="0" w:space="0"/>
                <w:right w:val="none" w:color="auto" w:sz="0" w:space="0"/>
              </w:pBdr>
              <w:ind w:firstLine="0" w:firstLineChars="0"/>
              <w:rPr>
                <w:rStyle w:val="19"/>
                <w:rFonts w:ascii="Times New Roman" w:hAnsi="Times New Roman"/>
                <w:b/>
              </w:rPr>
            </w:pPr>
          </w:p>
        </w:tc>
        <w:tc>
          <w:tcPr>
            <w:tcW w:w="932" w:type="pct"/>
            <w:tcBorders>
              <w:left w:val="single" w:color="auto" w:sz="4" w:space="0"/>
            </w:tcBorders>
          </w:tcPr>
          <w:p w14:paraId="36404239">
            <w:pPr>
              <w:pBdr>
                <w:top w:val="none" w:color="auto" w:sz="0" w:space="0"/>
                <w:left w:val="none" w:color="auto" w:sz="0" w:space="0"/>
                <w:bottom w:val="none" w:color="auto" w:sz="0" w:space="0"/>
                <w:right w:val="none" w:color="auto" w:sz="0" w:space="0"/>
              </w:pBdr>
              <w:ind w:firstLine="0" w:firstLineChars="0"/>
              <w:rPr>
                <w:rStyle w:val="19"/>
                <w:rFonts w:ascii="Times New Roman" w:hAnsi="Times New Roman"/>
                <w:b/>
              </w:rPr>
            </w:pPr>
          </w:p>
        </w:tc>
        <w:tc>
          <w:tcPr>
            <w:tcW w:w="1177" w:type="pct"/>
            <w:tcBorders>
              <w:left w:val="single" w:color="auto" w:sz="4" w:space="0"/>
            </w:tcBorders>
          </w:tcPr>
          <w:p w14:paraId="3591C1CA">
            <w:pPr>
              <w:pBdr>
                <w:top w:val="none" w:color="auto" w:sz="0" w:space="0"/>
                <w:left w:val="none" w:color="auto" w:sz="0" w:space="0"/>
                <w:bottom w:val="none" w:color="auto" w:sz="0" w:space="0"/>
                <w:right w:val="none" w:color="auto" w:sz="0" w:space="0"/>
              </w:pBdr>
              <w:ind w:firstLine="0" w:firstLineChars="0"/>
              <w:rPr>
                <w:rStyle w:val="19"/>
                <w:rFonts w:ascii="Times New Roman" w:hAnsi="Times New Roman"/>
                <w:b/>
              </w:rPr>
            </w:pPr>
          </w:p>
        </w:tc>
      </w:tr>
      <w:tr w14:paraId="7CE2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pct"/>
            <w:tcBorders>
              <w:left w:val="single" w:color="auto" w:sz="4" w:space="0"/>
            </w:tcBorders>
          </w:tcPr>
          <w:p w14:paraId="0CBD1043">
            <w:pPr>
              <w:pBdr>
                <w:top w:val="none" w:color="auto" w:sz="0" w:space="0"/>
                <w:left w:val="none" w:color="auto" w:sz="0" w:space="0"/>
                <w:bottom w:val="none" w:color="auto" w:sz="0" w:space="0"/>
                <w:right w:val="none" w:color="auto" w:sz="0" w:space="0"/>
              </w:pBdr>
              <w:ind w:firstLine="0" w:firstLineChars="0"/>
              <w:rPr>
                <w:rStyle w:val="19"/>
                <w:rFonts w:ascii="Times New Roman" w:hAnsi="Times New Roman"/>
                <w:b/>
              </w:rPr>
            </w:pPr>
          </w:p>
        </w:tc>
        <w:tc>
          <w:tcPr>
            <w:tcW w:w="531" w:type="pct"/>
            <w:tcBorders>
              <w:left w:val="single" w:color="auto" w:sz="4" w:space="0"/>
            </w:tcBorders>
          </w:tcPr>
          <w:p w14:paraId="68618C37">
            <w:pPr>
              <w:pBdr>
                <w:top w:val="none" w:color="auto" w:sz="0" w:space="0"/>
                <w:left w:val="none" w:color="auto" w:sz="0" w:space="0"/>
                <w:bottom w:val="none" w:color="auto" w:sz="0" w:space="0"/>
                <w:right w:val="none" w:color="auto" w:sz="0" w:space="0"/>
              </w:pBdr>
              <w:ind w:firstLine="0" w:firstLineChars="0"/>
              <w:rPr>
                <w:rStyle w:val="19"/>
                <w:rFonts w:ascii="Times New Roman" w:hAnsi="Times New Roman"/>
                <w:b/>
              </w:rPr>
            </w:pPr>
          </w:p>
        </w:tc>
        <w:tc>
          <w:tcPr>
            <w:tcW w:w="751" w:type="pct"/>
            <w:tcBorders>
              <w:left w:val="single" w:color="auto" w:sz="4" w:space="0"/>
            </w:tcBorders>
          </w:tcPr>
          <w:p w14:paraId="3DDFF0D5">
            <w:pPr>
              <w:pBdr>
                <w:top w:val="none" w:color="auto" w:sz="0" w:space="0"/>
                <w:left w:val="none" w:color="auto" w:sz="0" w:space="0"/>
                <w:bottom w:val="none" w:color="auto" w:sz="0" w:space="0"/>
                <w:right w:val="none" w:color="auto" w:sz="0" w:space="0"/>
              </w:pBdr>
              <w:ind w:firstLine="0" w:firstLineChars="0"/>
              <w:rPr>
                <w:rStyle w:val="19"/>
                <w:rFonts w:ascii="Times New Roman" w:hAnsi="Times New Roman"/>
                <w:b/>
              </w:rPr>
            </w:pPr>
          </w:p>
        </w:tc>
        <w:tc>
          <w:tcPr>
            <w:tcW w:w="766" w:type="pct"/>
            <w:tcBorders>
              <w:left w:val="single" w:color="auto" w:sz="4" w:space="0"/>
            </w:tcBorders>
          </w:tcPr>
          <w:p w14:paraId="00B66DB9">
            <w:pPr>
              <w:pBdr>
                <w:top w:val="none" w:color="auto" w:sz="0" w:space="0"/>
                <w:left w:val="none" w:color="auto" w:sz="0" w:space="0"/>
                <w:bottom w:val="none" w:color="auto" w:sz="0" w:space="0"/>
                <w:right w:val="none" w:color="auto" w:sz="0" w:space="0"/>
              </w:pBdr>
              <w:ind w:firstLine="0" w:firstLineChars="0"/>
              <w:rPr>
                <w:rStyle w:val="19"/>
                <w:rFonts w:ascii="Times New Roman" w:hAnsi="Times New Roman"/>
                <w:b/>
              </w:rPr>
            </w:pPr>
          </w:p>
        </w:tc>
        <w:tc>
          <w:tcPr>
            <w:tcW w:w="932" w:type="pct"/>
            <w:tcBorders>
              <w:left w:val="single" w:color="auto" w:sz="4" w:space="0"/>
            </w:tcBorders>
          </w:tcPr>
          <w:p w14:paraId="00C940A6">
            <w:pPr>
              <w:pBdr>
                <w:top w:val="none" w:color="auto" w:sz="0" w:space="0"/>
                <w:left w:val="none" w:color="auto" w:sz="0" w:space="0"/>
                <w:bottom w:val="none" w:color="auto" w:sz="0" w:space="0"/>
                <w:right w:val="none" w:color="auto" w:sz="0" w:space="0"/>
              </w:pBdr>
              <w:ind w:firstLine="0" w:firstLineChars="0"/>
              <w:rPr>
                <w:rStyle w:val="19"/>
                <w:rFonts w:ascii="Times New Roman" w:hAnsi="Times New Roman"/>
                <w:b/>
              </w:rPr>
            </w:pPr>
          </w:p>
        </w:tc>
        <w:tc>
          <w:tcPr>
            <w:tcW w:w="1177" w:type="pct"/>
            <w:tcBorders>
              <w:left w:val="single" w:color="auto" w:sz="4" w:space="0"/>
            </w:tcBorders>
          </w:tcPr>
          <w:p w14:paraId="7B296880">
            <w:pPr>
              <w:pBdr>
                <w:top w:val="none" w:color="auto" w:sz="0" w:space="0"/>
                <w:left w:val="none" w:color="auto" w:sz="0" w:space="0"/>
                <w:bottom w:val="none" w:color="auto" w:sz="0" w:space="0"/>
                <w:right w:val="none" w:color="auto" w:sz="0" w:space="0"/>
              </w:pBdr>
              <w:ind w:firstLine="0" w:firstLineChars="0"/>
              <w:rPr>
                <w:rStyle w:val="19"/>
                <w:rFonts w:ascii="Times New Roman" w:hAnsi="Times New Roman"/>
                <w:b/>
              </w:rPr>
            </w:pPr>
          </w:p>
        </w:tc>
      </w:tr>
      <w:tr w14:paraId="19A0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pct"/>
            <w:tcBorders>
              <w:left w:val="single" w:color="auto" w:sz="4" w:space="0"/>
            </w:tcBorders>
          </w:tcPr>
          <w:p w14:paraId="7694E6F6">
            <w:pPr>
              <w:pBdr>
                <w:top w:val="none" w:color="auto" w:sz="0" w:space="0"/>
                <w:left w:val="none" w:color="auto" w:sz="0" w:space="0"/>
                <w:bottom w:val="none" w:color="auto" w:sz="0" w:space="0"/>
                <w:right w:val="none" w:color="auto" w:sz="0" w:space="0"/>
              </w:pBdr>
              <w:ind w:firstLine="0" w:firstLineChars="0"/>
              <w:rPr>
                <w:rStyle w:val="19"/>
                <w:rFonts w:ascii="Times New Roman" w:hAnsi="Times New Roman"/>
                <w:b/>
              </w:rPr>
            </w:pPr>
          </w:p>
        </w:tc>
        <w:tc>
          <w:tcPr>
            <w:tcW w:w="531" w:type="pct"/>
            <w:tcBorders>
              <w:left w:val="single" w:color="auto" w:sz="4" w:space="0"/>
            </w:tcBorders>
          </w:tcPr>
          <w:p w14:paraId="4C986D4A">
            <w:pPr>
              <w:pBdr>
                <w:top w:val="none" w:color="auto" w:sz="0" w:space="0"/>
                <w:left w:val="none" w:color="auto" w:sz="0" w:space="0"/>
                <w:bottom w:val="none" w:color="auto" w:sz="0" w:space="0"/>
                <w:right w:val="none" w:color="auto" w:sz="0" w:space="0"/>
              </w:pBdr>
              <w:ind w:firstLine="0" w:firstLineChars="0"/>
              <w:rPr>
                <w:rStyle w:val="19"/>
                <w:rFonts w:ascii="Times New Roman" w:hAnsi="Times New Roman"/>
                <w:b/>
              </w:rPr>
            </w:pPr>
          </w:p>
        </w:tc>
        <w:tc>
          <w:tcPr>
            <w:tcW w:w="751" w:type="pct"/>
            <w:tcBorders>
              <w:left w:val="single" w:color="auto" w:sz="4" w:space="0"/>
            </w:tcBorders>
          </w:tcPr>
          <w:p w14:paraId="26720821">
            <w:pPr>
              <w:pBdr>
                <w:top w:val="none" w:color="auto" w:sz="0" w:space="0"/>
                <w:left w:val="none" w:color="auto" w:sz="0" w:space="0"/>
                <w:bottom w:val="none" w:color="auto" w:sz="0" w:space="0"/>
                <w:right w:val="none" w:color="auto" w:sz="0" w:space="0"/>
              </w:pBdr>
              <w:ind w:firstLine="0" w:firstLineChars="0"/>
              <w:rPr>
                <w:rStyle w:val="19"/>
                <w:rFonts w:ascii="Times New Roman" w:hAnsi="Times New Roman"/>
                <w:b/>
              </w:rPr>
            </w:pPr>
          </w:p>
        </w:tc>
        <w:tc>
          <w:tcPr>
            <w:tcW w:w="766" w:type="pct"/>
            <w:tcBorders>
              <w:left w:val="single" w:color="auto" w:sz="4" w:space="0"/>
            </w:tcBorders>
          </w:tcPr>
          <w:p w14:paraId="25083AAD">
            <w:pPr>
              <w:pBdr>
                <w:top w:val="none" w:color="auto" w:sz="0" w:space="0"/>
                <w:left w:val="none" w:color="auto" w:sz="0" w:space="0"/>
                <w:bottom w:val="none" w:color="auto" w:sz="0" w:space="0"/>
                <w:right w:val="none" w:color="auto" w:sz="0" w:space="0"/>
              </w:pBdr>
              <w:ind w:firstLine="0" w:firstLineChars="0"/>
              <w:rPr>
                <w:rStyle w:val="19"/>
                <w:rFonts w:ascii="Times New Roman" w:hAnsi="Times New Roman"/>
                <w:b/>
              </w:rPr>
            </w:pPr>
          </w:p>
        </w:tc>
        <w:tc>
          <w:tcPr>
            <w:tcW w:w="932" w:type="pct"/>
            <w:tcBorders>
              <w:left w:val="single" w:color="auto" w:sz="4" w:space="0"/>
            </w:tcBorders>
          </w:tcPr>
          <w:p w14:paraId="303A115E">
            <w:pPr>
              <w:pBdr>
                <w:top w:val="none" w:color="auto" w:sz="0" w:space="0"/>
                <w:left w:val="none" w:color="auto" w:sz="0" w:space="0"/>
                <w:bottom w:val="none" w:color="auto" w:sz="0" w:space="0"/>
                <w:right w:val="none" w:color="auto" w:sz="0" w:space="0"/>
              </w:pBdr>
              <w:ind w:firstLine="0" w:firstLineChars="0"/>
              <w:rPr>
                <w:rStyle w:val="19"/>
                <w:rFonts w:ascii="Times New Roman" w:hAnsi="Times New Roman"/>
                <w:b/>
              </w:rPr>
            </w:pPr>
          </w:p>
        </w:tc>
        <w:tc>
          <w:tcPr>
            <w:tcW w:w="1177" w:type="pct"/>
            <w:tcBorders>
              <w:left w:val="single" w:color="auto" w:sz="4" w:space="0"/>
            </w:tcBorders>
          </w:tcPr>
          <w:p w14:paraId="07D4FD9A">
            <w:pPr>
              <w:pBdr>
                <w:top w:val="none" w:color="auto" w:sz="0" w:space="0"/>
                <w:left w:val="none" w:color="auto" w:sz="0" w:space="0"/>
                <w:bottom w:val="none" w:color="auto" w:sz="0" w:space="0"/>
                <w:right w:val="none" w:color="auto" w:sz="0" w:space="0"/>
              </w:pBdr>
              <w:ind w:firstLine="0" w:firstLineChars="0"/>
              <w:rPr>
                <w:rStyle w:val="19"/>
                <w:rFonts w:ascii="Times New Roman" w:hAnsi="Times New Roman"/>
                <w:b/>
              </w:rPr>
            </w:pPr>
          </w:p>
        </w:tc>
      </w:tr>
      <w:tr w14:paraId="7921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pct"/>
            <w:tcBorders>
              <w:left w:val="single" w:color="auto" w:sz="4" w:space="0"/>
            </w:tcBorders>
          </w:tcPr>
          <w:p w14:paraId="5856E87E">
            <w:pPr>
              <w:pBdr>
                <w:top w:val="none" w:color="auto" w:sz="0" w:space="0"/>
                <w:left w:val="none" w:color="auto" w:sz="0" w:space="0"/>
                <w:bottom w:val="none" w:color="auto" w:sz="0" w:space="0"/>
                <w:right w:val="none" w:color="auto" w:sz="0" w:space="0"/>
              </w:pBdr>
              <w:ind w:firstLine="0" w:firstLineChars="0"/>
              <w:rPr>
                <w:rStyle w:val="19"/>
                <w:rFonts w:ascii="Times New Roman" w:hAnsi="Times New Roman"/>
                <w:b/>
              </w:rPr>
            </w:pPr>
          </w:p>
        </w:tc>
        <w:tc>
          <w:tcPr>
            <w:tcW w:w="531" w:type="pct"/>
            <w:tcBorders>
              <w:left w:val="single" w:color="auto" w:sz="4" w:space="0"/>
            </w:tcBorders>
          </w:tcPr>
          <w:p w14:paraId="1070F69E">
            <w:pPr>
              <w:pBdr>
                <w:top w:val="none" w:color="auto" w:sz="0" w:space="0"/>
                <w:left w:val="none" w:color="auto" w:sz="0" w:space="0"/>
                <w:bottom w:val="none" w:color="auto" w:sz="0" w:space="0"/>
                <w:right w:val="none" w:color="auto" w:sz="0" w:space="0"/>
              </w:pBdr>
              <w:ind w:firstLine="0" w:firstLineChars="0"/>
              <w:rPr>
                <w:rStyle w:val="19"/>
                <w:rFonts w:ascii="Times New Roman" w:hAnsi="Times New Roman"/>
                <w:b/>
              </w:rPr>
            </w:pPr>
          </w:p>
        </w:tc>
        <w:tc>
          <w:tcPr>
            <w:tcW w:w="751" w:type="pct"/>
            <w:tcBorders>
              <w:left w:val="single" w:color="auto" w:sz="4" w:space="0"/>
            </w:tcBorders>
          </w:tcPr>
          <w:p w14:paraId="429B58DB">
            <w:pPr>
              <w:pBdr>
                <w:top w:val="none" w:color="auto" w:sz="0" w:space="0"/>
                <w:left w:val="none" w:color="auto" w:sz="0" w:space="0"/>
                <w:bottom w:val="none" w:color="auto" w:sz="0" w:space="0"/>
                <w:right w:val="none" w:color="auto" w:sz="0" w:space="0"/>
              </w:pBdr>
              <w:ind w:firstLine="0" w:firstLineChars="0"/>
              <w:rPr>
                <w:rStyle w:val="19"/>
                <w:rFonts w:ascii="Times New Roman" w:hAnsi="Times New Roman"/>
                <w:b/>
              </w:rPr>
            </w:pPr>
          </w:p>
        </w:tc>
        <w:tc>
          <w:tcPr>
            <w:tcW w:w="766" w:type="pct"/>
            <w:tcBorders>
              <w:left w:val="single" w:color="auto" w:sz="4" w:space="0"/>
            </w:tcBorders>
          </w:tcPr>
          <w:p w14:paraId="29BFC48C">
            <w:pPr>
              <w:pBdr>
                <w:top w:val="none" w:color="auto" w:sz="0" w:space="0"/>
                <w:left w:val="none" w:color="auto" w:sz="0" w:space="0"/>
                <w:bottom w:val="none" w:color="auto" w:sz="0" w:space="0"/>
                <w:right w:val="none" w:color="auto" w:sz="0" w:space="0"/>
              </w:pBdr>
              <w:ind w:firstLine="0" w:firstLineChars="0"/>
              <w:rPr>
                <w:rStyle w:val="19"/>
                <w:rFonts w:ascii="Times New Roman" w:hAnsi="Times New Roman"/>
                <w:b/>
              </w:rPr>
            </w:pPr>
          </w:p>
        </w:tc>
        <w:tc>
          <w:tcPr>
            <w:tcW w:w="932" w:type="pct"/>
            <w:tcBorders>
              <w:left w:val="single" w:color="auto" w:sz="4" w:space="0"/>
            </w:tcBorders>
          </w:tcPr>
          <w:p w14:paraId="7C5866E7">
            <w:pPr>
              <w:pBdr>
                <w:top w:val="none" w:color="auto" w:sz="0" w:space="0"/>
                <w:left w:val="none" w:color="auto" w:sz="0" w:space="0"/>
                <w:bottom w:val="none" w:color="auto" w:sz="0" w:space="0"/>
                <w:right w:val="none" w:color="auto" w:sz="0" w:space="0"/>
              </w:pBdr>
              <w:ind w:firstLine="0" w:firstLineChars="0"/>
              <w:rPr>
                <w:rStyle w:val="19"/>
                <w:rFonts w:ascii="Times New Roman" w:hAnsi="Times New Roman"/>
                <w:b/>
              </w:rPr>
            </w:pPr>
          </w:p>
        </w:tc>
        <w:tc>
          <w:tcPr>
            <w:tcW w:w="1177" w:type="pct"/>
            <w:tcBorders>
              <w:left w:val="single" w:color="auto" w:sz="4" w:space="0"/>
            </w:tcBorders>
          </w:tcPr>
          <w:p w14:paraId="76F505DE">
            <w:pPr>
              <w:pBdr>
                <w:top w:val="none" w:color="auto" w:sz="0" w:space="0"/>
                <w:left w:val="none" w:color="auto" w:sz="0" w:space="0"/>
                <w:bottom w:val="none" w:color="auto" w:sz="0" w:space="0"/>
                <w:right w:val="none" w:color="auto" w:sz="0" w:space="0"/>
              </w:pBdr>
              <w:ind w:firstLine="0" w:firstLineChars="0"/>
              <w:rPr>
                <w:rStyle w:val="19"/>
                <w:rFonts w:ascii="Times New Roman" w:hAnsi="Times New Roman"/>
                <w:b/>
              </w:rPr>
            </w:pPr>
          </w:p>
        </w:tc>
      </w:tr>
      <w:tr w14:paraId="6B2F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pct"/>
            <w:tcBorders>
              <w:left w:val="single" w:color="auto" w:sz="4" w:space="0"/>
            </w:tcBorders>
          </w:tcPr>
          <w:p w14:paraId="22C73858">
            <w:pPr>
              <w:ind w:firstLine="0" w:firstLineChars="0"/>
              <w:jc w:val="center"/>
              <w:rPr>
                <w:rFonts w:ascii="Times New Roman" w:hAnsi="Times New Roman"/>
                <w:bCs/>
              </w:rPr>
            </w:pPr>
            <w:r>
              <w:rPr>
                <w:rFonts w:ascii="Times New Roman" w:hAnsi="Times New Roman"/>
                <w:bCs/>
              </w:rPr>
              <w:t>标段价格</w:t>
            </w:r>
          </w:p>
          <w:p w14:paraId="3F9C0DE8">
            <w:pPr>
              <w:pBdr>
                <w:top w:val="none" w:color="auto" w:sz="0" w:space="0"/>
                <w:left w:val="none" w:color="auto" w:sz="0" w:space="0"/>
                <w:bottom w:val="none" w:color="auto" w:sz="0" w:space="0"/>
                <w:right w:val="none" w:color="auto" w:sz="0" w:space="0"/>
              </w:pBdr>
              <w:ind w:firstLine="0" w:firstLineChars="0"/>
              <w:rPr>
                <w:rStyle w:val="19"/>
                <w:rFonts w:ascii="Times New Roman" w:hAnsi="Times New Roman"/>
                <w:b/>
              </w:rPr>
            </w:pPr>
            <w:r>
              <w:rPr>
                <w:rFonts w:ascii="Times New Roman" w:hAnsi="Times New Roman"/>
                <w:bCs/>
              </w:rPr>
              <w:t>汇总（元）</w:t>
            </w:r>
          </w:p>
        </w:tc>
        <w:tc>
          <w:tcPr>
            <w:tcW w:w="4158" w:type="pct"/>
            <w:gridSpan w:val="5"/>
            <w:tcBorders>
              <w:left w:val="single" w:color="auto" w:sz="4" w:space="0"/>
            </w:tcBorders>
          </w:tcPr>
          <w:p w14:paraId="6841CA4F">
            <w:pPr>
              <w:pBdr>
                <w:top w:val="none" w:color="auto" w:sz="0" w:space="0"/>
                <w:left w:val="none" w:color="auto" w:sz="0" w:space="0"/>
                <w:bottom w:val="none" w:color="auto" w:sz="0" w:space="0"/>
                <w:right w:val="none" w:color="auto" w:sz="0" w:space="0"/>
              </w:pBdr>
              <w:ind w:firstLine="0" w:firstLineChars="0"/>
              <w:rPr>
                <w:rStyle w:val="19"/>
                <w:rFonts w:ascii="Times New Roman" w:hAnsi="Times New Roman"/>
                <w:b/>
              </w:rPr>
            </w:pPr>
            <w:r>
              <w:rPr>
                <w:rStyle w:val="19"/>
                <w:rFonts w:ascii="Times New Roman" w:hAnsi="Times New Roman"/>
                <w:b/>
              </w:rPr>
              <w:t>XX</w:t>
            </w:r>
          </w:p>
        </w:tc>
      </w:tr>
    </w:tbl>
    <w:p w14:paraId="51203C7B">
      <w:pPr>
        <w:rPr>
          <w:rStyle w:val="19"/>
          <w:rFonts w:ascii="Times New Roman" w:hAnsi="Times New Roman"/>
          <w:b/>
        </w:rPr>
      </w:pPr>
    </w:p>
    <w:p w14:paraId="326DAAFC">
      <w:pPr>
        <w:rPr>
          <w:rFonts w:ascii="Times New Roman" w:hAnsi="Times New Roman"/>
        </w:rPr>
      </w:pPr>
      <w:r>
        <w:rPr>
          <w:rFonts w:ascii="Times New Roman" w:hAnsi="Times New Roman"/>
        </w:rPr>
        <w:br w:type="page"/>
      </w:r>
    </w:p>
    <w:p w14:paraId="685B316F">
      <w:pPr>
        <w:pStyle w:val="22"/>
        <w:rPr>
          <w:rFonts w:ascii="Times New Roman" w:hAnsi="Times New Roman"/>
        </w:rPr>
      </w:pPr>
      <w:r>
        <w:rPr>
          <w:rFonts w:hint="eastAsia"/>
          <w:lang w:val="en-US" w:eastAsia="zh-CN"/>
        </w:rPr>
        <w:t>四</w:t>
      </w:r>
      <w:r>
        <w:rPr>
          <w:rFonts w:ascii="Times New Roman" w:hAnsi="Times New Roman"/>
        </w:rPr>
        <w:t>、资格性文件</w:t>
      </w:r>
    </w:p>
    <w:p w14:paraId="4A1834A3">
      <w:pPr>
        <w:pStyle w:val="23"/>
        <w:rPr>
          <w:rFonts w:ascii="Times New Roman" w:hAnsi="Times New Roman"/>
        </w:rPr>
      </w:pPr>
      <w:r>
        <w:rPr>
          <w:rFonts w:ascii="Times New Roman" w:hAnsi="Times New Roman"/>
        </w:rPr>
        <w:t>（一）参选人基本情况介绍，资质证明等</w:t>
      </w:r>
    </w:p>
    <w:tbl>
      <w:tblPr>
        <w:tblStyle w:val="14"/>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3A71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49AF42CC">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参选人名称</w:t>
            </w:r>
          </w:p>
        </w:tc>
        <w:tc>
          <w:tcPr>
            <w:tcW w:w="7114" w:type="dxa"/>
            <w:gridSpan w:val="8"/>
          </w:tcPr>
          <w:p w14:paraId="1CBC383F">
            <w:pPr>
              <w:spacing w:line="360" w:lineRule="auto"/>
              <w:ind w:firstLine="0" w:firstLineChars="0"/>
              <w:jc w:val="center"/>
              <w:rPr>
                <w:rFonts w:ascii="Times New Roman" w:hAnsi="Times New Roman"/>
                <w:sz w:val="22"/>
                <w:szCs w:val="24"/>
              </w:rPr>
            </w:pPr>
          </w:p>
        </w:tc>
      </w:tr>
      <w:tr w14:paraId="501A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09D0C24B">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注册地址</w:t>
            </w:r>
          </w:p>
        </w:tc>
        <w:tc>
          <w:tcPr>
            <w:tcW w:w="4132" w:type="dxa"/>
            <w:gridSpan w:val="4"/>
            <w:tcBorders>
              <w:top w:val="single" w:color="auto" w:sz="4" w:space="0"/>
              <w:left w:val="single" w:color="auto" w:sz="4" w:space="0"/>
              <w:right w:val="single" w:color="auto" w:sz="4" w:space="0"/>
            </w:tcBorders>
          </w:tcPr>
          <w:p w14:paraId="2EE94001">
            <w:pPr>
              <w:spacing w:line="360" w:lineRule="auto"/>
              <w:ind w:firstLine="0" w:firstLineChars="0"/>
              <w:jc w:val="center"/>
              <w:rPr>
                <w:rFonts w:ascii="Times New Roman" w:hAnsi="Times New Roman"/>
                <w:sz w:val="22"/>
                <w:szCs w:val="24"/>
              </w:rPr>
            </w:pPr>
          </w:p>
        </w:tc>
        <w:tc>
          <w:tcPr>
            <w:tcW w:w="1325" w:type="dxa"/>
            <w:tcBorders>
              <w:top w:val="single" w:color="auto" w:sz="4" w:space="0"/>
              <w:left w:val="single" w:color="auto" w:sz="4" w:space="0"/>
              <w:right w:val="single" w:color="auto" w:sz="4" w:space="0"/>
            </w:tcBorders>
            <w:vAlign w:val="center"/>
          </w:tcPr>
          <w:p w14:paraId="6A010E4D">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邮政编码</w:t>
            </w:r>
          </w:p>
        </w:tc>
        <w:tc>
          <w:tcPr>
            <w:tcW w:w="1657" w:type="dxa"/>
            <w:gridSpan w:val="3"/>
            <w:tcBorders>
              <w:left w:val="single" w:color="auto" w:sz="4" w:space="0"/>
            </w:tcBorders>
          </w:tcPr>
          <w:p w14:paraId="036289D1">
            <w:pPr>
              <w:spacing w:line="360" w:lineRule="auto"/>
              <w:ind w:firstLine="0" w:firstLineChars="0"/>
              <w:jc w:val="center"/>
              <w:rPr>
                <w:rFonts w:ascii="Times New Roman" w:hAnsi="Times New Roman"/>
                <w:sz w:val="22"/>
                <w:szCs w:val="24"/>
              </w:rPr>
            </w:pPr>
          </w:p>
        </w:tc>
      </w:tr>
      <w:tr w14:paraId="1382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531C9206">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联系方式</w:t>
            </w:r>
          </w:p>
        </w:tc>
        <w:tc>
          <w:tcPr>
            <w:tcW w:w="1077" w:type="dxa"/>
            <w:tcBorders>
              <w:top w:val="single" w:color="auto" w:sz="4" w:space="0"/>
              <w:left w:val="single" w:color="auto" w:sz="4" w:space="0"/>
              <w:right w:val="single" w:color="auto" w:sz="4" w:space="0"/>
            </w:tcBorders>
            <w:vAlign w:val="center"/>
          </w:tcPr>
          <w:p w14:paraId="3F391241">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联系人</w:t>
            </w:r>
          </w:p>
        </w:tc>
        <w:tc>
          <w:tcPr>
            <w:tcW w:w="3055" w:type="dxa"/>
            <w:gridSpan w:val="3"/>
            <w:tcBorders>
              <w:top w:val="single" w:color="auto" w:sz="4" w:space="0"/>
              <w:left w:val="single" w:color="auto" w:sz="4" w:space="0"/>
              <w:right w:val="single" w:color="auto" w:sz="4" w:space="0"/>
            </w:tcBorders>
          </w:tcPr>
          <w:p w14:paraId="476031E1">
            <w:pPr>
              <w:spacing w:line="360" w:lineRule="auto"/>
              <w:ind w:firstLine="0" w:firstLineChars="0"/>
              <w:jc w:val="center"/>
              <w:rPr>
                <w:rFonts w:ascii="Times New Roman" w:hAnsi="Times New Roman"/>
                <w:sz w:val="22"/>
                <w:szCs w:val="24"/>
              </w:rPr>
            </w:pPr>
          </w:p>
        </w:tc>
        <w:tc>
          <w:tcPr>
            <w:tcW w:w="1325" w:type="dxa"/>
            <w:tcBorders>
              <w:top w:val="single" w:color="auto" w:sz="4" w:space="0"/>
              <w:left w:val="single" w:color="auto" w:sz="4" w:space="0"/>
              <w:right w:val="single" w:color="auto" w:sz="4" w:space="0"/>
            </w:tcBorders>
            <w:vAlign w:val="center"/>
          </w:tcPr>
          <w:p w14:paraId="1A86942C">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电话</w:t>
            </w:r>
          </w:p>
        </w:tc>
        <w:tc>
          <w:tcPr>
            <w:tcW w:w="1657" w:type="dxa"/>
            <w:gridSpan w:val="3"/>
            <w:tcBorders>
              <w:left w:val="single" w:color="auto" w:sz="4" w:space="0"/>
            </w:tcBorders>
          </w:tcPr>
          <w:p w14:paraId="2145182B">
            <w:pPr>
              <w:spacing w:line="360" w:lineRule="auto"/>
              <w:ind w:firstLine="0" w:firstLineChars="0"/>
              <w:jc w:val="center"/>
              <w:rPr>
                <w:rFonts w:ascii="Times New Roman" w:hAnsi="Times New Roman"/>
                <w:sz w:val="22"/>
                <w:szCs w:val="24"/>
              </w:rPr>
            </w:pPr>
          </w:p>
        </w:tc>
      </w:tr>
      <w:tr w14:paraId="4AF2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50F3E265"/>
        </w:tc>
        <w:tc>
          <w:tcPr>
            <w:tcW w:w="1077" w:type="dxa"/>
            <w:tcBorders>
              <w:top w:val="single" w:color="auto" w:sz="4" w:space="0"/>
              <w:left w:val="single" w:color="auto" w:sz="4" w:space="0"/>
              <w:right w:val="single" w:color="auto" w:sz="4" w:space="0"/>
            </w:tcBorders>
            <w:vAlign w:val="center"/>
          </w:tcPr>
          <w:p w14:paraId="77EAC438">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传真</w:t>
            </w:r>
          </w:p>
        </w:tc>
        <w:tc>
          <w:tcPr>
            <w:tcW w:w="3055" w:type="dxa"/>
            <w:gridSpan w:val="3"/>
            <w:tcBorders>
              <w:top w:val="single" w:color="auto" w:sz="4" w:space="0"/>
              <w:left w:val="single" w:color="auto" w:sz="4" w:space="0"/>
              <w:right w:val="single" w:color="auto" w:sz="4" w:space="0"/>
            </w:tcBorders>
          </w:tcPr>
          <w:p w14:paraId="7651080A">
            <w:pPr>
              <w:spacing w:line="360" w:lineRule="auto"/>
              <w:ind w:firstLine="0" w:firstLineChars="0"/>
              <w:jc w:val="center"/>
              <w:rPr>
                <w:rFonts w:ascii="Times New Roman" w:hAnsi="Times New Roman"/>
                <w:sz w:val="22"/>
                <w:szCs w:val="24"/>
              </w:rPr>
            </w:pPr>
          </w:p>
        </w:tc>
        <w:tc>
          <w:tcPr>
            <w:tcW w:w="1325" w:type="dxa"/>
            <w:tcBorders>
              <w:top w:val="single" w:color="auto" w:sz="4" w:space="0"/>
              <w:left w:val="single" w:color="auto" w:sz="4" w:space="0"/>
              <w:right w:val="single" w:color="auto" w:sz="4" w:space="0"/>
            </w:tcBorders>
            <w:vAlign w:val="center"/>
          </w:tcPr>
          <w:p w14:paraId="6378E229">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网址</w:t>
            </w:r>
          </w:p>
        </w:tc>
        <w:tc>
          <w:tcPr>
            <w:tcW w:w="1657" w:type="dxa"/>
            <w:gridSpan w:val="3"/>
            <w:tcBorders>
              <w:left w:val="single" w:color="auto" w:sz="4" w:space="0"/>
            </w:tcBorders>
          </w:tcPr>
          <w:p w14:paraId="3856053F">
            <w:pPr>
              <w:spacing w:line="360" w:lineRule="auto"/>
              <w:ind w:firstLine="0" w:firstLineChars="0"/>
              <w:jc w:val="center"/>
              <w:rPr>
                <w:rFonts w:ascii="Times New Roman" w:hAnsi="Times New Roman"/>
                <w:sz w:val="22"/>
                <w:szCs w:val="24"/>
              </w:rPr>
            </w:pPr>
          </w:p>
        </w:tc>
      </w:tr>
      <w:tr w14:paraId="75E7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9DBEECD">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组织结构</w:t>
            </w:r>
          </w:p>
        </w:tc>
        <w:tc>
          <w:tcPr>
            <w:tcW w:w="7114" w:type="dxa"/>
            <w:gridSpan w:val="8"/>
            <w:tcBorders>
              <w:left w:val="single" w:color="auto" w:sz="4" w:space="0"/>
            </w:tcBorders>
            <w:vAlign w:val="center"/>
          </w:tcPr>
          <w:p w14:paraId="4A688AF0">
            <w:pPr>
              <w:spacing w:line="360" w:lineRule="auto"/>
              <w:ind w:firstLine="0" w:firstLineChars="0"/>
              <w:jc w:val="center"/>
              <w:rPr>
                <w:rFonts w:ascii="Times New Roman" w:hAnsi="Times New Roman"/>
                <w:sz w:val="22"/>
                <w:szCs w:val="24"/>
              </w:rPr>
            </w:pPr>
          </w:p>
        </w:tc>
      </w:tr>
      <w:tr w14:paraId="50FDA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594A04A8">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法定代表人</w:t>
            </w:r>
          </w:p>
        </w:tc>
        <w:tc>
          <w:tcPr>
            <w:tcW w:w="1077" w:type="dxa"/>
            <w:tcBorders>
              <w:top w:val="single" w:color="auto" w:sz="4" w:space="0"/>
              <w:left w:val="single" w:color="auto" w:sz="4" w:space="0"/>
              <w:right w:val="single" w:color="auto" w:sz="4" w:space="0"/>
            </w:tcBorders>
            <w:vAlign w:val="center"/>
          </w:tcPr>
          <w:p w14:paraId="39BD97EC">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姓名</w:t>
            </w:r>
          </w:p>
        </w:tc>
        <w:tc>
          <w:tcPr>
            <w:tcW w:w="1803" w:type="dxa"/>
            <w:tcBorders>
              <w:top w:val="single" w:color="auto" w:sz="4" w:space="0"/>
              <w:left w:val="single" w:color="auto" w:sz="4" w:space="0"/>
              <w:right w:val="single" w:color="auto" w:sz="4" w:space="0"/>
            </w:tcBorders>
          </w:tcPr>
          <w:p w14:paraId="0994DAE7">
            <w:pPr>
              <w:spacing w:line="360" w:lineRule="auto"/>
              <w:ind w:firstLine="0" w:firstLineChars="0"/>
              <w:jc w:val="center"/>
              <w:rPr>
                <w:rFonts w:ascii="Times New Roman" w:hAnsi="Times New Roman"/>
                <w:sz w:val="22"/>
                <w:szCs w:val="24"/>
              </w:rPr>
            </w:pPr>
          </w:p>
        </w:tc>
        <w:tc>
          <w:tcPr>
            <w:tcW w:w="1252" w:type="dxa"/>
            <w:gridSpan w:val="2"/>
            <w:tcBorders>
              <w:top w:val="single" w:color="auto" w:sz="4" w:space="0"/>
              <w:left w:val="single" w:color="auto" w:sz="4" w:space="0"/>
              <w:right w:val="single" w:color="auto" w:sz="4" w:space="0"/>
            </w:tcBorders>
            <w:vAlign w:val="center"/>
          </w:tcPr>
          <w:p w14:paraId="101B1CC3">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技术职称</w:t>
            </w:r>
          </w:p>
        </w:tc>
        <w:tc>
          <w:tcPr>
            <w:tcW w:w="1501" w:type="dxa"/>
            <w:gridSpan w:val="2"/>
            <w:tcBorders>
              <w:top w:val="single" w:color="auto" w:sz="4" w:space="0"/>
              <w:left w:val="single" w:color="auto" w:sz="4" w:space="0"/>
              <w:right w:val="single" w:color="auto" w:sz="4" w:space="0"/>
            </w:tcBorders>
            <w:vAlign w:val="center"/>
          </w:tcPr>
          <w:p w14:paraId="24659E66">
            <w:pPr>
              <w:spacing w:line="360" w:lineRule="auto"/>
              <w:ind w:firstLine="0" w:firstLineChars="0"/>
              <w:jc w:val="center"/>
              <w:rPr>
                <w:rFonts w:ascii="Times New Roman" w:hAnsi="Times New Roman"/>
                <w:sz w:val="22"/>
                <w:szCs w:val="24"/>
              </w:rPr>
            </w:pPr>
          </w:p>
        </w:tc>
        <w:tc>
          <w:tcPr>
            <w:tcW w:w="723" w:type="dxa"/>
            <w:tcBorders>
              <w:top w:val="single" w:color="auto" w:sz="4" w:space="0"/>
              <w:left w:val="single" w:color="auto" w:sz="4" w:space="0"/>
              <w:right w:val="single" w:color="auto" w:sz="4" w:space="0"/>
            </w:tcBorders>
            <w:vAlign w:val="center"/>
          </w:tcPr>
          <w:p w14:paraId="5B379376">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电话</w:t>
            </w:r>
          </w:p>
        </w:tc>
        <w:tc>
          <w:tcPr>
            <w:tcW w:w="758" w:type="dxa"/>
            <w:tcBorders>
              <w:left w:val="single" w:color="auto" w:sz="4" w:space="0"/>
            </w:tcBorders>
          </w:tcPr>
          <w:p w14:paraId="2B127026">
            <w:pPr>
              <w:spacing w:line="360" w:lineRule="auto"/>
              <w:ind w:firstLine="0" w:firstLineChars="0"/>
              <w:jc w:val="center"/>
              <w:rPr>
                <w:rFonts w:ascii="Times New Roman" w:hAnsi="Times New Roman"/>
                <w:sz w:val="22"/>
                <w:szCs w:val="24"/>
              </w:rPr>
            </w:pPr>
          </w:p>
        </w:tc>
      </w:tr>
      <w:tr w14:paraId="159A9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054F5295">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技术负责人</w:t>
            </w:r>
          </w:p>
        </w:tc>
        <w:tc>
          <w:tcPr>
            <w:tcW w:w="1077" w:type="dxa"/>
            <w:tcBorders>
              <w:top w:val="single" w:color="auto" w:sz="4" w:space="0"/>
              <w:left w:val="single" w:color="auto" w:sz="4" w:space="0"/>
              <w:right w:val="single" w:color="auto" w:sz="4" w:space="0"/>
            </w:tcBorders>
            <w:vAlign w:val="center"/>
          </w:tcPr>
          <w:p w14:paraId="778B2A59">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姓名</w:t>
            </w:r>
          </w:p>
        </w:tc>
        <w:tc>
          <w:tcPr>
            <w:tcW w:w="1803" w:type="dxa"/>
            <w:tcBorders>
              <w:top w:val="single" w:color="auto" w:sz="4" w:space="0"/>
              <w:left w:val="single" w:color="auto" w:sz="4" w:space="0"/>
              <w:right w:val="single" w:color="auto" w:sz="4" w:space="0"/>
            </w:tcBorders>
          </w:tcPr>
          <w:p w14:paraId="1BA6920C">
            <w:pPr>
              <w:spacing w:line="360" w:lineRule="auto"/>
              <w:ind w:firstLine="0" w:firstLineChars="0"/>
              <w:jc w:val="center"/>
              <w:rPr>
                <w:rFonts w:ascii="Times New Roman" w:hAnsi="Times New Roman"/>
                <w:sz w:val="22"/>
                <w:szCs w:val="24"/>
              </w:rPr>
            </w:pPr>
          </w:p>
        </w:tc>
        <w:tc>
          <w:tcPr>
            <w:tcW w:w="1252" w:type="dxa"/>
            <w:gridSpan w:val="2"/>
            <w:tcBorders>
              <w:top w:val="single" w:color="auto" w:sz="4" w:space="0"/>
              <w:left w:val="single" w:color="auto" w:sz="4" w:space="0"/>
              <w:right w:val="single" w:color="auto" w:sz="4" w:space="0"/>
            </w:tcBorders>
            <w:vAlign w:val="center"/>
          </w:tcPr>
          <w:p w14:paraId="3BAAE89F">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技术职称</w:t>
            </w:r>
          </w:p>
        </w:tc>
        <w:tc>
          <w:tcPr>
            <w:tcW w:w="1501" w:type="dxa"/>
            <w:gridSpan w:val="2"/>
            <w:tcBorders>
              <w:top w:val="single" w:color="auto" w:sz="4" w:space="0"/>
              <w:left w:val="single" w:color="auto" w:sz="4" w:space="0"/>
              <w:right w:val="single" w:color="auto" w:sz="4" w:space="0"/>
            </w:tcBorders>
            <w:vAlign w:val="center"/>
          </w:tcPr>
          <w:p w14:paraId="3BC9273C">
            <w:pPr>
              <w:spacing w:line="360" w:lineRule="auto"/>
              <w:ind w:firstLine="0" w:firstLineChars="0"/>
              <w:jc w:val="center"/>
              <w:rPr>
                <w:rFonts w:ascii="Times New Roman" w:hAnsi="Times New Roman"/>
                <w:sz w:val="22"/>
                <w:szCs w:val="24"/>
              </w:rPr>
            </w:pPr>
          </w:p>
        </w:tc>
        <w:tc>
          <w:tcPr>
            <w:tcW w:w="723" w:type="dxa"/>
            <w:tcBorders>
              <w:top w:val="single" w:color="auto" w:sz="4" w:space="0"/>
              <w:left w:val="single" w:color="auto" w:sz="4" w:space="0"/>
              <w:right w:val="single" w:color="auto" w:sz="4" w:space="0"/>
            </w:tcBorders>
            <w:vAlign w:val="center"/>
          </w:tcPr>
          <w:p w14:paraId="1CFE782F">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电话</w:t>
            </w:r>
          </w:p>
        </w:tc>
        <w:tc>
          <w:tcPr>
            <w:tcW w:w="758" w:type="dxa"/>
            <w:tcBorders>
              <w:left w:val="single" w:color="auto" w:sz="4" w:space="0"/>
            </w:tcBorders>
          </w:tcPr>
          <w:p w14:paraId="1632A4C3">
            <w:pPr>
              <w:spacing w:line="360" w:lineRule="auto"/>
              <w:ind w:firstLine="0" w:firstLineChars="0"/>
              <w:jc w:val="center"/>
              <w:rPr>
                <w:rFonts w:ascii="Times New Roman" w:hAnsi="Times New Roman"/>
                <w:sz w:val="22"/>
                <w:szCs w:val="24"/>
              </w:rPr>
            </w:pPr>
          </w:p>
        </w:tc>
      </w:tr>
      <w:tr w14:paraId="4835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DC22E0F">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成立时间</w:t>
            </w:r>
          </w:p>
        </w:tc>
        <w:tc>
          <w:tcPr>
            <w:tcW w:w="2880" w:type="dxa"/>
            <w:gridSpan w:val="2"/>
            <w:tcBorders>
              <w:top w:val="single" w:color="auto" w:sz="4" w:space="0"/>
              <w:left w:val="single" w:color="auto" w:sz="4" w:space="0"/>
              <w:right w:val="single" w:color="auto" w:sz="4" w:space="0"/>
            </w:tcBorders>
          </w:tcPr>
          <w:p w14:paraId="286B5504">
            <w:pPr>
              <w:spacing w:line="360" w:lineRule="auto"/>
              <w:ind w:firstLine="0" w:firstLineChars="0"/>
              <w:jc w:val="center"/>
              <w:rPr>
                <w:rFonts w:ascii="Times New Roman" w:hAnsi="Times New Roman"/>
                <w:sz w:val="22"/>
                <w:szCs w:val="24"/>
              </w:rPr>
            </w:pPr>
          </w:p>
        </w:tc>
        <w:tc>
          <w:tcPr>
            <w:tcW w:w="4234" w:type="dxa"/>
            <w:gridSpan w:val="6"/>
            <w:tcBorders>
              <w:left w:val="single" w:color="auto" w:sz="4" w:space="0"/>
            </w:tcBorders>
          </w:tcPr>
          <w:p w14:paraId="54336E7E">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员工总人数：</w:t>
            </w:r>
          </w:p>
        </w:tc>
      </w:tr>
      <w:tr w14:paraId="091A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8CA4385">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企业资质等级</w:t>
            </w:r>
          </w:p>
        </w:tc>
        <w:tc>
          <w:tcPr>
            <w:tcW w:w="2880" w:type="dxa"/>
            <w:gridSpan w:val="2"/>
            <w:tcBorders>
              <w:top w:val="single" w:color="auto" w:sz="4" w:space="0"/>
              <w:left w:val="single" w:color="auto" w:sz="4" w:space="0"/>
              <w:right w:val="single" w:color="auto" w:sz="4" w:space="0"/>
            </w:tcBorders>
          </w:tcPr>
          <w:p w14:paraId="4B6E294D">
            <w:pPr>
              <w:spacing w:line="360" w:lineRule="auto"/>
              <w:ind w:firstLine="0" w:firstLineChars="0"/>
              <w:jc w:val="center"/>
              <w:rPr>
                <w:rFonts w:ascii="Times New Roman" w:hAnsi="Times New Roman"/>
                <w:sz w:val="22"/>
                <w:szCs w:val="24"/>
              </w:rPr>
            </w:pPr>
          </w:p>
        </w:tc>
        <w:tc>
          <w:tcPr>
            <w:tcW w:w="714" w:type="dxa"/>
            <w:vMerge w:val="restart"/>
            <w:tcBorders>
              <w:top w:val="single" w:color="auto" w:sz="4" w:space="0"/>
              <w:left w:val="single" w:color="auto" w:sz="4" w:space="0"/>
              <w:right w:val="single" w:color="auto" w:sz="4" w:space="0"/>
            </w:tcBorders>
            <w:vAlign w:val="center"/>
          </w:tcPr>
          <w:p w14:paraId="209FA331">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其中</w:t>
            </w:r>
          </w:p>
        </w:tc>
        <w:tc>
          <w:tcPr>
            <w:tcW w:w="2039" w:type="dxa"/>
            <w:gridSpan w:val="3"/>
            <w:tcBorders>
              <w:top w:val="single" w:color="auto" w:sz="4" w:space="0"/>
              <w:left w:val="single" w:color="auto" w:sz="4" w:space="0"/>
              <w:right w:val="single" w:color="auto" w:sz="4" w:space="0"/>
            </w:tcBorders>
            <w:vAlign w:val="center"/>
          </w:tcPr>
          <w:p w14:paraId="39C06662">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项目经理</w:t>
            </w:r>
          </w:p>
        </w:tc>
        <w:tc>
          <w:tcPr>
            <w:tcW w:w="1481" w:type="dxa"/>
            <w:gridSpan w:val="2"/>
            <w:tcBorders>
              <w:left w:val="single" w:color="auto" w:sz="4" w:space="0"/>
            </w:tcBorders>
          </w:tcPr>
          <w:p w14:paraId="28F9FE3C">
            <w:pPr>
              <w:spacing w:line="360" w:lineRule="auto"/>
              <w:ind w:firstLine="0" w:firstLineChars="0"/>
              <w:jc w:val="center"/>
              <w:rPr>
                <w:rFonts w:ascii="Times New Roman" w:hAnsi="Times New Roman"/>
                <w:sz w:val="22"/>
                <w:szCs w:val="24"/>
              </w:rPr>
            </w:pPr>
          </w:p>
        </w:tc>
      </w:tr>
      <w:tr w14:paraId="39389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5F799849">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营业执照号</w:t>
            </w:r>
          </w:p>
        </w:tc>
        <w:tc>
          <w:tcPr>
            <w:tcW w:w="2880" w:type="dxa"/>
            <w:gridSpan w:val="2"/>
            <w:tcBorders>
              <w:top w:val="single" w:color="auto" w:sz="4" w:space="0"/>
              <w:left w:val="single" w:color="auto" w:sz="4" w:space="0"/>
              <w:right w:val="single" w:color="auto" w:sz="4" w:space="0"/>
            </w:tcBorders>
          </w:tcPr>
          <w:p w14:paraId="1B4A5EE8">
            <w:pPr>
              <w:spacing w:line="360" w:lineRule="auto"/>
              <w:ind w:firstLine="0" w:firstLineChars="0"/>
              <w:jc w:val="center"/>
              <w:rPr>
                <w:rFonts w:ascii="Times New Roman" w:hAnsi="Times New Roman"/>
                <w:sz w:val="22"/>
                <w:szCs w:val="24"/>
              </w:rPr>
            </w:pPr>
          </w:p>
        </w:tc>
        <w:tc>
          <w:tcPr>
            <w:tcW w:w="714" w:type="dxa"/>
            <w:vMerge w:val="continue"/>
            <w:tcBorders>
              <w:top w:val="single" w:color="auto" w:sz="4" w:space="0"/>
              <w:left w:val="single" w:color="auto" w:sz="4" w:space="0"/>
              <w:right w:val="single" w:color="auto" w:sz="4" w:space="0"/>
            </w:tcBorders>
          </w:tcPr>
          <w:p w14:paraId="74E697BC"/>
        </w:tc>
        <w:tc>
          <w:tcPr>
            <w:tcW w:w="2039" w:type="dxa"/>
            <w:gridSpan w:val="3"/>
            <w:tcBorders>
              <w:top w:val="single" w:color="auto" w:sz="4" w:space="0"/>
              <w:left w:val="single" w:color="auto" w:sz="4" w:space="0"/>
              <w:right w:val="single" w:color="auto" w:sz="4" w:space="0"/>
            </w:tcBorders>
            <w:vAlign w:val="center"/>
          </w:tcPr>
          <w:p w14:paraId="608F0034">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高级职称人员</w:t>
            </w:r>
          </w:p>
        </w:tc>
        <w:tc>
          <w:tcPr>
            <w:tcW w:w="1481" w:type="dxa"/>
            <w:gridSpan w:val="2"/>
            <w:tcBorders>
              <w:left w:val="single" w:color="auto" w:sz="4" w:space="0"/>
            </w:tcBorders>
          </w:tcPr>
          <w:p w14:paraId="1F058A76">
            <w:pPr>
              <w:spacing w:line="360" w:lineRule="auto"/>
              <w:ind w:firstLine="0" w:firstLineChars="0"/>
              <w:jc w:val="center"/>
              <w:rPr>
                <w:rFonts w:ascii="Times New Roman" w:hAnsi="Times New Roman"/>
                <w:sz w:val="22"/>
                <w:szCs w:val="24"/>
              </w:rPr>
            </w:pPr>
          </w:p>
        </w:tc>
      </w:tr>
      <w:tr w14:paraId="4BEF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78E889D5">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注册资金</w:t>
            </w:r>
          </w:p>
        </w:tc>
        <w:tc>
          <w:tcPr>
            <w:tcW w:w="2880" w:type="dxa"/>
            <w:gridSpan w:val="2"/>
            <w:tcBorders>
              <w:top w:val="single" w:color="auto" w:sz="4" w:space="0"/>
              <w:left w:val="single" w:color="auto" w:sz="4" w:space="0"/>
              <w:right w:val="single" w:color="auto" w:sz="4" w:space="0"/>
            </w:tcBorders>
          </w:tcPr>
          <w:p w14:paraId="720ECCAD">
            <w:pPr>
              <w:spacing w:line="360" w:lineRule="auto"/>
              <w:ind w:firstLine="0" w:firstLineChars="0"/>
              <w:jc w:val="center"/>
              <w:rPr>
                <w:rFonts w:ascii="Times New Roman" w:hAnsi="Times New Roman"/>
                <w:sz w:val="22"/>
                <w:szCs w:val="24"/>
              </w:rPr>
            </w:pPr>
          </w:p>
        </w:tc>
        <w:tc>
          <w:tcPr>
            <w:tcW w:w="714" w:type="dxa"/>
            <w:vMerge w:val="continue"/>
            <w:tcBorders>
              <w:top w:val="single" w:color="auto" w:sz="4" w:space="0"/>
              <w:left w:val="single" w:color="auto" w:sz="4" w:space="0"/>
              <w:right w:val="single" w:color="auto" w:sz="4" w:space="0"/>
            </w:tcBorders>
          </w:tcPr>
          <w:p w14:paraId="0B5940EB"/>
        </w:tc>
        <w:tc>
          <w:tcPr>
            <w:tcW w:w="2039" w:type="dxa"/>
            <w:gridSpan w:val="3"/>
            <w:tcBorders>
              <w:top w:val="single" w:color="auto" w:sz="4" w:space="0"/>
              <w:left w:val="single" w:color="auto" w:sz="4" w:space="0"/>
              <w:right w:val="single" w:color="auto" w:sz="4" w:space="0"/>
            </w:tcBorders>
            <w:vAlign w:val="center"/>
          </w:tcPr>
          <w:p w14:paraId="3623B0B1">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中级职称人员</w:t>
            </w:r>
          </w:p>
        </w:tc>
        <w:tc>
          <w:tcPr>
            <w:tcW w:w="1481" w:type="dxa"/>
            <w:gridSpan w:val="2"/>
            <w:tcBorders>
              <w:left w:val="single" w:color="auto" w:sz="4" w:space="0"/>
            </w:tcBorders>
          </w:tcPr>
          <w:p w14:paraId="2CDC0C01">
            <w:pPr>
              <w:spacing w:line="360" w:lineRule="auto"/>
              <w:ind w:firstLine="0" w:firstLineChars="0"/>
              <w:jc w:val="center"/>
              <w:rPr>
                <w:rFonts w:ascii="Times New Roman" w:hAnsi="Times New Roman"/>
                <w:sz w:val="22"/>
                <w:szCs w:val="24"/>
              </w:rPr>
            </w:pPr>
          </w:p>
        </w:tc>
      </w:tr>
      <w:tr w14:paraId="2E1E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7F022B06">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开户银行</w:t>
            </w:r>
          </w:p>
        </w:tc>
        <w:tc>
          <w:tcPr>
            <w:tcW w:w="2880" w:type="dxa"/>
            <w:gridSpan w:val="2"/>
            <w:tcBorders>
              <w:top w:val="single" w:color="auto" w:sz="4" w:space="0"/>
              <w:left w:val="single" w:color="auto" w:sz="4" w:space="0"/>
              <w:right w:val="single" w:color="auto" w:sz="4" w:space="0"/>
            </w:tcBorders>
          </w:tcPr>
          <w:p w14:paraId="75D08649">
            <w:pPr>
              <w:spacing w:line="360" w:lineRule="auto"/>
              <w:ind w:firstLine="0" w:firstLineChars="0"/>
              <w:jc w:val="center"/>
              <w:rPr>
                <w:rFonts w:ascii="Times New Roman" w:hAnsi="Times New Roman"/>
                <w:sz w:val="22"/>
                <w:szCs w:val="24"/>
              </w:rPr>
            </w:pPr>
          </w:p>
        </w:tc>
        <w:tc>
          <w:tcPr>
            <w:tcW w:w="714" w:type="dxa"/>
            <w:vMerge w:val="continue"/>
            <w:tcBorders>
              <w:top w:val="single" w:color="auto" w:sz="4" w:space="0"/>
              <w:left w:val="single" w:color="auto" w:sz="4" w:space="0"/>
              <w:right w:val="single" w:color="auto" w:sz="4" w:space="0"/>
            </w:tcBorders>
          </w:tcPr>
          <w:p w14:paraId="3133A906"/>
        </w:tc>
        <w:tc>
          <w:tcPr>
            <w:tcW w:w="2039" w:type="dxa"/>
            <w:gridSpan w:val="3"/>
            <w:tcBorders>
              <w:top w:val="single" w:color="auto" w:sz="4" w:space="0"/>
              <w:left w:val="single" w:color="auto" w:sz="4" w:space="0"/>
              <w:right w:val="single" w:color="auto" w:sz="4" w:space="0"/>
            </w:tcBorders>
            <w:vAlign w:val="center"/>
          </w:tcPr>
          <w:p w14:paraId="78F94CCB">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初级职称人员</w:t>
            </w:r>
          </w:p>
        </w:tc>
        <w:tc>
          <w:tcPr>
            <w:tcW w:w="1481" w:type="dxa"/>
            <w:gridSpan w:val="2"/>
            <w:tcBorders>
              <w:left w:val="single" w:color="auto" w:sz="4" w:space="0"/>
            </w:tcBorders>
          </w:tcPr>
          <w:p w14:paraId="43CE7844">
            <w:pPr>
              <w:spacing w:line="360" w:lineRule="auto"/>
              <w:ind w:firstLine="0" w:firstLineChars="0"/>
              <w:jc w:val="center"/>
              <w:rPr>
                <w:rFonts w:ascii="Times New Roman" w:hAnsi="Times New Roman"/>
                <w:sz w:val="22"/>
                <w:szCs w:val="24"/>
              </w:rPr>
            </w:pPr>
          </w:p>
        </w:tc>
      </w:tr>
      <w:tr w14:paraId="45FA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3E831DDC">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账号</w:t>
            </w:r>
          </w:p>
        </w:tc>
        <w:tc>
          <w:tcPr>
            <w:tcW w:w="2880" w:type="dxa"/>
            <w:gridSpan w:val="2"/>
            <w:tcBorders>
              <w:top w:val="single" w:color="auto" w:sz="4" w:space="0"/>
              <w:left w:val="single" w:color="auto" w:sz="4" w:space="0"/>
              <w:right w:val="single" w:color="auto" w:sz="4" w:space="0"/>
            </w:tcBorders>
          </w:tcPr>
          <w:p w14:paraId="3A066FFE">
            <w:pPr>
              <w:spacing w:line="360" w:lineRule="auto"/>
              <w:ind w:firstLine="0" w:firstLineChars="0"/>
              <w:jc w:val="center"/>
              <w:rPr>
                <w:rFonts w:ascii="Times New Roman" w:hAnsi="Times New Roman"/>
                <w:sz w:val="22"/>
                <w:szCs w:val="24"/>
              </w:rPr>
            </w:pPr>
          </w:p>
        </w:tc>
        <w:tc>
          <w:tcPr>
            <w:tcW w:w="714" w:type="dxa"/>
            <w:vMerge w:val="continue"/>
            <w:tcBorders>
              <w:top w:val="single" w:color="auto" w:sz="4" w:space="0"/>
              <w:left w:val="single" w:color="auto" w:sz="4" w:space="0"/>
              <w:right w:val="single" w:color="auto" w:sz="4" w:space="0"/>
            </w:tcBorders>
          </w:tcPr>
          <w:p w14:paraId="6E106F51"/>
        </w:tc>
        <w:tc>
          <w:tcPr>
            <w:tcW w:w="2039" w:type="dxa"/>
            <w:gridSpan w:val="3"/>
            <w:tcBorders>
              <w:top w:val="single" w:color="auto" w:sz="4" w:space="0"/>
              <w:left w:val="single" w:color="auto" w:sz="4" w:space="0"/>
              <w:right w:val="single" w:color="auto" w:sz="4" w:space="0"/>
            </w:tcBorders>
            <w:vAlign w:val="center"/>
          </w:tcPr>
          <w:p w14:paraId="1BA92015">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技工</w:t>
            </w:r>
          </w:p>
        </w:tc>
        <w:tc>
          <w:tcPr>
            <w:tcW w:w="1481" w:type="dxa"/>
            <w:gridSpan w:val="2"/>
            <w:tcBorders>
              <w:left w:val="single" w:color="auto" w:sz="4" w:space="0"/>
            </w:tcBorders>
          </w:tcPr>
          <w:p w14:paraId="2C616F6F">
            <w:pPr>
              <w:spacing w:line="360" w:lineRule="auto"/>
              <w:ind w:firstLine="0" w:firstLineChars="0"/>
              <w:jc w:val="center"/>
              <w:rPr>
                <w:rFonts w:ascii="Times New Roman" w:hAnsi="Times New Roman"/>
                <w:sz w:val="22"/>
                <w:szCs w:val="24"/>
              </w:rPr>
            </w:pPr>
          </w:p>
        </w:tc>
      </w:tr>
      <w:tr w14:paraId="752B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632BFDF2">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经营范围</w:t>
            </w:r>
          </w:p>
        </w:tc>
        <w:tc>
          <w:tcPr>
            <w:tcW w:w="7114" w:type="dxa"/>
            <w:gridSpan w:val="8"/>
            <w:tcBorders>
              <w:left w:val="single" w:color="auto" w:sz="4" w:space="0"/>
            </w:tcBorders>
          </w:tcPr>
          <w:p w14:paraId="283DE2DA">
            <w:pPr>
              <w:spacing w:line="360" w:lineRule="auto"/>
              <w:ind w:firstLine="0" w:firstLineChars="0"/>
              <w:jc w:val="center"/>
              <w:rPr>
                <w:rFonts w:ascii="Times New Roman" w:hAnsi="Times New Roman"/>
                <w:sz w:val="22"/>
                <w:szCs w:val="24"/>
              </w:rPr>
            </w:pPr>
          </w:p>
        </w:tc>
      </w:tr>
      <w:tr w14:paraId="7AF2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79CEEF2D">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备注</w:t>
            </w:r>
          </w:p>
        </w:tc>
        <w:tc>
          <w:tcPr>
            <w:tcW w:w="7114" w:type="dxa"/>
            <w:gridSpan w:val="8"/>
            <w:tcBorders>
              <w:left w:val="single" w:color="auto" w:sz="4" w:space="0"/>
            </w:tcBorders>
          </w:tcPr>
          <w:p w14:paraId="04C1B26E">
            <w:pPr>
              <w:spacing w:line="360" w:lineRule="auto"/>
              <w:ind w:firstLine="0" w:firstLineChars="0"/>
              <w:jc w:val="center"/>
              <w:rPr>
                <w:rFonts w:ascii="Times New Roman" w:hAnsi="Times New Roman"/>
                <w:sz w:val="22"/>
                <w:szCs w:val="24"/>
              </w:rPr>
            </w:pPr>
          </w:p>
        </w:tc>
      </w:tr>
    </w:tbl>
    <w:p w14:paraId="0100711B">
      <w:pPr>
        <w:widowControl/>
        <w:spacing w:line="360" w:lineRule="auto"/>
        <w:jc w:val="left"/>
        <w:rPr>
          <w:rFonts w:ascii="Times New Roman" w:hAnsi="Times New Roman"/>
          <w:sz w:val="20"/>
          <w:szCs w:val="21"/>
        </w:rPr>
        <w:sectPr>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sz w:val="20"/>
          <w:szCs w:val="21"/>
        </w:rPr>
        <w:t>注：附营业执照（副本）、资质证明复印件等。</w:t>
      </w:r>
    </w:p>
    <w:p w14:paraId="233E5E4B">
      <w:pPr>
        <w:pStyle w:val="23"/>
        <w:rPr>
          <w:rFonts w:hint="eastAsia" w:ascii="Times New Roman" w:hAnsi="Times New Roman" w:eastAsia="宋体"/>
          <w:color w:val="auto"/>
          <w:highlight w:val="none"/>
          <w:lang w:eastAsia="zh-CN"/>
        </w:rPr>
      </w:pPr>
      <w:bookmarkStart w:id="75" w:name="_Toc8213"/>
      <w:bookmarkStart w:id="76" w:name="_Toc14270"/>
      <w:bookmarkStart w:id="77" w:name="_Toc478053903"/>
      <w:bookmarkStart w:id="78" w:name="_Toc378234770"/>
      <w:bookmarkStart w:id="79" w:name="_Toc378234584"/>
      <w:bookmarkStart w:id="80" w:name="_Toc472780356"/>
      <w:bookmarkStart w:id="81" w:name="_Toc478054435"/>
      <w:r>
        <w:rPr>
          <w:rFonts w:ascii="Times New Roman" w:hAnsi="Times New Roman"/>
          <w:color w:val="auto"/>
          <w:highlight w:val="none"/>
        </w:rPr>
        <w:t>（二）法定代表人身份证明及授权委托书</w:t>
      </w:r>
      <w:bookmarkEnd w:id="75"/>
      <w:bookmarkEnd w:id="76"/>
    </w:p>
    <w:p w14:paraId="36DBD46A">
      <w:pPr>
        <w:pStyle w:val="24"/>
        <w:rPr>
          <w:rFonts w:ascii="Times New Roman" w:hAnsi="Times New Roman"/>
          <w:color w:val="auto"/>
          <w:highlight w:val="none"/>
        </w:rPr>
      </w:pPr>
      <w:r>
        <w:rPr>
          <w:rFonts w:ascii="Times New Roman" w:hAnsi="Times New Roman"/>
          <w:color w:val="auto"/>
          <w:highlight w:val="none"/>
        </w:rPr>
        <w:t>法定代表人身份证明书</w:t>
      </w:r>
    </w:p>
    <w:p w14:paraId="011CBAD1">
      <w:pPr>
        <w:tabs>
          <w:tab w:val="left" w:pos="6300"/>
        </w:tabs>
        <w:snapToGrid w:val="0"/>
        <w:spacing w:line="360" w:lineRule="auto"/>
        <w:rPr>
          <w:rFonts w:ascii="Times New Roman" w:hAnsi="Times New Roman"/>
          <w:snapToGrid w:val="0"/>
          <w:color w:val="auto"/>
          <w:kern w:val="0"/>
          <w:highlight w:val="none"/>
        </w:rPr>
      </w:pPr>
    </w:p>
    <w:p w14:paraId="37F21E38">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项目名称：</w:t>
      </w:r>
      <w:r>
        <w:rPr>
          <w:rFonts w:hint="eastAsia" w:ascii="Times New Roman" w:hAnsi="Times New Roman"/>
          <w:snapToGrid w:val="0"/>
          <w:color w:val="auto"/>
          <w:kern w:val="0"/>
          <w:highlight w:val="none"/>
          <w:u w:val="single"/>
        </w:rPr>
        <w:t>____________________</w:t>
      </w:r>
    </w:p>
    <w:p w14:paraId="67756F98">
      <w:pPr>
        <w:tabs>
          <w:tab w:val="left" w:pos="6300"/>
        </w:tabs>
        <w:snapToGrid w:val="0"/>
        <w:spacing w:line="360" w:lineRule="auto"/>
        <w:rPr>
          <w:rFonts w:ascii="Times New Roman" w:hAnsi="Times New Roman"/>
          <w:snapToGrid w:val="0"/>
          <w:color w:val="auto"/>
          <w:kern w:val="0"/>
          <w:highlight w:val="none"/>
        </w:rPr>
      </w:pPr>
    </w:p>
    <w:p w14:paraId="5E3EC0A3">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 xml:space="preserve"> 重庆三峡银行股份有限公司  </w:t>
      </w:r>
      <w:r>
        <w:rPr>
          <w:rFonts w:hint="eastAsia" w:ascii="Times New Roman" w:hAnsi="Times New Roman"/>
          <w:snapToGrid w:val="0"/>
          <w:color w:val="auto"/>
          <w:kern w:val="0"/>
          <w:highlight w:val="none"/>
        </w:rPr>
        <w:t>：</w:t>
      </w:r>
    </w:p>
    <w:p w14:paraId="3162B624">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人法定代表人）在</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（参选人名称）任</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（职务名称）职务，是（参</w:t>
      </w:r>
      <w:r>
        <w:rPr>
          <w:rFonts w:hint="eastAsia" w:ascii="Times New Roman" w:hAnsi="Times New Roman" w:cs="Cambria"/>
          <w:snapToGrid w:val="0"/>
          <w:color w:val="auto"/>
          <w:kern w:val="0"/>
          <w:szCs w:val="24"/>
          <w:highlight w:val="none"/>
        </w:rPr>
        <w:t>选</w:t>
      </w:r>
      <w:r>
        <w:rPr>
          <w:rFonts w:hint="eastAsia" w:ascii="Times New Roman" w:hAnsi="Times New Roman"/>
          <w:snapToGrid w:val="0"/>
          <w:color w:val="auto"/>
          <w:kern w:val="0"/>
          <w:highlight w:val="none"/>
        </w:rPr>
        <w:t>人名称）</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的法定代表人。</w:t>
      </w:r>
    </w:p>
    <w:p w14:paraId="52E87A3B">
      <w:pPr>
        <w:tabs>
          <w:tab w:val="left" w:pos="6300"/>
        </w:tabs>
        <w:snapToGrid w:val="0"/>
        <w:spacing w:line="360" w:lineRule="auto"/>
        <w:rPr>
          <w:rFonts w:ascii="Times New Roman" w:hAnsi="Times New Roman"/>
          <w:snapToGrid w:val="0"/>
          <w:color w:val="auto"/>
          <w:kern w:val="0"/>
          <w:highlight w:val="none"/>
        </w:rPr>
      </w:pPr>
    </w:p>
    <w:p w14:paraId="67C4E9C9">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特此证明。</w:t>
      </w:r>
    </w:p>
    <w:p w14:paraId="7CD1D778">
      <w:pPr>
        <w:tabs>
          <w:tab w:val="left" w:pos="6300"/>
        </w:tabs>
        <w:snapToGrid w:val="0"/>
        <w:spacing w:line="360" w:lineRule="auto"/>
        <w:rPr>
          <w:rFonts w:ascii="Times New Roman" w:hAnsi="Times New Roman"/>
          <w:snapToGrid w:val="0"/>
          <w:color w:val="auto"/>
          <w:kern w:val="0"/>
          <w:highlight w:val="none"/>
        </w:rPr>
      </w:pPr>
    </w:p>
    <w:p w14:paraId="2F9909C9">
      <w:pPr>
        <w:tabs>
          <w:tab w:val="left" w:pos="6300"/>
        </w:tabs>
        <w:snapToGrid w:val="0"/>
        <w:spacing w:line="360" w:lineRule="auto"/>
        <w:rPr>
          <w:rFonts w:ascii="Times New Roman" w:hAnsi="Times New Roman"/>
          <w:snapToGrid w:val="0"/>
          <w:color w:val="auto"/>
          <w:kern w:val="0"/>
          <w:highlight w:val="none"/>
        </w:rPr>
      </w:pPr>
    </w:p>
    <w:p w14:paraId="51DA684F">
      <w:pPr>
        <w:tabs>
          <w:tab w:val="left" w:pos="6300"/>
        </w:tabs>
        <w:snapToGrid w:val="0"/>
        <w:spacing w:line="360" w:lineRule="auto"/>
        <w:ind w:firstLine="5250" w:firstLineChars="25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参选人：</w:t>
      </w:r>
    </w:p>
    <w:p w14:paraId="446152EA">
      <w:pPr>
        <w:tabs>
          <w:tab w:val="left" w:pos="6300"/>
        </w:tabs>
        <w:snapToGrid w:val="0"/>
        <w:spacing w:line="360" w:lineRule="auto"/>
        <w:ind w:firstLine="5040" w:firstLineChars="24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人公章）</w:t>
      </w:r>
    </w:p>
    <w:p w14:paraId="4D43FA20">
      <w:pPr>
        <w:tabs>
          <w:tab w:val="left" w:pos="6300"/>
        </w:tabs>
        <w:snapToGrid w:val="0"/>
        <w:spacing w:line="360" w:lineRule="auto"/>
        <w:rPr>
          <w:rFonts w:ascii="Times New Roman" w:hAnsi="Times New Roman"/>
          <w:snapToGrid w:val="0"/>
          <w:color w:val="auto"/>
          <w:kern w:val="0"/>
          <w:highlight w:val="none"/>
        </w:rPr>
      </w:pPr>
    </w:p>
    <w:p w14:paraId="1945BF63">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 xml:space="preserve">                                             年   月   日</w:t>
      </w:r>
    </w:p>
    <w:p w14:paraId="0AB6857D">
      <w:pPr>
        <w:tabs>
          <w:tab w:val="left" w:pos="6300"/>
        </w:tabs>
        <w:snapToGrid w:val="0"/>
        <w:spacing w:line="360" w:lineRule="auto"/>
        <w:rPr>
          <w:rFonts w:ascii="Times New Roman" w:hAnsi="Times New Roman"/>
          <w:snapToGrid w:val="0"/>
          <w:color w:val="auto"/>
          <w:kern w:val="0"/>
          <w:highlight w:val="none"/>
        </w:rPr>
      </w:pPr>
    </w:p>
    <w:p w14:paraId="7AC81450">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（附：法定代表人身份证正反面复印件）</w:t>
      </w:r>
    </w:p>
    <w:p w14:paraId="79320977">
      <w:pPr>
        <w:tabs>
          <w:tab w:val="left" w:pos="6300"/>
        </w:tabs>
        <w:snapToGrid w:val="0"/>
        <w:spacing w:line="360" w:lineRule="auto"/>
        <w:rPr>
          <w:rFonts w:ascii="Times New Roman" w:hAnsi="Times New Roman"/>
          <w:snapToGrid w:val="0"/>
          <w:color w:val="auto"/>
          <w:kern w:val="0"/>
          <w:highlight w:val="none"/>
        </w:rPr>
      </w:pPr>
    </w:p>
    <w:p w14:paraId="2D1608E1">
      <w:pPr>
        <w:tabs>
          <w:tab w:val="left" w:pos="6300"/>
        </w:tabs>
        <w:snapToGrid w:val="0"/>
        <w:spacing w:line="360" w:lineRule="auto"/>
        <w:rPr>
          <w:rFonts w:ascii="Times New Roman" w:hAnsi="Times New Roman"/>
          <w:snapToGrid w:val="0"/>
          <w:color w:val="auto"/>
          <w:kern w:val="0"/>
          <w:highlight w:val="none"/>
        </w:rPr>
      </w:pPr>
    </w:p>
    <w:p w14:paraId="74BED9D7">
      <w:pPr>
        <w:tabs>
          <w:tab w:val="left" w:pos="6300"/>
        </w:tabs>
        <w:snapToGrid w:val="0"/>
        <w:spacing w:line="360" w:lineRule="auto"/>
        <w:rPr>
          <w:rFonts w:ascii="Times New Roman" w:hAnsi="Times New Roman"/>
          <w:snapToGrid w:val="0"/>
          <w:color w:val="auto"/>
          <w:kern w:val="0"/>
          <w:highlight w:val="none"/>
        </w:rPr>
      </w:pPr>
    </w:p>
    <w:p w14:paraId="5CAD788D">
      <w:pPr>
        <w:jc w:val="center"/>
        <w:rPr>
          <w:rStyle w:val="25"/>
          <w:rFonts w:ascii="Times New Roman" w:hAnsi="Times New Roman"/>
          <w:color w:val="auto"/>
          <w:highlight w:val="none"/>
        </w:rPr>
      </w:pPr>
      <w:r>
        <w:rPr>
          <w:rFonts w:hint="eastAsia" w:ascii="Times New Roman" w:hAnsi="Times New Roman"/>
          <w:snapToGrid w:val="0"/>
          <w:color w:val="auto"/>
          <w:kern w:val="0"/>
          <w:highlight w:val="none"/>
        </w:rPr>
        <w:br w:type="column"/>
      </w:r>
      <w:r>
        <w:rPr>
          <w:rStyle w:val="25"/>
          <w:rFonts w:ascii="Times New Roman" w:hAnsi="Times New Roman"/>
          <w:color w:val="auto"/>
          <w:highlight w:val="none"/>
        </w:rPr>
        <w:t>法定代表人授权委托书</w:t>
      </w:r>
    </w:p>
    <w:p w14:paraId="692044B4">
      <w:pPr>
        <w:tabs>
          <w:tab w:val="left" w:pos="6300"/>
        </w:tabs>
        <w:snapToGrid w:val="0"/>
        <w:spacing w:line="360" w:lineRule="auto"/>
        <w:rPr>
          <w:rFonts w:ascii="Times New Roman" w:hAnsi="Times New Roman"/>
          <w:snapToGrid w:val="0"/>
          <w:color w:val="auto"/>
          <w:kern w:val="0"/>
          <w:highlight w:val="none"/>
        </w:rPr>
      </w:pPr>
    </w:p>
    <w:p w14:paraId="56DBFA3E">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项目名称</w:t>
      </w:r>
      <w:r>
        <w:rPr>
          <w:rFonts w:hint="eastAsia" w:ascii="Times New Roman" w:hAnsi="Times New Roman"/>
          <w:snapToGrid w:val="0"/>
          <w:color w:val="auto"/>
          <w:kern w:val="0"/>
          <w:highlight w:val="none"/>
        </w:rPr>
        <w:t>：</w:t>
      </w:r>
      <w:r>
        <w:rPr>
          <w:rFonts w:hint="eastAsia" w:ascii="Times New Roman" w:hAnsi="Times New Roman"/>
          <w:snapToGrid w:val="0"/>
          <w:color w:val="auto"/>
          <w:kern w:val="0"/>
          <w:szCs w:val="24"/>
          <w:highlight w:val="none"/>
          <w:u w:val="single"/>
        </w:rPr>
        <w:t>___________________</w:t>
      </w:r>
    </w:p>
    <w:p w14:paraId="55DCDA1E">
      <w:pPr>
        <w:tabs>
          <w:tab w:val="left" w:pos="6300"/>
        </w:tabs>
        <w:snapToGrid w:val="0"/>
        <w:spacing w:line="360" w:lineRule="auto"/>
        <w:rPr>
          <w:rFonts w:ascii="Times New Roman" w:hAnsi="Times New Roman"/>
          <w:snapToGrid w:val="0"/>
          <w:color w:val="auto"/>
          <w:kern w:val="0"/>
          <w:highlight w:val="none"/>
        </w:rPr>
      </w:pPr>
    </w:p>
    <w:p w14:paraId="77D2595B">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重庆三峡银行股份有限公司</w:t>
      </w:r>
      <w:r>
        <w:rPr>
          <w:rFonts w:hint="eastAsia" w:ascii="Times New Roman" w:hAnsi="Times New Roman"/>
          <w:snapToGrid w:val="0"/>
          <w:color w:val="auto"/>
          <w:kern w:val="0"/>
          <w:highlight w:val="none"/>
        </w:rPr>
        <w:t>：</w:t>
      </w:r>
    </w:p>
    <w:p w14:paraId="217CD8A7">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人法定代表人名称）是</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人名称）的法定代表人，特授权</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姓名及身份证代码）代表我单位全权办理上述项目的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、谈判、签约等具体工作，并签署全部有关文件、协议及合同。</w:t>
      </w:r>
    </w:p>
    <w:p w14:paraId="1D1D0248">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我单位对</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的签字负全部责任。</w:t>
      </w:r>
    </w:p>
    <w:p w14:paraId="1297A735">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在</w:t>
      </w:r>
      <w:r>
        <w:rPr>
          <w:rFonts w:hint="eastAsia" w:ascii="Times New Roman" w:hAnsi="Times New Roman"/>
          <w:snapToGrid w:val="0"/>
          <w:color w:val="auto"/>
          <w:kern w:val="0"/>
          <w:highlight w:val="none"/>
          <w:lang w:eastAsia="zh-CN"/>
        </w:rPr>
        <w:t>撤销</w:t>
      </w:r>
      <w:r>
        <w:rPr>
          <w:rFonts w:hint="eastAsia" w:ascii="Times New Roman" w:hAnsi="Times New Roman"/>
          <w:snapToGrid w:val="0"/>
          <w:color w:val="auto"/>
          <w:kern w:val="0"/>
          <w:highlight w:val="none"/>
        </w:rPr>
        <w:t>授权的书面通知以前，本授权书一直有效。</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在授权书有效期内签署的所有文件不因授权的</w:t>
      </w:r>
      <w:r>
        <w:rPr>
          <w:rFonts w:hint="eastAsia" w:ascii="Times New Roman" w:hAnsi="Times New Roman"/>
          <w:snapToGrid w:val="0"/>
          <w:color w:val="auto"/>
          <w:kern w:val="0"/>
          <w:highlight w:val="none"/>
          <w:lang w:eastAsia="zh-CN"/>
        </w:rPr>
        <w:t>撤销</w:t>
      </w:r>
      <w:r>
        <w:rPr>
          <w:rFonts w:hint="eastAsia" w:ascii="Times New Roman" w:hAnsi="Times New Roman"/>
          <w:snapToGrid w:val="0"/>
          <w:color w:val="auto"/>
          <w:kern w:val="0"/>
          <w:highlight w:val="none"/>
        </w:rPr>
        <w:t>而失效。</w:t>
      </w:r>
    </w:p>
    <w:p w14:paraId="7B04ACC6">
      <w:pPr>
        <w:tabs>
          <w:tab w:val="left" w:pos="6300"/>
        </w:tabs>
        <w:snapToGrid w:val="0"/>
        <w:spacing w:line="360" w:lineRule="auto"/>
        <w:rPr>
          <w:rFonts w:ascii="Times New Roman" w:hAnsi="Times New Roman"/>
          <w:snapToGrid w:val="0"/>
          <w:color w:val="auto"/>
          <w:kern w:val="0"/>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E05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D8B2199">
            <w:pPr>
              <w:tabs>
                <w:tab w:val="left" w:pos="6300"/>
              </w:tabs>
              <w:snapToGrid w:val="0"/>
              <w:spacing w:line="360" w:lineRule="auto"/>
              <w:ind w:firstLine="0" w:firstLineChars="0"/>
              <w:rPr>
                <w:rFonts w:ascii="Times New Roman" w:hAnsi="Times New Roman"/>
                <w:snapToGrid w:val="0"/>
                <w:color w:val="auto"/>
                <w:kern w:val="0"/>
                <w:highlight w:val="none"/>
              </w:rPr>
            </w:pPr>
            <w:r>
              <w:rPr>
                <w:rFonts w:ascii="Times New Roman" w:hAnsi="Times New Roman"/>
                <w:snapToGrid w:val="0"/>
                <w:color w:val="auto"/>
                <w:kern w:val="0"/>
                <w:highlight w:val="none"/>
              </w:rPr>
              <w:t>委托代理人</w:t>
            </w:r>
          </w:p>
        </w:tc>
        <w:tc>
          <w:tcPr>
            <w:tcW w:w="4261" w:type="dxa"/>
            <w:tcBorders>
              <w:top w:val="nil"/>
              <w:left w:val="nil"/>
              <w:bottom w:val="nil"/>
              <w:right w:val="nil"/>
            </w:tcBorders>
          </w:tcPr>
          <w:p w14:paraId="5D6396F9">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人法定代表人名称：</w:t>
            </w:r>
          </w:p>
        </w:tc>
      </w:tr>
      <w:tr w14:paraId="7DF7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73EE4CBC">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c>
          <w:tcPr>
            <w:tcW w:w="4261" w:type="dxa"/>
            <w:tcBorders>
              <w:top w:val="nil"/>
              <w:left w:val="nil"/>
              <w:bottom w:val="nil"/>
              <w:right w:val="nil"/>
            </w:tcBorders>
          </w:tcPr>
          <w:p w14:paraId="736C04A1">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r>
    </w:tbl>
    <w:p w14:paraId="09348E12">
      <w:pPr>
        <w:tabs>
          <w:tab w:val="left" w:pos="6300"/>
        </w:tabs>
        <w:snapToGrid w:val="0"/>
        <w:spacing w:line="360" w:lineRule="auto"/>
        <w:rPr>
          <w:rFonts w:ascii="Times New Roman" w:hAnsi="Times New Roman"/>
          <w:snapToGrid w:val="0"/>
          <w:color w:val="auto"/>
          <w:kern w:val="0"/>
          <w:highlight w:val="none"/>
        </w:rPr>
      </w:pPr>
    </w:p>
    <w:p w14:paraId="4C2041A5">
      <w:pPr>
        <w:tabs>
          <w:tab w:val="left" w:pos="6300"/>
        </w:tabs>
        <w:snapToGrid w:val="0"/>
        <w:spacing w:line="360" w:lineRule="auto"/>
        <w:rPr>
          <w:rFonts w:ascii="Times New Roman" w:hAnsi="Times New Roman"/>
          <w:snapToGrid w:val="0"/>
          <w:color w:val="auto"/>
          <w:kern w:val="0"/>
          <w:szCs w:val="28"/>
          <w:highlight w:val="none"/>
        </w:rPr>
      </w:pPr>
    </w:p>
    <w:p w14:paraId="2F96C0BB">
      <w:pPr>
        <w:tabs>
          <w:tab w:val="left" w:pos="6300"/>
        </w:tabs>
        <w:snapToGrid w:val="0"/>
        <w:spacing w:line="360" w:lineRule="auto"/>
        <w:rPr>
          <w:rFonts w:ascii="Times New Roman" w:hAnsi="Times New Roman"/>
          <w:snapToGrid w:val="0"/>
          <w:color w:val="auto"/>
          <w:kern w:val="0"/>
          <w:highlight w:val="none"/>
        </w:rPr>
      </w:pPr>
    </w:p>
    <w:p w14:paraId="558584FF">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身份证正反面复印件）</w:t>
      </w:r>
    </w:p>
    <w:p w14:paraId="31933BA5">
      <w:pPr>
        <w:tabs>
          <w:tab w:val="left" w:pos="6300"/>
        </w:tabs>
        <w:snapToGrid w:val="0"/>
        <w:spacing w:line="360" w:lineRule="auto"/>
        <w:rPr>
          <w:rFonts w:ascii="Times New Roman" w:hAnsi="Times New Roman"/>
          <w:snapToGrid w:val="0"/>
          <w:color w:val="auto"/>
          <w:kern w:val="0"/>
          <w:highlight w:val="none"/>
        </w:rPr>
      </w:pPr>
    </w:p>
    <w:p w14:paraId="703A9127">
      <w:pPr>
        <w:tabs>
          <w:tab w:val="left" w:pos="6300"/>
        </w:tabs>
        <w:snapToGrid w:val="0"/>
        <w:spacing w:line="360" w:lineRule="auto"/>
        <w:rPr>
          <w:rFonts w:ascii="Times New Roman" w:hAnsi="Times New Roman"/>
          <w:snapToGrid w:val="0"/>
          <w:color w:val="auto"/>
          <w:kern w:val="0"/>
          <w:highlight w:val="none"/>
        </w:rPr>
      </w:pPr>
    </w:p>
    <w:p w14:paraId="435A1017">
      <w:pPr>
        <w:tabs>
          <w:tab w:val="left" w:pos="6300"/>
        </w:tabs>
        <w:snapToGrid w:val="0"/>
        <w:spacing w:line="360" w:lineRule="auto"/>
        <w:ind w:right="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人公章）</w:t>
      </w:r>
    </w:p>
    <w:p w14:paraId="3E61AC25">
      <w:pPr>
        <w:tabs>
          <w:tab w:val="left" w:pos="6300"/>
        </w:tabs>
        <w:snapToGrid w:val="0"/>
        <w:spacing w:line="360" w:lineRule="auto"/>
        <w:ind w:right="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年   月   日</w:t>
      </w:r>
    </w:p>
    <w:p w14:paraId="52EC587D">
      <w:pPr>
        <w:tabs>
          <w:tab w:val="left" w:pos="6300"/>
        </w:tabs>
        <w:snapToGrid w:val="0"/>
        <w:spacing w:line="360" w:lineRule="auto"/>
        <w:rPr>
          <w:rFonts w:ascii="Times New Roman" w:hAnsi="Times New Roman"/>
          <w:snapToGrid w:val="0"/>
          <w:color w:val="auto"/>
          <w:kern w:val="0"/>
          <w:highlight w:val="none"/>
        </w:rPr>
      </w:pPr>
    </w:p>
    <w:p w14:paraId="1C28CFC9">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注：若为法定代表人办理并签署参选文件的，不提供此文件。</w:t>
      </w:r>
    </w:p>
    <w:p w14:paraId="4409A06E">
      <w:pPr>
        <w:rPr>
          <w:rFonts w:ascii="Times New Roman" w:hAnsi="Times New Roman"/>
          <w:color w:val="auto"/>
          <w:highlight w:val="none"/>
        </w:rPr>
      </w:pPr>
    </w:p>
    <w:p w14:paraId="27BDBD9E">
      <w:pPr>
        <w:rPr>
          <w:rFonts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p>
    <w:bookmarkEnd w:id="77"/>
    <w:bookmarkEnd w:id="78"/>
    <w:bookmarkEnd w:id="79"/>
    <w:bookmarkEnd w:id="80"/>
    <w:bookmarkEnd w:id="81"/>
    <w:p w14:paraId="1AED5338">
      <w:pPr>
        <w:pStyle w:val="23"/>
        <w:rPr>
          <w:rFonts w:ascii="Times New Roman" w:hAnsi="Times New Roman"/>
        </w:rPr>
      </w:pPr>
      <w:r>
        <w:rPr>
          <w:rFonts w:hint="eastAsia" w:ascii="Times New Roman" w:hAnsi="Times New Roman"/>
        </w:rPr>
        <w:t>（三）书面声明</w:t>
      </w:r>
    </w:p>
    <w:p w14:paraId="353206A6">
      <w:pPr>
        <w:tabs>
          <w:tab w:val="left" w:pos="6300"/>
        </w:tabs>
        <w:snapToGrid w:val="0"/>
        <w:spacing w:line="360" w:lineRule="auto"/>
        <w:rPr>
          <w:rFonts w:ascii="Times New Roman" w:hAnsi="Times New Roman"/>
        </w:rPr>
      </w:pPr>
    </w:p>
    <w:p w14:paraId="666EB7C0">
      <w:pPr>
        <w:tabs>
          <w:tab w:val="left" w:pos="6300"/>
        </w:tabs>
        <w:snapToGrid w:val="0"/>
        <w:spacing w:line="360" w:lineRule="auto"/>
        <w:rPr>
          <w:rFonts w:ascii="Times New Roman" w:hAnsi="Times New Roman"/>
        </w:rPr>
      </w:pPr>
      <w:r>
        <w:rPr>
          <w:rFonts w:hint="eastAsia" w:ascii="Times New Roman" w:hAnsi="Times New Roman"/>
          <w:szCs w:val="28"/>
        </w:rPr>
        <w:t>项目名称</w:t>
      </w:r>
      <w:r>
        <w:rPr>
          <w:rFonts w:hint="eastAsia" w:ascii="Times New Roman" w:hAnsi="Times New Roman"/>
        </w:rPr>
        <w:t>：</w:t>
      </w:r>
      <w:r>
        <w:rPr>
          <w:rFonts w:hint="eastAsia" w:ascii="Times New Roman" w:hAnsi="Times New Roman"/>
          <w:snapToGrid w:val="0"/>
          <w:kern w:val="0"/>
          <w:szCs w:val="24"/>
          <w:u w:val="single"/>
        </w:rPr>
        <w:t>__________________</w:t>
      </w:r>
    </w:p>
    <w:p w14:paraId="33CDC628">
      <w:pPr>
        <w:tabs>
          <w:tab w:val="left" w:pos="6300"/>
        </w:tabs>
        <w:snapToGrid w:val="0"/>
        <w:spacing w:line="360" w:lineRule="auto"/>
        <w:rPr>
          <w:rFonts w:ascii="Times New Roman" w:hAnsi="Times New Roman"/>
        </w:rPr>
      </w:pPr>
    </w:p>
    <w:p w14:paraId="383C70F2">
      <w:pPr>
        <w:tabs>
          <w:tab w:val="left" w:pos="6300"/>
        </w:tabs>
        <w:snapToGrid w:val="0"/>
        <w:spacing w:line="360" w:lineRule="auto"/>
        <w:rPr>
          <w:rFonts w:ascii="Times New Roman" w:hAnsi="Times New Roman"/>
        </w:rPr>
      </w:pPr>
      <w:r>
        <w:rPr>
          <w:rFonts w:hint="eastAsia" w:ascii="Times New Roman" w:hAnsi="Times New Roman"/>
        </w:rPr>
        <w:t>致：</w:t>
      </w:r>
      <w:r>
        <w:rPr>
          <w:rFonts w:hint="eastAsia" w:ascii="Times New Roman" w:hAnsi="Times New Roman"/>
          <w:snapToGrid w:val="0"/>
          <w:kern w:val="0"/>
          <w:u w:val="single"/>
        </w:rPr>
        <w:t>重庆三峡银行股份有限公司</w:t>
      </w:r>
      <w:r>
        <w:rPr>
          <w:rFonts w:hint="eastAsia" w:ascii="Times New Roman" w:hAnsi="Times New Roman"/>
        </w:rPr>
        <w:t>：</w:t>
      </w:r>
    </w:p>
    <w:p w14:paraId="41596248">
      <w:pPr>
        <w:tabs>
          <w:tab w:val="left" w:pos="6300"/>
        </w:tabs>
        <w:snapToGrid w:val="0"/>
        <w:spacing w:line="360" w:lineRule="auto"/>
        <w:rPr>
          <w:rFonts w:ascii="Times New Roman" w:hAnsi="Times New Roman"/>
        </w:rPr>
      </w:pPr>
      <w:r>
        <w:rPr>
          <w:rFonts w:hint="eastAsia" w:ascii="Times New Roman" w:hAnsi="Times New Roman"/>
        </w:rPr>
        <w:t>（</w:t>
      </w:r>
      <w:r>
        <w:rPr>
          <w:rFonts w:hint="eastAsia" w:ascii="Times New Roman" w:hAnsi="Times New Roman" w:cs="等线 Light"/>
          <w:snapToGrid w:val="0"/>
          <w:kern w:val="0"/>
          <w:szCs w:val="24"/>
        </w:rPr>
        <w:t>参选</w:t>
      </w:r>
      <w:r>
        <w:rPr>
          <w:rFonts w:hint="eastAsia" w:ascii="Times New Roman" w:hAnsi="Times New Roman"/>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ascii="Times New Roman" w:hAnsi="Times New Roman" w:cs="等线 Light"/>
          <w:snapToGrid w:val="0"/>
          <w:kern w:val="0"/>
          <w:szCs w:val="24"/>
        </w:rPr>
        <w:t>参选</w:t>
      </w:r>
      <w:r>
        <w:rPr>
          <w:rFonts w:hint="eastAsia" w:ascii="Times New Roman" w:hAnsi="Times New Roman"/>
        </w:rPr>
        <w:t>人资格条件；</w:t>
      </w:r>
      <w:r>
        <w:rPr>
          <w:rFonts w:hint="eastAsia" w:ascii="Times New Roman" w:hAnsi="Times New Roman" w:cs="Cambria"/>
          <w:szCs w:val="24"/>
        </w:rPr>
        <w:t>我公司本次如若中选，中选后不会对项目进行转包</w:t>
      </w:r>
      <w:r>
        <w:rPr>
          <w:rFonts w:hint="eastAsia" w:ascii="Times New Roman" w:hAnsi="Times New Roman"/>
        </w:rPr>
        <w:t>。我方对以上声明负全部法律责任。</w:t>
      </w:r>
    </w:p>
    <w:p w14:paraId="49F6F350">
      <w:pPr>
        <w:tabs>
          <w:tab w:val="left" w:pos="6300"/>
        </w:tabs>
        <w:snapToGrid w:val="0"/>
        <w:spacing w:line="360" w:lineRule="auto"/>
        <w:rPr>
          <w:rFonts w:ascii="Times New Roman" w:hAnsi="Times New Roman"/>
        </w:rPr>
      </w:pPr>
      <w:r>
        <w:rPr>
          <w:rFonts w:hint="eastAsia" w:ascii="Times New Roman" w:hAnsi="Times New Roman"/>
        </w:rPr>
        <w:t>特此声明。</w:t>
      </w:r>
    </w:p>
    <w:p w14:paraId="7D65C350">
      <w:pPr>
        <w:tabs>
          <w:tab w:val="left" w:pos="6300"/>
        </w:tabs>
        <w:snapToGrid w:val="0"/>
        <w:spacing w:line="360" w:lineRule="auto"/>
        <w:rPr>
          <w:rFonts w:ascii="Times New Roman" w:hAnsi="Times New Roman"/>
        </w:rPr>
      </w:pPr>
    </w:p>
    <w:p w14:paraId="51EE7695">
      <w:pPr>
        <w:tabs>
          <w:tab w:val="left" w:pos="6300"/>
        </w:tabs>
        <w:snapToGrid w:val="0"/>
        <w:spacing w:line="360" w:lineRule="auto"/>
        <w:rPr>
          <w:rFonts w:ascii="Times New Roman" w:hAnsi="Times New Roman"/>
        </w:rPr>
      </w:pPr>
    </w:p>
    <w:p w14:paraId="3109C168">
      <w:pPr>
        <w:tabs>
          <w:tab w:val="left" w:pos="6300"/>
        </w:tabs>
        <w:snapToGrid w:val="0"/>
        <w:spacing w:line="360" w:lineRule="auto"/>
        <w:rPr>
          <w:rFonts w:ascii="Times New Roman" w:hAnsi="Times New Roman"/>
        </w:rPr>
      </w:pPr>
    </w:p>
    <w:p w14:paraId="77AE77B8">
      <w:pPr>
        <w:tabs>
          <w:tab w:val="left" w:pos="6300"/>
        </w:tabs>
        <w:snapToGrid w:val="0"/>
        <w:spacing w:line="360" w:lineRule="auto"/>
        <w:ind w:right="424"/>
        <w:jc w:val="right"/>
        <w:rPr>
          <w:rFonts w:ascii="Times New Roman" w:hAnsi="Times New Roman"/>
        </w:rPr>
      </w:pPr>
      <w:r>
        <w:rPr>
          <w:rFonts w:hint="eastAsia" w:ascii="Times New Roman" w:hAnsi="Times New Roman"/>
        </w:rPr>
        <w:t>（</w:t>
      </w:r>
      <w:r>
        <w:rPr>
          <w:rFonts w:hint="eastAsia" w:ascii="Times New Roman" w:hAnsi="Times New Roman" w:cs="等线 Light"/>
          <w:snapToGrid w:val="0"/>
          <w:kern w:val="0"/>
          <w:szCs w:val="24"/>
        </w:rPr>
        <w:t>参选</w:t>
      </w:r>
      <w:r>
        <w:rPr>
          <w:rFonts w:hint="eastAsia" w:ascii="Times New Roman" w:hAnsi="Times New Roman"/>
        </w:rPr>
        <w:t>人公章）</w:t>
      </w:r>
    </w:p>
    <w:p w14:paraId="4B6C4242">
      <w:pPr>
        <w:tabs>
          <w:tab w:val="left" w:pos="6300"/>
        </w:tabs>
        <w:snapToGrid w:val="0"/>
        <w:spacing w:line="360" w:lineRule="auto"/>
        <w:ind w:right="480"/>
        <w:jc w:val="right"/>
        <w:rPr>
          <w:rFonts w:ascii="Times New Roman" w:hAnsi="Times New Roman"/>
        </w:rPr>
      </w:pPr>
      <w:r>
        <w:rPr>
          <w:rFonts w:hint="eastAsia" w:ascii="Times New Roman" w:hAnsi="Times New Roman"/>
        </w:rPr>
        <w:t>年   月   日</w:t>
      </w:r>
    </w:p>
    <w:p w14:paraId="3F6ECA1B">
      <w:pPr>
        <w:spacing w:line="360" w:lineRule="auto"/>
        <w:jc w:val="left"/>
        <w:rPr>
          <w:rFonts w:ascii="Times New Roman" w:hAnsi="Times New Roman" w:cs="等线 Light"/>
          <w:snapToGrid w:val="0"/>
          <w:kern w:val="0"/>
          <w:szCs w:val="24"/>
        </w:rPr>
      </w:pPr>
    </w:p>
    <w:p w14:paraId="4BA3D936">
      <w:pPr>
        <w:spacing w:line="360" w:lineRule="auto"/>
        <w:jc w:val="left"/>
        <w:rPr>
          <w:rFonts w:ascii="Times New Roman" w:hAnsi="Times New Roman" w:cs="等线 Light"/>
          <w:snapToGrid w:val="0"/>
          <w:kern w:val="0"/>
          <w:szCs w:val="24"/>
        </w:rPr>
      </w:pPr>
    </w:p>
    <w:p w14:paraId="3D918B35">
      <w:pPr>
        <w:spacing w:line="360" w:lineRule="auto"/>
        <w:jc w:val="left"/>
        <w:rPr>
          <w:rFonts w:ascii="Times New Roman" w:hAnsi="Times New Roman" w:cs="等线 Light"/>
          <w:snapToGrid w:val="0"/>
          <w:kern w:val="0"/>
          <w:szCs w:val="24"/>
        </w:rPr>
      </w:pPr>
    </w:p>
    <w:p w14:paraId="6A5A7E3C">
      <w:pPr>
        <w:spacing w:line="360" w:lineRule="auto"/>
        <w:jc w:val="left"/>
        <w:rPr>
          <w:rFonts w:ascii="Times New Roman" w:hAnsi="Times New Roman" w:cs="等线 Light"/>
          <w:snapToGrid w:val="0"/>
          <w:kern w:val="0"/>
          <w:szCs w:val="24"/>
        </w:rPr>
      </w:pPr>
    </w:p>
    <w:p w14:paraId="59166DDA">
      <w:pPr>
        <w:spacing w:line="360" w:lineRule="auto"/>
        <w:jc w:val="left"/>
        <w:rPr>
          <w:rFonts w:ascii="Times New Roman" w:hAnsi="Times New Roman" w:cs="等线 Light"/>
          <w:snapToGrid w:val="0"/>
          <w:kern w:val="0"/>
          <w:szCs w:val="24"/>
        </w:rPr>
      </w:pPr>
    </w:p>
    <w:p w14:paraId="67E1EB17">
      <w:pPr>
        <w:spacing w:line="360" w:lineRule="auto"/>
        <w:jc w:val="left"/>
        <w:rPr>
          <w:rFonts w:ascii="Times New Roman" w:hAnsi="Times New Roman" w:cs="等线 Light"/>
          <w:snapToGrid w:val="0"/>
          <w:kern w:val="0"/>
          <w:szCs w:val="24"/>
        </w:rPr>
      </w:pPr>
    </w:p>
    <w:p w14:paraId="58C3EF79">
      <w:pPr>
        <w:spacing w:line="360" w:lineRule="auto"/>
        <w:jc w:val="left"/>
        <w:rPr>
          <w:rFonts w:ascii="Times New Roman" w:hAnsi="Times New Roman" w:cs="等线 Light"/>
          <w:snapToGrid w:val="0"/>
          <w:kern w:val="0"/>
          <w:szCs w:val="24"/>
        </w:rPr>
      </w:pPr>
    </w:p>
    <w:p w14:paraId="4B85A7A0">
      <w:pPr>
        <w:rPr>
          <w:rFonts w:ascii="Times New Roman" w:hAnsi="Times New Roman"/>
          <w:b/>
          <w:bCs/>
        </w:rPr>
      </w:pPr>
      <w:r>
        <w:rPr>
          <w:rFonts w:hint="eastAsia" w:ascii="Times New Roman" w:hAnsi="Times New Roman"/>
          <w:kern w:val="0"/>
        </w:rPr>
        <w:br w:type="page"/>
      </w:r>
    </w:p>
    <w:p w14:paraId="7496F749">
      <w:pPr>
        <w:pStyle w:val="23"/>
        <w:rPr>
          <w:rFonts w:ascii="Times New Roman" w:hAnsi="Times New Roman"/>
        </w:rPr>
      </w:pPr>
      <w:r>
        <w:rPr>
          <w:rFonts w:ascii="Times New Roman" w:hAnsi="Times New Roman"/>
        </w:rPr>
        <w:t>（</w:t>
      </w:r>
      <w:r>
        <w:rPr>
          <w:rFonts w:hint="eastAsia" w:ascii="Times New Roman" w:hAnsi="Times New Roman"/>
        </w:rPr>
        <w:t>四</w:t>
      </w:r>
      <w:r>
        <w:rPr>
          <w:rFonts w:ascii="Times New Roman" w:hAnsi="Times New Roman"/>
        </w:rPr>
        <w:t>）中国执行信息公开网截图</w:t>
      </w:r>
    </w:p>
    <w:p w14:paraId="268486C1">
      <w:pPr>
        <w:ind w:firstLine="480"/>
        <w:rPr>
          <w:rFonts w:ascii="Times New Roman" w:hAnsi="Times New Roman"/>
        </w:rPr>
      </w:pPr>
      <w:r>
        <w:rPr>
          <w:rFonts w:hint="eastAsia" w:ascii="Times New Roman" w:hAnsi="Times New Roman"/>
          <w:lang w:val="en-US" w:eastAsia="zh-CN"/>
        </w:rPr>
        <w:t>1.法人</w:t>
      </w:r>
      <w:r>
        <w:rPr>
          <w:rFonts w:ascii="Times New Roman" w:hAnsi="Times New Roman"/>
        </w:rPr>
        <w:t>中国执行信息公开网截图</w:t>
      </w:r>
    </w:p>
    <w:p w14:paraId="332425F9">
      <w:pPr>
        <w:ind w:firstLine="480"/>
        <w:rPr>
          <w:rFonts w:hint="default" w:ascii="Times New Roman" w:hAnsi="Times New Roman" w:eastAsia="宋体"/>
          <w:lang w:val="en-US" w:eastAsia="zh-CN"/>
        </w:rPr>
      </w:pPr>
      <w:r>
        <w:rPr>
          <w:rFonts w:hint="eastAsia" w:ascii="Times New Roman" w:hAnsi="Times New Roman"/>
          <w:lang w:val="en-US" w:eastAsia="zh-CN"/>
        </w:rPr>
        <w:t>2.法定代表人</w:t>
      </w:r>
      <w:r>
        <w:rPr>
          <w:rFonts w:ascii="Times New Roman" w:hAnsi="Times New Roman"/>
        </w:rPr>
        <w:t>中国执行信息公开网截图</w:t>
      </w:r>
    </w:p>
    <w:p w14:paraId="70EA0AF6">
      <w:pPr>
        <w:rPr>
          <w:rFonts w:ascii="Times New Roman" w:hAnsi="Times New Roman"/>
        </w:rPr>
      </w:pPr>
    </w:p>
    <w:p w14:paraId="6D7C822D">
      <w:pPr>
        <w:rPr>
          <w:rFonts w:ascii="Times New Roman" w:hAnsi="Times New Roman"/>
        </w:rPr>
      </w:pPr>
    </w:p>
    <w:p w14:paraId="2D9A82AD">
      <w:pPr>
        <w:rPr>
          <w:rFonts w:ascii="Times New Roman" w:hAnsi="Times New Roman"/>
        </w:rPr>
      </w:pPr>
    </w:p>
    <w:p w14:paraId="028E302A">
      <w:pPr>
        <w:rPr>
          <w:rFonts w:ascii="Times New Roman" w:hAnsi="Times New Roman"/>
        </w:rPr>
      </w:pPr>
    </w:p>
    <w:p w14:paraId="4DC5EB17">
      <w:pPr>
        <w:rPr>
          <w:rFonts w:ascii="Times New Roman" w:hAnsi="Times New Roman"/>
        </w:rPr>
      </w:pPr>
      <w:r>
        <w:rPr>
          <w:rFonts w:hint="eastAsia" w:ascii="Times New Roman" w:hAnsi="Times New Roman"/>
        </w:rPr>
        <w:br w:type="page"/>
      </w:r>
    </w:p>
    <w:p w14:paraId="6F3B1652">
      <w:pPr>
        <w:pStyle w:val="23"/>
        <w:rPr>
          <w:rFonts w:hint="default" w:ascii="Times New Roman" w:hAnsi="Times New Roman" w:eastAsia="宋体"/>
          <w:lang w:val="en-US" w:eastAsia="zh-CN"/>
        </w:rPr>
      </w:pPr>
      <w:r>
        <w:rPr>
          <w:rFonts w:hint="eastAsia" w:ascii="Times New Roman" w:hAnsi="Times New Roman"/>
          <w:lang w:val="zh-CN"/>
        </w:rPr>
        <w:t>（</w:t>
      </w:r>
      <w:r>
        <w:rPr>
          <w:rFonts w:hint="eastAsia" w:ascii="Times New Roman" w:hAnsi="Times New Roman"/>
        </w:rPr>
        <w:t>五</w:t>
      </w:r>
      <w:r>
        <w:rPr>
          <w:rFonts w:hint="eastAsia" w:ascii="Times New Roman" w:hAnsi="Times New Roman"/>
          <w:lang w:val="zh-CN"/>
        </w:rPr>
        <w:t>）</w:t>
      </w:r>
      <w:r>
        <w:rPr>
          <w:rFonts w:ascii="宋体" w:hAnsi="Times New Roman" w:cs="宋体"/>
          <w:sz w:val="21"/>
          <w:szCs w:val="21"/>
        </w:rPr>
        <w:t>参选品牌在重庆具备分公司或办事处</w:t>
      </w:r>
      <w:r>
        <w:rPr>
          <w:rFonts w:hint="eastAsia" w:ascii="Times New Roman" w:hAnsi="Times New Roman"/>
          <w:lang w:val="en-US" w:eastAsia="zh-CN"/>
        </w:rPr>
        <w:t>证明材料</w:t>
      </w:r>
    </w:p>
    <w:p w14:paraId="2D170CEE">
      <w:pPr>
        <w:ind w:firstLine="0" w:firstLineChars="0"/>
        <w:jc w:val="center"/>
        <w:rPr>
          <w:lang w:val="zh-CN"/>
        </w:rPr>
      </w:pPr>
      <w:r>
        <w:rPr>
          <w:rFonts w:hint="eastAsia" w:ascii="Times New Roman" w:hAnsi="Times New Roman"/>
          <w:lang w:eastAsia="zh-CN"/>
        </w:rPr>
        <w:t>（</w:t>
      </w:r>
      <w:r>
        <w:rPr>
          <w:rFonts w:ascii="Times New Roman" w:hAnsi="Times New Roman"/>
        </w:rPr>
        <w:t>分公司或办事处地址和照片信息，并加盖参选品牌公章</w:t>
      </w:r>
      <w:r>
        <w:rPr>
          <w:rFonts w:hint="eastAsia" w:ascii="Times New Roman" w:hAnsi="Times New Roman"/>
          <w:lang w:eastAsia="zh-CN"/>
        </w:rPr>
        <w:t>）</w:t>
      </w:r>
    </w:p>
    <w:p w14:paraId="3C050A29">
      <w:pPr>
        <w:rPr>
          <w:rFonts w:ascii="Times New Roman" w:hAnsi="Times New Roman"/>
        </w:rPr>
      </w:pPr>
    </w:p>
    <w:p w14:paraId="5813AB4A">
      <w:pPr>
        <w:jc w:val="center"/>
        <w:rPr>
          <w:rFonts w:ascii="Times New Roman" w:hAnsi="Times New Roman"/>
          <w:lang w:val="zh-CN"/>
        </w:rPr>
        <w:sectPr>
          <w:pgSz w:w="11906" w:h="16838"/>
          <w:pgMar w:top="1440" w:right="1800" w:bottom="1440" w:left="1800" w:header="851" w:footer="992" w:gutter="0"/>
          <w:pgNumType w:fmt="decimal"/>
          <w:cols w:space="720" w:num="1"/>
          <w:docGrid w:type="lines" w:linePitch="312" w:charSpace="0"/>
        </w:sectPr>
      </w:pPr>
    </w:p>
    <w:p w14:paraId="27A12135">
      <w:pPr>
        <w:pStyle w:val="23"/>
        <w:rPr>
          <w:rFonts w:ascii="Times New Roman" w:hAnsi="Times New Roman"/>
          <w:lang w:val="zh-CN"/>
        </w:rPr>
      </w:pPr>
      <w:r>
        <w:rPr>
          <w:rFonts w:hint="eastAsia" w:ascii="Times New Roman" w:hAnsi="Times New Roman"/>
          <w:lang w:val="zh-CN"/>
        </w:rPr>
        <w:t>（</w:t>
      </w:r>
      <w:r>
        <w:rPr>
          <w:rFonts w:hint="eastAsia"/>
          <w:lang w:val="en-US" w:eastAsia="zh-CN"/>
        </w:rPr>
        <w:t>六</w:t>
      </w:r>
      <w:r>
        <w:rPr>
          <w:rFonts w:hint="eastAsia" w:ascii="Times New Roman" w:hAnsi="Times New Roman"/>
          <w:lang w:val="zh-CN"/>
        </w:rPr>
        <w:t>）</w:t>
      </w:r>
      <w:r>
        <w:rPr>
          <w:rFonts w:ascii="宋体" w:hAnsi="Times New Roman" w:cs="宋体"/>
          <w:sz w:val="21"/>
          <w:szCs w:val="21"/>
        </w:rPr>
        <w:t>参选品牌在重庆具有备件库</w:t>
      </w:r>
      <w:r>
        <w:rPr>
          <w:rFonts w:hint="eastAsia" w:ascii="宋体" w:hAnsi="Times New Roman" w:cs="宋体"/>
          <w:sz w:val="21"/>
          <w:szCs w:val="21"/>
          <w:lang w:val="en-US" w:eastAsia="zh-CN"/>
        </w:rPr>
        <w:t>的证明材料</w:t>
      </w:r>
    </w:p>
    <w:p w14:paraId="632DB42A">
      <w:pPr>
        <w:rPr>
          <w:rFonts w:ascii="Times New Roman" w:hAnsi="Times New Roman"/>
        </w:rPr>
      </w:pPr>
    </w:p>
    <w:p w14:paraId="5A47ECA5">
      <w:pPr>
        <w:rPr>
          <w:rFonts w:ascii="Times New Roman" w:hAnsi="Times New Roman"/>
        </w:rPr>
      </w:pPr>
    </w:p>
    <w:p w14:paraId="431628EC">
      <w:pPr>
        <w:jc w:val="center"/>
        <w:rPr>
          <w:rFonts w:ascii="Times New Roman" w:hAnsi="Times New Roman"/>
          <w:lang w:val="zh-CN"/>
        </w:rPr>
        <w:sectPr>
          <w:pgSz w:w="11906" w:h="16838"/>
          <w:pgMar w:top="1440" w:right="1800" w:bottom="1440" w:left="1800" w:header="851" w:footer="992" w:gutter="0"/>
          <w:pgNumType w:fmt="decimal"/>
          <w:cols w:space="720" w:num="1"/>
          <w:docGrid w:type="lines" w:linePitch="312" w:charSpace="0"/>
        </w:sectPr>
      </w:pPr>
    </w:p>
    <w:p w14:paraId="1877FFBD">
      <w:pPr>
        <w:pStyle w:val="23"/>
        <w:rPr>
          <w:rFonts w:ascii="Times New Roman" w:hAnsi="Times New Roman"/>
          <w:lang w:val="zh-CN"/>
        </w:rPr>
      </w:pPr>
      <w:r>
        <w:rPr>
          <w:rFonts w:hint="eastAsia" w:ascii="Times New Roman" w:hAnsi="Times New Roman"/>
          <w:lang w:val="zh-CN"/>
        </w:rPr>
        <w:t>（</w:t>
      </w:r>
      <w:r>
        <w:rPr>
          <w:rFonts w:hint="eastAsia" w:ascii="Times New Roman" w:hAnsi="Times New Roman"/>
          <w:lang w:val="en-US" w:eastAsia="zh-CN"/>
        </w:rPr>
        <w:t>七</w:t>
      </w:r>
      <w:r>
        <w:rPr>
          <w:rFonts w:hint="eastAsia" w:ascii="Times New Roman" w:hAnsi="Times New Roman"/>
          <w:lang w:val="zh-CN"/>
        </w:rPr>
        <w:t>）</w:t>
      </w:r>
      <w:r>
        <w:rPr>
          <w:rFonts w:ascii="Times New Roman" w:hAnsi="Times New Roman"/>
        </w:rPr>
        <w:t>注册资本</w:t>
      </w:r>
      <w:r>
        <w:rPr>
          <w:rFonts w:hint="eastAsia" w:ascii="Times New Roman" w:hAnsi="Times New Roman"/>
          <w:lang w:val="en-US" w:eastAsia="zh-CN"/>
        </w:rPr>
        <w:t>相关证明材料（如有）</w:t>
      </w:r>
    </w:p>
    <w:p w14:paraId="03314824">
      <w:pPr>
        <w:ind w:firstLine="0" w:firstLineChars="0"/>
        <w:jc w:val="center"/>
        <w:rPr>
          <w:rFonts w:hint="eastAsia" w:ascii="Times New Roman" w:hAnsi="Times New Roman" w:eastAsia="宋体"/>
          <w:lang w:eastAsia="zh-CN"/>
        </w:rPr>
      </w:pPr>
      <w:r>
        <w:rPr>
          <w:rFonts w:hint="eastAsia"/>
          <w:lang w:eastAsia="zh-CN"/>
        </w:rPr>
        <w:t>（</w:t>
      </w:r>
      <w:r>
        <w:rPr>
          <w:rFonts w:ascii="Times New Roman" w:hAnsi="Times New Roman"/>
          <w:color w:val="0000FF"/>
        </w:rPr>
        <w:t>如营业执照无法体现注册资本，则</w:t>
      </w:r>
      <w:r>
        <w:rPr>
          <w:rFonts w:hint="eastAsia"/>
          <w:color w:val="0000FF"/>
          <w:lang w:val="en-US" w:eastAsia="zh-CN"/>
        </w:rPr>
        <w:t>在此</w:t>
      </w:r>
      <w:r>
        <w:rPr>
          <w:rFonts w:ascii="Times New Roman" w:hAnsi="Times New Roman"/>
          <w:color w:val="0000FF"/>
        </w:rPr>
        <w:t>提供网页截图等第三方证明</w:t>
      </w:r>
      <w:r>
        <w:rPr>
          <w:rFonts w:hint="eastAsia"/>
          <w:lang w:eastAsia="zh-CN"/>
        </w:rPr>
        <w:t>）</w:t>
      </w:r>
    </w:p>
    <w:p w14:paraId="1AACE8A5">
      <w:pPr>
        <w:rPr>
          <w:rFonts w:ascii="Times New Roman" w:hAnsi="Times New Roman"/>
        </w:rPr>
      </w:pPr>
    </w:p>
    <w:p w14:paraId="25DCF169">
      <w:pPr>
        <w:jc w:val="center"/>
        <w:rPr>
          <w:rFonts w:ascii="Times New Roman" w:hAnsi="Times New Roman"/>
          <w:lang w:val="zh-CN"/>
        </w:rPr>
        <w:sectPr>
          <w:pgSz w:w="11906" w:h="16838"/>
          <w:pgMar w:top="1440" w:right="1800" w:bottom="1440" w:left="1800" w:header="851" w:footer="992" w:gutter="0"/>
          <w:pgNumType w:fmt="decimal"/>
          <w:cols w:space="720" w:num="1"/>
          <w:docGrid w:type="lines" w:linePitch="312" w:charSpace="0"/>
        </w:sectPr>
      </w:pPr>
    </w:p>
    <w:p w14:paraId="03DA9357">
      <w:pPr>
        <w:pStyle w:val="23"/>
        <w:rPr>
          <w:rFonts w:ascii="Times New Roman" w:hAnsi="Times New Roman"/>
          <w:lang w:val="zh-CN"/>
        </w:rPr>
      </w:pPr>
      <w:r>
        <w:rPr>
          <w:rFonts w:hint="eastAsia" w:ascii="Times New Roman" w:hAnsi="Times New Roman"/>
          <w:lang w:val="zh-CN"/>
        </w:rPr>
        <w:t>（</w:t>
      </w:r>
      <w:r>
        <w:rPr>
          <w:rFonts w:hint="eastAsia" w:ascii="Times New Roman" w:hAnsi="Times New Roman"/>
          <w:lang w:val="en-US" w:eastAsia="zh-CN"/>
        </w:rPr>
        <w:t>八</w:t>
      </w:r>
      <w:r>
        <w:rPr>
          <w:rFonts w:hint="eastAsia" w:ascii="Times New Roman" w:hAnsi="Times New Roman"/>
          <w:lang w:val="zh-CN"/>
        </w:rPr>
        <w:t>）</w:t>
      </w:r>
      <w:r>
        <w:rPr>
          <w:rFonts w:hint="eastAsia" w:ascii="Times New Roman" w:hAnsi="Times New Roman"/>
        </w:rPr>
        <w:t>2024年8月1日至今任意月份的员工社保缴纳总人数及社保缴纳材料证明</w:t>
      </w:r>
    </w:p>
    <w:p w14:paraId="682A87E2">
      <w:pPr>
        <w:rPr>
          <w:rFonts w:ascii="Times New Roman" w:hAnsi="Times New Roman"/>
        </w:rPr>
      </w:pPr>
    </w:p>
    <w:p w14:paraId="36A81CCD">
      <w:pPr>
        <w:rPr>
          <w:rFonts w:ascii="Times New Roman" w:hAnsi="Times New Roman"/>
        </w:rPr>
      </w:pPr>
    </w:p>
    <w:p w14:paraId="4EAF621B">
      <w:pPr>
        <w:jc w:val="center"/>
        <w:rPr>
          <w:rFonts w:ascii="Times New Roman" w:hAnsi="Times New Roman"/>
          <w:lang w:val="zh-CN"/>
        </w:rPr>
        <w:sectPr>
          <w:pgSz w:w="11906" w:h="16838"/>
          <w:pgMar w:top="1440" w:right="1800" w:bottom="1440" w:left="1800" w:header="851" w:footer="992" w:gutter="0"/>
          <w:pgNumType w:fmt="decimal"/>
          <w:cols w:space="720" w:num="1"/>
          <w:docGrid w:type="lines" w:linePitch="312" w:charSpace="0"/>
        </w:sectPr>
      </w:pPr>
    </w:p>
    <w:p w14:paraId="726595F5">
      <w:pPr>
        <w:pStyle w:val="23"/>
        <w:rPr>
          <w:rFonts w:ascii="Times New Roman" w:hAnsi="Times New Roman"/>
          <w:lang w:val="zh-CN"/>
        </w:rPr>
      </w:pPr>
      <w:r>
        <w:rPr>
          <w:rFonts w:hint="eastAsia" w:ascii="Times New Roman" w:hAnsi="Times New Roman"/>
          <w:lang w:val="zh-CN"/>
        </w:rPr>
        <w:t>（</w:t>
      </w:r>
      <w:r>
        <w:rPr>
          <w:rFonts w:hint="eastAsia" w:ascii="Times New Roman" w:hAnsi="Times New Roman"/>
          <w:lang w:val="en-US" w:eastAsia="zh-CN"/>
        </w:rPr>
        <w:t>九</w:t>
      </w:r>
      <w:r>
        <w:rPr>
          <w:rFonts w:hint="eastAsia" w:ascii="Times New Roman" w:hAnsi="Times New Roman"/>
          <w:lang w:val="zh-CN"/>
        </w:rPr>
        <w:t>）</w:t>
      </w:r>
      <w:r>
        <w:rPr>
          <w:rFonts w:hint="eastAsia" w:ascii="Times New Roman" w:hAnsi="Times New Roman"/>
          <w:lang w:val="en-US" w:eastAsia="zh-CN"/>
        </w:rPr>
        <w:t>参选人</w:t>
      </w:r>
      <w:r>
        <w:rPr>
          <w:rFonts w:hint="eastAsia" w:ascii="Times New Roman" w:hAnsi="Times New Roman"/>
          <w:lang w:val="zh-CN"/>
        </w:rPr>
        <w:t>案例</w:t>
      </w:r>
      <w:r>
        <w:rPr>
          <w:rFonts w:ascii="Times New Roman" w:hAnsi="Times New Roman"/>
          <w:lang w:val="zh-CN"/>
        </w:rPr>
        <w:t>证明材料</w:t>
      </w:r>
    </w:p>
    <w:p w14:paraId="30BE40E8">
      <w:pPr>
        <w:rPr>
          <w:rFonts w:ascii="Times New Roman" w:hAnsi="Times New Roman"/>
        </w:rPr>
      </w:pPr>
      <w:r>
        <w:rPr>
          <w:rFonts w:ascii="Times New Roman" w:hAnsi="Times New Roman"/>
        </w:rPr>
        <w:t>提供</w:t>
      </w:r>
      <w:r>
        <w:rPr>
          <w:rFonts w:hint="eastAsia" w:ascii="Times New Roman" w:hAnsi="Times New Roman"/>
          <w:lang w:val="en-US" w:eastAsia="zh-CN"/>
        </w:rPr>
        <w:t>参选人</w:t>
      </w:r>
      <w:r>
        <w:rPr>
          <w:rFonts w:ascii="Times New Roman" w:hAnsi="Times New Roman"/>
        </w:rPr>
        <w:t>案例相关的项目简介及相关的复印件</w:t>
      </w:r>
    </w:p>
    <w:p w14:paraId="4002D479">
      <w:pPr>
        <w:jc w:val="center"/>
        <w:rPr>
          <w:rFonts w:ascii="Times New Roman" w:hAnsi="Times New Roman"/>
          <w:lang w:val="zh-CN"/>
        </w:rPr>
        <w:sectPr>
          <w:pgSz w:w="11906" w:h="16838"/>
          <w:pgMar w:top="1440" w:right="1800" w:bottom="1440" w:left="1800" w:header="851" w:footer="992" w:gutter="0"/>
          <w:pgNumType w:fmt="decimal"/>
          <w:cols w:space="720" w:num="1"/>
          <w:docGrid w:type="lines" w:linePitch="312" w:charSpace="0"/>
        </w:sectPr>
      </w:pPr>
    </w:p>
    <w:p w14:paraId="3C7362DE">
      <w:pPr>
        <w:pStyle w:val="23"/>
        <w:rPr>
          <w:rFonts w:ascii="Times New Roman" w:hAnsi="Times New Roman"/>
          <w:lang w:val="zh-CN"/>
        </w:rPr>
      </w:pPr>
      <w:r>
        <w:rPr>
          <w:rFonts w:hint="eastAsia" w:ascii="Times New Roman" w:hAnsi="Times New Roman"/>
          <w:lang w:val="zh-CN"/>
        </w:rPr>
        <w:t>（</w:t>
      </w:r>
      <w:r>
        <w:rPr>
          <w:rFonts w:hint="eastAsia" w:ascii="Times New Roman" w:hAnsi="Times New Roman"/>
          <w:lang w:val="en-US" w:eastAsia="zh-CN"/>
        </w:rPr>
        <w:t>十</w:t>
      </w:r>
      <w:r>
        <w:rPr>
          <w:rFonts w:hint="eastAsia" w:ascii="Times New Roman" w:hAnsi="Times New Roman"/>
          <w:lang w:val="zh-CN"/>
        </w:rPr>
        <w:t>）</w:t>
      </w:r>
      <w:r>
        <w:rPr>
          <w:rFonts w:hint="eastAsia" w:ascii="Times New Roman" w:hAnsi="Times New Roman"/>
          <w:lang w:val="en-US" w:eastAsia="zh-CN"/>
        </w:rPr>
        <w:t>参选品牌</w:t>
      </w:r>
      <w:r>
        <w:rPr>
          <w:rFonts w:hint="eastAsia" w:ascii="Times New Roman" w:hAnsi="Times New Roman"/>
          <w:lang w:val="zh-CN"/>
        </w:rPr>
        <w:t>案例</w:t>
      </w:r>
      <w:r>
        <w:rPr>
          <w:rFonts w:ascii="Times New Roman" w:hAnsi="Times New Roman"/>
          <w:lang w:val="zh-CN"/>
        </w:rPr>
        <w:t>证明材料</w:t>
      </w:r>
    </w:p>
    <w:p w14:paraId="0D96A2F2">
      <w:pPr>
        <w:rPr>
          <w:rFonts w:ascii="Times New Roman" w:hAnsi="Times New Roman"/>
        </w:rPr>
      </w:pPr>
      <w:r>
        <w:rPr>
          <w:rFonts w:ascii="Times New Roman" w:hAnsi="Times New Roman"/>
        </w:rPr>
        <w:t>提供</w:t>
      </w:r>
      <w:r>
        <w:rPr>
          <w:rFonts w:hint="eastAsia" w:ascii="Times New Roman" w:hAnsi="Times New Roman"/>
          <w:lang w:val="en-US" w:eastAsia="zh-CN"/>
        </w:rPr>
        <w:t>参选品牌</w:t>
      </w:r>
      <w:r>
        <w:rPr>
          <w:rFonts w:ascii="Times New Roman" w:hAnsi="Times New Roman"/>
        </w:rPr>
        <w:t>案例相关的项目简介及相关的复印件</w:t>
      </w:r>
    </w:p>
    <w:p w14:paraId="20E19020">
      <w:pPr>
        <w:jc w:val="center"/>
        <w:rPr>
          <w:rFonts w:ascii="Times New Roman" w:hAnsi="Times New Roman"/>
          <w:lang w:val="zh-CN"/>
        </w:rPr>
        <w:sectPr>
          <w:pgSz w:w="11906" w:h="16838"/>
          <w:pgMar w:top="1440" w:right="1800" w:bottom="1440" w:left="1800" w:header="851" w:footer="992" w:gutter="0"/>
          <w:pgNumType w:fmt="decimal"/>
          <w:cols w:space="720" w:num="1"/>
          <w:docGrid w:type="lines" w:linePitch="312" w:charSpace="0"/>
        </w:sectPr>
      </w:pPr>
    </w:p>
    <w:p w14:paraId="743C5AD2">
      <w:pPr>
        <w:pStyle w:val="23"/>
        <w:rPr>
          <w:rFonts w:ascii="Times New Roman" w:hAnsi="Times New Roman"/>
          <w:lang w:val="zh-CN"/>
        </w:rPr>
      </w:pPr>
      <w:r>
        <w:rPr>
          <w:rFonts w:hint="eastAsia" w:ascii="Times New Roman" w:hAnsi="Times New Roman"/>
          <w:lang w:val="zh-CN"/>
        </w:rPr>
        <w:t>（</w:t>
      </w:r>
      <w:r>
        <w:rPr>
          <w:rFonts w:hint="eastAsia" w:ascii="Times New Roman" w:hAnsi="Times New Roman"/>
          <w:lang w:val="en-US" w:eastAsia="zh-CN"/>
        </w:rPr>
        <w:t>十一</w:t>
      </w:r>
      <w:r>
        <w:rPr>
          <w:rFonts w:hint="eastAsia" w:ascii="Times New Roman" w:hAnsi="Times New Roman"/>
          <w:lang w:val="zh-CN"/>
        </w:rPr>
        <w:t>）</w:t>
      </w:r>
      <w:r>
        <w:rPr>
          <w:rFonts w:ascii="Times New Roman" w:hAnsi="Times New Roman"/>
          <w:lang w:val="zh-CN"/>
        </w:rPr>
        <w:t>服务器设备原厂商维保服务</w:t>
      </w:r>
      <w:r>
        <w:rPr>
          <w:rFonts w:hint="eastAsia" w:ascii="Times New Roman" w:hAnsi="Times New Roman"/>
          <w:lang w:val="zh-CN"/>
        </w:rPr>
        <w:t>承诺函</w:t>
      </w:r>
      <w:r>
        <w:rPr>
          <w:rFonts w:ascii="Times New Roman" w:hAnsi="Times New Roman"/>
          <w:lang w:val="zh-CN"/>
        </w:rPr>
        <w:t>原件</w:t>
      </w:r>
    </w:p>
    <w:p w14:paraId="5832A43E">
      <w:pPr>
        <w:rPr>
          <w:rFonts w:ascii="Times New Roman" w:hAnsi="Times New Roman"/>
          <w:lang w:val="zh-CN"/>
        </w:rPr>
      </w:pPr>
      <w:r>
        <w:rPr>
          <w:rFonts w:hint="eastAsia"/>
          <w:lang w:eastAsia="zh-CN"/>
        </w:rPr>
        <w:t>（</w:t>
      </w:r>
      <w:r>
        <w:rPr>
          <w:rFonts w:hint="eastAsia" w:ascii="Times New Roman" w:hAnsi="Times New Roman"/>
        </w:rPr>
        <w:t>加盖</w:t>
      </w:r>
      <w:r>
        <w:rPr>
          <w:rFonts w:ascii="Times New Roman" w:hAnsi="Times New Roman"/>
        </w:rPr>
        <w:t>服务器设备原厂商公</w:t>
      </w:r>
      <w:r>
        <w:rPr>
          <w:rFonts w:hint="eastAsia" w:ascii="Times New Roman" w:hAnsi="Times New Roman"/>
        </w:rPr>
        <w:t>章</w:t>
      </w:r>
      <w:r>
        <w:rPr>
          <w:rFonts w:hint="eastAsia"/>
          <w:lang w:eastAsia="zh-CN"/>
        </w:rPr>
        <w:t>）</w:t>
      </w:r>
    </w:p>
    <w:p w14:paraId="1005069F">
      <w:pPr>
        <w:rPr>
          <w:rFonts w:ascii="Times New Roman" w:hAnsi="Times New Roman"/>
          <w:lang w:val="zh-CN"/>
        </w:rPr>
      </w:pPr>
    </w:p>
    <w:p w14:paraId="2794BE80">
      <w:pPr>
        <w:rPr>
          <w:rFonts w:ascii="Times New Roman" w:hAnsi="Times New Roman"/>
          <w:lang w:val="zh-CN"/>
        </w:rPr>
      </w:pPr>
    </w:p>
    <w:p w14:paraId="0BF0AA75">
      <w:pPr>
        <w:rPr>
          <w:rFonts w:ascii="Times New Roman" w:hAnsi="Times New Roman"/>
          <w:lang w:val="zh-CN"/>
        </w:rPr>
      </w:pPr>
      <w:r>
        <w:rPr>
          <w:rFonts w:hint="eastAsia" w:ascii="Times New Roman" w:hAnsi="Times New Roman"/>
          <w:lang w:val="zh-CN"/>
        </w:rPr>
        <w:br w:type="page"/>
      </w:r>
    </w:p>
    <w:p w14:paraId="37DAD490">
      <w:pPr>
        <w:pStyle w:val="23"/>
        <w:rPr>
          <w:rFonts w:ascii="Times New Roman" w:hAnsi="Times New Roman"/>
        </w:rPr>
      </w:pPr>
      <w:r>
        <w:rPr>
          <w:rFonts w:hint="eastAsia" w:ascii="Times New Roman" w:hAnsi="Times New Roman"/>
        </w:rPr>
        <w:t>（</w:t>
      </w:r>
      <w:r>
        <w:rPr>
          <w:rFonts w:hint="eastAsia" w:ascii="Times New Roman" w:hAnsi="Times New Roman"/>
          <w:lang w:val="en-US" w:eastAsia="zh-CN"/>
        </w:rPr>
        <w:t>十二</w:t>
      </w:r>
      <w:r>
        <w:rPr>
          <w:rFonts w:hint="eastAsia" w:ascii="Times New Roman" w:hAnsi="Times New Roman"/>
        </w:rPr>
        <w:t>）</w:t>
      </w:r>
      <w:r>
        <w:rPr>
          <w:rFonts w:ascii="Times New Roman" w:hAnsi="Times New Roman"/>
        </w:rPr>
        <w:t>服务器设备</w:t>
      </w:r>
      <w:r>
        <w:rPr>
          <w:rFonts w:hint="eastAsia" w:ascii="Times New Roman" w:hAnsi="Times New Roman"/>
        </w:rPr>
        <w:t>原厂</w:t>
      </w:r>
      <w:r>
        <w:rPr>
          <w:rFonts w:ascii="Times New Roman" w:hAnsi="Times New Roman"/>
        </w:rPr>
        <w:t>商参选授权函原件</w:t>
      </w:r>
    </w:p>
    <w:p w14:paraId="61E84502">
      <w:pPr>
        <w:rPr>
          <w:rFonts w:ascii="Times New Roman" w:hAnsi="Times New Roman"/>
        </w:rPr>
      </w:pPr>
      <w:r>
        <w:rPr>
          <w:rFonts w:hint="eastAsia"/>
          <w:lang w:eastAsia="zh-CN"/>
        </w:rPr>
        <w:t>（</w:t>
      </w:r>
      <w:r>
        <w:t>若为代理商参与比选，参选人须提供比选产品设备原厂商对本项目出具的参选授权函原件</w:t>
      </w:r>
      <w:r>
        <w:rPr>
          <w:rFonts w:hint="eastAsia"/>
          <w:lang w:eastAsia="zh-CN"/>
        </w:rPr>
        <w:t>，</w:t>
      </w:r>
      <w:r>
        <w:rPr>
          <w:rFonts w:hint="eastAsia" w:ascii="Times New Roman" w:hAnsi="Times New Roman"/>
        </w:rPr>
        <w:t>加盖</w:t>
      </w:r>
      <w:r>
        <w:rPr>
          <w:rFonts w:ascii="Times New Roman" w:hAnsi="Times New Roman"/>
        </w:rPr>
        <w:t>服务器设备原厂商公</w:t>
      </w:r>
      <w:r>
        <w:rPr>
          <w:rFonts w:hint="eastAsia" w:ascii="Times New Roman" w:hAnsi="Times New Roman"/>
        </w:rPr>
        <w:t>章</w:t>
      </w:r>
      <w:r>
        <w:rPr>
          <w:rFonts w:hint="eastAsia"/>
          <w:lang w:eastAsia="zh-CN"/>
        </w:rPr>
        <w:t>）</w:t>
      </w:r>
    </w:p>
    <w:p w14:paraId="18C48037">
      <w:pPr>
        <w:rPr>
          <w:rFonts w:ascii="Times New Roman" w:hAnsi="Times New Roman"/>
        </w:rPr>
      </w:pPr>
    </w:p>
    <w:p w14:paraId="6B32F7CA">
      <w:pPr>
        <w:rPr>
          <w:rFonts w:ascii="Times New Roman" w:hAnsi="Times New Roman"/>
        </w:rPr>
      </w:pPr>
    </w:p>
    <w:p w14:paraId="7CB1A21F">
      <w:pPr>
        <w:rPr>
          <w:rFonts w:ascii="Times New Roman" w:hAnsi="Times New Roman"/>
        </w:rPr>
        <w:sectPr>
          <w:pgSz w:w="11906" w:h="16838"/>
          <w:pgMar w:top="1440" w:right="1800" w:bottom="1440" w:left="1800" w:header="851" w:footer="992" w:gutter="0"/>
          <w:pgNumType w:fmt="decimal"/>
          <w:cols w:space="720" w:num="1"/>
          <w:docGrid w:type="lines" w:linePitch="312" w:charSpace="0"/>
        </w:sectPr>
      </w:pPr>
    </w:p>
    <w:p w14:paraId="6A081A31">
      <w:pPr>
        <w:pStyle w:val="23"/>
        <w:rPr>
          <w:rFonts w:ascii="Times New Roman" w:hAnsi="Times New Roman"/>
          <w:lang w:val="zh-CN"/>
        </w:rPr>
      </w:pPr>
      <w:r>
        <w:rPr>
          <w:rFonts w:hint="eastAsia" w:ascii="Times New Roman" w:hAnsi="Times New Roman"/>
          <w:lang w:val="zh-CN"/>
        </w:rPr>
        <w:t>（</w:t>
      </w:r>
      <w:r>
        <w:rPr>
          <w:rFonts w:hint="eastAsia"/>
          <w:lang w:val="en-US" w:eastAsia="zh-CN"/>
        </w:rPr>
        <w:t>十三</w:t>
      </w:r>
      <w:r>
        <w:rPr>
          <w:rFonts w:ascii="Times New Roman" w:hAnsi="Times New Roman"/>
          <w:lang w:val="zh-CN"/>
        </w:rPr>
        <w:t>）服务器设备原厂商供应保障函原件</w:t>
      </w:r>
    </w:p>
    <w:p w14:paraId="0A2D22F1">
      <w:r>
        <w:rPr>
          <w:rFonts w:hint="eastAsia" w:ascii="Times New Roman" w:hAnsi="Times New Roman"/>
        </w:rPr>
        <w:t>加盖</w:t>
      </w:r>
      <w:r>
        <w:rPr>
          <w:rFonts w:ascii="Times New Roman" w:hAnsi="Times New Roman"/>
        </w:rPr>
        <w:t>服务器设备原厂商公章</w:t>
      </w:r>
    </w:p>
    <w:p w14:paraId="11E81320">
      <w:pPr>
        <w:rPr>
          <w:rFonts w:ascii="Times New Roman" w:hAnsi="Times New Roman"/>
          <w:lang w:val="zh-CN"/>
        </w:rPr>
      </w:pPr>
      <w:r>
        <w:rPr>
          <w:rFonts w:ascii="Times New Roman" w:hAnsi="Times New Roman"/>
          <w:lang w:val="zh-CN"/>
        </w:rPr>
        <w:br w:type="page"/>
      </w:r>
    </w:p>
    <w:p w14:paraId="7E91A36F">
      <w:pPr>
        <w:pStyle w:val="23"/>
        <w:rPr>
          <w:rFonts w:ascii="Times New Roman" w:hAnsi="Times New Roman"/>
          <w:lang w:val="zh-CN"/>
        </w:rPr>
      </w:pPr>
      <w:r>
        <w:rPr>
          <w:rFonts w:hint="eastAsia" w:ascii="Times New Roman" w:hAnsi="Times New Roman"/>
          <w:lang w:val="zh-CN"/>
        </w:rPr>
        <w:t>（</w:t>
      </w:r>
      <w:r>
        <w:rPr>
          <w:rFonts w:hint="eastAsia"/>
          <w:lang w:val="en-US" w:eastAsia="zh-CN"/>
        </w:rPr>
        <w:t>十四</w:t>
      </w:r>
      <w:r>
        <w:rPr>
          <w:rFonts w:ascii="Times New Roman" w:hAnsi="Times New Roman"/>
          <w:lang w:val="zh-CN"/>
        </w:rPr>
        <w:t>）服务器CPU原厂商供应保障函原件</w:t>
      </w:r>
    </w:p>
    <w:p w14:paraId="794E18C7">
      <w:pPr>
        <w:rPr>
          <w:rFonts w:ascii="Times New Roman" w:hAnsi="Times New Roman"/>
        </w:rPr>
      </w:pPr>
      <w:r>
        <w:rPr>
          <w:rFonts w:hint="eastAsia" w:ascii="Times New Roman" w:hAnsi="Times New Roman"/>
        </w:rPr>
        <w:t>加盖</w:t>
      </w:r>
      <w:r>
        <w:rPr>
          <w:rFonts w:ascii="Times New Roman" w:hAnsi="Times New Roman"/>
        </w:rPr>
        <w:t>服务器CPU原厂商公章</w:t>
      </w:r>
    </w:p>
    <w:p w14:paraId="31BF99D8">
      <w:pPr>
        <w:rPr>
          <w:rFonts w:ascii="Times New Roman" w:hAnsi="Times New Roman"/>
          <w:lang w:val="zh-CN"/>
        </w:rPr>
      </w:pPr>
    </w:p>
    <w:p w14:paraId="3A52ABB7">
      <w:pPr>
        <w:jc w:val="center"/>
        <w:rPr>
          <w:rFonts w:ascii="Times New Roman" w:hAnsi="Times New Roman"/>
          <w:lang w:val="zh-CN"/>
        </w:rPr>
        <w:sectPr>
          <w:pgSz w:w="11906" w:h="16838"/>
          <w:pgMar w:top="1440" w:right="1800" w:bottom="1440" w:left="1800" w:header="851" w:footer="992" w:gutter="0"/>
          <w:pgNumType w:fmt="decimal"/>
          <w:cols w:space="720" w:num="1"/>
          <w:docGrid w:type="lines" w:linePitch="312" w:charSpace="0"/>
        </w:sectPr>
      </w:pPr>
    </w:p>
    <w:p w14:paraId="671139BB">
      <w:pPr>
        <w:pStyle w:val="23"/>
        <w:rPr>
          <w:rFonts w:hint="eastAsia" w:ascii="Times New Roman" w:hAnsi="Times New Roman" w:eastAsia="宋体"/>
          <w:lang w:val="zh-CN" w:eastAsia="zh-CN"/>
        </w:rPr>
      </w:pPr>
      <w:r>
        <w:rPr>
          <w:rFonts w:hint="eastAsia" w:ascii="Times New Roman" w:hAnsi="Times New Roman"/>
          <w:lang w:val="zh-CN"/>
        </w:rPr>
        <w:t>（</w:t>
      </w:r>
      <w:r>
        <w:rPr>
          <w:rFonts w:hint="eastAsia"/>
          <w:lang w:val="en-US" w:eastAsia="zh-CN"/>
        </w:rPr>
        <w:t>十五</w:t>
      </w:r>
      <w:r>
        <w:rPr>
          <w:rFonts w:hint="eastAsia" w:ascii="Times New Roman" w:hAnsi="Times New Roman"/>
          <w:lang w:val="zh-CN"/>
        </w:rPr>
        <w:t>）</w:t>
      </w:r>
      <w:r>
        <w:rPr>
          <w:rFonts w:hint="eastAsia" w:ascii="Times New Roman" w:hAnsi="Times New Roman"/>
        </w:rPr>
        <w:t>其他</w:t>
      </w:r>
      <w:r>
        <w:rPr>
          <w:rFonts w:hint="eastAsia"/>
          <w:lang w:eastAsia="zh-CN"/>
        </w:rPr>
        <w:t>（</w:t>
      </w:r>
      <w:r>
        <w:rPr>
          <w:rFonts w:hint="eastAsia"/>
          <w:lang w:val="en-US" w:eastAsia="zh-CN"/>
        </w:rPr>
        <w:t>如有</w:t>
      </w:r>
      <w:r>
        <w:rPr>
          <w:rFonts w:hint="eastAsia"/>
          <w:lang w:eastAsia="zh-CN"/>
        </w:rPr>
        <w:t>）</w:t>
      </w:r>
    </w:p>
    <w:p w14:paraId="40A1EC9A">
      <w:pPr>
        <w:rPr>
          <w:rFonts w:ascii="Times New Roman" w:hAnsi="Times New Roman"/>
          <w:lang w:val="zh-CN"/>
        </w:rPr>
      </w:pPr>
    </w:p>
    <w:p w14:paraId="78582A30">
      <w:pPr>
        <w:rPr>
          <w:rFonts w:ascii="Times New Roman" w:hAnsi="Times New Roman"/>
          <w:lang w:val="zh-CN"/>
        </w:rPr>
      </w:pPr>
      <w:r>
        <w:rPr>
          <w:rFonts w:hint="eastAsia" w:ascii="Times New Roman" w:hAnsi="Times New Roman"/>
          <w:lang w:val="zh-CN"/>
        </w:rPr>
        <w:br w:type="page"/>
      </w:r>
    </w:p>
    <w:p w14:paraId="3FE9DB6C">
      <w:pPr>
        <w:pStyle w:val="22"/>
        <w:rPr>
          <w:rFonts w:ascii="Times New Roman" w:hAnsi="Times New Roman"/>
        </w:rPr>
      </w:pPr>
      <w:r>
        <w:rPr>
          <w:rFonts w:hint="eastAsia"/>
          <w:lang w:val="en-US" w:eastAsia="zh-CN"/>
        </w:rPr>
        <w:t>五</w:t>
      </w:r>
      <w:r>
        <w:rPr>
          <w:rFonts w:ascii="Times New Roman" w:hAnsi="Times New Roman"/>
        </w:rPr>
        <w:t>、</w:t>
      </w:r>
      <w:r>
        <w:rPr>
          <w:rFonts w:hint="eastAsia"/>
          <w:color w:val="auto"/>
          <w:highlight w:val="none"/>
          <w:lang w:val="en-US" w:eastAsia="zh-CN"/>
        </w:rPr>
        <w:t>响应性文件</w:t>
      </w:r>
    </w:p>
    <w:p w14:paraId="01A9B180">
      <w:pPr>
        <w:pStyle w:val="23"/>
        <w:rPr>
          <w:rFonts w:ascii="Times New Roman" w:hAnsi="Times New Roman"/>
        </w:rPr>
      </w:pPr>
      <w:r>
        <w:rPr>
          <w:rFonts w:hint="eastAsia" w:ascii="Times New Roman" w:hAnsi="Times New Roman"/>
        </w:rPr>
        <w:t>（一）响应承诺函</w:t>
      </w:r>
    </w:p>
    <w:p w14:paraId="493F2622">
      <w:pPr>
        <w:rPr>
          <w:rFonts w:ascii="Times New Roman" w:hAnsi="Times New Roman"/>
        </w:rPr>
      </w:pPr>
      <w:r>
        <w:rPr>
          <w:rFonts w:hint="eastAsia" w:ascii="Times New Roman" w:hAnsi="Times New Roman"/>
        </w:rPr>
        <w:t>根据第三章“项目要求”内容做出整体承诺，格式自理。</w:t>
      </w:r>
    </w:p>
    <w:p w14:paraId="0F520F01">
      <w:pPr>
        <w:rPr>
          <w:rFonts w:ascii="Times New Roman" w:hAnsi="Times New Roman"/>
        </w:rPr>
      </w:pPr>
    </w:p>
    <w:p w14:paraId="6587A922">
      <w:pPr>
        <w:rPr>
          <w:rFonts w:ascii="Times New Roman" w:hAnsi="Times New Roman"/>
        </w:rPr>
        <w:sectPr>
          <w:pgSz w:w="11906" w:h="16838"/>
          <w:pgMar w:top="1440" w:right="1800" w:bottom="1440" w:left="1800" w:header="851" w:footer="992" w:gutter="0"/>
          <w:pgNumType w:fmt="decimal"/>
          <w:cols w:space="720" w:num="1"/>
          <w:docGrid w:type="lines" w:linePitch="312" w:charSpace="0"/>
        </w:sectPr>
      </w:pPr>
    </w:p>
    <w:p w14:paraId="1C7A2147">
      <w:pPr>
        <w:pStyle w:val="23"/>
        <w:rPr>
          <w:rFonts w:ascii="Times New Roman" w:hAnsi="Times New Roman"/>
        </w:rPr>
      </w:pPr>
      <w:r>
        <w:rPr>
          <w:rFonts w:hint="eastAsia" w:ascii="Times New Roman" w:hAnsi="Times New Roman"/>
        </w:rPr>
        <w:t>（二）</w:t>
      </w:r>
      <w:r>
        <w:rPr>
          <w:rFonts w:ascii="Times New Roman" w:hAnsi="Times New Roman"/>
        </w:rPr>
        <w:t>技术</w:t>
      </w:r>
      <w:r>
        <w:rPr>
          <w:rFonts w:hint="eastAsia" w:ascii="Times New Roman" w:hAnsi="Times New Roman"/>
        </w:rPr>
        <w:t>条款偏离表</w:t>
      </w:r>
    </w:p>
    <w:p w14:paraId="41F3D6A2">
      <w:pPr>
        <w:spacing w:line="360" w:lineRule="auto"/>
        <w:rPr>
          <w:rFonts w:ascii="Times New Roman" w:hAnsi="Times New Roman" w:cs="等线 Light"/>
          <w:b/>
          <w:snapToGrid w:val="0"/>
          <w:kern w:val="0"/>
          <w:szCs w:val="24"/>
        </w:rPr>
      </w:pP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1200"/>
        <w:gridCol w:w="1007"/>
        <w:gridCol w:w="1469"/>
        <w:gridCol w:w="2640"/>
        <w:gridCol w:w="1154"/>
      </w:tblGrid>
      <w:tr w14:paraId="4E68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20" w:type="pct"/>
            <w:gridSpan w:val="2"/>
            <w:vAlign w:val="center"/>
          </w:tcPr>
          <w:p w14:paraId="1D3CBA22">
            <w:pPr>
              <w:pStyle w:val="34"/>
              <w:bidi w:val="0"/>
            </w:pPr>
            <w:r>
              <w:rPr>
                <w:rFonts w:hint="eastAsia"/>
                <w:lang w:val="en-US" w:eastAsia="zh-CN"/>
              </w:rPr>
              <w:t>项目名称</w:t>
            </w:r>
          </w:p>
        </w:tc>
        <w:tc>
          <w:tcPr>
            <w:tcW w:w="3679" w:type="pct"/>
            <w:gridSpan w:val="4"/>
            <w:vAlign w:val="center"/>
          </w:tcPr>
          <w:p w14:paraId="025D81C3">
            <w:pPr>
              <w:pStyle w:val="34"/>
              <w:bidi w:val="0"/>
              <w:rPr>
                <w:rFonts w:hint="eastAsia"/>
              </w:rPr>
            </w:pPr>
            <w:r>
              <w:t>2024年信创服务器采购项目标段X</w:t>
            </w:r>
          </w:p>
        </w:tc>
      </w:tr>
      <w:tr w14:paraId="7681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16" w:type="pct"/>
            <w:vAlign w:val="center"/>
          </w:tcPr>
          <w:p w14:paraId="46CEB684">
            <w:pPr>
              <w:pStyle w:val="34"/>
              <w:bidi w:val="0"/>
            </w:pPr>
            <w:r>
              <w:rPr>
                <w:rFonts w:hint="eastAsia"/>
              </w:rPr>
              <w:t>序号</w:t>
            </w:r>
          </w:p>
        </w:tc>
        <w:tc>
          <w:tcPr>
            <w:tcW w:w="704" w:type="pct"/>
            <w:vAlign w:val="center"/>
          </w:tcPr>
          <w:p w14:paraId="5300E0D3">
            <w:pPr>
              <w:pStyle w:val="34"/>
              <w:bidi w:val="0"/>
            </w:pPr>
            <w:r>
              <w:t>条款号</w:t>
            </w:r>
          </w:p>
        </w:tc>
        <w:tc>
          <w:tcPr>
            <w:tcW w:w="591" w:type="pct"/>
            <w:vAlign w:val="center"/>
          </w:tcPr>
          <w:p w14:paraId="6494919E">
            <w:pPr>
              <w:pStyle w:val="34"/>
              <w:bidi w:val="0"/>
            </w:pPr>
            <w:r>
              <w:t>类别</w:t>
            </w:r>
          </w:p>
        </w:tc>
        <w:tc>
          <w:tcPr>
            <w:tcW w:w="862" w:type="pct"/>
            <w:vAlign w:val="center"/>
          </w:tcPr>
          <w:p w14:paraId="0EFBA645">
            <w:pPr>
              <w:pStyle w:val="34"/>
              <w:bidi w:val="0"/>
            </w:pPr>
            <w:r>
              <w:rPr>
                <w:rFonts w:hint="eastAsia"/>
              </w:rPr>
              <w:t>比选文件技术规格要求</w:t>
            </w:r>
          </w:p>
        </w:tc>
        <w:tc>
          <w:tcPr>
            <w:tcW w:w="1549" w:type="pct"/>
            <w:vAlign w:val="center"/>
          </w:tcPr>
          <w:p w14:paraId="5C37021F">
            <w:pPr>
              <w:pStyle w:val="34"/>
              <w:bidi w:val="0"/>
            </w:pPr>
            <w:r>
              <w:rPr>
                <w:rFonts w:hint="eastAsia"/>
              </w:rPr>
              <w:t>参选文件</w:t>
            </w:r>
            <w:r>
              <w:t>应答</w:t>
            </w:r>
          </w:p>
        </w:tc>
        <w:tc>
          <w:tcPr>
            <w:tcW w:w="676" w:type="pct"/>
            <w:vAlign w:val="center"/>
          </w:tcPr>
          <w:p w14:paraId="3FE19483">
            <w:pPr>
              <w:pStyle w:val="34"/>
              <w:bidi w:val="0"/>
            </w:pPr>
            <w:r>
              <w:rPr>
                <w:rFonts w:hint="eastAsia"/>
              </w:rPr>
              <w:t>说明</w:t>
            </w:r>
          </w:p>
        </w:tc>
      </w:tr>
      <w:tr w14:paraId="1784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Align w:val="center"/>
          </w:tcPr>
          <w:p w14:paraId="0017141F">
            <w:pPr>
              <w:pStyle w:val="33"/>
              <w:bidi w:val="0"/>
            </w:pPr>
            <w:r>
              <w:t>配置X</w:t>
            </w:r>
          </w:p>
        </w:tc>
        <w:tc>
          <w:tcPr>
            <w:tcW w:w="704" w:type="pct"/>
            <w:tcBorders>
              <w:left w:val="single" w:color="auto" w:sz="4" w:space="0"/>
            </w:tcBorders>
            <w:vAlign w:val="center"/>
          </w:tcPr>
          <w:p w14:paraId="381051DB">
            <w:pPr>
              <w:pStyle w:val="33"/>
              <w:bidi w:val="0"/>
            </w:pPr>
            <w:r>
              <w:t>X</w:t>
            </w:r>
          </w:p>
        </w:tc>
        <w:tc>
          <w:tcPr>
            <w:tcW w:w="591" w:type="pct"/>
            <w:tcBorders>
              <w:left w:val="single" w:color="auto" w:sz="4" w:space="0"/>
            </w:tcBorders>
            <w:vAlign w:val="center"/>
          </w:tcPr>
          <w:p w14:paraId="22B01D4E">
            <w:pPr>
              <w:pStyle w:val="33"/>
              <w:bidi w:val="0"/>
            </w:pPr>
            <w:r>
              <w:t>XX</w:t>
            </w:r>
          </w:p>
        </w:tc>
        <w:tc>
          <w:tcPr>
            <w:tcW w:w="862" w:type="pct"/>
            <w:tcBorders>
              <w:left w:val="single" w:color="auto" w:sz="4" w:space="0"/>
            </w:tcBorders>
            <w:vAlign w:val="center"/>
          </w:tcPr>
          <w:p w14:paraId="7A39E4F9">
            <w:pPr>
              <w:pStyle w:val="33"/>
              <w:bidi w:val="0"/>
            </w:pPr>
            <w:r>
              <w:rPr>
                <w:rFonts w:hint="eastAsia"/>
              </w:rPr>
              <w:t>XXXXXX（比选文件原文）</w:t>
            </w:r>
          </w:p>
        </w:tc>
        <w:tc>
          <w:tcPr>
            <w:tcW w:w="1549" w:type="pct"/>
            <w:tcBorders>
              <w:left w:val="single" w:color="auto" w:sz="4" w:space="0"/>
            </w:tcBorders>
            <w:vAlign w:val="center"/>
          </w:tcPr>
          <w:p w14:paraId="596DC600">
            <w:pPr>
              <w:pStyle w:val="33"/>
              <w:bidi w:val="0"/>
            </w:pPr>
            <w:r>
              <w:rPr>
                <w:rFonts w:hint="eastAsia"/>
              </w:rPr>
              <w:t>做出明确的参数应答，不得使用“不低于”、“不少于”、“至少”</w:t>
            </w:r>
            <w:r>
              <w:t>、</w:t>
            </w:r>
            <w:r>
              <w:rPr>
                <w:rFonts w:hint="eastAsia"/>
              </w:rPr>
              <w:t>“</w:t>
            </w:r>
            <w:r>
              <w:t>最大</w:t>
            </w:r>
            <w:r>
              <w:rPr>
                <w:rFonts w:hint="eastAsia"/>
              </w:rPr>
              <w:t>”之类的描述，若部分部件技术指标确有类似描述，需提供相关佐证材料。</w:t>
            </w:r>
          </w:p>
        </w:tc>
        <w:tc>
          <w:tcPr>
            <w:tcW w:w="676" w:type="pct"/>
            <w:tcBorders>
              <w:left w:val="single" w:color="auto" w:sz="4" w:space="0"/>
            </w:tcBorders>
            <w:vAlign w:val="center"/>
          </w:tcPr>
          <w:p w14:paraId="072DE87E">
            <w:pPr>
              <w:pStyle w:val="33"/>
              <w:bidi w:val="0"/>
            </w:pPr>
            <w:r>
              <w:rPr>
                <w:rFonts w:hint="eastAsia"/>
              </w:rPr>
              <w:t>无偏离</w:t>
            </w:r>
            <w:r>
              <w:rPr>
                <w:rFonts w:hint="eastAsia"/>
                <w:lang w:val="en-US" w:eastAsia="zh-CN"/>
              </w:rPr>
              <w:t>/</w:t>
            </w:r>
            <w:r>
              <w:t>正偏离</w:t>
            </w:r>
          </w:p>
        </w:tc>
      </w:tr>
      <w:tr w14:paraId="52EB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Align w:val="center"/>
          </w:tcPr>
          <w:p w14:paraId="6D2690B5">
            <w:pPr>
              <w:pStyle w:val="33"/>
              <w:bidi w:val="0"/>
            </w:pPr>
          </w:p>
        </w:tc>
        <w:tc>
          <w:tcPr>
            <w:tcW w:w="704" w:type="pct"/>
            <w:tcBorders>
              <w:left w:val="single" w:color="auto" w:sz="4" w:space="0"/>
            </w:tcBorders>
            <w:vAlign w:val="center"/>
          </w:tcPr>
          <w:p w14:paraId="38CEF7CF">
            <w:pPr>
              <w:pStyle w:val="33"/>
              <w:bidi w:val="0"/>
            </w:pPr>
          </w:p>
        </w:tc>
        <w:tc>
          <w:tcPr>
            <w:tcW w:w="591" w:type="pct"/>
            <w:tcBorders>
              <w:left w:val="single" w:color="auto" w:sz="4" w:space="0"/>
            </w:tcBorders>
            <w:vAlign w:val="center"/>
          </w:tcPr>
          <w:p w14:paraId="5D1F1BE9">
            <w:pPr>
              <w:pStyle w:val="33"/>
              <w:bidi w:val="0"/>
            </w:pPr>
          </w:p>
        </w:tc>
        <w:tc>
          <w:tcPr>
            <w:tcW w:w="862" w:type="pct"/>
            <w:tcBorders>
              <w:left w:val="single" w:color="auto" w:sz="4" w:space="0"/>
            </w:tcBorders>
            <w:vAlign w:val="center"/>
          </w:tcPr>
          <w:p w14:paraId="6E312F59">
            <w:pPr>
              <w:pStyle w:val="33"/>
              <w:bidi w:val="0"/>
            </w:pPr>
          </w:p>
        </w:tc>
        <w:tc>
          <w:tcPr>
            <w:tcW w:w="1549" w:type="pct"/>
            <w:tcBorders>
              <w:left w:val="single" w:color="auto" w:sz="4" w:space="0"/>
            </w:tcBorders>
            <w:vAlign w:val="center"/>
          </w:tcPr>
          <w:p w14:paraId="7AA9DC48">
            <w:pPr>
              <w:pStyle w:val="33"/>
              <w:bidi w:val="0"/>
            </w:pPr>
          </w:p>
        </w:tc>
        <w:tc>
          <w:tcPr>
            <w:tcW w:w="676" w:type="pct"/>
            <w:tcBorders>
              <w:left w:val="single" w:color="auto" w:sz="4" w:space="0"/>
            </w:tcBorders>
          </w:tcPr>
          <w:p w14:paraId="6898C67F">
            <w:pPr>
              <w:pStyle w:val="33"/>
              <w:bidi w:val="0"/>
            </w:pPr>
          </w:p>
        </w:tc>
      </w:tr>
      <w:tr w14:paraId="1AC71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Align w:val="center"/>
          </w:tcPr>
          <w:p w14:paraId="2759E91B">
            <w:pPr>
              <w:pStyle w:val="33"/>
              <w:bidi w:val="0"/>
            </w:pPr>
          </w:p>
        </w:tc>
        <w:tc>
          <w:tcPr>
            <w:tcW w:w="704" w:type="pct"/>
            <w:tcBorders>
              <w:left w:val="single" w:color="auto" w:sz="4" w:space="0"/>
            </w:tcBorders>
            <w:vAlign w:val="center"/>
          </w:tcPr>
          <w:p w14:paraId="43FE0ED6">
            <w:pPr>
              <w:pStyle w:val="33"/>
              <w:bidi w:val="0"/>
            </w:pPr>
          </w:p>
        </w:tc>
        <w:tc>
          <w:tcPr>
            <w:tcW w:w="591" w:type="pct"/>
            <w:tcBorders>
              <w:left w:val="single" w:color="auto" w:sz="4" w:space="0"/>
            </w:tcBorders>
            <w:vAlign w:val="center"/>
          </w:tcPr>
          <w:p w14:paraId="2356A1AF">
            <w:pPr>
              <w:pStyle w:val="33"/>
              <w:bidi w:val="0"/>
            </w:pPr>
          </w:p>
        </w:tc>
        <w:tc>
          <w:tcPr>
            <w:tcW w:w="862" w:type="pct"/>
            <w:tcBorders>
              <w:left w:val="single" w:color="auto" w:sz="4" w:space="0"/>
            </w:tcBorders>
            <w:vAlign w:val="center"/>
          </w:tcPr>
          <w:p w14:paraId="44D47408">
            <w:pPr>
              <w:pStyle w:val="33"/>
              <w:bidi w:val="0"/>
            </w:pPr>
          </w:p>
        </w:tc>
        <w:tc>
          <w:tcPr>
            <w:tcW w:w="1549" w:type="pct"/>
            <w:tcBorders>
              <w:left w:val="single" w:color="auto" w:sz="4" w:space="0"/>
            </w:tcBorders>
            <w:vAlign w:val="center"/>
          </w:tcPr>
          <w:p w14:paraId="043DD085">
            <w:pPr>
              <w:pStyle w:val="33"/>
              <w:bidi w:val="0"/>
            </w:pPr>
          </w:p>
        </w:tc>
        <w:tc>
          <w:tcPr>
            <w:tcW w:w="676" w:type="pct"/>
            <w:tcBorders>
              <w:left w:val="single" w:color="auto" w:sz="4" w:space="0"/>
            </w:tcBorders>
          </w:tcPr>
          <w:p w14:paraId="0D1C79B2">
            <w:pPr>
              <w:pStyle w:val="33"/>
              <w:bidi w:val="0"/>
            </w:pPr>
          </w:p>
        </w:tc>
      </w:tr>
      <w:tr w14:paraId="0370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Align w:val="center"/>
          </w:tcPr>
          <w:p w14:paraId="76B156EA">
            <w:pPr>
              <w:pStyle w:val="33"/>
              <w:bidi w:val="0"/>
            </w:pPr>
          </w:p>
        </w:tc>
        <w:tc>
          <w:tcPr>
            <w:tcW w:w="704" w:type="pct"/>
            <w:tcBorders>
              <w:left w:val="single" w:color="auto" w:sz="4" w:space="0"/>
            </w:tcBorders>
            <w:vAlign w:val="center"/>
          </w:tcPr>
          <w:p w14:paraId="1F50DDFD">
            <w:pPr>
              <w:pStyle w:val="33"/>
              <w:bidi w:val="0"/>
            </w:pPr>
          </w:p>
        </w:tc>
        <w:tc>
          <w:tcPr>
            <w:tcW w:w="591" w:type="pct"/>
            <w:tcBorders>
              <w:left w:val="single" w:color="auto" w:sz="4" w:space="0"/>
            </w:tcBorders>
            <w:vAlign w:val="center"/>
          </w:tcPr>
          <w:p w14:paraId="19692601">
            <w:pPr>
              <w:pStyle w:val="33"/>
              <w:bidi w:val="0"/>
            </w:pPr>
          </w:p>
        </w:tc>
        <w:tc>
          <w:tcPr>
            <w:tcW w:w="862" w:type="pct"/>
            <w:tcBorders>
              <w:left w:val="single" w:color="auto" w:sz="4" w:space="0"/>
            </w:tcBorders>
            <w:vAlign w:val="center"/>
          </w:tcPr>
          <w:p w14:paraId="3F040223">
            <w:pPr>
              <w:pStyle w:val="33"/>
              <w:bidi w:val="0"/>
            </w:pPr>
          </w:p>
        </w:tc>
        <w:tc>
          <w:tcPr>
            <w:tcW w:w="1549" w:type="pct"/>
            <w:tcBorders>
              <w:left w:val="single" w:color="auto" w:sz="4" w:space="0"/>
            </w:tcBorders>
            <w:vAlign w:val="center"/>
          </w:tcPr>
          <w:p w14:paraId="0ED1C17F">
            <w:pPr>
              <w:pStyle w:val="33"/>
              <w:bidi w:val="0"/>
            </w:pPr>
          </w:p>
        </w:tc>
        <w:tc>
          <w:tcPr>
            <w:tcW w:w="676" w:type="pct"/>
            <w:tcBorders>
              <w:left w:val="single" w:color="auto" w:sz="4" w:space="0"/>
            </w:tcBorders>
          </w:tcPr>
          <w:p w14:paraId="15D65726">
            <w:pPr>
              <w:pStyle w:val="33"/>
              <w:bidi w:val="0"/>
            </w:pPr>
          </w:p>
        </w:tc>
      </w:tr>
      <w:tr w14:paraId="5087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Align w:val="center"/>
          </w:tcPr>
          <w:p w14:paraId="03DE0A35">
            <w:pPr>
              <w:pStyle w:val="33"/>
              <w:bidi w:val="0"/>
            </w:pPr>
          </w:p>
        </w:tc>
        <w:tc>
          <w:tcPr>
            <w:tcW w:w="704" w:type="pct"/>
            <w:tcBorders>
              <w:left w:val="single" w:color="auto" w:sz="4" w:space="0"/>
            </w:tcBorders>
            <w:vAlign w:val="center"/>
          </w:tcPr>
          <w:p w14:paraId="3A7C2728">
            <w:pPr>
              <w:pStyle w:val="33"/>
              <w:bidi w:val="0"/>
            </w:pPr>
          </w:p>
        </w:tc>
        <w:tc>
          <w:tcPr>
            <w:tcW w:w="591" w:type="pct"/>
            <w:tcBorders>
              <w:left w:val="single" w:color="auto" w:sz="4" w:space="0"/>
            </w:tcBorders>
            <w:vAlign w:val="center"/>
          </w:tcPr>
          <w:p w14:paraId="0301F846">
            <w:pPr>
              <w:pStyle w:val="33"/>
              <w:bidi w:val="0"/>
            </w:pPr>
          </w:p>
        </w:tc>
        <w:tc>
          <w:tcPr>
            <w:tcW w:w="862" w:type="pct"/>
            <w:tcBorders>
              <w:left w:val="single" w:color="auto" w:sz="4" w:space="0"/>
            </w:tcBorders>
            <w:vAlign w:val="center"/>
          </w:tcPr>
          <w:p w14:paraId="57ADFB5B">
            <w:pPr>
              <w:pStyle w:val="33"/>
              <w:bidi w:val="0"/>
            </w:pPr>
          </w:p>
        </w:tc>
        <w:tc>
          <w:tcPr>
            <w:tcW w:w="1549" w:type="pct"/>
            <w:tcBorders>
              <w:left w:val="single" w:color="auto" w:sz="4" w:space="0"/>
            </w:tcBorders>
            <w:vAlign w:val="center"/>
          </w:tcPr>
          <w:p w14:paraId="0D21B1A6">
            <w:pPr>
              <w:pStyle w:val="33"/>
              <w:bidi w:val="0"/>
            </w:pPr>
          </w:p>
        </w:tc>
        <w:tc>
          <w:tcPr>
            <w:tcW w:w="676" w:type="pct"/>
            <w:tcBorders>
              <w:left w:val="single" w:color="auto" w:sz="4" w:space="0"/>
            </w:tcBorders>
          </w:tcPr>
          <w:p w14:paraId="4319A80F">
            <w:pPr>
              <w:pStyle w:val="33"/>
              <w:bidi w:val="0"/>
            </w:pPr>
          </w:p>
        </w:tc>
      </w:tr>
      <w:tr w14:paraId="3F389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Align w:val="center"/>
          </w:tcPr>
          <w:p w14:paraId="5ED8864A">
            <w:pPr>
              <w:pStyle w:val="33"/>
              <w:bidi w:val="0"/>
            </w:pPr>
          </w:p>
        </w:tc>
        <w:tc>
          <w:tcPr>
            <w:tcW w:w="704" w:type="pct"/>
            <w:tcBorders>
              <w:left w:val="single" w:color="auto" w:sz="4" w:space="0"/>
            </w:tcBorders>
            <w:vAlign w:val="center"/>
          </w:tcPr>
          <w:p w14:paraId="5C159F22">
            <w:pPr>
              <w:pStyle w:val="33"/>
              <w:bidi w:val="0"/>
            </w:pPr>
          </w:p>
        </w:tc>
        <w:tc>
          <w:tcPr>
            <w:tcW w:w="591" w:type="pct"/>
            <w:tcBorders>
              <w:left w:val="single" w:color="auto" w:sz="4" w:space="0"/>
            </w:tcBorders>
            <w:vAlign w:val="center"/>
          </w:tcPr>
          <w:p w14:paraId="5E8B7F0C">
            <w:pPr>
              <w:pStyle w:val="33"/>
              <w:bidi w:val="0"/>
            </w:pPr>
          </w:p>
        </w:tc>
        <w:tc>
          <w:tcPr>
            <w:tcW w:w="862" w:type="pct"/>
            <w:tcBorders>
              <w:left w:val="single" w:color="auto" w:sz="4" w:space="0"/>
            </w:tcBorders>
            <w:vAlign w:val="center"/>
          </w:tcPr>
          <w:p w14:paraId="711CB473">
            <w:pPr>
              <w:pStyle w:val="33"/>
              <w:bidi w:val="0"/>
            </w:pPr>
          </w:p>
        </w:tc>
        <w:tc>
          <w:tcPr>
            <w:tcW w:w="1549" w:type="pct"/>
            <w:tcBorders>
              <w:left w:val="single" w:color="auto" w:sz="4" w:space="0"/>
            </w:tcBorders>
            <w:vAlign w:val="center"/>
          </w:tcPr>
          <w:p w14:paraId="382D4896">
            <w:pPr>
              <w:pStyle w:val="33"/>
              <w:bidi w:val="0"/>
            </w:pPr>
          </w:p>
        </w:tc>
        <w:tc>
          <w:tcPr>
            <w:tcW w:w="676" w:type="pct"/>
            <w:tcBorders>
              <w:left w:val="single" w:color="auto" w:sz="4" w:space="0"/>
            </w:tcBorders>
          </w:tcPr>
          <w:p w14:paraId="2DBB8D36">
            <w:pPr>
              <w:pStyle w:val="33"/>
              <w:bidi w:val="0"/>
            </w:pPr>
          </w:p>
        </w:tc>
      </w:tr>
    </w:tbl>
    <w:p w14:paraId="576ACA4E">
      <w:pPr>
        <w:autoSpaceDE/>
        <w:autoSpaceDN/>
        <w:ind w:firstLine="360" w:firstLineChars="200"/>
        <w:rPr>
          <w:rFonts w:ascii="Times New Roman" w:hAnsi="Times New Roman"/>
          <w:sz w:val="18"/>
          <w:szCs w:val="18"/>
        </w:rPr>
      </w:pPr>
      <w:r>
        <w:rPr>
          <w:rFonts w:hint="eastAsia" w:ascii="Times New Roman" w:hAnsi="Times New Roman"/>
          <w:sz w:val="18"/>
          <w:szCs w:val="18"/>
        </w:rPr>
        <w:t>注：根据第三章“</w:t>
      </w:r>
      <w:r>
        <w:rPr>
          <w:rFonts w:ascii="Times New Roman" w:hAnsi="Times New Roman"/>
          <w:sz w:val="18"/>
          <w:szCs w:val="18"/>
        </w:rPr>
        <w:t>3</w:t>
      </w:r>
      <w:r>
        <w:rPr>
          <w:rFonts w:hint="eastAsia" w:ascii="Times New Roman" w:hAnsi="Times New Roman"/>
          <w:sz w:val="18"/>
          <w:szCs w:val="18"/>
        </w:rPr>
        <w:t xml:space="preserve">. </w:t>
      </w:r>
      <w:r>
        <w:rPr>
          <w:rFonts w:ascii="Times New Roman" w:hAnsi="Times New Roman"/>
          <w:sz w:val="18"/>
          <w:szCs w:val="18"/>
        </w:rPr>
        <w:t>技术要求</w:t>
      </w:r>
      <w:r>
        <w:rPr>
          <w:rFonts w:hint="eastAsia" w:ascii="Times New Roman" w:hAnsi="Times New Roman"/>
          <w:sz w:val="18"/>
          <w:szCs w:val="18"/>
        </w:rPr>
        <w:t>”</w:t>
      </w:r>
      <w:r>
        <w:rPr>
          <w:rFonts w:ascii="Times New Roman" w:hAnsi="Times New Roman"/>
          <w:sz w:val="18"/>
          <w:szCs w:val="18"/>
        </w:rPr>
        <w:t>中</w:t>
      </w:r>
      <w:r>
        <w:rPr>
          <w:rFonts w:hint="eastAsia" w:ascii="Times New Roman" w:hAnsi="Times New Roman"/>
          <w:sz w:val="18"/>
          <w:szCs w:val="18"/>
        </w:rPr>
        <w:t>“</w:t>
      </w:r>
      <w:r>
        <w:rPr>
          <w:rFonts w:ascii="Times New Roman" w:hAnsi="Times New Roman"/>
          <w:sz w:val="18"/>
          <w:szCs w:val="18"/>
        </w:rPr>
        <w:t>3.2 详细配置要求</w:t>
      </w:r>
      <w:r>
        <w:rPr>
          <w:rFonts w:hint="eastAsia" w:ascii="Times New Roman" w:hAnsi="Times New Roman"/>
          <w:sz w:val="18"/>
          <w:szCs w:val="18"/>
        </w:rPr>
        <w:t>”</w:t>
      </w:r>
      <w:r>
        <w:rPr>
          <w:rFonts w:ascii="Times New Roman" w:hAnsi="Times New Roman"/>
          <w:sz w:val="18"/>
          <w:szCs w:val="18"/>
        </w:rPr>
        <w:t>的要求规定，提供技术条款偏离表，内容齐全</w:t>
      </w:r>
      <w:r>
        <w:rPr>
          <w:rFonts w:hint="eastAsia" w:ascii="Times New Roman" w:hAnsi="Times New Roman"/>
          <w:sz w:val="18"/>
          <w:szCs w:val="18"/>
        </w:rPr>
        <w:t>、无遗漏，无负偏差</w:t>
      </w:r>
      <w:r>
        <w:rPr>
          <w:rFonts w:ascii="Times New Roman" w:hAnsi="Times New Roman"/>
          <w:sz w:val="18"/>
          <w:szCs w:val="18"/>
        </w:rPr>
        <w:t>。</w:t>
      </w:r>
      <w:r>
        <w:rPr>
          <w:rFonts w:hint="eastAsia" w:ascii="Times New Roman" w:hAnsi="Times New Roman"/>
          <w:sz w:val="18"/>
          <w:szCs w:val="18"/>
        </w:rPr>
        <w:t>需每页加盖公章。</w:t>
      </w:r>
    </w:p>
    <w:p w14:paraId="66319D2A">
      <w:pPr>
        <w:autoSpaceDE/>
        <w:autoSpaceDN/>
        <w:rPr>
          <w:rFonts w:ascii="Times New Roman" w:hAnsi="Times New Roman"/>
          <w:sz w:val="18"/>
          <w:szCs w:val="18"/>
        </w:rPr>
      </w:pPr>
      <w:r>
        <w:rPr>
          <w:rFonts w:hint="eastAsia" w:ascii="Times New Roman" w:hAnsi="Times New Roman"/>
          <w:sz w:val="18"/>
          <w:szCs w:val="18"/>
        </w:rPr>
        <w:t>表格填写说明如下：</w:t>
      </w:r>
    </w:p>
    <w:p w14:paraId="562422EE">
      <w:pPr>
        <w:autoSpaceDE/>
        <w:autoSpaceDN/>
        <w:ind w:firstLine="360" w:firstLineChars="200"/>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条款号</w:t>
      </w:r>
      <w:r>
        <w:rPr>
          <w:rFonts w:hint="eastAsia" w:ascii="Times New Roman" w:hAnsi="Times New Roman"/>
          <w:sz w:val="18"/>
          <w:szCs w:val="18"/>
        </w:rPr>
        <w:t>”：</w:t>
      </w:r>
      <w:r>
        <w:rPr>
          <w:rFonts w:ascii="Times New Roman" w:hAnsi="Times New Roman"/>
          <w:sz w:val="18"/>
          <w:szCs w:val="18"/>
        </w:rPr>
        <w:t>填写</w:t>
      </w:r>
      <w:r>
        <w:rPr>
          <w:rFonts w:ascii="Times New Roman" w:hAnsi="Times New Roman"/>
          <w:snapToGrid w:val="0"/>
          <w:sz w:val="18"/>
          <w:szCs w:val="18"/>
        </w:rPr>
        <w:t>整机技术规格要求中的条款号</w:t>
      </w:r>
      <w:r>
        <w:rPr>
          <w:rFonts w:hint="eastAsia" w:ascii="Times New Roman" w:hAnsi="Times New Roman"/>
          <w:sz w:val="18"/>
          <w:szCs w:val="18"/>
        </w:rPr>
        <w:t>；</w:t>
      </w:r>
    </w:p>
    <w:p w14:paraId="2FABA110">
      <w:pPr>
        <w:autoSpaceDE/>
        <w:autoSpaceDN/>
        <w:ind w:firstLine="360" w:firstLineChars="200"/>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类别</w:t>
      </w:r>
      <w:r>
        <w:rPr>
          <w:rFonts w:hint="eastAsia" w:ascii="Times New Roman" w:hAnsi="Times New Roman"/>
          <w:sz w:val="18"/>
          <w:szCs w:val="18"/>
        </w:rPr>
        <w:t>”：</w:t>
      </w:r>
      <w:r>
        <w:rPr>
          <w:rFonts w:ascii="Times New Roman" w:hAnsi="Times New Roman"/>
          <w:sz w:val="18"/>
          <w:szCs w:val="18"/>
        </w:rPr>
        <w:t>填写</w:t>
      </w:r>
      <w:r>
        <w:rPr>
          <w:rFonts w:ascii="Times New Roman" w:hAnsi="Times New Roman"/>
          <w:snapToGrid w:val="0"/>
          <w:sz w:val="18"/>
          <w:szCs w:val="18"/>
        </w:rPr>
        <w:t>整机技术规格要求中的类别</w:t>
      </w:r>
      <w:r>
        <w:rPr>
          <w:rFonts w:hint="eastAsia" w:ascii="Times New Roman" w:hAnsi="Times New Roman"/>
          <w:sz w:val="18"/>
          <w:szCs w:val="18"/>
        </w:rPr>
        <w:t>；</w:t>
      </w:r>
    </w:p>
    <w:p w14:paraId="4F244807">
      <w:pPr>
        <w:autoSpaceDE/>
        <w:autoSpaceDN/>
        <w:rPr>
          <w:rFonts w:ascii="Times New Roman" w:hAnsi="Times New Roman"/>
          <w:sz w:val="18"/>
          <w:szCs w:val="18"/>
        </w:rPr>
      </w:pPr>
      <w:r>
        <w:rPr>
          <w:rFonts w:hint="eastAsia" w:ascii="Times New Roman" w:hAnsi="Times New Roman"/>
          <w:sz w:val="18"/>
          <w:szCs w:val="18"/>
        </w:rPr>
        <w:t>“</w:t>
      </w:r>
      <w:r>
        <w:rPr>
          <w:rFonts w:hint="eastAsia" w:ascii="Times New Roman" w:hAnsi="Times New Roman" w:cs="等线 Light"/>
          <w:sz w:val="18"/>
          <w:szCs w:val="18"/>
        </w:rPr>
        <w:t>比选文件</w:t>
      </w:r>
      <w:r>
        <w:rPr>
          <w:rFonts w:ascii="Times New Roman" w:hAnsi="Times New Roman" w:cs="等线 Light"/>
          <w:sz w:val="18"/>
          <w:szCs w:val="18"/>
        </w:rPr>
        <w:t>技术规格要求</w:t>
      </w:r>
      <w:r>
        <w:rPr>
          <w:rFonts w:hint="eastAsia" w:ascii="Times New Roman" w:hAnsi="Times New Roman"/>
          <w:sz w:val="18"/>
          <w:szCs w:val="18"/>
        </w:rPr>
        <w:t>”：</w:t>
      </w:r>
      <w:r>
        <w:rPr>
          <w:rFonts w:ascii="Times New Roman" w:hAnsi="Times New Roman"/>
          <w:sz w:val="18"/>
          <w:szCs w:val="18"/>
        </w:rPr>
        <w:t>填写</w:t>
      </w:r>
      <w:r>
        <w:rPr>
          <w:rFonts w:ascii="Times New Roman" w:hAnsi="Times New Roman"/>
          <w:snapToGrid w:val="0"/>
          <w:sz w:val="18"/>
          <w:szCs w:val="18"/>
        </w:rPr>
        <w:t>整机技术规格要求中的</w:t>
      </w:r>
      <w:r>
        <w:rPr>
          <w:rFonts w:hint="eastAsia" w:ascii="Times New Roman" w:hAnsi="Times New Roman"/>
          <w:sz w:val="18"/>
          <w:szCs w:val="18"/>
        </w:rPr>
        <w:t>对应内容；</w:t>
      </w:r>
    </w:p>
    <w:p w14:paraId="0A1756D7">
      <w:pPr>
        <w:autoSpaceDE/>
        <w:autoSpaceDN/>
        <w:rPr>
          <w:rFonts w:ascii="Times New Roman" w:hAnsi="Times New Roman"/>
          <w:sz w:val="18"/>
          <w:szCs w:val="18"/>
        </w:rPr>
      </w:pPr>
      <w:r>
        <w:rPr>
          <w:rFonts w:hint="eastAsia" w:ascii="Times New Roman" w:hAnsi="Times New Roman"/>
          <w:sz w:val="18"/>
          <w:szCs w:val="18"/>
        </w:rPr>
        <w:t>“</w:t>
      </w:r>
      <w:r>
        <w:rPr>
          <w:rFonts w:hint="eastAsia" w:ascii="Times New Roman" w:hAnsi="Times New Roman" w:cs="等线 Light"/>
          <w:sz w:val="18"/>
          <w:szCs w:val="18"/>
        </w:rPr>
        <w:t>参选文件</w:t>
      </w:r>
      <w:r>
        <w:rPr>
          <w:rFonts w:ascii="Times New Roman" w:hAnsi="Times New Roman" w:cs="等线 Light"/>
          <w:sz w:val="18"/>
          <w:szCs w:val="18"/>
        </w:rPr>
        <w:t>应答</w:t>
      </w:r>
      <w:r>
        <w:rPr>
          <w:rFonts w:hint="eastAsia" w:ascii="Times New Roman" w:hAnsi="Times New Roman"/>
          <w:sz w:val="18"/>
          <w:szCs w:val="18"/>
        </w:rPr>
        <w:t>”：</w:t>
      </w:r>
      <w:r>
        <w:rPr>
          <w:rFonts w:ascii="Times New Roman" w:hAnsi="Times New Roman"/>
          <w:sz w:val="18"/>
          <w:szCs w:val="18"/>
        </w:rPr>
        <w:t>做出明确参数应答</w:t>
      </w:r>
      <w:r>
        <w:rPr>
          <w:rFonts w:hint="eastAsia" w:ascii="Times New Roman" w:hAnsi="Times New Roman"/>
          <w:sz w:val="18"/>
          <w:szCs w:val="18"/>
        </w:rPr>
        <w:t>；</w:t>
      </w:r>
    </w:p>
    <w:p w14:paraId="25F1F190">
      <w:pPr>
        <w:autoSpaceDE/>
        <w:autoSpaceDN/>
        <w:rPr>
          <w:rFonts w:ascii="Times New Roman" w:hAnsi="Times New Roman"/>
          <w:sz w:val="18"/>
          <w:szCs w:val="18"/>
        </w:rPr>
      </w:pPr>
      <w:r>
        <w:rPr>
          <w:rFonts w:hint="eastAsia" w:ascii="Times New Roman" w:hAnsi="Times New Roman"/>
          <w:sz w:val="18"/>
          <w:szCs w:val="18"/>
        </w:rPr>
        <w:t>“</w:t>
      </w:r>
      <w:r>
        <w:rPr>
          <w:rFonts w:hint="eastAsia" w:ascii="Times New Roman" w:hAnsi="Times New Roman" w:cs="等线 Light"/>
          <w:sz w:val="18"/>
          <w:szCs w:val="18"/>
        </w:rPr>
        <w:t>说明</w:t>
      </w:r>
      <w:r>
        <w:rPr>
          <w:rFonts w:hint="eastAsia" w:ascii="Times New Roman" w:hAnsi="Times New Roman"/>
          <w:sz w:val="18"/>
          <w:szCs w:val="18"/>
        </w:rPr>
        <w:t>”：填写</w:t>
      </w:r>
      <w:r>
        <w:rPr>
          <w:rFonts w:ascii="Times New Roman" w:hAnsi="Times New Roman"/>
          <w:sz w:val="18"/>
          <w:szCs w:val="18"/>
        </w:rPr>
        <w:t>无偏离或正偏离</w:t>
      </w:r>
      <w:r>
        <w:rPr>
          <w:rFonts w:hint="eastAsia" w:ascii="Times New Roman" w:hAnsi="Times New Roman"/>
          <w:sz w:val="18"/>
          <w:szCs w:val="18"/>
        </w:rPr>
        <w:t>。</w:t>
      </w:r>
    </w:p>
    <w:p w14:paraId="096C9A66">
      <w:pPr>
        <w:spacing w:line="360" w:lineRule="auto"/>
        <w:rPr>
          <w:rFonts w:ascii="Times New Roman" w:hAnsi="Times New Roman" w:cs="等线 Light"/>
          <w:snapToGrid w:val="0"/>
          <w:kern w:val="0"/>
          <w:szCs w:val="24"/>
        </w:rPr>
      </w:pPr>
    </w:p>
    <w:p w14:paraId="52044A9D">
      <w:pPr>
        <w:spacing w:line="360" w:lineRule="auto"/>
        <w:rPr>
          <w:rFonts w:ascii="Times New Roman" w:hAnsi="Times New Roman" w:cs="等线 Light"/>
          <w:sz w:val="21"/>
          <w:szCs w:val="21"/>
        </w:rPr>
        <w:sectPr>
          <w:pgSz w:w="11906" w:h="16838"/>
          <w:pgMar w:top="1440" w:right="1800" w:bottom="1440" w:left="1800" w:header="851" w:footer="992" w:gutter="0"/>
          <w:pgNumType w:fmt="decimal"/>
          <w:cols w:space="720" w:num="1"/>
          <w:docGrid w:type="lines" w:linePitch="312" w:charSpace="0"/>
        </w:sectPr>
      </w:pPr>
    </w:p>
    <w:p w14:paraId="71653358">
      <w:pPr>
        <w:pStyle w:val="23"/>
        <w:bidi w:val="0"/>
      </w:pPr>
      <w:r>
        <w:rPr>
          <w:rFonts w:hint="eastAsia"/>
          <w:lang w:eastAsia="zh-CN"/>
        </w:rPr>
        <w:t>（</w:t>
      </w:r>
      <w:r>
        <w:rPr>
          <w:rFonts w:hint="eastAsia"/>
          <w:lang w:val="en-US" w:eastAsia="zh-CN"/>
        </w:rPr>
        <w:t>三</w:t>
      </w:r>
      <w:r>
        <w:rPr>
          <w:rFonts w:hint="eastAsia"/>
          <w:lang w:eastAsia="zh-CN"/>
        </w:rPr>
        <w:t>）</w:t>
      </w:r>
      <w:r>
        <w:t>参选保证金</w:t>
      </w:r>
    </w:p>
    <w:p w14:paraId="47B0EDF0">
      <w:pPr>
        <w:spacing w:line="360" w:lineRule="auto"/>
        <w:rPr>
          <w:rFonts w:ascii="Times New Roman" w:hAnsi="Times New Roman" w:cs="等线 Light"/>
        </w:rPr>
      </w:pPr>
    </w:p>
    <w:p w14:paraId="65F2D954">
      <w:pPr>
        <w:spacing w:line="360" w:lineRule="auto"/>
        <w:rPr>
          <w:rFonts w:ascii="Times New Roman" w:hAnsi="Times New Roman" w:cs="等线 Light"/>
        </w:rPr>
      </w:pPr>
    </w:p>
    <w:p w14:paraId="52AD9072">
      <w:pPr>
        <w:spacing w:line="360" w:lineRule="auto"/>
        <w:rPr>
          <w:rFonts w:ascii="Times New Roman" w:hAnsi="Times New Roman" w:cs="等线 Light"/>
        </w:rPr>
      </w:pPr>
    </w:p>
    <w:p w14:paraId="7E653743">
      <w:pPr>
        <w:spacing w:line="360" w:lineRule="auto"/>
        <w:rPr>
          <w:rFonts w:ascii="Times New Roman" w:hAnsi="Times New Roman" w:cs="等线 Light"/>
        </w:rPr>
      </w:pPr>
    </w:p>
    <w:p w14:paraId="6CA241CD">
      <w:pPr>
        <w:spacing w:line="360" w:lineRule="auto"/>
        <w:rPr>
          <w:rFonts w:ascii="Times New Roman" w:hAnsi="Times New Roman" w:cs="等线 Light"/>
        </w:rPr>
      </w:pPr>
    </w:p>
    <w:p w14:paraId="6FD9CF49">
      <w:pPr>
        <w:spacing w:line="360" w:lineRule="auto"/>
        <w:rPr>
          <w:rFonts w:ascii="Times New Roman" w:hAnsi="Times New Roman" w:cs="等线 Light"/>
        </w:rPr>
      </w:pPr>
    </w:p>
    <w:p w14:paraId="3E9328B4">
      <w:pPr>
        <w:spacing w:line="360" w:lineRule="auto"/>
        <w:rPr>
          <w:rFonts w:ascii="Times New Roman" w:hAnsi="Times New Roman" w:cs="等线 Light"/>
        </w:rPr>
      </w:pPr>
    </w:p>
    <w:p w14:paraId="5406B0C5">
      <w:pPr>
        <w:spacing w:line="360" w:lineRule="auto"/>
        <w:rPr>
          <w:rFonts w:ascii="Times New Roman" w:hAnsi="Times New Roman" w:cs="等线 Light"/>
        </w:rPr>
      </w:pPr>
    </w:p>
    <w:p w14:paraId="27799BBD">
      <w:pPr>
        <w:spacing w:line="360" w:lineRule="auto"/>
        <w:rPr>
          <w:rFonts w:ascii="Times New Roman" w:hAnsi="Times New Roman" w:cs="等线 Light"/>
        </w:rPr>
      </w:pPr>
    </w:p>
    <w:p w14:paraId="7DA17CEB">
      <w:pPr>
        <w:spacing w:line="360" w:lineRule="auto"/>
        <w:rPr>
          <w:rFonts w:ascii="Times New Roman" w:hAnsi="Times New Roman" w:cs="等线 Light"/>
        </w:rPr>
      </w:pPr>
    </w:p>
    <w:p w14:paraId="727D99E0">
      <w:pPr>
        <w:spacing w:line="360" w:lineRule="auto"/>
        <w:rPr>
          <w:rFonts w:ascii="Times New Roman" w:hAnsi="Times New Roman" w:cs="等线 Light"/>
        </w:rPr>
      </w:pPr>
    </w:p>
    <w:p w14:paraId="637E148B">
      <w:pPr>
        <w:spacing w:line="360" w:lineRule="auto"/>
        <w:rPr>
          <w:rFonts w:ascii="Times New Roman" w:hAnsi="Times New Roman" w:cs="等线 Light"/>
        </w:rPr>
      </w:pPr>
    </w:p>
    <w:p w14:paraId="383BE03F">
      <w:pPr>
        <w:spacing w:line="360" w:lineRule="auto"/>
        <w:rPr>
          <w:rFonts w:ascii="Times New Roman" w:hAnsi="Times New Roman" w:cs="等线 Light"/>
        </w:rPr>
      </w:pPr>
    </w:p>
    <w:p w14:paraId="2EBCB3D3">
      <w:pPr>
        <w:spacing w:line="360" w:lineRule="auto"/>
        <w:rPr>
          <w:rFonts w:ascii="Times New Roman" w:hAnsi="Times New Roman" w:cs="等线 Light"/>
        </w:rPr>
      </w:pPr>
    </w:p>
    <w:p w14:paraId="3A6D61A7">
      <w:pPr>
        <w:spacing w:line="360" w:lineRule="auto"/>
        <w:rPr>
          <w:rFonts w:ascii="Times New Roman" w:hAnsi="Times New Roman" w:cs="等线 Light"/>
        </w:rPr>
      </w:pPr>
    </w:p>
    <w:p w14:paraId="45505040">
      <w:pPr>
        <w:spacing w:line="360" w:lineRule="auto"/>
        <w:rPr>
          <w:rFonts w:ascii="Times New Roman" w:hAnsi="Times New Roman" w:cs="等线 Light"/>
        </w:rPr>
      </w:pPr>
    </w:p>
    <w:p w14:paraId="25F46B8F">
      <w:pPr>
        <w:spacing w:line="360" w:lineRule="auto"/>
        <w:rPr>
          <w:rFonts w:ascii="Times New Roman" w:hAnsi="Times New Roman" w:cs="等线 Light"/>
        </w:rPr>
      </w:pPr>
    </w:p>
    <w:p w14:paraId="601808E3">
      <w:pPr>
        <w:spacing w:line="360" w:lineRule="auto"/>
        <w:rPr>
          <w:rFonts w:ascii="Times New Roman" w:hAnsi="Times New Roman" w:cs="等线 Light"/>
        </w:rPr>
      </w:pPr>
    </w:p>
    <w:p w14:paraId="625C07A8">
      <w:pPr>
        <w:adjustRightInd w:val="0"/>
        <w:snapToGrid w:val="0"/>
        <w:spacing w:line="360" w:lineRule="auto"/>
        <w:jc w:val="left"/>
        <w:rPr>
          <w:rFonts w:ascii="Times New Roman" w:hAnsi="Times New Roman"/>
          <w:kern w:val="0"/>
        </w:rPr>
      </w:pPr>
      <w:r>
        <w:rPr>
          <w:rFonts w:ascii="Times New Roman" w:hAnsi="Times New Roman"/>
        </w:rPr>
        <mc:AlternateContent>
          <mc:Choice Requires="wps">
            <w:drawing>
              <wp:anchor distT="0" distB="0" distL="113030" distR="113030" simplePos="0" relativeHeight="251660288" behindDoc="0" locked="0" layoutInCell="1" allowOverlap="1">
                <wp:simplePos x="0" y="0"/>
                <wp:positionH relativeFrom="column">
                  <wp:posOffset>-28575</wp:posOffset>
                </wp:positionH>
                <wp:positionV relativeFrom="paragraph">
                  <wp:posOffset>236220</wp:posOffset>
                </wp:positionV>
                <wp:extent cx="2828925" cy="0"/>
                <wp:effectExtent l="0" t="4444" r="0" b="5080"/>
                <wp:wrapNone/>
                <wp:docPr id="2" name="直接连接符 2"/>
                <wp:cNvGraphicFramePr/>
                <a:graphic xmlns:a="http://schemas.openxmlformats.org/drawingml/2006/main">
                  <a:graphicData uri="http://schemas.microsoft.com/office/word/2010/wordprocessingShape">
                    <wps:wsp>
                      <wps:cNvCnPr/>
                      <wps:spPr>
                        <a:xfrm>
                          <a:off x="0" y="0"/>
                          <a:ext cx="2828925" cy="0"/>
                        </a:xfrm>
                        <a:prstGeom prst="line">
                          <a:avLst/>
                        </a:prstGeom>
                        <a:noFill/>
                        <a:ln w="3175" cap="flat" cmpd="sng">
                          <a:solidFill>
                            <a:srgbClr val="000000"/>
                          </a:solidFill>
                          <a:prstDash val="solid"/>
                          <a:miter/>
                        </a:ln>
                      </wps:spPr>
                      <wps:bodyPr vert="horz" wrap="square" lIns="91440" tIns="45720" rIns="91440" bIns="45720" anchor="t" anchorCtr="0" upright="0">
                        <a:noAutofit/>
                      </wps:bodyPr>
                    </wps:wsp>
                  </a:graphicData>
                </a:graphic>
              </wp:anchor>
            </w:drawing>
          </mc:Choice>
          <mc:Fallback>
            <w:pict>
              <v:line id="_x0000_s1026" o:spid="_x0000_s1026" o:spt="20" style="position:absolute;left:0pt;margin-left:-2.25pt;margin-top:18.6pt;height:0pt;width:222.75pt;z-index:251660288;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p3YGnh4CAAAmBAAADgAAAGRycy9lMm9Eb2MueG1srVPNjtMw&#10;EL4j8Q6W7zRt6LLdqOkKtVqEhKAS8ACu4ySW/MfYbVoeghdA4gYnjtx5G5bHYOxk27Jc9kAOzoxn&#10;/M18n8fz671WZCfAS2tKOhmNKRGG20qapqTv3908mVHiAzMVU9aIkh6Ep9eLx4/mnStEblurKgEE&#10;QYwvOlfSNgRXZJnnrdDMj6wTBoO1Bc0CutBkFbAO0bXK8vH4WdZZqBxYLrzH3VUfpAMiPATQ1rXk&#10;YmX5VgsTelQQigWk5FvpPF2kbuta8PCmrr0IRJUUmYa0YhG0N3HNFnNWNMBcK/nQAntIC/c4aSYN&#10;Fj1CrVhgZAvyHygtOVhv6zDiVmc9kaQIspiM72nztmVOJC4otXdH0f3/g+Wvd2sgsippTolhGi/8&#10;9vOPX5++/v75Bdfb799IHkXqnC8wd2nWMHjerSEy3teg4x+5kH0S9nAUVuwD4biZz/LZVX5BCb+L&#10;ZaeDDnx4Iawm0SipkiZyZgXbvfIBi2HqXUrcNvZGKpXuTRnSlfTp5DIiM5zFGmcATe2QjzdNgvFW&#10;ySoeiYc9NJulArJjcR7SF9lhib/SYr0V822fl0L9pGgZRBQADyiDvyhLL0S0NrY6oJr4uJBHa+Ej&#10;JR2OFvbyYctAUKJeGry7q8l0GmcxOdOLyxwdOI9sziPMcIQqKRLrzWXo53frQDYtVhonnsY+3wZb&#10;yyTZqZuhSRyf1PUw6nE+z/2UdXrei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AUA3O1QAAAAgB&#10;AAAPAAAAAAAAAAEAIAAAACIAAABkcnMvZG93bnJldi54bWxQSwECFAAUAAAACACHTuJAp3YGnh4C&#10;AAAmBAAADgAAAAAAAAABACAAAAAkAQAAZHJzL2Uyb0RvYy54bWxQSwUGAAAAAAYABgBZAQAAtAUA&#10;AAAA&#10;">
                <v:fill on="f" focussize="0,0"/>
                <v:stroke weight="0.25pt" color="#000000" joinstyle="miter"/>
                <v:imagedata o:title=""/>
                <o:lock v:ext="edit" aspectratio="f"/>
              </v:line>
            </w:pict>
          </mc:Fallback>
        </mc:AlternateContent>
      </w:r>
    </w:p>
    <w:p w14:paraId="5D3E6C88">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注：附</w:t>
      </w:r>
      <w:r>
        <w:rPr>
          <w:rFonts w:hint="eastAsia" w:ascii="Times New Roman" w:hAnsi="Times New Roman" w:cs="等线 Light"/>
          <w:snapToGrid w:val="0"/>
          <w:kern w:val="0"/>
          <w:szCs w:val="24"/>
        </w:rPr>
        <w:t>参选</w:t>
      </w:r>
      <w:r>
        <w:rPr>
          <w:rFonts w:hint="eastAsia" w:ascii="Times New Roman" w:hAnsi="Times New Roman"/>
          <w:snapToGrid w:val="0"/>
          <w:kern w:val="0"/>
        </w:rPr>
        <w:t>保证金交款凭据复印件</w:t>
      </w:r>
    </w:p>
    <w:p w14:paraId="250FC084">
      <w:pPr>
        <w:spacing w:line="360" w:lineRule="auto"/>
        <w:rPr>
          <w:rFonts w:ascii="Times New Roman" w:hAnsi="Times New Roman" w:cs="等线 Light"/>
          <w:sz w:val="21"/>
          <w:szCs w:val="21"/>
        </w:rPr>
      </w:pPr>
    </w:p>
    <w:p w14:paraId="7774BFE1">
      <w:pPr>
        <w:spacing w:line="360" w:lineRule="auto"/>
        <w:rPr>
          <w:rFonts w:ascii="Times New Roman" w:hAnsi="Times New Roman" w:cs="等线 Light"/>
          <w:szCs w:val="21"/>
        </w:rPr>
        <w:sectPr>
          <w:pgSz w:w="11906" w:h="16838"/>
          <w:pgMar w:top="1440" w:right="1800" w:bottom="1440" w:left="1800" w:header="851" w:footer="992" w:gutter="0"/>
          <w:pgNumType w:fmt="decimal"/>
          <w:cols w:space="720" w:num="1"/>
          <w:docGrid w:type="lines" w:linePitch="312" w:charSpace="0"/>
        </w:sectPr>
      </w:pPr>
    </w:p>
    <w:p w14:paraId="601FA8CC">
      <w:pPr>
        <w:pStyle w:val="23"/>
        <w:bidi w:val="0"/>
        <w:rPr>
          <w:rFonts w:hint="eastAsia" w:eastAsia="宋体"/>
          <w:lang w:eastAsia="zh-CN"/>
        </w:rPr>
      </w:pPr>
      <w:r>
        <w:rPr>
          <w:rFonts w:hint="eastAsia"/>
          <w:lang w:eastAsia="zh-CN"/>
        </w:rPr>
        <w:t>（</w:t>
      </w:r>
      <w:r>
        <w:rPr>
          <w:rFonts w:hint="eastAsia"/>
          <w:lang w:val="en-US" w:eastAsia="zh-CN"/>
        </w:rPr>
        <w:t>四</w:t>
      </w:r>
      <w:r>
        <w:rPr>
          <w:rFonts w:hint="eastAsia"/>
          <w:lang w:eastAsia="zh-CN"/>
        </w:rPr>
        <w:t>）</w:t>
      </w:r>
      <w:r>
        <w:t>参选产品硬盘的DWPD和性能指标证明材料、阵列卡的性能指标证明材料</w:t>
      </w:r>
    </w:p>
    <w:p w14:paraId="5D239F3C">
      <w:pPr>
        <w:rPr>
          <w:rFonts w:hint="eastAsia" w:ascii="Times New Roman" w:hAnsi="Times New Roman"/>
          <w:snapToGrid w:val="0"/>
          <w:kern w:val="0"/>
          <w:szCs w:val="24"/>
        </w:rPr>
      </w:pPr>
    </w:p>
    <w:p w14:paraId="7941D192">
      <w:pPr>
        <w:rPr>
          <w:rFonts w:hint="default" w:ascii="Times New Roman" w:hAnsi="Times New Roman" w:eastAsia="宋体"/>
          <w:snapToGrid w:val="0"/>
          <w:kern w:val="0"/>
          <w:szCs w:val="24"/>
          <w:lang w:val="en-US" w:eastAsia="zh-CN"/>
        </w:rPr>
      </w:pPr>
      <w:r>
        <w:rPr>
          <w:rFonts w:ascii="Times New Roman" w:hAnsi="Times New Roman"/>
          <w:snapToGrid w:val="0"/>
          <w:kern w:val="0"/>
          <w:szCs w:val="24"/>
        </w:rPr>
        <w:br w:type="page"/>
      </w:r>
    </w:p>
    <w:p w14:paraId="2880AD57">
      <w:pPr>
        <w:pStyle w:val="23"/>
        <w:bidi w:val="0"/>
      </w:pPr>
      <w:r>
        <w:rPr>
          <w:rFonts w:hint="eastAsia"/>
          <w:lang w:eastAsia="zh-CN"/>
        </w:rPr>
        <w:t>（</w:t>
      </w:r>
      <w:r>
        <w:rPr>
          <w:rFonts w:hint="eastAsia"/>
          <w:lang w:val="en-US" w:eastAsia="zh-CN"/>
        </w:rPr>
        <w:t>五</w:t>
      </w:r>
      <w:r>
        <w:rPr>
          <w:rFonts w:hint="eastAsia"/>
          <w:lang w:eastAsia="zh-CN"/>
        </w:rPr>
        <w:t>）</w:t>
      </w:r>
      <w:r>
        <w:t>服务连续性预案</w:t>
      </w:r>
    </w:p>
    <w:p w14:paraId="5889AD54">
      <w:pPr>
        <w:ind w:firstLine="0" w:firstLineChars="0"/>
        <w:jc w:val="center"/>
        <w:rPr>
          <w:rFonts w:ascii="Times New Roman" w:hAnsi="Times New Roman"/>
        </w:rPr>
      </w:pPr>
      <w:r>
        <w:rPr>
          <w:rFonts w:hAnsi="Times New Roman"/>
        </w:rPr>
        <w:t>（体现服务器设备</w:t>
      </w:r>
      <w:r>
        <w:rPr>
          <w:rFonts w:hint="eastAsia" w:hAnsi="Times New Roman"/>
        </w:rPr>
        <w:t>原厂</w:t>
      </w:r>
      <w:r>
        <w:rPr>
          <w:rFonts w:hAnsi="Times New Roman"/>
        </w:rPr>
        <w:t>商</w:t>
      </w:r>
      <w:r>
        <w:rPr>
          <w:rFonts w:hint="eastAsia" w:hAnsi="Times New Roman"/>
        </w:rPr>
        <w:t>售后服务保障措施及考虑供应链风险产生的影响和保障措施</w:t>
      </w:r>
      <w:r>
        <w:rPr>
          <w:rFonts w:hAnsi="Times New Roman"/>
        </w:rPr>
        <w:t>）</w:t>
      </w:r>
    </w:p>
    <w:p w14:paraId="2A1EF26E">
      <w:pPr>
        <w:rPr>
          <w:rFonts w:ascii="Times New Roman" w:hAnsi="Times New Roman"/>
        </w:rPr>
      </w:pPr>
    </w:p>
    <w:p w14:paraId="05423ADB">
      <w:pPr>
        <w:rPr>
          <w:rFonts w:ascii="Times New Roman" w:hAnsi="Times New Roman"/>
        </w:rPr>
      </w:pPr>
    </w:p>
    <w:p w14:paraId="6F8FA18D">
      <w:pPr>
        <w:rPr>
          <w:rFonts w:ascii="Times New Roman" w:hAnsi="Times New Roman"/>
        </w:rPr>
        <w:sectPr>
          <w:pgSz w:w="11906" w:h="16838"/>
          <w:pgMar w:top="1440" w:right="1800" w:bottom="1440" w:left="1800" w:header="851" w:footer="992" w:gutter="0"/>
          <w:pgNumType w:fmt="decimal"/>
          <w:cols w:space="720" w:num="1"/>
          <w:docGrid w:type="lines" w:linePitch="312" w:charSpace="0"/>
        </w:sectPr>
      </w:pPr>
    </w:p>
    <w:p w14:paraId="74088122">
      <w:pPr>
        <w:pStyle w:val="23"/>
        <w:bidi w:val="0"/>
      </w:pPr>
      <w:r>
        <w:rPr>
          <w:rFonts w:hint="eastAsia"/>
          <w:lang w:eastAsia="zh-CN"/>
        </w:rPr>
        <w:t>（</w:t>
      </w:r>
      <w:r>
        <w:rPr>
          <w:rFonts w:hint="eastAsia"/>
          <w:lang w:val="en-US" w:eastAsia="zh-CN"/>
        </w:rPr>
        <w:t>六</w:t>
      </w:r>
      <w:r>
        <w:rPr>
          <w:rFonts w:hint="eastAsia"/>
          <w:lang w:eastAsia="zh-CN"/>
        </w:rPr>
        <w:t>）</w:t>
      </w:r>
      <w:r>
        <w:t>项目实施方案</w:t>
      </w:r>
    </w:p>
    <w:p w14:paraId="005BA772">
      <w:pPr>
        <w:rPr>
          <w:rFonts w:hint="eastAsia" w:ascii="Times New Roman" w:hAnsi="Times New Roman"/>
          <w:snapToGrid w:val="0"/>
          <w:kern w:val="0"/>
          <w:szCs w:val="24"/>
        </w:rPr>
      </w:pPr>
      <w:r>
        <w:rPr>
          <w:rFonts w:hint="eastAsia" w:ascii="Times New Roman" w:hAnsi="Times New Roman"/>
          <w:snapToGrid w:val="0"/>
          <w:kern w:val="0"/>
          <w:szCs w:val="24"/>
        </w:rPr>
        <w:t>（实施方案包括履行合同的时间计划、提交资料、人员安排等）</w:t>
      </w:r>
    </w:p>
    <w:p w14:paraId="729B03E9">
      <w:pPr>
        <w:rPr>
          <w:rFonts w:hint="eastAsia" w:ascii="Times New Roman" w:hAnsi="Times New Roman"/>
          <w:snapToGrid w:val="0"/>
          <w:kern w:val="0"/>
          <w:szCs w:val="24"/>
        </w:rPr>
      </w:pPr>
    </w:p>
    <w:p w14:paraId="26CA80A1">
      <w:pPr>
        <w:rPr>
          <w:rFonts w:ascii="Times New Roman" w:hAnsi="Times New Roman"/>
          <w:snapToGrid w:val="0"/>
          <w:kern w:val="0"/>
          <w:szCs w:val="24"/>
        </w:rPr>
      </w:pPr>
      <w:r>
        <w:rPr>
          <w:rFonts w:ascii="Times New Roman" w:hAnsi="Times New Roman"/>
          <w:snapToGrid w:val="0"/>
          <w:kern w:val="0"/>
          <w:szCs w:val="24"/>
        </w:rPr>
        <w:br w:type="page"/>
      </w:r>
    </w:p>
    <w:p w14:paraId="33EBD0F4">
      <w:pPr>
        <w:pStyle w:val="23"/>
        <w:bidi w:val="0"/>
        <w:rPr>
          <w:rFonts w:hint="eastAsia" w:eastAsia="宋体"/>
          <w:lang w:eastAsia="zh-CN"/>
        </w:rPr>
      </w:pPr>
      <w:r>
        <w:rPr>
          <w:rFonts w:hint="eastAsia"/>
          <w:lang w:eastAsia="zh-CN"/>
        </w:rPr>
        <w:t>（</w:t>
      </w:r>
      <w:r>
        <w:rPr>
          <w:rFonts w:hint="eastAsia"/>
          <w:lang w:val="en-US" w:eastAsia="zh-CN"/>
        </w:rPr>
        <w:t>七</w:t>
      </w:r>
      <w:r>
        <w:rPr>
          <w:rFonts w:hint="eastAsia"/>
          <w:lang w:eastAsia="zh-CN"/>
        </w:rPr>
        <w:t>）</w:t>
      </w:r>
      <w:r>
        <w:rPr>
          <w:rFonts w:hint="eastAsia"/>
          <w:lang w:val="en-US" w:eastAsia="zh-CN"/>
        </w:rPr>
        <w:t>其他（如有）</w:t>
      </w:r>
    </w:p>
    <w:p w14:paraId="4F48A1AD">
      <w:pPr>
        <w:rPr>
          <w:rFonts w:hint="eastAsia" w:ascii="Times New Roman" w:hAnsi="Times New Roman"/>
          <w:snapToGrid w:val="0"/>
          <w:kern w:val="0"/>
          <w:szCs w:val="24"/>
        </w:rPr>
      </w:pPr>
    </w:p>
    <w:p w14:paraId="11A613F2">
      <w:pPr>
        <w:rPr>
          <w:rFonts w:hint="default" w:ascii="Times New Roman" w:hAnsi="Times New Roman" w:eastAsia="宋体"/>
          <w:snapToGrid w:val="0"/>
          <w:kern w:val="0"/>
          <w:szCs w:val="24"/>
          <w:lang w:val="en-US" w:eastAsia="zh-CN"/>
        </w:rPr>
      </w:pPr>
      <w:r>
        <w:rPr>
          <w:rFonts w:ascii="Times New Roman" w:hAnsi="Times New Roman"/>
          <w:snapToGrid w:val="0"/>
          <w:kern w:val="0"/>
          <w:szCs w:val="24"/>
        </w:rPr>
        <w:br w:type="page"/>
      </w:r>
    </w:p>
    <w:p w14:paraId="14FCCD85">
      <w:pPr>
        <w:pStyle w:val="22"/>
        <w:rPr>
          <w:rFonts w:hint="eastAsia" w:ascii="Times New Roman" w:hAnsi="Times New Roman" w:eastAsia="宋体"/>
          <w:lang w:eastAsia="zh-CN"/>
        </w:rPr>
      </w:pPr>
      <w:r>
        <w:rPr>
          <w:rFonts w:hint="eastAsia"/>
          <w:lang w:val="en-US" w:eastAsia="zh-CN"/>
        </w:rPr>
        <w:t>六、</w:t>
      </w:r>
      <w:r>
        <w:rPr>
          <w:rFonts w:ascii="Times New Roman" w:hAnsi="Times New Roman"/>
        </w:rPr>
        <w:t>其他</w:t>
      </w:r>
      <w:r>
        <w:rPr>
          <w:rFonts w:hint="eastAsia"/>
          <w:lang w:eastAsia="zh-CN"/>
        </w:rPr>
        <w:t>（</w:t>
      </w:r>
      <w:r>
        <w:rPr>
          <w:rFonts w:hint="eastAsia"/>
          <w:lang w:val="en-US" w:eastAsia="zh-CN"/>
        </w:rPr>
        <w:t>如有</w:t>
      </w:r>
      <w:r>
        <w:rPr>
          <w:rFonts w:hint="eastAsia"/>
          <w:lang w:eastAsia="zh-CN"/>
        </w:rPr>
        <w:t>）</w:t>
      </w:r>
    </w:p>
    <w:p w14:paraId="162D9E8F">
      <w:pPr>
        <w:jc w:val="center"/>
        <w:rPr>
          <w:rFonts w:ascii="Times New Roman" w:hAnsi="Times New Roman"/>
        </w:rPr>
      </w:pPr>
      <w:r>
        <w:rPr>
          <w:rFonts w:ascii="Times New Roman" w:hAnsi="Times New Roman"/>
          <w:color w:val="auto"/>
        </w:rPr>
        <w:t>（其他需要说明的材料</w:t>
      </w:r>
      <w:r>
        <w:rPr>
          <w:rFonts w:hint="eastAsia"/>
          <w:color w:val="auto"/>
          <w:lang w:val="en-US" w:eastAsia="zh-CN"/>
        </w:rPr>
        <w:t>或证明材料</w:t>
      </w:r>
      <w:r>
        <w:rPr>
          <w:rFonts w:ascii="Times New Roman" w:hAnsi="Times New Roman"/>
          <w:color w:val="auto"/>
        </w:rPr>
        <w:t>）</w:t>
      </w:r>
    </w:p>
    <w:p w14:paraId="42000D4D">
      <w:pPr>
        <w:rPr>
          <w:rFonts w:ascii="Times New Roman" w:hAnsi="Times New Roman"/>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roman"/>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E5D62">
    <w:pPr>
      <w:tabs>
        <w:tab w:val="center" w:pos="4153"/>
        <w:tab w:val="right" w:pos="8306"/>
      </w:tabs>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88469">
                          <w:pPr>
                            <w:pStyle w:val="1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F88469">
                    <w:pPr>
                      <w:pStyle w:val="1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Q5ZmY1ODA0NTUyNTIzOGU4NGRmM2JhYjg3Y2Q0YjMifQ=="/>
  </w:docVars>
  <w:rsids>
    <w:rsidRoot w:val="00000000"/>
    <w:rsid w:val="037771AB"/>
    <w:rsid w:val="04A263EF"/>
    <w:rsid w:val="075F5A26"/>
    <w:rsid w:val="148E15C6"/>
    <w:rsid w:val="1EB87E54"/>
    <w:rsid w:val="36E83670"/>
    <w:rsid w:val="3956224D"/>
    <w:rsid w:val="43A92071"/>
    <w:rsid w:val="472F7DC1"/>
    <w:rsid w:val="4876405B"/>
    <w:rsid w:val="511E53B2"/>
    <w:rsid w:val="51986968"/>
    <w:rsid w:val="5B76417D"/>
    <w:rsid w:val="630F3596"/>
    <w:rsid w:val="67E16E5C"/>
    <w:rsid w:val="75355337"/>
    <w:rsid w:val="7B732E71"/>
    <w:rsid w:val="7DFE3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link w:val="28"/>
    <w:autoRedefine/>
    <w:qFormat/>
    <w:uiPriority w:val="0"/>
    <w:pPr>
      <w:tabs>
        <w:tab w:val="left" w:pos="3360"/>
      </w:tabs>
      <w:snapToGrid w:val="0"/>
      <w:spacing w:before="0" w:line="600" w:lineRule="exact"/>
      <w:ind w:right="0" w:rightChars="0" w:firstLine="0" w:firstLineChars="0"/>
      <w:jc w:val="center"/>
      <w:outlineLvl w:val="0"/>
    </w:pPr>
    <w:rPr>
      <w:rFonts w:ascii="Times New Roman" w:hAnsi="Times New Roman" w:eastAsia="宋体" w:cs="等线 Light"/>
      <w:b/>
      <w:snapToGrid w:val="0"/>
      <w:kern w:val="0"/>
      <w:sz w:val="44"/>
      <w:szCs w:val="44"/>
    </w:rPr>
  </w:style>
  <w:style w:type="paragraph" w:styleId="3">
    <w:name w:val="heading 2"/>
    <w:basedOn w:val="1"/>
    <w:next w:val="1"/>
    <w:link w:val="29"/>
    <w:autoRedefine/>
    <w:unhideWhenUsed/>
    <w:qFormat/>
    <w:uiPriority w:val="9"/>
    <w:pPr>
      <w:spacing w:line="600" w:lineRule="exact"/>
      <w:ind w:firstLine="0" w:firstLineChars="0"/>
      <w:outlineLvl w:val="1"/>
    </w:pPr>
    <w:rPr>
      <w:rFonts w:ascii="Times New Roman" w:hAnsi="Times New Roman" w:eastAsia="宋体" w:cstheme="majorBidi"/>
      <w:b/>
      <w:bCs/>
      <w:snapToGrid w:val="0"/>
      <w:szCs w:val="24"/>
    </w:rPr>
  </w:style>
  <w:style w:type="paragraph" w:styleId="4">
    <w:name w:val="heading 3"/>
    <w:basedOn w:val="1"/>
    <w:next w:val="1"/>
    <w:link w:val="30"/>
    <w:autoRedefine/>
    <w:unhideWhenUsed/>
    <w:qFormat/>
    <w:uiPriority w:val="9"/>
    <w:pPr>
      <w:keepNext w:val="0"/>
      <w:keepLines w:val="0"/>
      <w:spacing w:before="0" w:after="0" w:line="360" w:lineRule="auto"/>
      <w:outlineLvl w:val="2"/>
    </w:pPr>
    <w:rPr>
      <w:b/>
      <w:bCs/>
      <w:szCs w:val="32"/>
    </w:rPr>
  </w:style>
  <w:style w:type="paragraph" w:styleId="5">
    <w:name w:val="heading 4"/>
    <w:basedOn w:val="1"/>
    <w:next w:val="1"/>
    <w:link w:val="38"/>
    <w:autoRedefine/>
    <w:qFormat/>
    <w:uiPriority w:val="0"/>
    <w:pPr>
      <w:keepNext w:val="0"/>
      <w:keepLines w:val="0"/>
      <w:spacing w:line="360" w:lineRule="auto"/>
      <w:ind w:firstLine="1044" w:firstLineChars="200"/>
      <w:outlineLvl w:val="3"/>
    </w:pPr>
    <w:rPr>
      <w:rFonts w:cs="Times New Roman"/>
      <w:bCs/>
      <w:szCs w:val="28"/>
    </w:rPr>
  </w:style>
  <w:style w:type="paragraph" w:styleId="6">
    <w:name w:val="heading 5"/>
    <w:basedOn w:val="1"/>
    <w:next w:val="1"/>
    <w:link w:val="31"/>
    <w:autoRedefine/>
    <w:unhideWhenUsed/>
    <w:qFormat/>
    <w:uiPriority w:val="0"/>
    <w:pPr>
      <w:keepNext w:val="0"/>
      <w:keepLines w:val="0"/>
      <w:spacing w:beforeLines="0" w:beforeAutospacing="0" w:afterLines="0" w:afterAutospacing="0" w:line="360" w:lineRule="auto"/>
      <w:ind w:firstLine="0" w:firstLineChars="0"/>
      <w:jc w:val="center"/>
      <w:outlineLvl w:val="4"/>
    </w:pPr>
    <w:rPr>
      <w:rFonts w:ascii="Times New Roman" w:hAnsi="Times New Roman" w:eastAsia="宋体"/>
      <w:b/>
      <w:sz w:val="28"/>
    </w:rPr>
  </w:style>
  <w:style w:type="paragraph" w:styleId="7">
    <w:name w:val="heading 6"/>
    <w:basedOn w:val="1"/>
    <w:next w:val="1"/>
    <w:link w:val="21"/>
    <w:autoRedefine/>
    <w:unhideWhenUsed/>
    <w:qFormat/>
    <w:uiPriority w:val="0"/>
    <w:pPr>
      <w:keepNext/>
      <w:keepLines/>
      <w:spacing w:before="240" w:beforeLines="0" w:beforeAutospacing="0" w:after="64" w:afterLines="0" w:afterAutospacing="0" w:line="317" w:lineRule="auto"/>
      <w:outlineLvl w:val="5"/>
    </w:pPr>
    <w:rPr>
      <w:rFonts w:ascii="Times New Roman" w:hAnsi="Times New Roman" w:eastAsia="黑体"/>
      <w:b/>
    </w:rPr>
  </w:style>
  <w:style w:type="paragraph" w:styleId="8">
    <w:name w:val="heading 7"/>
    <w:basedOn w:val="1"/>
    <w:next w:val="1"/>
    <w:semiHidden/>
    <w:unhideWhenUsed/>
    <w:qFormat/>
    <w:uiPriority w:val="0"/>
    <w:pPr>
      <w:keepNext/>
      <w:keepLines/>
      <w:spacing w:before="240" w:beforeLines="0" w:beforeAutospacing="0" w:after="64" w:afterLines="0" w:afterAutospacing="0" w:line="317" w:lineRule="auto"/>
      <w:outlineLvl w:val="6"/>
    </w:pPr>
    <w:rPr>
      <w:rFonts w:ascii="Times New Roman" w:hAnsi="Times New Roman" w:eastAsia="宋体"/>
      <w:b/>
    </w:rPr>
  </w:style>
  <w:style w:type="character" w:default="1" w:styleId="15">
    <w:name w:val="Default Paragraph Font"/>
    <w:autoRedefine/>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Subtitle"/>
    <w:basedOn w:val="1"/>
    <w:autoRedefine/>
    <w:qFormat/>
    <w:uiPriority w:val="0"/>
    <w:pPr>
      <w:spacing w:before="240" w:beforeLines="0" w:beforeAutospacing="0" w:after="60" w:afterLines="0" w:afterAutospacing="0" w:line="312" w:lineRule="auto"/>
      <w:jc w:val="center"/>
      <w:outlineLvl w:val="1"/>
    </w:pPr>
    <w:rPr>
      <w:rFonts w:ascii="Arial" w:hAnsi="Arial"/>
      <w:b/>
      <w:kern w:val="28"/>
      <w:sz w:val="32"/>
    </w:rPr>
  </w:style>
  <w:style w:type="character" w:customStyle="1" w:styleId="16">
    <w:name w:val="heading 1 Char"/>
    <w:link w:val="2"/>
    <w:autoRedefine/>
    <w:qFormat/>
    <w:uiPriority w:val="0"/>
    <w:rPr>
      <w:rFonts w:ascii="Times New Roman" w:hAnsi="Times New Roman" w:eastAsia="宋体" w:cs="等线 Light"/>
      <w:b/>
      <w:snapToGrid w:val="0"/>
      <w:kern w:val="0"/>
      <w:sz w:val="44"/>
      <w:szCs w:val="44"/>
    </w:rPr>
  </w:style>
  <w:style w:type="character" w:customStyle="1" w:styleId="17">
    <w:name w:val="heading 2 Char"/>
    <w:link w:val="3"/>
    <w:autoRedefine/>
    <w:qFormat/>
    <w:uiPriority w:val="0"/>
    <w:rPr>
      <w:rFonts w:ascii="Times New Roman" w:hAnsi="Times New Roman" w:eastAsia="宋体" w:cstheme="majorBidi"/>
      <w:b/>
      <w:bCs/>
      <w:snapToGrid w:val="0"/>
      <w:szCs w:val="24"/>
    </w:rPr>
  </w:style>
  <w:style w:type="character" w:customStyle="1" w:styleId="18">
    <w:name w:val="heading 3 Char"/>
    <w:link w:val="4"/>
    <w:autoRedefine/>
    <w:qFormat/>
    <w:uiPriority w:val="0"/>
    <w:rPr>
      <w:b/>
      <w:bCs/>
      <w:szCs w:val="32"/>
    </w:rPr>
  </w:style>
  <w:style w:type="character" w:customStyle="1" w:styleId="19">
    <w:name w:val="heading 4 Char"/>
    <w:link w:val="5"/>
    <w:autoRedefine/>
    <w:qFormat/>
    <w:uiPriority w:val="0"/>
    <w:rPr>
      <w:rFonts w:cs="Times New Roman"/>
      <w:bCs/>
      <w:szCs w:val="28"/>
    </w:rPr>
  </w:style>
  <w:style w:type="character" w:customStyle="1" w:styleId="20">
    <w:name w:val="heading 5 Char"/>
    <w:link w:val="6"/>
    <w:autoRedefine/>
    <w:qFormat/>
    <w:uiPriority w:val="0"/>
    <w:rPr>
      <w:rFonts w:ascii="Times New Roman" w:hAnsi="Times New Roman" w:eastAsia="宋体"/>
      <w:b/>
      <w:sz w:val="28"/>
    </w:rPr>
  </w:style>
  <w:style w:type="character" w:customStyle="1" w:styleId="21">
    <w:name w:val="heading 6 Char"/>
    <w:link w:val="7"/>
    <w:autoRedefine/>
    <w:qFormat/>
    <w:uiPriority w:val="0"/>
    <w:rPr>
      <w:rFonts w:ascii="Times New Roman" w:hAnsi="Times New Roman" w:eastAsia="黑体"/>
      <w:b/>
    </w:rPr>
  </w:style>
  <w:style w:type="paragraph" w:customStyle="1" w:styleId="22">
    <w:name w:val="参选文件格式1"/>
    <w:basedOn w:val="1"/>
    <w:next w:val="1"/>
    <w:link w:val="26"/>
    <w:autoRedefine/>
    <w:qFormat/>
    <w:uiPriority w:val="0"/>
    <w:pPr>
      <w:spacing w:line="360" w:lineRule="auto"/>
      <w:ind w:firstLine="0" w:firstLineChars="0"/>
      <w:jc w:val="center"/>
      <w:outlineLvl w:val="1"/>
    </w:pPr>
    <w:rPr>
      <w:rFonts w:hint="eastAsia" w:eastAsia="宋体"/>
      <w:b/>
      <w:sz w:val="28"/>
    </w:rPr>
  </w:style>
  <w:style w:type="paragraph" w:customStyle="1" w:styleId="23">
    <w:name w:val="参选文件格式2"/>
    <w:basedOn w:val="1"/>
    <w:next w:val="1"/>
    <w:link w:val="32"/>
    <w:autoRedefine/>
    <w:qFormat/>
    <w:uiPriority w:val="0"/>
    <w:pPr>
      <w:ind w:firstLine="0" w:firstLineChars="0"/>
      <w:jc w:val="center"/>
      <w:outlineLvl w:val="2"/>
    </w:pPr>
    <w:rPr>
      <w:rFonts w:eastAsia="宋体"/>
      <w:bCs/>
      <w:szCs w:val="32"/>
    </w:rPr>
  </w:style>
  <w:style w:type="paragraph" w:customStyle="1" w:styleId="24">
    <w:name w:val="参选文件格式3"/>
    <w:basedOn w:val="1"/>
    <w:link w:val="25"/>
    <w:autoRedefine/>
    <w:qFormat/>
    <w:uiPriority w:val="0"/>
    <w:pPr>
      <w:tabs>
        <w:tab w:val="left" w:pos="6300"/>
      </w:tabs>
      <w:snapToGrid w:val="0"/>
      <w:spacing w:line="600" w:lineRule="exact"/>
      <w:ind w:firstLine="0" w:firstLineChars="0"/>
      <w:jc w:val="center"/>
    </w:pPr>
    <w:rPr>
      <w:rFonts w:hint="eastAsia" w:ascii="宋体" w:hAnsi="宋体" w:eastAsia="宋体"/>
      <w:b/>
      <w:snapToGrid w:val="0"/>
      <w:kern w:val="0"/>
      <w:u w:val="none"/>
    </w:rPr>
  </w:style>
  <w:style w:type="character" w:customStyle="1" w:styleId="25">
    <w:name w:val="参选文件格式3 Char"/>
    <w:link w:val="24"/>
    <w:autoRedefine/>
    <w:qFormat/>
    <w:uiPriority w:val="0"/>
    <w:rPr>
      <w:rFonts w:hint="eastAsia" w:ascii="宋体" w:hAnsi="宋体" w:eastAsia="宋体"/>
      <w:b/>
      <w:snapToGrid w:val="0"/>
      <w:kern w:val="0"/>
      <w:u w:val="none"/>
    </w:rPr>
  </w:style>
  <w:style w:type="character" w:customStyle="1" w:styleId="26">
    <w:name w:val="参选文件格式1 Char"/>
    <w:link w:val="22"/>
    <w:autoRedefine/>
    <w:qFormat/>
    <w:uiPriority w:val="0"/>
    <w:rPr>
      <w:rFonts w:hint="eastAsia" w:eastAsia="宋体"/>
      <w:b/>
      <w:sz w:val="28"/>
    </w:rPr>
  </w:style>
  <w:style w:type="character" w:customStyle="1" w:styleId="27">
    <w:name w:val="标题 4 Char"/>
    <w:link w:val="5"/>
    <w:autoRedefine/>
    <w:qFormat/>
    <w:uiPriority w:val="0"/>
    <w:rPr>
      <w:rFonts w:cs="Times New Roman"/>
      <w:bCs/>
      <w:szCs w:val="28"/>
    </w:rPr>
  </w:style>
  <w:style w:type="character" w:customStyle="1" w:styleId="28">
    <w:name w:val="标题 1 Char"/>
    <w:basedOn w:val="15"/>
    <w:link w:val="2"/>
    <w:autoRedefine/>
    <w:qFormat/>
    <w:uiPriority w:val="0"/>
    <w:rPr>
      <w:rFonts w:ascii="Times New Roman" w:hAnsi="Times New Roman" w:eastAsia="宋体" w:cs="等线 Light"/>
      <w:b/>
      <w:snapToGrid w:val="0"/>
      <w:kern w:val="0"/>
      <w:sz w:val="44"/>
      <w:szCs w:val="44"/>
    </w:rPr>
  </w:style>
  <w:style w:type="character" w:customStyle="1" w:styleId="29">
    <w:name w:val="标题 2 Char"/>
    <w:basedOn w:val="15"/>
    <w:link w:val="3"/>
    <w:autoRedefine/>
    <w:qFormat/>
    <w:uiPriority w:val="9"/>
    <w:rPr>
      <w:rFonts w:ascii="Times New Roman" w:hAnsi="Times New Roman" w:eastAsia="宋体" w:cstheme="majorBidi"/>
      <w:b/>
      <w:bCs/>
      <w:snapToGrid w:val="0"/>
      <w:szCs w:val="24"/>
    </w:rPr>
  </w:style>
  <w:style w:type="character" w:customStyle="1" w:styleId="30">
    <w:name w:val="标题 3 Char"/>
    <w:basedOn w:val="15"/>
    <w:link w:val="4"/>
    <w:autoRedefine/>
    <w:qFormat/>
    <w:uiPriority w:val="9"/>
    <w:rPr>
      <w:b/>
      <w:bCs/>
      <w:szCs w:val="32"/>
    </w:rPr>
  </w:style>
  <w:style w:type="character" w:customStyle="1" w:styleId="31">
    <w:name w:val="标题 5 Char"/>
    <w:link w:val="6"/>
    <w:autoRedefine/>
    <w:qFormat/>
    <w:uiPriority w:val="0"/>
    <w:rPr>
      <w:rFonts w:ascii="Times New Roman" w:hAnsi="Times New Roman" w:eastAsia="宋体"/>
      <w:b/>
      <w:sz w:val="28"/>
    </w:rPr>
  </w:style>
  <w:style w:type="character" w:customStyle="1" w:styleId="32">
    <w:name w:val="参选文件格式2 Char"/>
    <w:link w:val="23"/>
    <w:autoRedefine/>
    <w:qFormat/>
    <w:uiPriority w:val="0"/>
    <w:rPr>
      <w:rFonts w:eastAsia="宋体"/>
      <w:bCs/>
      <w:szCs w:val="32"/>
    </w:rPr>
  </w:style>
  <w:style w:type="paragraph" w:customStyle="1" w:styleId="33">
    <w:name w:val="表格"/>
    <w:basedOn w:val="1"/>
    <w:qFormat/>
    <w:uiPriority w:val="0"/>
    <w:pPr>
      <w:spacing w:line="360" w:lineRule="auto"/>
      <w:ind w:firstLine="0" w:firstLineChars="0"/>
    </w:pPr>
    <w:rPr>
      <w:rFonts w:ascii="Times New Roman" w:hAnsi="Times New Roman" w:eastAsia="宋体"/>
      <w:bCs/>
      <w:color w:val="auto"/>
      <w:sz w:val="21"/>
      <w:szCs w:val="18"/>
    </w:rPr>
  </w:style>
  <w:style w:type="paragraph" w:customStyle="1" w:styleId="34">
    <w:name w:val="表格（标题）"/>
    <w:basedOn w:val="1"/>
    <w:qFormat/>
    <w:uiPriority w:val="0"/>
    <w:pPr>
      <w:spacing w:line="360" w:lineRule="auto"/>
      <w:ind w:firstLine="0" w:firstLineChars="0"/>
      <w:jc w:val="center"/>
    </w:pPr>
    <w:rPr>
      <w:rFonts w:ascii="Times New Roman" w:hAnsi="Times New Roman" w:eastAsia="宋体"/>
      <w:b/>
      <w:bCs/>
      <w:color w:val="auto"/>
      <w:sz w:val="21"/>
      <w:szCs w:val="18"/>
    </w:rPr>
  </w:style>
  <w:style w:type="paragraph" w:customStyle="1" w:styleId="35">
    <w:name w:val="标题2（无级别）"/>
    <w:basedOn w:val="1"/>
    <w:next w:val="1"/>
    <w:link w:val="37"/>
    <w:qFormat/>
    <w:uiPriority w:val="0"/>
    <w:pPr>
      <w:autoSpaceDE w:val="0"/>
      <w:autoSpaceDN w:val="0"/>
      <w:ind w:left="0" w:firstLine="0" w:firstLineChars="0"/>
      <w:outlineLvl w:val="9"/>
    </w:pPr>
    <w:rPr>
      <w:rFonts w:hint="eastAsia" w:ascii="Times New Roman" w:hAnsi="Times New Roman" w:eastAsia="宋体" w:cstheme="majorBidi"/>
      <w:b/>
      <w:bCs/>
      <w:snapToGrid w:val="0"/>
      <w:szCs w:val="24"/>
    </w:rPr>
  </w:style>
  <w:style w:type="paragraph" w:customStyle="1" w:styleId="36">
    <w:name w:val="标题3（无级别）"/>
    <w:basedOn w:val="1"/>
    <w:next w:val="1"/>
    <w:qFormat/>
    <w:uiPriority w:val="0"/>
    <w:pPr>
      <w:outlineLvl w:val="9"/>
    </w:pPr>
    <w:rPr>
      <w:rFonts w:hint="eastAsia" w:ascii="Times New Roman" w:hAnsi="Times New Roman"/>
      <w:b/>
      <w:bCs/>
      <w:sz w:val="21"/>
      <w:szCs w:val="32"/>
    </w:rPr>
  </w:style>
  <w:style w:type="character" w:customStyle="1" w:styleId="37">
    <w:name w:val="标题2（无级别） Char"/>
    <w:link w:val="35"/>
    <w:qFormat/>
    <w:uiPriority w:val="0"/>
    <w:rPr>
      <w:rFonts w:hint="eastAsia" w:ascii="Times New Roman" w:hAnsi="Times New Roman" w:eastAsia="宋体" w:cstheme="majorBidi"/>
      <w:b/>
      <w:bCs/>
      <w:snapToGrid w:val="0"/>
      <w:szCs w:val="24"/>
    </w:rPr>
  </w:style>
  <w:style w:type="character" w:customStyle="1" w:styleId="38">
    <w:name w:val="标题 4 字符"/>
    <w:link w:val="5"/>
    <w:autoRedefine/>
    <w:qFormat/>
    <w:uiPriority w:val="0"/>
    <w:rPr>
      <w:rFonts w:ascii="Calibri Light" w:hAnsi="Calibri Light" w:eastAsia="宋体" w:cs="Times New Roman"/>
      <w:bCs/>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76</Pages>
  <Words>9224</Words>
  <Characters>10186</Characters>
  <Lines>0</Lines>
  <Paragraphs>780</Paragraphs>
  <TotalTime>0</TotalTime>
  <ScaleCrop>false</ScaleCrop>
  <LinksUpToDate>false</LinksUpToDate>
  <CharactersWithSpaces>10360</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交易中心-杜</cp:lastModifiedBy>
  <cp:lastPrinted>2024-01-19T09:29:00Z</cp:lastPrinted>
  <dcterms:modified xsi:type="dcterms:W3CDTF">2024-12-02T06:56:22Z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C13FCD674C22409A80E9CB6EDEF55C6A_13</vt:lpwstr>
  </property>
</Properties>
</file>