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73CA2">
      <w:pPr>
        <w:tabs>
          <w:tab w:val="center" w:pos="4201"/>
          <w:tab w:val="right" w:leader="dot" w:pos="9298"/>
        </w:tabs>
        <w:ind w:firstLine="0" w:firstLineChars="0"/>
      </w:pPr>
    </w:p>
    <w:p w14:paraId="12B3158E">
      <w:pPr>
        <w:ind w:firstLine="0" w:firstLineChars="0"/>
        <w:rPr>
          <w:rFonts w:cs="Cambria"/>
          <w:b/>
          <w:snapToGrid w:val="0"/>
          <w:kern w:val="0"/>
          <w:sz w:val="52"/>
          <w:szCs w:val="84"/>
        </w:rPr>
      </w:pPr>
    </w:p>
    <w:p w14:paraId="7FA4FABB">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3284DF20">
      <w:pPr>
        <w:ind w:firstLine="0" w:firstLineChars="0"/>
        <w:jc w:val="center"/>
        <w:rPr>
          <w:rFonts w:cs="Times New Roman"/>
          <w:b/>
          <w:snapToGrid w:val="0"/>
          <w:kern w:val="0"/>
          <w:sz w:val="48"/>
          <w:szCs w:val="84"/>
        </w:rPr>
      </w:pPr>
      <w:r>
        <w:rPr>
          <w:rFonts w:hint="eastAsia" w:cs="Times New Roman"/>
          <w:b/>
          <w:snapToGrid w:val="0"/>
          <w:kern w:val="0"/>
          <w:sz w:val="48"/>
          <w:szCs w:val="84"/>
        </w:rPr>
        <w:t>金融产品销售平台代销实物贵金属项目</w:t>
      </w:r>
    </w:p>
    <w:p w14:paraId="751246A5">
      <w:pPr>
        <w:ind w:firstLine="0" w:firstLineChars="0"/>
        <w:jc w:val="left"/>
        <w:rPr>
          <w:rFonts w:cs="Times New Roman"/>
          <w:snapToGrid w:val="0"/>
          <w:kern w:val="0"/>
          <w:sz w:val="18"/>
        </w:rPr>
      </w:pPr>
    </w:p>
    <w:p w14:paraId="22963B06">
      <w:pPr>
        <w:ind w:firstLine="0" w:firstLineChars="0"/>
        <w:jc w:val="left"/>
        <w:rPr>
          <w:rFonts w:cs="Times New Roman"/>
          <w:snapToGrid w:val="0"/>
          <w:kern w:val="0"/>
          <w:sz w:val="20"/>
        </w:rPr>
      </w:pPr>
    </w:p>
    <w:p w14:paraId="3B859487">
      <w:pPr>
        <w:ind w:firstLine="0" w:firstLineChars="0"/>
        <w:jc w:val="left"/>
        <w:rPr>
          <w:rFonts w:cs="Times New Roman"/>
          <w:snapToGrid w:val="0"/>
          <w:kern w:val="0"/>
          <w:sz w:val="20"/>
        </w:rPr>
      </w:pPr>
    </w:p>
    <w:p w14:paraId="4C3B10FB">
      <w:pPr>
        <w:ind w:firstLine="0" w:firstLineChars="0"/>
        <w:jc w:val="left"/>
        <w:rPr>
          <w:rFonts w:cs="Times New Roman"/>
          <w:snapToGrid w:val="0"/>
          <w:kern w:val="0"/>
          <w:sz w:val="20"/>
        </w:rPr>
      </w:pPr>
    </w:p>
    <w:p w14:paraId="197E673D">
      <w:pPr>
        <w:ind w:firstLine="0" w:firstLineChars="0"/>
        <w:jc w:val="left"/>
        <w:rPr>
          <w:rFonts w:cs="Times New Roman"/>
          <w:snapToGrid w:val="0"/>
          <w:kern w:val="0"/>
          <w:sz w:val="20"/>
        </w:rPr>
      </w:pPr>
    </w:p>
    <w:p w14:paraId="795A9469">
      <w:pPr>
        <w:ind w:firstLine="0" w:firstLineChars="0"/>
        <w:jc w:val="left"/>
        <w:rPr>
          <w:rFonts w:cs="Times New Roman"/>
          <w:snapToGrid w:val="0"/>
          <w:kern w:val="0"/>
          <w:sz w:val="20"/>
        </w:rPr>
      </w:pPr>
    </w:p>
    <w:p w14:paraId="2A7C8510">
      <w:pPr>
        <w:ind w:firstLine="0" w:firstLineChars="0"/>
        <w:jc w:val="left"/>
        <w:rPr>
          <w:rFonts w:cs="Times New Roman"/>
          <w:snapToGrid w:val="0"/>
          <w:kern w:val="0"/>
          <w:sz w:val="20"/>
        </w:rPr>
      </w:pPr>
    </w:p>
    <w:p w14:paraId="44AAC863">
      <w:pPr>
        <w:ind w:firstLine="0" w:firstLineChars="0"/>
        <w:jc w:val="center"/>
        <w:rPr>
          <w:rFonts w:cs="Times New Roman"/>
          <w:b/>
          <w:snapToGrid w:val="0"/>
          <w:kern w:val="0"/>
          <w:sz w:val="84"/>
          <w:szCs w:val="84"/>
        </w:rPr>
      </w:pPr>
      <w:r>
        <w:rPr>
          <w:rFonts w:hint="eastAsia" w:cs="Times New Roman"/>
          <w:b/>
          <w:snapToGrid w:val="0"/>
          <w:kern w:val="0"/>
          <w:sz w:val="96"/>
          <w:szCs w:val="96"/>
        </w:rPr>
        <w:t>比选</w:t>
      </w:r>
      <w:r>
        <w:rPr>
          <w:rFonts w:cs="Times New Roman"/>
          <w:b/>
          <w:snapToGrid w:val="0"/>
          <w:kern w:val="0"/>
          <w:sz w:val="96"/>
          <w:szCs w:val="96"/>
        </w:rPr>
        <w:t>文件</w:t>
      </w:r>
    </w:p>
    <w:p w14:paraId="481C790B">
      <w:pPr>
        <w:ind w:firstLine="0" w:firstLineChars="0"/>
        <w:jc w:val="center"/>
        <w:rPr>
          <w:rFonts w:cs="Times New Roman"/>
          <w:b/>
          <w:snapToGrid w:val="0"/>
          <w:kern w:val="0"/>
          <w:szCs w:val="28"/>
        </w:rPr>
      </w:pPr>
    </w:p>
    <w:p w14:paraId="2EBCBA3B">
      <w:pPr>
        <w:ind w:firstLine="0" w:firstLineChars="0"/>
        <w:jc w:val="center"/>
        <w:rPr>
          <w:rFonts w:cs="Times New Roman"/>
          <w:b/>
          <w:snapToGrid w:val="0"/>
          <w:kern w:val="0"/>
          <w:szCs w:val="28"/>
        </w:rPr>
      </w:pPr>
    </w:p>
    <w:p w14:paraId="18591E5B">
      <w:pPr>
        <w:ind w:firstLine="0" w:firstLineChars="0"/>
        <w:jc w:val="center"/>
        <w:rPr>
          <w:rFonts w:cs="Times New Roman"/>
          <w:b/>
          <w:snapToGrid w:val="0"/>
          <w:kern w:val="0"/>
          <w:szCs w:val="28"/>
        </w:rPr>
      </w:pPr>
    </w:p>
    <w:p w14:paraId="79461DA2">
      <w:pPr>
        <w:ind w:firstLine="0" w:firstLineChars="0"/>
      </w:pPr>
    </w:p>
    <w:p w14:paraId="1283E21B">
      <w:pPr>
        <w:pStyle w:val="11"/>
      </w:pPr>
    </w:p>
    <w:p w14:paraId="367E602D"/>
    <w:p w14:paraId="56247ADD"/>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2062A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74DD8EB">
            <w:pPr>
              <w:ind w:firstLine="0" w:firstLineChars="0"/>
              <w:jc w:val="distribute"/>
              <w:rPr>
                <w:rFonts w:cs="Times New Roman"/>
                <w:b/>
                <w:snapToGrid w:val="0"/>
                <w:kern w:val="0"/>
                <w:sz w:val="30"/>
                <w:szCs w:val="30"/>
              </w:rPr>
            </w:pPr>
            <w:r>
              <w:rPr>
                <w:rFonts w:hint="eastAsia" w:cs="Times New Roman"/>
                <w:b/>
                <w:snapToGrid w:val="0"/>
                <w:kern w:val="0"/>
                <w:sz w:val="30"/>
                <w:szCs w:val="30"/>
              </w:rPr>
              <w:t>比选人</w:t>
            </w:r>
          </w:p>
        </w:tc>
        <w:tc>
          <w:tcPr>
            <w:tcW w:w="4744" w:type="dxa"/>
            <w:tcBorders>
              <w:tl2br w:val="nil"/>
              <w:tr2bl w:val="nil"/>
            </w:tcBorders>
            <w:vAlign w:val="center"/>
          </w:tcPr>
          <w:p w14:paraId="5D855353">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52A68E4C">
            <w:pPr>
              <w:ind w:firstLine="0" w:firstLineChars="0"/>
              <w:jc w:val="center"/>
              <w:rPr>
                <w:rFonts w:cs="Times New Roman"/>
                <w:b/>
                <w:snapToGrid w:val="0"/>
                <w:kern w:val="0"/>
                <w:sz w:val="30"/>
                <w:szCs w:val="30"/>
              </w:rPr>
            </w:pPr>
            <w:r>
              <w:rPr>
                <w:rFonts w:hint="eastAsia" w:cs="Times New Roman"/>
                <w:bCs/>
                <w:snapToGrid w:val="0"/>
                <w:kern w:val="0"/>
                <w:sz w:val="24"/>
                <w:szCs w:val="24"/>
              </w:rPr>
              <w:t>（盖单位公章）</w:t>
            </w:r>
          </w:p>
        </w:tc>
      </w:tr>
      <w:tr w14:paraId="4A9D3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BD709C8">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574A8581">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2024</w:t>
            </w:r>
            <w:r>
              <w:rPr>
                <w:rFonts w:cs="Times New Roman"/>
                <w:b/>
                <w:snapToGrid w:val="0"/>
                <w:kern w:val="0"/>
                <w:sz w:val="30"/>
                <w:szCs w:val="30"/>
              </w:rPr>
              <w:t>年</w:t>
            </w:r>
            <w:r>
              <w:rPr>
                <w:rFonts w:hint="eastAsia" w:cs="Times New Roman"/>
                <w:b/>
                <w:snapToGrid w:val="0"/>
                <w:kern w:val="0"/>
                <w:sz w:val="30"/>
                <w:szCs w:val="30"/>
                <w:lang w:val="en-US" w:eastAsia="zh-CN"/>
              </w:rPr>
              <w:t>11</w:t>
            </w:r>
            <w:r>
              <w:rPr>
                <w:rFonts w:cs="Times New Roman"/>
                <w:b/>
                <w:snapToGrid w:val="0"/>
                <w:kern w:val="0"/>
                <w:sz w:val="30"/>
                <w:szCs w:val="30"/>
              </w:rPr>
              <w:t>月</w:t>
            </w:r>
          </w:p>
        </w:tc>
        <w:tc>
          <w:tcPr>
            <w:tcW w:w="2020" w:type="dxa"/>
            <w:vMerge w:val="continue"/>
            <w:tcBorders>
              <w:tl2br w:val="nil"/>
              <w:tr2bl w:val="nil"/>
            </w:tcBorders>
            <w:vAlign w:val="center"/>
          </w:tcPr>
          <w:p w14:paraId="1C6D1B5A"/>
        </w:tc>
      </w:tr>
    </w:tbl>
    <w:p w14:paraId="00C54135"/>
    <w:p w14:paraId="058BC15B">
      <w:pPr>
        <w:sectPr>
          <w:pgSz w:w="11906" w:h="16838"/>
          <w:pgMar w:top="1440" w:right="1800" w:bottom="1440" w:left="1800" w:header="851" w:footer="992" w:gutter="0"/>
          <w:pgNumType w:start="1"/>
          <w:cols w:space="720" w:num="1"/>
          <w:docGrid w:type="lines" w:linePitch="312" w:charSpace="0"/>
        </w:sectPr>
      </w:pPr>
    </w:p>
    <w:p w14:paraId="2563EF0D">
      <w:pPr>
        <w:snapToGrid w:val="0"/>
        <w:ind w:firstLine="0" w:firstLineChars="0"/>
        <w:jc w:val="center"/>
        <w:rPr>
          <w:b/>
          <w:snapToGrid w:val="0"/>
          <w:kern w:val="0"/>
          <w:sz w:val="44"/>
          <w:szCs w:val="44"/>
        </w:rPr>
      </w:pPr>
      <w:r>
        <w:rPr>
          <w:rFonts w:hint="eastAsia"/>
          <w:b/>
          <w:snapToGrid w:val="0"/>
          <w:kern w:val="0"/>
          <w:sz w:val="44"/>
          <w:szCs w:val="44"/>
        </w:rPr>
        <w:t>目录</w:t>
      </w:r>
    </w:p>
    <w:p w14:paraId="038AD38D">
      <w:pPr>
        <w:pStyle w:val="19"/>
        <w:tabs>
          <w:tab w:val="right" w:leader="dot" w:pos="8306"/>
        </w:tabs>
      </w:pPr>
      <w:r>
        <w:rPr>
          <w:snapToGrid w:val="0"/>
          <w:kern w:val="0"/>
          <w:szCs w:val="24"/>
        </w:rPr>
        <w:fldChar w:fldCharType="begin"/>
      </w:r>
      <w:r>
        <w:rPr>
          <w:rFonts w:hint="eastAsia"/>
          <w:snapToGrid w:val="0"/>
          <w:kern w:val="0"/>
          <w:szCs w:val="24"/>
        </w:rPr>
        <w:instrText xml:space="preserve">TOC \o "1-1" \h \z \u</w:instrText>
      </w:r>
      <w:r>
        <w:rPr>
          <w:snapToGrid w:val="0"/>
          <w:kern w:val="0"/>
          <w:szCs w:val="24"/>
        </w:rPr>
        <w:instrText xml:space="preserve"> </w:instrText>
      </w:r>
      <w:r>
        <w:rPr>
          <w:snapToGrid w:val="0"/>
          <w:kern w:val="0"/>
          <w:szCs w:val="24"/>
        </w:rPr>
        <w:fldChar w:fldCharType="separate"/>
      </w:r>
      <w:r>
        <w:fldChar w:fldCharType="begin"/>
      </w:r>
      <w:r>
        <w:instrText xml:space="preserve">Hyperlink \l "_Toc8804"</w:instrText>
      </w:r>
      <w:r>
        <w:fldChar w:fldCharType="separate"/>
      </w:r>
      <w:r>
        <w:rPr>
          <w:rFonts w:hint="eastAsia"/>
        </w:rPr>
        <w:t>第一章 比选公告</w:t>
      </w:r>
      <w:r>
        <w:tab/>
      </w:r>
      <w:r>
        <w:fldChar w:fldCharType="begin"/>
      </w:r>
      <w:r>
        <w:instrText xml:space="preserve"> PAGEREF _Toc8804 \h </w:instrText>
      </w:r>
      <w:r>
        <w:fldChar w:fldCharType="separate"/>
      </w:r>
      <w:r>
        <w:t>1</w:t>
      </w:r>
      <w:r>
        <w:fldChar w:fldCharType="end"/>
      </w:r>
      <w:r>
        <w:fldChar w:fldCharType="end"/>
      </w:r>
    </w:p>
    <w:p w14:paraId="14BDA8B1">
      <w:pPr>
        <w:pStyle w:val="19"/>
        <w:tabs>
          <w:tab w:val="right" w:leader="dot" w:pos="8306"/>
        </w:tabs>
      </w:pPr>
      <w:r>
        <w:fldChar w:fldCharType="begin"/>
      </w:r>
      <w:r>
        <w:instrText xml:space="preserve">Hyperlink \l "_Toc8732"</w:instrText>
      </w:r>
      <w:r>
        <w:fldChar w:fldCharType="separate"/>
      </w:r>
      <w:r>
        <w:rPr>
          <w:rFonts w:hint="eastAsia"/>
        </w:rPr>
        <w:t>第二章 参选人须知</w:t>
      </w:r>
      <w:r>
        <w:tab/>
      </w:r>
      <w:r>
        <w:fldChar w:fldCharType="begin"/>
      </w:r>
      <w:r>
        <w:instrText xml:space="preserve"> PAGEREF _Toc8732 \h </w:instrText>
      </w:r>
      <w:r>
        <w:fldChar w:fldCharType="separate"/>
      </w:r>
      <w:r>
        <w:t>5</w:t>
      </w:r>
      <w:r>
        <w:fldChar w:fldCharType="end"/>
      </w:r>
      <w:r>
        <w:fldChar w:fldCharType="end"/>
      </w:r>
    </w:p>
    <w:p w14:paraId="0A0B5295">
      <w:pPr>
        <w:pStyle w:val="19"/>
        <w:tabs>
          <w:tab w:val="right" w:leader="dot" w:pos="8306"/>
        </w:tabs>
      </w:pPr>
      <w:r>
        <w:fldChar w:fldCharType="begin"/>
      </w:r>
      <w:r>
        <w:instrText xml:space="preserve">Hyperlink \l "_Toc24158"</w:instrText>
      </w:r>
      <w:r>
        <w:fldChar w:fldCharType="separate"/>
      </w:r>
      <w:r>
        <w:rPr>
          <w:rFonts w:hint="eastAsia"/>
        </w:rPr>
        <w:t>第三章 项目要求</w:t>
      </w:r>
      <w:r>
        <w:tab/>
      </w:r>
      <w:r>
        <w:fldChar w:fldCharType="begin"/>
      </w:r>
      <w:r>
        <w:instrText xml:space="preserve"> PAGEREF _Toc24158 \h </w:instrText>
      </w:r>
      <w:r>
        <w:fldChar w:fldCharType="separate"/>
      </w:r>
      <w:r>
        <w:t>12</w:t>
      </w:r>
      <w:r>
        <w:fldChar w:fldCharType="end"/>
      </w:r>
      <w:r>
        <w:fldChar w:fldCharType="end"/>
      </w:r>
    </w:p>
    <w:p w14:paraId="5BB65BA6">
      <w:pPr>
        <w:pStyle w:val="19"/>
        <w:tabs>
          <w:tab w:val="right" w:leader="dot" w:pos="8306"/>
        </w:tabs>
      </w:pPr>
      <w:r>
        <w:fldChar w:fldCharType="begin"/>
      </w:r>
      <w:r>
        <w:instrText xml:space="preserve">Hyperlink \l "_Toc23430"</w:instrText>
      </w:r>
      <w:r>
        <w:fldChar w:fldCharType="separate"/>
      </w:r>
      <w:r>
        <w:rPr>
          <w:rFonts w:hint="eastAsia"/>
        </w:rPr>
        <w:t>第四章 评审办法（综合评估法）</w:t>
      </w:r>
      <w:r>
        <w:tab/>
      </w:r>
      <w:r>
        <w:fldChar w:fldCharType="begin"/>
      </w:r>
      <w:r>
        <w:instrText xml:space="preserve"> PAGEREF _Toc23430 \h </w:instrText>
      </w:r>
      <w:r>
        <w:fldChar w:fldCharType="separate"/>
      </w:r>
      <w:r>
        <w:t>28</w:t>
      </w:r>
      <w:r>
        <w:fldChar w:fldCharType="end"/>
      </w:r>
      <w:r>
        <w:fldChar w:fldCharType="end"/>
      </w:r>
    </w:p>
    <w:p w14:paraId="3D4B07C6">
      <w:pPr>
        <w:pStyle w:val="19"/>
        <w:tabs>
          <w:tab w:val="right" w:leader="dot" w:pos="8306"/>
        </w:tabs>
      </w:pPr>
      <w:r>
        <w:fldChar w:fldCharType="begin"/>
      </w:r>
      <w:r>
        <w:instrText xml:space="preserve">Hyperlink \l "_Toc25012"</w:instrText>
      </w:r>
      <w:r>
        <w:fldChar w:fldCharType="separate"/>
      </w:r>
      <w:r>
        <w:rPr>
          <w:rFonts w:hint="eastAsia"/>
        </w:rPr>
        <w:t>第五章 合同</w:t>
      </w:r>
      <w:r>
        <w:t>模板</w:t>
      </w:r>
      <w:r>
        <w:tab/>
      </w:r>
      <w:r>
        <w:fldChar w:fldCharType="begin"/>
      </w:r>
      <w:r>
        <w:instrText xml:space="preserve"> PAGEREF _Toc25012 \h </w:instrText>
      </w:r>
      <w:r>
        <w:fldChar w:fldCharType="separate"/>
      </w:r>
      <w:r>
        <w:t>36</w:t>
      </w:r>
      <w:r>
        <w:fldChar w:fldCharType="end"/>
      </w:r>
      <w:r>
        <w:fldChar w:fldCharType="end"/>
      </w:r>
    </w:p>
    <w:p w14:paraId="35A8C3A2">
      <w:pPr>
        <w:pStyle w:val="19"/>
        <w:tabs>
          <w:tab w:val="right" w:leader="dot" w:pos="8306"/>
        </w:tabs>
      </w:pPr>
      <w:r>
        <w:fldChar w:fldCharType="begin"/>
      </w:r>
      <w:r>
        <w:instrText xml:space="preserve">Hyperlink \l "_Toc23529"</w:instrText>
      </w:r>
      <w:r>
        <w:fldChar w:fldCharType="separate"/>
      </w:r>
      <w:r>
        <w:rPr>
          <w:rFonts w:hint="eastAsia"/>
        </w:rPr>
        <w:t>第六章 参选文件格式</w:t>
      </w:r>
      <w:r>
        <w:tab/>
      </w:r>
      <w:r>
        <w:fldChar w:fldCharType="begin"/>
      </w:r>
      <w:r>
        <w:instrText xml:space="preserve"> PAGEREF _Toc23529 \h </w:instrText>
      </w:r>
      <w:r>
        <w:fldChar w:fldCharType="separate"/>
      </w:r>
      <w:r>
        <w:t>74</w:t>
      </w:r>
      <w:r>
        <w:fldChar w:fldCharType="end"/>
      </w:r>
      <w:r>
        <w:fldChar w:fldCharType="end"/>
      </w:r>
    </w:p>
    <w:p w14:paraId="74EE44BD">
      <w:pPr>
        <w:widowControl/>
        <w:jc w:val="left"/>
        <w:rPr>
          <w:snapToGrid w:val="0"/>
          <w:kern w:val="0"/>
          <w:szCs w:val="24"/>
        </w:rPr>
      </w:pPr>
      <w:r>
        <w:rPr>
          <w:snapToGrid w:val="0"/>
          <w:kern w:val="0"/>
          <w:szCs w:val="24"/>
        </w:rPr>
        <w:fldChar w:fldCharType="end"/>
      </w:r>
    </w:p>
    <w:p w14:paraId="7A9676C5">
      <w:pPr>
        <w:widowControl/>
        <w:jc w:val="left"/>
        <w:rPr>
          <w:snapToGrid w:val="0"/>
          <w:kern w:val="0"/>
          <w:szCs w:val="24"/>
        </w:rPr>
        <w:sectPr>
          <w:pgSz w:w="11906" w:h="16838"/>
          <w:pgMar w:top="1440" w:right="1800" w:bottom="1440" w:left="1800" w:header="851" w:footer="992" w:gutter="0"/>
          <w:pgNumType w:start="1"/>
          <w:cols w:space="720" w:num="1"/>
          <w:docGrid w:type="lines" w:linePitch="312" w:charSpace="0"/>
        </w:sectPr>
      </w:pPr>
    </w:p>
    <w:p w14:paraId="3D51A24D">
      <w:pPr>
        <w:pStyle w:val="2"/>
      </w:pPr>
      <w:bookmarkStart w:id="0" w:name="_Toc440628903"/>
      <w:bookmarkStart w:id="1" w:name="_Toc469574661"/>
      <w:bookmarkStart w:id="2" w:name="_Toc6745"/>
      <w:bookmarkStart w:id="3" w:name="_Toc8804"/>
      <w:bookmarkStart w:id="4" w:name="_Toc21001"/>
      <w:r>
        <w:rPr>
          <w:rFonts w:hint="eastAsia"/>
        </w:rPr>
        <w:t>第一章</w:t>
      </w:r>
      <w:bookmarkEnd w:id="0"/>
      <w:r>
        <w:rPr>
          <w:rFonts w:hint="eastAsia"/>
        </w:rPr>
        <w:t xml:space="preserve"> 比选公告</w:t>
      </w:r>
      <w:bookmarkEnd w:id="1"/>
      <w:bookmarkEnd w:id="2"/>
      <w:bookmarkEnd w:id="3"/>
      <w:bookmarkEnd w:id="4"/>
    </w:p>
    <w:p w14:paraId="7DD95EF8">
      <w:bookmarkStart w:id="5" w:name="_Toc55379218"/>
      <w:bookmarkStart w:id="6" w:name="_Toc89675127"/>
      <w:r>
        <w:t>为稳步推进财富管理产品体系的建设，向客户提供更多优质服务，计划在比选人</w:t>
      </w:r>
      <w:r>
        <w:rPr>
          <w:rFonts w:hint="eastAsia"/>
        </w:rPr>
        <w:t>“</w:t>
      </w:r>
      <w:r>
        <w:t>金融产品销售平台</w:t>
      </w:r>
      <w:r>
        <w:rPr>
          <w:rFonts w:hint="eastAsia"/>
        </w:rPr>
        <w:t>”</w:t>
      </w:r>
      <w:r>
        <w:t>基础上增加代销实物贵金属业务模块，通过手机银行</w:t>
      </w:r>
      <w:r>
        <w:rPr>
          <w:rFonts w:hint="eastAsia"/>
        </w:rPr>
        <w:t>等渠道向客户销售合作公司的</w:t>
      </w:r>
      <w:r>
        <w:t>实物贵金属</w:t>
      </w:r>
      <w:r>
        <w:rPr>
          <w:rFonts w:hint="eastAsia"/>
        </w:rPr>
        <w:t>产品</w:t>
      </w:r>
      <w:r>
        <w:t>。</w:t>
      </w:r>
      <w:r>
        <w:rPr>
          <w:rFonts w:hint="eastAsia"/>
        </w:rPr>
        <w:t>现对重庆三峡银行</w:t>
      </w:r>
      <w:r>
        <w:t>金融产品销售平台代销实物贵金属</w:t>
      </w:r>
      <w:r>
        <w:rPr>
          <w:rFonts w:hint="eastAsia"/>
        </w:rPr>
        <w:t>项目进行公开比选，</w:t>
      </w:r>
      <w:r>
        <w:t>特邀请有</w:t>
      </w:r>
      <w:bookmarkStart w:id="7" w:name="_Hlk59455120"/>
      <w:r>
        <w:t>意向</w:t>
      </w:r>
      <w:bookmarkEnd w:id="7"/>
      <w:r>
        <w:t>的潜在</w:t>
      </w:r>
      <w:r>
        <w:rPr>
          <w:rFonts w:hint="eastAsia"/>
        </w:rPr>
        <w:t>参选</w:t>
      </w:r>
      <w:r>
        <w:t>人进行</w:t>
      </w:r>
      <w:r>
        <w:rPr>
          <w:rFonts w:hint="eastAsia"/>
        </w:rPr>
        <w:t>参选</w:t>
      </w:r>
      <w:r>
        <w:t>。</w:t>
      </w:r>
    </w:p>
    <w:p w14:paraId="455E789F">
      <w:pPr>
        <w:pStyle w:val="3"/>
      </w:pPr>
      <w:r>
        <w:rPr>
          <w:rFonts w:hint="eastAsia"/>
        </w:rPr>
        <w:t>1. 比选项目内容</w:t>
      </w:r>
      <w:bookmarkEnd w:id="5"/>
      <w:bookmarkEnd w:id="6"/>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5BC4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2558A7E8">
            <w:pPr>
              <w:ind w:firstLine="0" w:firstLineChars="0"/>
              <w:jc w:val="center"/>
              <w:rPr>
                <w:rFonts w:cs="Cambria"/>
                <w:b/>
                <w:snapToGrid w:val="0"/>
                <w:kern w:val="0"/>
                <w:szCs w:val="21"/>
              </w:rPr>
            </w:pPr>
            <w:r>
              <w:rPr>
                <w:rFonts w:hint="eastAsia" w:cs="Cambria"/>
                <w:b/>
                <w:snapToGrid w:val="0"/>
                <w:kern w:val="0"/>
                <w:szCs w:val="21"/>
              </w:rPr>
              <w:t>序号</w:t>
            </w:r>
          </w:p>
        </w:tc>
        <w:tc>
          <w:tcPr>
            <w:tcW w:w="2826" w:type="dxa"/>
            <w:vAlign w:val="center"/>
          </w:tcPr>
          <w:p w14:paraId="77B6C7C4">
            <w:pPr>
              <w:ind w:firstLine="0" w:firstLineChars="0"/>
              <w:jc w:val="center"/>
              <w:rPr>
                <w:rFonts w:cs="Cambria"/>
                <w:b/>
                <w:snapToGrid w:val="0"/>
                <w:kern w:val="0"/>
                <w:szCs w:val="21"/>
              </w:rPr>
            </w:pPr>
            <w:r>
              <w:rPr>
                <w:rFonts w:hint="eastAsia" w:cs="Cambria"/>
                <w:b/>
                <w:snapToGrid w:val="0"/>
                <w:kern w:val="0"/>
                <w:szCs w:val="21"/>
              </w:rPr>
              <w:t>项目名称</w:t>
            </w:r>
          </w:p>
        </w:tc>
        <w:tc>
          <w:tcPr>
            <w:tcW w:w="1646" w:type="dxa"/>
            <w:vAlign w:val="center"/>
          </w:tcPr>
          <w:p w14:paraId="0981184C">
            <w:pPr>
              <w:ind w:firstLine="0" w:firstLineChars="0"/>
              <w:jc w:val="center"/>
              <w:rPr>
                <w:rFonts w:cs="Cambria"/>
                <w:b/>
                <w:snapToGrid w:val="0"/>
                <w:kern w:val="0"/>
                <w:szCs w:val="21"/>
              </w:rPr>
            </w:pPr>
            <w:r>
              <w:rPr>
                <w:rFonts w:hint="eastAsia" w:cs="Cambria"/>
                <w:b/>
                <w:snapToGrid w:val="0"/>
                <w:kern w:val="0"/>
                <w:szCs w:val="21"/>
              </w:rPr>
              <w:t>最高限价</w:t>
            </w:r>
          </w:p>
        </w:tc>
        <w:tc>
          <w:tcPr>
            <w:tcW w:w="1798" w:type="dxa"/>
            <w:vAlign w:val="center"/>
          </w:tcPr>
          <w:p w14:paraId="243DD391">
            <w:pPr>
              <w:ind w:firstLine="0" w:firstLineChars="0"/>
              <w:jc w:val="center"/>
              <w:rPr>
                <w:rFonts w:cs="Cambria"/>
                <w:b/>
                <w:snapToGrid w:val="0"/>
                <w:kern w:val="0"/>
                <w:szCs w:val="21"/>
              </w:rPr>
            </w:pPr>
            <w:r>
              <w:rPr>
                <w:rFonts w:hint="eastAsia" w:cs="Cambria"/>
                <w:b/>
                <w:snapToGrid w:val="0"/>
                <w:kern w:val="0"/>
                <w:szCs w:val="21"/>
              </w:rPr>
              <w:t>中选人数量</w:t>
            </w:r>
          </w:p>
        </w:tc>
        <w:tc>
          <w:tcPr>
            <w:tcW w:w="1798" w:type="dxa"/>
            <w:vAlign w:val="center"/>
          </w:tcPr>
          <w:p w14:paraId="51F229E7">
            <w:pPr>
              <w:ind w:firstLine="0" w:firstLineChars="0"/>
              <w:jc w:val="center"/>
              <w:rPr>
                <w:rFonts w:cs="Cambria"/>
                <w:b/>
                <w:snapToGrid w:val="0"/>
                <w:kern w:val="0"/>
                <w:szCs w:val="21"/>
              </w:rPr>
            </w:pPr>
            <w:r>
              <w:rPr>
                <w:rFonts w:hint="eastAsia" w:cs="Cambria"/>
                <w:b/>
                <w:snapToGrid w:val="0"/>
                <w:kern w:val="0"/>
                <w:szCs w:val="21"/>
              </w:rPr>
              <w:t>备注</w:t>
            </w:r>
          </w:p>
        </w:tc>
      </w:tr>
      <w:tr w14:paraId="23DD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47932CE2">
            <w:pPr>
              <w:ind w:firstLine="0" w:firstLineChars="0"/>
              <w:jc w:val="center"/>
              <w:rPr>
                <w:rFonts w:cs="Cambria"/>
                <w:snapToGrid w:val="0"/>
                <w:kern w:val="0"/>
                <w:szCs w:val="21"/>
              </w:rPr>
            </w:pPr>
            <w:r>
              <w:rPr>
                <w:rFonts w:hint="eastAsia" w:cs="Cambria"/>
                <w:snapToGrid w:val="0"/>
                <w:kern w:val="0"/>
                <w:szCs w:val="21"/>
              </w:rPr>
              <w:t>1</w:t>
            </w:r>
          </w:p>
        </w:tc>
        <w:tc>
          <w:tcPr>
            <w:tcW w:w="2826" w:type="dxa"/>
            <w:tcBorders>
              <w:left w:val="single" w:color="auto" w:sz="4" w:space="0"/>
            </w:tcBorders>
            <w:vAlign w:val="center"/>
          </w:tcPr>
          <w:p w14:paraId="58F11873">
            <w:pPr>
              <w:ind w:firstLine="0" w:firstLineChars="0"/>
              <w:jc w:val="center"/>
              <w:rPr>
                <w:rFonts w:cs="Cambria"/>
                <w:snapToGrid w:val="0"/>
                <w:kern w:val="0"/>
                <w:szCs w:val="21"/>
              </w:rPr>
            </w:pPr>
            <w:r>
              <w:rPr>
                <w:rFonts w:cs="Cambria"/>
                <w:snapToGrid w:val="0"/>
                <w:kern w:val="0"/>
                <w:szCs w:val="21"/>
              </w:rPr>
              <w:t>重庆三峡银行金融产品销售平台代销实物贵金属项目</w:t>
            </w:r>
          </w:p>
        </w:tc>
        <w:tc>
          <w:tcPr>
            <w:tcW w:w="1646" w:type="dxa"/>
            <w:tcBorders>
              <w:left w:val="single" w:color="auto" w:sz="4" w:space="0"/>
            </w:tcBorders>
            <w:vAlign w:val="center"/>
          </w:tcPr>
          <w:p w14:paraId="690275DC">
            <w:pPr>
              <w:ind w:firstLine="0" w:firstLineChars="0"/>
              <w:jc w:val="center"/>
              <w:rPr>
                <w:rFonts w:cs="Cambria"/>
                <w:snapToGrid w:val="0"/>
                <w:kern w:val="0"/>
                <w:szCs w:val="21"/>
              </w:rPr>
            </w:pPr>
            <w:r>
              <w:rPr>
                <w:rFonts w:cs="Cambria"/>
                <w:snapToGrid w:val="0"/>
                <w:kern w:val="0"/>
                <w:szCs w:val="21"/>
              </w:rPr>
              <w:t>50万元</w:t>
            </w:r>
          </w:p>
        </w:tc>
        <w:tc>
          <w:tcPr>
            <w:tcW w:w="1798" w:type="dxa"/>
            <w:tcBorders>
              <w:left w:val="single" w:color="auto" w:sz="4" w:space="0"/>
            </w:tcBorders>
            <w:vAlign w:val="center"/>
          </w:tcPr>
          <w:p w14:paraId="31EE85ED">
            <w:pPr>
              <w:ind w:firstLine="0" w:firstLineChars="0"/>
              <w:jc w:val="center"/>
              <w:rPr>
                <w:rFonts w:cs="Cambria"/>
                <w:snapToGrid w:val="0"/>
                <w:kern w:val="0"/>
                <w:szCs w:val="21"/>
              </w:rPr>
            </w:pPr>
            <w:r>
              <w:rPr>
                <w:rFonts w:cs="Cambria"/>
                <w:snapToGrid w:val="0"/>
                <w:kern w:val="0"/>
                <w:szCs w:val="21"/>
              </w:rPr>
              <w:t>1</w:t>
            </w:r>
          </w:p>
        </w:tc>
        <w:tc>
          <w:tcPr>
            <w:tcW w:w="1798" w:type="dxa"/>
            <w:tcBorders>
              <w:left w:val="single" w:color="auto" w:sz="4" w:space="0"/>
            </w:tcBorders>
            <w:vAlign w:val="center"/>
          </w:tcPr>
          <w:p w14:paraId="258EB41D">
            <w:pPr>
              <w:ind w:firstLine="0" w:firstLineChars="0"/>
              <w:jc w:val="center"/>
              <w:rPr>
                <w:rFonts w:cs="Cambria"/>
                <w:snapToGrid w:val="0"/>
                <w:kern w:val="0"/>
                <w:szCs w:val="21"/>
              </w:rPr>
            </w:pPr>
            <w:r>
              <w:rPr>
                <w:rFonts w:cs="Cambria"/>
                <w:snapToGrid w:val="0"/>
                <w:kern w:val="0"/>
                <w:szCs w:val="21"/>
              </w:rPr>
              <w:t>含税</w:t>
            </w:r>
          </w:p>
        </w:tc>
      </w:tr>
    </w:tbl>
    <w:p w14:paraId="009B3DE4">
      <w:pPr>
        <w:pStyle w:val="3"/>
      </w:pPr>
      <w:bookmarkStart w:id="8" w:name="_Toc297817088"/>
      <w:bookmarkStart w:id="9" w:name="_Toc89675128"/>
      <w:bookmarkStart w:id="10" w:name="_Toc469574664"/>
      <w:bookmarkStart w:id="11" w:name="_Toc288224935"/>
      <w:bookmarkStart w:id="12" w:name="_Toc55379219"/>
      <w:r>
        <w:rPr>
          <w:rFonts w:hint="eastAsia"/>
        </w:rPr>
        <w:t>2. 参选人资格要求</w:t>
      </w:r>
      <w:bookmarkEnd w:id="8"/>
      <w:bookmarkEnd w:id="9"/>
      <w:bookmarkEnd w:id="10"/>
      <w:bookmarkEnd w:id="11"/>
      <w:bookmarkEnd w:id="12"/>
    </w:p>
    <w:p w14:paraId="293BCCCD">
      <w:bookmarkStart w:id="13" w:name="_Hlk55488870"/>
      <w:r>
        <w:rPr>
          <w:rFonts w:hint="eastAsia"/>
        </w:rPr>
        <w:t>2.1 具有独立承担民事责任的能力</w:t>
      </w:r>
    </w:p>
    <w:p w14:paraId="2C579510">
      <w:r>
        <w:rPr>
          <w:rFonts w:hint="eastAsia"/>
        </w:rPr>
        <w:t>【提供参选人有效营业执照（副本）或事业单位法人证书（副本）或个体工商户营业执照或有效的自然人身份证明；参选人法定代表人身份证明和法定代表人授权委托书。】</w:t>
      </w:r>
    </w:p>
    <w:p w14:paraId="19FCF0F9">
      <w:r>
        <w:rPr>
          <w:rFonts w:hint="eastAsia"/>
        </w:rPr>
        <w:t>注：若为法定代表人（分支机构负责人）办理并签署参选文件的，不提供授权委托书。</w:t>
      </w:r>
    </w:p>
    <w:p w14:paraId="5190E14E">
      <w:r>
        <w:rPr>
          <w:rFonts w:hint="eastAsia"/>
        </w:rPr>
        <w:t>2.2 具有良好的商业信誉和健全的财务会计制度【提供书面声明】；</w:t>
      </w:r>
    </w:p>
    <w:p w14:paraId="27F07272">
      <w:r>
        <w:rPr>
          <w:rFonts w:hint="eastAsia"/>
        </w:rPr>
        <w:t>2.3 具有履行合同所必需的设备和专业技术能力【提供书面声明】；</w:t>
      </w:r>
    </w:p>
    <w:p w14:paraId="3715A793">
      <w:r>
        <w:rPr>
          <w:rFonts w:hint="eastAsia"/>
        </w:rPr>
        <w:t>2.4 有依法缴纳税收和社会保障金的良好记录【提供书面声明】；</w:t>
      </w:r>
    </w:p>
    <w:p w14:paraId="24A3A60A">
      <w:r>
        <w:rPr>
          <w:rFonts w:hint="eastAsia"/>
        </w:rPr>
        <w:t>2.5 三年内在经营活动中没有重大违法记录【提供书面声明】；</w:t>
      </w:r>
    </w:p>
    <w:p w14:paraId="56A3F759">
      <w:r>
        <w:rPr>
          <w:rFonts w:hint="eastAsia"/>
        </w:rPr>
        <w:t>2.6 法人及法定代表人没有被人民法院列为失信被执行人名单【提供中国执行信息公开网截图并加盖单位鲜章】；</w:t>
      </w:r>
    </w:p>
    <w:p w14:paraId="436C1C0F">
      <w:r>
        <w:rPr>
          <w:rFonts w:hint="eastAsia"/>
        </w:rPr>
        <w:t>2.7 本项目不允许任何形式的转包【提供书面声明】。</w:t>
      </w:r>
    </w:p>
    <w:p w14:paraId="53979885">
      <w:r>
        <w:rPr>
          <w:rFonts w:hint="eastAsia"/>
        </w:rPr>
        <w:t>2.8 本次招标不接受联合体参选。</w:t>
      </w:r>
    </w:p>
    <w:p w14:paraId="1810F39D">
      <w:r>
        <w:rPr>
          <w:rFonts w:hint="eastAsia"/>
        </w:rPr>
        <w:t xml:space="preserve">2.9 </w:t>
      </w:r>
      <w:r>
        <w:rPr>
          <w:rFonts w:hint="eastAsia" w:cs="Times New Roman"/>
          <w:bCs/>
          <w:kern w:val="0"/>
          <w:szCs w:val="21"/>
        </w:rPr>
        <w:t>2021年</w:t>
      </w:r>
      <w:r>
        <w:rPr>
          <w:rFonts w:cs="Times New Roman"/>
          <w:bCs/>
          <w:kern w:val="0"/>
          <w:szCs w:val="21"/>
        </w:rPr>
        <w:t>6</w:t>
      </w:r>
      <w:r>
        <w:rPr>
          <w:rFonts w:hint="eastAsia" w:cs="Times New Roman"/>
          <w:bCs/>
          <w:kern w:val="0"/>
          <w:szCs w:val="21"/>
        </w:rPr>
        <w:t>月至今（以合同签订时间为准）</w:t>
      </w:r>
      <w:r>
        <w:t>具有国内同</w:t>
      </w:r>
      <w:r>
        <w:rPr>
          <w:rFonts w:hint="eastAsia"/>
        </w:rPr>
        <w:t>业同</w:t>
      </w:r>
      <w:r>
        <w:t>类型相关新建或改造代销实物贵金属项目实施案例不少于5</w:t>
      </w:r>
      <w:r>
        <w:rPr>
          <w:rFonts w:hint="eastAsia"/>
        </w:rPr>
        <w:t>个</w:t>
      </w:r>
      <w:r>
        <w:t>，低于5个案例（不含5个）取消参选资质。</w:t>
      </w:r>
      <w:r>
        <w:rPr>
          <w:rFonts w:hint="eastAsia"/>
        </w:rPr>
        <w:t>【提供合同关键页、项目简介、合同对应的发票之一和网上税务系统查询</w:t>
      </w:r>
      <w:r>
        <w:t>（https://inv-veri.chinatax.gov.cn/）</w:t>
      </w:r>
      <w:r>
        <w:rPr>
          <w:rFonts w:hint="eastAsia"/>
        </w:rPr>
        <w:t>该发票的截图。</w:t>
      </w:r>
      <w:r>
        <w:rPr>
          <w:rFonts w:hint="eastAsia" w:cs="Times New Roman"/>
        </w:rPr>
        <w:t>合同关键页</w:t>
      </w:r>
      <w:r>
        <w:rPr>
          <w:rFonts w:cs="Times New Roman"/>
        </w:rPr>
        <w:t>包含：甲乙双方名称、双方印章、项目名称、合同签订时间</w:t>
      </w:r>
      <w:r>
        <w:rPr>
          <w:rFonts w:hint="eastAsia" w:cs="Times New Roman"/>
        </w:rPr>
        <w:t>、服务范围</w:t>
      </w:r>
      <w:r>
        <w:rPr>
          <w:rFonts w:hint="eastAsia"/>
        </w:rPr>
        <w:t>。发票开具日期须晚于合同签订日期、发票购买方须与合同买方一致、发票销售方须与合同卖方（参选人）一致】</w:t>
      </w:r>
    </w:p>
    <w:p w14:paraId="5070CD30">
      <w:pPr>
        <w:rPr>
          <w:rFonts w:cs="Times New Roman"/>
        </w:rPr>
      </w:pPr>
      <w:r>
        <w:rPr>
          <w:rFonts w:hint="eastAsia"/>
        </w:rPr>
        <w:t xml:space="preserve">2.10 </w:t>
      </w:r>
      <w:r>
        <w:rPr>
          <w:rFonts w:cs="Times New Roman"/>
        </w:rPr>
        <w:t>参选人注册成立时间不少于3年，且近3年财务状况稳定。</w:t>
      </w:r>
      <w:bookmarkStart w:id="14" w:name="_Hlk47356067"/>
      <w:r>
        <w:rPr>
          <w:rFonts w:cs="Times New Roman"/>
        </w:rPr>
        <w:t>且参选人须具有本次比选内容所涉及的第三方软件代理资格（含开源软件的合法授权），取得本次比选内容所涉及的第三方软件产品的原厂商授权书或确认函（</w:t>
      </w:r>
      <w:r>
        <w:rPr>
          <w:rFonts w:hint="eastAsia"/>
        </w:rPr>
        <w:t>如不涉及第三方软件，则提供未使用第三方软件产品确认函</w:t>
      </w:r>
      <w:r>
        <w:rPr>
          <w:rFonts w:cs="Times New Roman"/>
        </w:rPr>
        <w:t>）</w:t>
      </w:r>
      <w:bookmarkEnd w:id="14"/>
      <w:r>
        <w:rPr>
          <w:rFonts w:cs="Times New Roman"/>
        </w:rPr>
        <w:t>。【注册成立时间提供营业执照、财务状况提供书面声明、代理资格提供第三方软件产品的原厂商授权书或确认函】</w:t>
      </w:r>
    </w:p>
    <w:p w14:paraId="4543E469">
      <w:pPr>
        <w:rPr>
          <w:rFonts w:cs="Times New Roman"/>
        </w:rPr>
      </w:pPr>
      <w:r>
        <w:rPr>
          <w:rFonts w:hint="eastAsia"/>
        </w:rPr>
        <w:t>2.1</w:t>
      </w:r>
      <w:r>
        <w:t>1</w:t>
      </w:r>
      <w:r>
        <w:rPr>
          <w:rFonts w:hint="eastAsia"/>
        </w:rPr>
        <w:t xml:space="preserve"> </w:t>
      </w:r>
      <w:r>
        <w:rPr>
          <w:rFonts w:cs="Times New Roman"/>
        </w:rPr>
        <w:t>有ISO9001（质量管理）/ISO20000（服务管理）/ISO27001（信息安全）/ISO22301（业务连续性）体系相关认证；有CMMI5级软件成熟度相关认证；有国家高新技术企业认证。【提供</w:t>
      </w:r>
      <w:r>
        <w:rPr>
          <w:rFonts w:hint="eastAsia" w:cs="Times New Roman"/>
        </w:rPr>
        <w:t>：1、ISO相关认证材料；2、CMMI5级</w:t>
      </w:r>
      <w:r>
        <w:rPr>
          <w:rFonts w:cs="Times New Roman"/>
        </w:rPr>
        <w:t>相关认证</w:t>
      </w:r>
      <w:r>
        <w:rPr>
          <w:rFonts w:hint="eastAsia" w:cs="Times New Roman"/>
        </w:rPr>
        <w:t>材料；3、</w:t>
      </w:r>
      <w:r>
        <w:rPr>
          <w:rFonts w:cs="Times New Roman"/>
        </w:rPr>
        <w:t>国家高新技术企业认证</w:t>
      </w:r>
      <w:r>
        <w:rPr>
          <w:rFonts w:hint="eastAsia" w:cs="Times New Roman"/>
        </w:rPr>
        <w:t>材料</w:t>
      </w:r>
      <w:r>
        <w:rPr>
          <w:rFonts w:cs="Times New Roman"/>
        </w:rPr>
        <w:t>】</w:t>
      </w:r>
    </w:p>
    <w:p w14:paraId="084F7918">
      <w:r>
        <w:rPr>
          <w:rFonts w:hint="eastAsia"/>
        </w:rPr>
        <w:t>注:以上证明文件若比选人存疑，参选人需提供原件备查，参选文件中须附相关证明文件复印件并逐页加盖公章。</w:t>
      </w:r>
    </w:p>
    <w:p w14:paraId="7034F6AC">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108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2A38C4D">
            <w:pPr>
              <w:ind w:firstLine="0" w:firstLineChars="0"/>
              <w:jc w:val="center"/>
              <w:rPr>
                <w:rFonts w:cs="宋体"/>
                <w:b/>
                <w:bCs/>
                <w:szCs w:val="21"/>
              </w:rPr>
            </w:pPr>
            <w:r>
              <w:rPr>
                <w:rFonts w:hint="eastAsia" w:cs="宋体"/>
                <w:b/>
                <w:bCs/>
                <w:szCs w:val="21"/>
              </w:rPr>
              <w:t>序号</w:t>
            </w:r>
          </w:p>
        </w:tc>
        <w:tc>
          <w:tcPr>
            <w:tcW w:w="4933" w:type="dxa"/>
          </w:tcPr>
          <w:p w14:paraId="580E59E3">
            <w:pPr>
              <w:ind w:firstLine="0" w:firstLineChars="0"/>
              <w:jc w:val="center"/>
              <w:rPr>
                <w:rFonts w:cs="宋体"/>
                <w:b/>
                <w:bCs/>
                <w:szCs w:val="21"/>
              </w:rPr>
            </w:pPr>
            <w:r>
              <w:rPr>
                <w:rFonts w:hint="eastAsia" w:cs="宋体"/>
                <w:b/>
                <w:bCs/>
                <w:szCs w:val="21"/>
              </w:rPr>
              <w:t>公司</w:t>
            </w:r>
          </w:p>
        </w:tc>
      </w:tr>
      <w:tr w14:paraId="2E28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60D00B67">
            <w:pPr>
              <w:ind w:firstLine="0" w:firstLineChars="0"/>
              <w:jc w:val="center"/>
              <w:rPr>
                <w:rFonts w:cs="宋体"/>
                <w:szCs w:val="21"/>
              </w:rPr>
            </w:pPr>
            <w:r>
              <w:rPr>
                <w:rFonts w:hint="eastAsia" w:cs="宋体"/>
                <w:szCs w:val="21"/>
              </w:rPr>
              <w:t>1</w:t>
            </w:r>
          </w:p>
        </w:tc>
        <w:tc>
          <w:tcPr>
            <w:tcW w:w="4933" w:type="dxa"/>
            <w:tcBorders>
              <w:left w:val="single" w:color="auto" w:sz="4" w:space="0"/>
            </w:tcBorders>
          </w:tcPr>
          <w:p w14:paraId="3ECC62F2">
            <w:pPr>
              <w:ind w:firstLine="0" w:firstLineChars="0"/>
              <w:jc w:val="center"/>
              <w:rPr>
                <w:rFonts w:cs="宋体"/>
                <w:szCs w:val="21"/>
              </w:rPr>
            </w:pPr>
            <w:r>
              <w:rPr>
                <w:rFonts w:hint="eastAsia" w:cs="宋体"/>
                <w:szCs w:val="21"/>
              </w:rPr>
              <w:t>依米康软件技术（深圳）有限责任公司</w:t>
            </w:r>
          </w:p>
        </w:tc>
      </w:tr>
    </w:tbl>
    <w:p w14:paraId="27A0D7C1"/>
    <w:bookmarkEnd w:id="13"/>
    <w:p w14:paraId="0488DDE7">
      <w:pPr>
        <w:pStyle w:val="3"/>
      </w:pPr>
      <w:bookmarkStart w:id="15" w:name="_Toc55379220"/>
      <w:bookmarkStart w:id="16" w:name="_Toc469574667"/>
      <w:bookmarkStart w:id="17" w:name="_Toc89675130"/>
      <w:bookmarkStart w:id="18" w:name="_Toc297817090"/>
      <w:r>
        <w:rPr>
          <w:rFonts w:hint="eastAsia"/>
        </w:rPr>
        <w:t>3. 比选文件的获取</w:t>
      </w:r>
      <w:bookmarkEnd w:id="15"/>
    </w:p>
    <w:p w14:paraId="3CB4BD47">
      <w:r>
        <w:rPr>
          <w:rFonts w:hint="eastAsia"/>
        </w:rPr>
        <w:t>3.1 参选截止时间：</w:t>
      </w:r>
      <w:r>
        <w:rPr>
          <w:rFonts w:hint="eastAsia"/>
          <w:u w:val="single"/>
          <w:lang w:val="en-US" w:eastAsia="zh-CN"/>
        </w:rPr>
        <w:t>2024</w:t>
      </w:r>
      <w:r>
        <w:rPr>
          <w:rFonts w:hint="eastAsia"/>
        </w:rPr>
        <w:t>年</w:t>
      </w:r>
      <w:r>
        <w:rPr>
          <w:rFonts w:hint="eastAsia"/>
          <w:u w:val="single"/>
          <w:lang w:val="en-US" w:eastAsia="zh-CN"/>
        </w:rPr>
        <w:t>11</w:t>
      </w:r>
      <w:r>
        <w:rPr>
          <w:rFonts w:hint="eastAsia"/>
        </w:rPr>
        <w:t>月</w:t>
      </w:r>
      <w:r>
        <w:rPr>
          <w:rFonts w:hint="eastAsia"/>
          <w:u w:val="single"/>
          <w:lang w:val="en-US" w:eastAsia="zh-CN"/>
        </w:rPr>
        <w:t>27</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01EEB1F4">
      <w:r>
        <w:rPr>
          <w:rFonts w:hint="eastAsia"/>
        </w:rPr>
        <w:t>3.2 获取时间和方式：从</w:t>
      </w:r>
      <w:r>
        <w:rPr>
          <w:rFonts w:hint="eastAsia"/>
          <w:u w:val="single"/>
          <w:lang w:val="en-US" w:eastAsia="zh-CN"/>
        </w:rPr>
        <w:t>2024</w:t>
      </w:r>
      <w:r>
        <w:rPr>
          <w:rFonts w:hint="eastAsia"/>
        </w:rPr>
        <w:t>年</w:t>
      </w:r>
      <w:r>
        <w:rPr>
          <w:rFonts w:hint="eastAsia"/>
          <w:u w:val="single"/>
          <w:lang w:val="en-US" w:eastAsia="zh-CN"/>
        </w:rPr>
        <w:t>11</w:t>
      </w:r>
      <w:r>
        <w:rPr>
          <w:rFonts w:hint="eastAsia"/>
        </w:rPr>
        <w:t>月</w:t>
      </w:r>
      <w:r>
        <w:rPr>
          <w:rFonts w:hint="eastAsia"/>
          <w:u w:val="single"/>
          <w:lang w:val="en-US" w:eastAsia="zh-CN"/>
        </w:rPr>
        <w:t>12</w:t>
      </w:r>
      <w:r>
        <w:rPr>
          <w:rFonts w:hint="eastAsia"/>
        </w:rPr>
        <w:t>日到参选截止时间，在重庆市公共资源交易网（www.cqggzy.com）下载比选文件。</w:t>
      </w:r>
    </w:p>
    <w:p w14:paraId="0129D30C">
      <w:r>
        <w:rPr>
          <w:rFonts w:hint="eastAsia"/>
        </w:rPr>
        <w:t>3.3 参选人在下载比选文件后，应仔细检查比选文件的所有内容，如有残缺或文字表述不清，以及存在错、碰、漏、缺、概念模糊和有可能出现歧义或理解上的偏差的内容等应在</w:t>
      </w:r>
      <w:r>
        <w:rPr>
          <w:rFonts w:hint="eastAsia"/>
          <w:lang w:val="en-US" w:eastAsia="zh-CN"/>
        </w:rPr>
        <w:t>2024</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w:t>
      </w:r>
      <w:r>
        <w:rPr>
          <w:rFonts w:hint="eastAsia"/>
          <w:lang w:val="en-US" w:eastAsia="zh-CN"/>
        </w:rPr>
        <w:t>17</w:t>
      </w:r>
      <w:r>
        <w:rPr>
          <w:rFonts w:hint="eastAsia"/>
        </w:rPr>
        <w:t>时</w:t>
      </w:r>
      <w:r>
        <w:rPr>
          <w:rFonts w:hint="eastAsia"/>
          <w:lang w:val="en-US" w:eastAsia="zh-CN"/>
        </w:rPr>
        <w:t>00</w:t>
      </w:r>
      <w:r>
        <w:rPr>
          <w:rFonts w:hint="eastAsia"/>
        </w:rPr>
        <w:t>分（北京时间）前自行在重庆市公共资源交易网（http://www.cqggzy.com/）比选公告的“我要提问”栏目匿名提出。参选人未提出，则视为参选人已全面确认比选文件内容。</w:t>
      </w:r>
    </w:p>
    <w:p w14:paraId="795D423C">
      <w:r>
        <w:rPr>
          <w:rFonts w:hint="eastAsia"/>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2BAF9630">
      <w:pPr>
        <w:pStyle w:val="3"/>
      </w:pPr>
      <w:bookmarkStart w:id="19" w:name="_Toc55379221"/>
      <w:r>
        <w:rPr>
          <w:rFonts w:hint="eastAsia"/>
        </w:rPr>
        <w:t>4. 参选保证金的递交</w:t>
      </w:r>
      <w:bookmarkEnd w:id="16"/>
      <w:bookmarkEnd w:id="17"/>
      <w:bookmarkEnd w:id="18"/>
      <w:bookmarkEnd w:id="19"/>
    </w:p>
    <w:p w14:paraId="2428288C">
      <w:bookmarkStart w:id="20" w:name="_Toc297817091"/>
      <w:bookmarkStart w:id="21" w:name="_Toc55379222"/>
      <w:bookmarkStart w:id="22" w:name="_Toc469574668"/>
      <w:bookmarkStart w:id="23" w:name="_Toc89675131"/>
      <w:r>
        <w:rPr>
          <w:rFonts w:hint="eastAsia"/>
        </w:rPr>
        <w:t>4.1 参选保证金的金额：</w:t>
      </w:r>
      <w:r>
        <w:rPr>
          <w:b/>
          <w:bCs/>
          <w:u w:val="single"/>
        </w:rPr>
        <w:t>1万</w:t>
      </w:r>
      <w:r>
        <w:rPr>
          <w:rFonts w:hint="eastAsia"/>
          <w:b/>
          <w:bCs/>
        </w:rPr>
        <w:t>元整（大写：</w:t>
      </w:r>
      <w:r>
        <w:rPr>
          <w:b/>
          <w:bCs/>
          <w:u w:val="single"/>
        </w:rPr>
        <w:t>壹万元整</w:t>
      </w:r>
      <w:r>
        <w:rPr>
          <w:rFonts w:hint="eastAsia"/>
          <w:b/>
          <w:bCs/>
        </w:rPr>
        <w:t>）</w:t>
      </w:r>
      <w:r>
        <w:rPr>
          <w:rFonts w:hint="eastAsia"/>
        </w:rPr>
        <w:t>。</w:t>
      </w:r>
    </w:p>
    <w:p w14:paraId="48D5220A">
      <w:r>
        <w:rPr>
          <w:rFonts w:hint="eastAsia"/>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05772271">
      <w:r>
        <w:rPr>
          <w:rFonts w:hint="eastAsia"/>
          <w:b/>
          <w:bCs/>
        </w:rPr>
        <w:t>参选人必须在付款凭证备注栏中注明项目简称。可简写成：</w:t>
      </w:r>
      <w:r>
        <w:rPr>
          <w:b/>
          <w:bCs/>
          <w:u w:val="single"/>
        </w:rPr>
        <w:t>三峡银行代销实物贵金属</w:t>
      </w:r>
      <w:r>
        <w:rPr>
          <w:rFonts w:hint="eastAsia"/>
          <w:b/>
          <w:bCs/>
        </w:rPr>
        <w:t>项目。</w:t>
      </w:r>
    </w:p>
    <w:p w14:paraId="17376FAA">
      <w:r>
        <w:rPr>
          <w:rFonts w:hint="eastAsia"/>
        </w:rPr>
        <w:t>4.3 参选保证金递交的截止时间为</w:t>
      </w:r>
      <w:r>
        <w:rPr>
          <w:rFonts w:hint="eastAsia"/>
          <w:u w:val="single"/>
          <w:lang w:val="en-US" w:eastAsia="zh-CN"/>
        </w:rPr>
        <w:t>2024</w:t>
      </w:r>
      <w:r>
        <w:rPr>
          <w:rFonts w:hint="eastAsia"/>
        </w:rPr>
        <w:t>年</w:t>
      </w:r>
      <w:r>
        <w:rPr>
          <w:rFonts w:hint="eastAsia"/>
          <w:u w:val="single"/>
          <w:lang w:val="en-US" w:eastAsia="zh-CN"/>
        </w:rPr>
        <w:t>11</w:t>
      </w:r>
      <w:r>
        <w:rPr>
          <w:rFonts w:hint="eastAsia"/>
        </w:rPr>
        <w:t>月</w:t>
      </w:r>
      <w:r>
        <w:rPr>
          <w:rFonts w:hint="eastAsia"/>
          <w:u w:val="single"/>
          <w:lang w:val="en-US" w:eastAsia="zh-CN"/>
        </w:rPr>
        <w:t>27</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0FF0BC9F">
      <w:r>
        <w:rPr>
          <w:rFonts w:hint="eastAsia"/>
        </w:rPr>
        <w:t>4.</w:t>
      </w:r>
      <w:r>
        <w:t>4</w:t>
      </w:r>
      <w:r>
        <w:rPr>
          <w:rFonts w:hint="eastAsia"/>
        </w:rPr>
        <w:t xml:space="preserve"> 参选保证金专用账户如下：</w:t>
      </w:r>
    </w:p>
    <w:p w14:paraId="5E598C1A">
      <w:r>
        <w:rPr>
          <w:rFonts w:hint="eastAsia"/>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619A9EF0">
      <w:r>
        <w:rPr>
          <w:rFonts w:hint="eastAsia"/>
        </w:rPr>
        <w:t>参选保证金以重庆市公共资源交易中心比选现场展示的保证金交纳情况为准。</w:t>
      </w:r>
    </w:p>
    <w:bookmarkEnd w:id="20"/>
    <w:bookmarkEnd w:id="21"/>
    <w:bookmarkEnd w:id="22"/>
    <w:bookmarkEnd w:id="23"/>
    <w:p w14:paraId="3E9F6B4D">
      <w:pPr>
        <w:pStyle w:val="3"/>
      </w:pPr>
      <w:r>
        <w:rPr>
          <w:rFonts w:hint="eastAsia"/>
        </w:rPr>
        <w:t>5. 参选文件的递交</w:t>
      </w:r>
    </w:p>
    <w:p w14:paraId="6C9EBDF3">
      <w:bookmarkStart w:id="24" w:name="_Toc55379223"/>
      <w:bookmarkStart w:id="25" w:name="_Toc89675132"/>
      <w:bookmarkStart w:id="26" w:name="_Toc469574669"/>
      <w:r>
        <w:rPr>
          <w:rFonts w:hint="eastAsia"/>
        </w:rPr>
        <w:t>5.1 参选文件现场递交时间为</w:t>
      </w:r>
      <w:r>
        <w:rPr>
          <w:rFonts w:hint="eastAsia"/>
          <w:u w:val="single"/>
          <w:lang w:val="en-US" w:eastAsia="zh-CN"/>
        </w:rPr>
        <w:t>2024</w:t>
      </w:r>
      <w:r>
        <w:rPr>
          <w:rFonts w:hint="eastAsia"/>
        </w:rPr>
        <w:t>年</w:t>
      </w:r>
      <w:r>
        <w:rPr>
          <w:rFonts w:hint="eastAsia"/>
          <w:u w:val="single"/>
          <w:lang w:val="en-US" w:eastAsia="zh-CN"/>
        </w:rPr>
        <w:t>11</w:t>
      </w:r>
      <w:r>
        <w:rPr>
          <w:rFonts w:hint="eastAsia"/>
        </w:rPr>
        <w:t>月</w:t>
      </w:r>
      <w:r>
        <w:rPr>
          <w:rFonts w:hint="eastAsia"/>
          <w:u w:val="single"/>
          <w:lang w:val="en-US" w:eastAsia="zh-CN"/>
        </w:rPr>
        <w:t>27</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分(北京时间)至参选截止时间。</w:t>
      </w:r>
    </w:p>
    <w:p w14:paraId="1F9F56A8">
      <w:r>
        <w:rPr>
          <w:rFonts w:hint="eastAsia"/>
        </w:rPr>
        <w:t>5.2 递交地点为重庆市渝北区青枫北路6号渝兴广场B10栋重庆市公共资源交易中心开标区（具体请登录重庆市公共资源交易网（www.cqggzy.com）查询或递交文件当日见交易中心大厅电子显示屏）。</w:t>
      </w:r>
    </w:p>
    <w:p w14:paraId="241DF620">
      <w:r>
        <w:rPr>
          <w:rFonts w:hint="eastAsia"/>
        </w:rPr>
        <w:t>5.3 逾期送达的参选文件，不予接收。</w:t>
      </w:r>
    </w:p>
    <w:p w14:paraId="5C6A5D2E">
      <w:pPr>
        <w:pStyle w:val="3"/>
      </w:pPr>
      <w:r>
        <w:rPr>
          <w:rFonts w:hint="eastAsia"/>
        </w:rPr>
        <w:t>6. 发布公告的媒介</w:t>
      </w:r>
      <w:bookmarkEnd w:id="24"/>
      <w:bookmarkEnd w:id="25"/>
      <w:bookmarkEnd w:id="26"/>
    </w:p>
    <w:p w14:paraId="27A88980">
      <w:bookmarkStart w:id="27" w:name="_Toc55379224"/>
      <w:bookmarkStart w:id="28" w:name="_Toc469574670"/>
      <w:bookmarkStart w:id="29" w:name="_Toc250565211"/>
      <w:bookmarkStart w:id="30" w:name="_Toc89675133"/>
      <w:r>
        <w:rPr>
          <w:rFonts w:hint="eastAsia"/>
        </w:rPr>
        <w:t>本次比选公告同时在《重庆市公共资源交易网（www.cqggzy.com）》《重庆三峡银行官网（https://www.ccqtgb.com）》和《中国招标投标公共服务平台（http://www.cebpubservice.com）》上发布。</w:t>
      </w:r>
    </w:p>
    <w:p w14:paraId="12086FDA">
      <w:pPr>
        <w:pStyle w:val="3"/>
      </w:pPr>
      <w:r>
        <w:rPr>
          <w:rFonts w:hint="eastAsia"/>
        </w:rPr>
        <w:t>7. 联系方式</w:t>
      </w:r>
      <w:bookmarkEnd w:id="27"/>
      <w:bookmarkEnd w:id="28"/>
      <w:bookmarkEnd w:id="29"/>
      <w:bookmarkEnd w:id="30"/>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0"/>
        <w:gridCol w:w="5333"/>
      </w:tblGrid>
      <w:tr w14:paraId="03C2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41BC16D8">
            <w:pPr>
              <w:ind w:firstLine="0" w:firstLineChars="0"/>
              <w:jc w:val="left"/>
            </w:pPr>
            <w:r>
              <w:rPr>
                <w:rFonts w:hint="eastAsia"/>
              </w:rPr>
              <w:t>7.1 项目需求咨询</w:t>
            </w:r>
          </w:p>
        </w:tc>
      </w:tr>
      <w:tr w14:paraId="67A04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Borders>
              <w:top w:val="nil"/>
              <w:left w:val="single" w:color="auto" w:sz="4" w:space="0"/>
              <w:bottom w:val="nil"/>
              <w:right w:val="nil"/>
            </w:tcBorders>
          </w:tcPr>
          <w:p w14:paraId="47E473A0">
            <w:pPr>
              <w:ind w:firstLine="0" w:firstLineChars="0"/>
              <w:jc w:val="left"/>
              <w:rPr>
                <w:rFonts w:cs="宋体"/>
                <w:szCs w:val="21"/>
              </w:rPr>
            </w:pPr>
            <w:r>
              <w:rPr>
                <w:rFonts w:hint="eastAsia"/>
              </w:rPr>
              <w:t>项目联系人：王均浩</w:t>
            </w:r>
          </w:p>
        </w:tc>
        <w:tc>
          <w:tcPr>
            <w:tcW w:w="5333" w:type="dxa"/>
            <w:tcBorders>
              <w:top w:val="nil"/>
              <w:left w:val="nil"/>
              <w:bottom w:val="nil"/>
              <w:right w:val="single" w:color="auto" w:sz="4" w:space="0"/>
            </w:tcBorders>
          </w:tcPr>
          <w:p w14:paraId="53D78ECD">
            <w:pPr>
              <w:ind w:firstLine="0" w:firstLineChars="0"/>
              <w:jc w:val="left"/>
              <w:rPr>
                <w:rFonts w:cs="宋体"/>
                <w:szCs w:val="21"/>
              </w:rPr>
            </w:pPr>
            <w:r>
              <w:rPr>
                <w:rFonts w:hint="eastAsia"/>
              </w:rPr>
              <w:t>联系方式：023-88170835</w:t>
            </w:r>
          </w:p>
        </w:tc>
      </w:tr>
      <w:tr w14:paraId="2D36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E1E5C35">
            <w:pPr>
              <w:ind w:firstLine="0" w:firstLineChars="0"/>
              <w:jc w:val="left"/>
            </w:pPr>
          </w:p>
        </w:tc>
      </w:tr>
      <w:tr w14:paraId="1185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C834A1E">
            <w:pPr>
              <w:ind w:firstLine="0" w:firstLineChars="0"/>
              <w:jc w:val="left"/>
            </w:pPr>
            <w:r>
              <w:rPr>
                <w:rFonts w:hint="eastAsia"/>
              </w:rPr>
              <w:t>7.2 项目流程咨询</w:t>
            </w:r>
          </w:p>
        </w:tc>
      </w:tr>
      <w:tr w14:paraId="6831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659D413">
            <w:pPr>
              <w:ind w:firstLine="0" w:firstLineChars="0"/>
              <w:jc w:val="left"/>
            </w:pPr>
            <w:r>
              <w:rPr>
                <w:rFonts w:hint="eastAsia"/>
              </w:rPr>
              <w:t>平台服务机构：重庆联合产权交易所集团股份有限公司</w:t>
            </w:r>
          </w:p>
        </w:tc>
      </w:tr>
      <w:tr w14:paraId="73AE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Borders>
              <w:top w:val="nil"/>
              <w:left w:val="single" w:color="auto" w:sz="4" w:space="0"/>
              <w:bottom w:val="nil"/>
              <w:right w:val="nil"/>
            </w:tcBorders>
          </w:tcPr>
          <w:p w14:paraId="6603E919">
            <w:pPr>
              <w:ind w:firstLine="0" w:firstLineChars="0"/>
              <w:jc w:val="left"/>
              <w:rPr>
                <w:rFonts w:cs="宋体"/>
                <w:szCs w:val="21"/>
              </w:rPr>
            </w:pPr>
            <w:r>
              <w:rPr>
                <w:rFonts w:hint="eastAsia"/>
              </w:rPr>
              <w:t>平台联系人：罗老师</w:t>
            </w:r>
          </w:p>
        </w:tc>
        <w:tc>
          <w:tcPr>
            <w:tcW w:w="5333" w:type="dxa"/>
            <w:tcBorders>
              <w:top w:val="nil"/>
              <w:left w:val="nil"/>
              <w:bottom w:val="nil"/>
              <w:right w:val="single" w:color="auto" w:sz="4" w:space="0"/>
            </w:tcBorders>
          </w:tcPr>
          <w:p w14:paraId="28F8CE4A">
            <w:pPr>
              <w:ind w:firstLine="0" w:firstLineChars="0"/>
              <w:jc w:val="left"/>
              <w:rPr>
                <w:rFonts w:cs="宋体"/>
                <w:szCs w:val="21"/>
              </w:rPr>
            </w:pPr>
            <w:r>
              <w:rPr>
                <w:rFonts w:hint="eastAsia"/>
              </w:rPr>
              <w:t>联系方式：023-63621694</w:t>
            </w:r>
          </w:p>
        </w:tc>
      </w:tr>
      <w:tr w14:paraId="34921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A69C2A7">
            <w:pPr>
              <w:ind w:firstLine="0" w:firstLineChars="0"/>
              <w:jc w:val="left"/>
            </w:pPr>
          </w:p>
        </w:tc>
      </w:tr>
      <w:tr w14:paraId="737A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FA69823">
            <w:pPr>
              <w:ind w:firstLine="0" w:firstLineChars="0"/>
              <w:jc w:val="left"/>
            </w:pPr>
            <w:r>
              <w:rPr>
                <w:rFonts w:hint="eastAsia"/>
              </w:rPr>
              <w:t>7.3 比选人联系方式</w:t>
            </w:r>
          </w:p>
        </w:tc>
      </w:tr>
      <w:tr w14:paraId="5A8E3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Borders>
              <w:top w:val="nil"/>
              <w:left w:val="single" w:color="auto" w:sz="4" w:space="0"/>
              <w:bottom w:val="nil"/>
              <w:right w:val="nil"/>
            </w:tcBorders>
          </w:tcPr>
          <w:p w14:paraId="1825AA58">
            <w:pPr>
              <w:ind w:firstLine="0" w:firstLineChars="0"/>
              <w:jc w:val="left"/>
              <w:rPr>
                <w:rFonts w:cs="宋体"/>
                <w:szCs w:val="21"/>
              </w:rPr>
            </w:pPr>
            <w:r>
              <w:rPr>
                <w:rFonts w:hint="eastAsia"/>
              </w:rPr>
              <w:t>联系人：敬希</w:t>
            </w:r>
          </w:p>
        </w:tc>
        <w:tc>
          <w:tcPr>
            <w:tcW w:w="5333" w:type="dxa"/>
            <w:tcBorders>
              <w:top w:val="nil"/>
              <w:left w:val="nil"/>
              <w:bottom w:val="nil"/>
              <w:right w:val="single" w:color="auto" w:sz="4" w:space="0"/>
            </w:tcBorders>
          </w:tcPr>
          <w:p w14:paraId="480A9860">
            <w:pPr>
              <w:ind w:firstLine="0" w:firstLineChars="0"/>
              <w:jc w:val="left"/>
              <w:rPr>
                <w:rFonts w:cs="宋体"/>
                <w:szCs w:val="21"/>
              </w:rPr>
            </w:pPr>
            <w:r>
              <w:rPr>
                <w:rFonts w:hint="eastAsia"/>
              </w:rPr>
              <w:t>联系方式：023-88890395</w:t>
            </w:r>
          </w:p>
        </w:tc>
      </w:tr>
      <w:tr w14:paraId="453EC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26400CD6">
            <w:pPr>
              <w:ind w:firstLine="0" w:firstLineChars="0"/>
              <w:jc w:val="left"/>
            </w:pPr>
            <w:r>
              <w:rPr>
                <w:rFonts w:hint="eastAsia"/>
              </w:rPr>
              <w:t>比选人地址：重庆市渝北区嘉州路88号中渝国际都会4号写字楼21层</w:t>
            </w:r>
          </w:p>
        </w:tc>
      </w:tr>
    </w:tbl>
    <w:p w14:paraId="4549B1D6"/>
    <w:p w14:paraId="5E941FB2">
      <w:pPr>
        <w:spacing w:line="240" w:lineRule="auto"/>
        <w:ind w:firstLine="0" w:firstLineChars="0"/>
        <w:jc w:val="right"/>
        <w:rPr>
          <w:rFonts w:hint="eastAsia"/>
        </w:rPr>
      </w:pPr>
    </w:p>
    <w:p w14:paraId="06FB7CAE">
      <w:pPr>
        <w:spacing w:line="240" w:lineRule="auto"/>
        <w:ind w:firstLine="0" w:firstLineChars="0"/>
        <w:jc w:val="right"/>
      </w:pPr>
      <w:r>
        <w:rPr>
          <w:rFonts w:hint="eastAsia"/>
        </w:rPr>
        <w:t>重庆三峡银行股份有限公司</w:t>
      </w:r>
    </w:p>
    <w:p w14:paraId="1338AD53">
      <w:pPr>
        <w:jc w:val="right"/>
      </w:pPr>
      <w:r>
        <w:rPr>
          <w:rFonts w:hint="eastAsia"/>
        </w:rPr>
        <w:t>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12</w:t>
      </w:r>
      <w:bookmarkStart w:id="152" w:name="_GoBack"/>
      <w:bookmarkEnd w:id="152"/>
      <w:r>
        <w:rPr>
          <w:rFonts w:hint="eastAsia"/>
        </w:rPr>
        <w:t>日</w:t>
      </w:r>
    </w:p>
    <w:p w14:paraId="31F3CCB1">
      <w:r>
        <w:br w:type="page"/>
      </w:r>
      <w:bookmarkStart w:id="31" w:name="_Toc303066033"/>
      <w:bookmarkStart w:id="32" w:name="_Toc89675159"/>
    </w:p>
    <w:p w14:paraId="51CADD1F">
      <w:pPr>
        <w:ind w:firstLine="0" w:firstLineChars="0"/>
        <w:sectPr>
          <w:footerReference r:id="rId5" w:type="default"/>
          <w:pgSz w:w="11906" w:h="16838"/>
          <w:pgMar w:top="1440" w:right="1800" w:bottom="1440" w:left="1800" w:header="851" w:footer="992" w:gutter="0"/>
          <w:pgNumType w:start="1"/>
          <w:cols w:space="720" w:num="1"/>
          <w:docGrid w:type="lines" w:linePitch="312" w:charSpace="0"/>
        </w:sectPr>
      </w:pPr>
    </w:p>
    <w:p w14:paraId="07234F39">
      <w:pPr>
        <w:pStyle w:val="2"/>
      </w:pPr>
      <w:bookmarkStart w:id="33" w:name="_Toc8732"/>
      <w:bookmarkStart w:id="34" w:name="_Toc23347"/>
      <w:r>
        <w:rPr>
          <w:rFonts w:hint="eastAsia"/>
        </w:rPr>
        <w:t>第二章 参选人须知</w:t>
      </w:r>
      <w:bookmarkEnd w:id="31"/>
      <w:bookmarkEnd w:id="32"/>
      <w:bookmarkEnd w:id="33"/>
      <w:bookmarkEnd w:id="34"/>
    </w:p>
    <w:p w14:paraId="1C1A534D">
      <w:pPr>
        <w:pStyle w:val="3"/>
      </w:pPr>
      <w:bookmarkStart w:id="35" w:name="_Toc89675160"/>
      <w:r>
        <w:rPr>
          <w:rFonts w:hint="eastAsia"/>
        </w:rPr>
        <w:t>1. 项目信息</w:t>
      </w:r>
    </w:p>
    <w:p w14:paraId="42CA7A62">
      <w:pPr>
        <w:pStyle w:val="4"/>
      </w:pPr>
      <w:r>
        <w:rPr>
          <w:rFonts w:hint="eastAsia"/>
        </w:rPr>
        <w:t>1.1 比选人</w:t>
      </w:r>
    </w:p>
    <w:p w14:paraId="3F866DF4">
      <w:r>
        <w:t>重庆三峡银行股份有限公司</w:t>
      </w:r>
      <w:r>
        <w:rPr>
          <w:rFonts w:hint="eastAsia"/>
        </w:rPr>
        <w:t>。</w:t>
      </w:r>
    </w:p>
    <w:p w14:paraId="2DDB9ED1">
      <w:pPr>
        <w:pStyle w:val="4"/>
      </w:pPr>
      <w:r>
        <w:rPr>
          <w:rFonts w:hint="eastAsia"/>
        </w:rPr>
        <w:t>1.2 最高限价</w:t>
      </w:r>
    </w:p>
    <w:p w14:paraId="7D3F9E4F">
      <w:r>
        <w:rPr>
          <w:rFonts w:hint="eastAsia"/>
        </w:rPr>
        <w:t>本项目最高限价为：</w:t>
      </w:r>
      <w:r>
        <w:rPr>
          <w:u w:val="single"/>
        </w:rPr>
        <w:t>50万元整</w:t>
      </w:r>
      <w:r>
        <w:rPr>
          <w:rFonts w:hint="eastAsia"/>
        </w:rPr>
        <w:t>（人民币大写：</w:t>
      </w:r>
      <w:r>
        <w:rPr>
          <w:u w:val="single"/>
        </w:rPr>
        <w:t>伍拾万元整</w:t>
      </w:r>
      <w:r>
        <w:rPr>
          <w:rFonts w:hint="eastAsia"/>
        </w:rPr>
        <w:t>）</w:t>
      </w:r>
      <w:r>
        <w:t>（含税）</w:t>
      </w:r>
      <w:r>
        <w:rPr>
          <w:rFonts w:hint="eastAsia"/>
        </w:rPr>
        <w:t>。</w:t>
      </w:r>
    </w:p>
    <w:p w14:paraId="1734BD70">
      <w:pPr>
        <w:pStyle w:val="4"/>
      </w:pPr>
      <w:r>
        <w:rPr>
          <w:rFonts w:hint="eastAsia"/>
        </w:rPr>
        <w:t>1.3 项目概况</w:t>
      </w:r>
    </w:p>
    <w:bookmarkEnd w:id="35"/>
    <w:p w14:paraId="0FA96277">
      <w:bookmarkStart w:id="36" w:name="_Toc89675161"/>
      <w:r>
        <w:rPr>
          <w:rFonts w:hint="eastAsia"/>
        </w:rPr>
        <w:t>通过手机银行等对客渠道实现代理销售实物贵金属业务，代理销售准入合作贵金属公司的投资金、工艺金等贵金属产品。为实现产品的销售，特建设代销实物贵金属相关业务系统</w:t>
      </w:r>
      <w:r>
        <w:t>。</w:t>
      </w:r>
    </w:p>
    <w:p w14:paraId="6A8EE934">
      <w:pPr>
        <w:pStyle w:val="4"/>
      </w:pPr>
      <w:r>
        <w:rPr>
          <w:rFonts w:hint="eastAsia"/>
        </w:rPr>
        <w:t>1.4 项目目标</w:t>
      </w:r>
    </w:p>
    <w:p w14:paraId="41E3076C">
      <w:r>
        <w:t>为稳步推进财富管理产品体系的建设</w:t>
      </w:r>
      <w:r>
        <w:rPr>
          <w:rFonts w:hint="eastAsia"/>
        </w:rPr>
        <w:t>，向客户提供更多优质服务，计划建设代销实物贵金属业务系统，实现对合作公司的管理，产品准入上下架管理，订单管理，合作供货商门户，面向客户的前端销售功能，包括前端产品展示、购物车，订单管理，营销管理功能</w:t>
      </w:r>
      <w:r>
        <w:t>。</w:t>
      </w:r>
    </w:p>
    <w:bookmarkEnd w:id="36"/>
    <w:p w14:paraId="5A956FA5">
      <w:pPr>
        <w:pStyle w:val="3"/>
      </w:pPr>
      <w:r>
        <w:rPr>
          <w:rFonts w:hint="eastAsia"/>
        </w:rPr>
        <w:t xml:space="preserve">2. </w:t>
      </w:r>
      <w:r>
        <w:t>参选</w:t>
      </w:r>
      <w:r>
        <w:rPr>
          <w:rFonts w:hint="eastAsia"/>
        </w:rPr>
        <w:t>人</w:t>
      </w:r>
    </w:p>
    <w:p w14:paraId="3F67947F">
      <w:r>
        <w:rPr>
          <w:rFonts w:hint="eastAsia"/>
        </w:rPr>
        <w:t>2.1 合格参选人条件</w:t>
      </w:r>
    </w:p>
    <w:p w14:paraId="2B7C66ED">
      <w:r>
        <w:rPr>
          <w:rFonts w:hint="eastAsia"/>
        </w:rPr>
        <w:t>合格参选人应完全符合比选文件第一章中规定的参选人资格条件，并对比选文件作出实质性响应。</w:t>
      </w:r>
    </w:p>
    <w:p w14:paraId="13053037">
      <w:r>
        <w:rPr>
          <w:rFonts w:hint="eastAsia"/>
        </w:rPr>
        <w:t>2.2 参选人的风险</w:t>
      </w:r>
    </w:p>
    <w:p w14:paraId="5AD300BE">
      <w:r>
        <w:rPr>
          <w:rFonts w:hint="eastAsia"/>
        </w:rPr>
        <w:t>参选人没有按照比选文件要求提供全部资料，或者参选人没有对比选文件在各方面作出实质性响应，可能导致参选被拒绝或评定为无效参选。</w:t>
      </w:r>
    </w:p>
    <w:p w14:paraId="42DEE4F6">
      <w:pPr>
        <w:pStyle w:val="3"/>
      </w:pPr>
      <w:bookmarkStart w:id="37" w:name="_Toc89675162"/>
      <w:r>
        <w:rPr>
          <w:rFonts w:hint="eastAsia"/>
        </w:rPr>
        <w:t>3. 比选文件</w:t>
      </w:r>
      <w:bookmarkEnd w:id="37"/>
    </w:p>
    <w:p w14:paraId="667933F5">
      <w:r>
        <w:rPr>
          <w:rFonts w:hint="eastAsia"/>
        </w:rPr>
        <w:t>比选文件是参选人编制参选文件的依据，是评审委员会评判依据和标准。比选文件也是比选人与中选人签订合同的基础。</w:t>
      </w:r>
    </w:p>
    <w:p w14:paraId="02DB8C7B">
      <w:r>
        <w:rPr>
          <w:rFonts w:hint="eastAsia"/>
        </w:rPr>
        <w:t>本行对比选文件所作的一切有效的书面通知、修改及补充，都是比选文件不可分割的部分。</w:t>
      </w:r>
    </w:p>
    <w:p w14:paraId="106F8BC7">
      <w:pPr>
        <w:pStyle w:val="3"/>
      </w:pPr>
      <w:bookmarkStart w:id="38" w:name="_Toc89675163"/>
      <w:r>
        <w:rPr>
          <w:rFonts w:hint="eastAsia"/>
        </w:rPr>
        <w:t xml:space="preserve">4. </w:t>
      </w:r>
      <w:r>
        <w:t>参选</w:t>
      </w:r>
      <w:bookmarkEnd w:id="38"/>
    </w:p>
    <w:p w14:paraId="7E57162F">
      <w:r>
        <w:rPr>
          <w:rFonts w:hint="eastAsia"/>
        </w:rPr>
        <w:t>参选人应当按照比选文件的要求编制参选文件，并对比选文件提出的要求和条件作出实质性响应。</w:t>
      </w:r>
    </w:p>
    <w:p w14:paraId="6D59ECE5">
      <w:pPr>
        <w:pStyle w:val="4"/>
      </w:pPr>
      <w:r>
        <w:rPr>
          <w:rFonts w:hint="eastAsia"/>
        </w:rPr>
        <w:t>4.1 参选文件组成</w:t>
      </w:r>
    </w:p>
    <w:p w14:paraId="22E2775E">
      <w:r>
        <w:rPr>
          <w:rFonts w:hint="eastAsia"/>
        </w:rPr>
        <w:t>参选文件由参选人所作的一切有效补充、修改和承诺等文件组成，参选人应按照第六章“参选文件格式”规定的目录顺序组织编写和装订，否则有可能影响参选人的参选文件评审。</w:t>
      </w:r>
    </w:p>
    <w:p w14:paraId="3A040634">
      <w:pPr>
        <w:pStyle w:val="4"/>
      </w:pPr>
      <w:r>
        <w:rPr>
          <w:rFonts w:hint="eastAsia"/>
        </w:rPr>
        <w:t>4.2 联合参选</w:t>
      </w:r>
    </w:p>
    <w:p w14:paraId="07422305">
      <w:r>
        <w:rPr>
          <w:rFonts w:hint="eastAsia"/>
        </w:rPr>
        <w:t>本比选项目不接受联合参选</w:t>
      </w:r>
    </w:p>
    <w:p w14:paraId="719CD00B">
      <w:pPr>
        <w:pStyle w:val="4"/>
      </w:pPr>
      <w:r>
        <w:rPr>
          <w:rFonts w:hint="eastAsia"/>
        </w:rPr>
        <w:t>4.3 参选有效期</w:t>
      </w:r>
    </w:p>
    <w:p w14:paraId="76ABF9D3">
      <w:r>
        <w:rPr>
          <w:rFonts w:hint="eastAsia"/>
        </w:rPr>
        <w:t>参选有效期为参选截止日期后90天内。</w:t>
      </w:r>
    </w:p>
    <w:p w14:paraId="24775E71">
      <w:pPr>
        <w:pStyle w:val="4"/>
      </w:pPr>
      <w:r>
        <w:rPr>
          <w:rFonts w:hint="eastAsia"/>
        </w:rPr>
        <w:t>4.4 参选保证金</w:t>
      </w:r>
    </w:p>
    <w:p w14:paraId="327F2C41">
      <w:r>
        <w:rPr>
          <w:rFonts w:hint="eastAsia"/>
        </w:rPr>
        <w:t>4.4.1 参选人应在参选截止时间前，按比选文件第一章规定向比选人缴纳参选保证金。</w:t>
      </w:r>
    </w:p>
    <w:p w14:paraId="7E9D8F73">
      <w:r>
        <w:rPr>
          <w:rFonts w:hint="eastAsia"/>
        </w:rPr>
        <w:t>4.4.2 参选保证金为参选的有效约束条件。</w:t>
      </w:r>
    </w:p>
    <w:p w14:paraId="2E4CC4D3">
      <w:r>
        <w:rPr>
          <w:rFonts w:hint="eastAsia"/>
        </w:rPr>
        <w:t>4.4.3 参选保证金有效期与参选文件有效期一致。</w:t>
      </w:r>
    </w:p>
    <w:p w14:paraId="43E79410">
      <w:r>
        <w:rPr>
          <w:rFonts w:hint="eastAsia"/>
        </w:rPr>
        <w:t>4.4.4 参选保证金币种应与参选报价币种相同。</w:t>
      </w:r>
    </w:p>
    <w:p w14:paraId="582F2929">
      <w:r>
        <w:rPr>
          <w:rFonts w:hint="eastAsia"/>
        </w:rPr>
        <w:t>4.4.5 参选保证金的退还：</w:t>
      </w:r>
    </w:p>
    <w:p w14:paraId="7DD761F9">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5E39F449">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5DEB22AE">
      <w:r>
        <w:rPr>
          <w:rFonts w:hint="eastAsia"/>
        </w:rPr>
        <w:t>参选保证金专用账户由重庆市公共资源交易中心制定，关于保证金相关情况的问题请咨询重庆市公共资源交易中心，联系电话023-63621694。</w:t>
      </w:r>
    </w:p>
    <w:p w14:paraId="3293D410">
      <w:r>
        <w:rPr>
          <w:rFonts w:hint="eastAsia"/>
        </w:rPr>
        <w:t>4.4.6 参选人有下列情形之一的，参选保证金将不予退还：</w:t>
      </w:r>
    </w:p>
    <w:p w14:paraId="5E75188D">
      <w:r>
        <w:rPr>
          <w:rFonts w:hint="eastAsia"/>
        </w:rPr>
        <w:t>4.4.6.1 参选人在参选有效期内撤销参选文件的；</w:t>
      </w:r>
    </w:p>
    <w:p w14:paraId="1B8ED2B0">
      <w:r>
        <w:rPr>
          <w:rFonts w:hint="eastAsia"/>
        </w:rPr>
        <w:t>4.4.6.2 参选人在参选过程中弄虚作假，提供虚假材料的；</w:t>
      </w:r>
    </w:p>
    <w:p w14:paraId="5724BE98">
      <w:r>
        <w:rPr>
          <w:rFonts w:hint="eastAsia"/>
        </w:rPr>
        <w:t>4.4.6.3 中选人无正当理由不与比选人签订合同的；</w:t>
      </w:r>
    </w:p>
    <w:p w14:paraId="02B3980C">
      <w:r>
        <w:rPr>
          <w:rFonts w:hint="eastAsia"/>
        </w:rPr>
        <w:t>4.4.6.4 中选人将中选项目转让给他人或者在参选文件中未说明且未经比选单位同意，将中选项目分包给他人的；</w:t>
      </w:r>
    </w:p>
    <w:p w14:paraId="74139B62">
      <w:r>
        <w:rPr>
          <w:rFonts w:hint="eastAsia"/>
        </w:rPr>
        <w:t>4.4.6.5 中选人拒绝履行合同义务的；</w:t>
      </w:r>
    </w:p>
    <w:p w14:paraId="3F563912">
      <w:r>
        <w:rPr>
          <w:rFonts w:hint="eastAsia"/>
        </w:rPr>
        <w:t>4.4.6.6 其他严重扰乱比选程序的；</w:t>
      </w:r>
    </w:p>
    <w:p w14:paraId="79D20B8E">
      <w:pPr>
        <w:pStyle w:val="4"/>
      </w:pPr>
      <w:r>
        <w:rPr>
          <w:rFonts w:hint="eastAsia"/>
        </w:rPr>
        <w:t>4.5 参选文件的份数和签署</w:t>
      </w:r>
    </w:p>
    <w:p w14:paraId="31EC2A06">
      <w:r>
        <w:rPr>
          <w:rFonts w:hint="eastAsia"/>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29886754">
      <w:r>
        <w:rPr>
          <w:rFonts w:hint="eastAsia"/>
        </w:rPr>
        <w:t>4.5.2 参选文件正本中，每一页均应由参选人加盖公章，其中规定格式的文件应当按要求签名和加盖参选人公章。</w:t>
      </w:r>
    </w:p>
    <w:p w14:paraId="1403AAA7">
      <w:r>
        <w:rPr>
          <w:rFonts w:hint="eastAsia"/>
        </w:rPr>
        <w:t>4.5.3 若参选人对参选文件的错处作必要修改，则应在修改处加盖参选人公章或由法人或法人授权代表签字确认。</w:t>
      </w:r>
    </w:p>
    <w:p w14:paraId="40452411">
      <w:r>
        <w:rPr>
          <w:rFonts w:hint="eastAsia"/>
        </w:rPr>
        <w:t>4.5.4 电报、电话、邮寄、传真形式的参选文件概不接受。</w:t>
      </w:r>
    </w:p>
    <w:p w14:paraId="6A211BB6">
      <w:pPr>
        <w:pStyle w:val="4"/>
      </w:pPr>
      <w:r>
        <w:rPr>
          <w:rFonts w:hint="eastAsia"/>
        </w:rPr>
        <w:t>4.6 参选文件的密封与标记</w:t>
      </w:r>
    </w:p>
    <w:p w14:paraId="432CB830">
      <w:r>
        <w:rPr>
          <w:rFonts w:hint="eastAsia"/>
        </w:rPr>
        <w:t>参选文件的正本、副本、电子文件装入一个文件大袋进行密封。密封袋上注明项目名称、参选人名称及“不准提前启封”字样。信封的封口须加盖参选人公章或授权代表签字。</w:t>
      </w:r>
    </w:p>
    <w:p w14:paraId="639BC78E">
      <w:r>
        <w:rPr>
          <w:rFonts w:hint="eastAsia"/>
        </w:rPr>
        <w:t>如果未按上述规定进行密封和标记，则其参选将作为无效参选处理。</w:t>
      </w:r>
    </w:p>
    <w:p w14:paraId="676264AD">
      <w:pPr>
        <w:pStyle w:val="4"/>
      </w:pPr>
      <w:r>
        <w:rPr>
          <w:rFonts w:hint="eastAsia"/>
        </w:rPr>
        <w:t>4.7 参选报价</w:t>
      </w:r>
    </w:p>
    <w:p w14:paraId="38C702BF">
      <w:r>
        <w:rPr>
          <w:rFonts w:hint="eastAsia"/>
        </w:rPr>
        <w:t>4.7.1 参选人应严格按照“参选文件格式”填写报价。</w:t>
      </w:r>
    </w:p>
    <w:p w14:paraId="420583B0">
      <w:r>
        <w:rPr>
          <w:rFonts w:hint="eastAsia"/>
        </w:rPr>
        <w:t>4.7.2 参选人的报价为一次性报价，即在参选有效期内参选价格固定不变。</w:t>
      </w:r>
    </w:p>
    <w:p w14:paraId="1D286708">
      <w:r>
        <w:rPr>
          <w:rFonts w:hint="eastAsia"/>
        </w:rPr>
        <w:t>4.7.3 本项目只接受一个参选报价，有选择的或有条件的参选将不予接受。</w:t>
      </w:r>
    </w:p>
    <w:p w14:paraId="3953FB96">
      <w:r>
        <w:rPr>
          <w:rFonts w:hint="eastAsia"/>
        </w:rPr>
        <w:t>4.7.4 参选报价不得高于最高限价。</w:t>
      </w:r>
    </w:p>
    <w:p w14:paraId="6E8EE2C6">
      <w:pPr>
        <w:pStyle w:val="4"/>
      </w:pPr>
      <w:r>
        <w:rPr>
          <w:rFonts w:hint="eastAsia"/>
        </w:rPr>
        <w:t>4.8 修正错误</w:t>
      </w:r>
    </w:p>
    <w:p w14:paraId="2C425785">
      <w:r>
        <w:rPr>
          <w:rFonts w:hint="eastAsia"/>
        </w:rPr>
        <w:t>若参选文件出现计算或表达上的错误，修正错误的原则如下：</w:t>
      </w:r>
    </w:p>
    <w:p w14:paraId="1C65BD0C">
      <w:r>
        <w:rPr>
          <w:rFonts w:hint="eastAsia"/>
        </w:rPr>
        <w:t>4.8.1 参选文件的大写金额和小写金额不一致的，以大写金额为准；</w:t>
      </w:r>
    </w:p>
    <w:p w14:paraId="214FE2BE">
      <w:r>
        <w:rPr>
          <w:rFonts w:hint="eastAsia"/>
        </w:rPr>
        <w:t>4.8.2 总价金额与按单价汇总金额不一致的，以单价金额计算结果为准；</w:t>
      </w:r>
    </w:p>
    <w:p w14:paraId="25D871CA">
      <w:r>
        <w:rPr>
          <w:rFonts w:hint="eastAsia"/>
        </w:rPr>
        <w:t>4.8.3 单价金额小数点有明显错位的，应以总价为准，并修正单价；</w:t>
      </w:r>
    </w:p>
    <w:p w14:paraId="148F91DE">
      <w:r>
        <w:rPr>
          <w:rFonts w:hint="eastAsia"/>
        </w:rPr>
        <w:t>4.8.4 对不同文字文本参选文件的解释发生异议的，以中文文本为准。</w:t>
      </w:r>
    </w:p>
    <w:p w14:paraId="3CCA003A">
      <w:r>
        <w:rPr>
          <w:rFonts w:hint="eastAsia"/>
        </w:rPr>
        <w:t>4.8.5 含税金额与不含税金额不一致的，以含税金额为准。</w:t>
      </w:r>
    </w:p>
    <w:p w14:paraId="2A1340E2">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5D6C2799">
      <w:pPr>
        <w:pStyle w:val="3"/>
      </w:pPr>
      <w:bookmarkStart w:id="39" w:name="_Toc89675166"/>
      <w:r>
        <w:rPr>
          <w:rFonts w:hint="eastAsia"/>
        </w:rPr>
        <w:t>5. 比选程序</w:t>
      </w:r>
    </w:p>
    <w:p w14:paraId="21862032">
      <w:r>
        <w:rPr>
          <w:rFonts w:hint="eastAsia"/>
        </w:rPr>
        <w:t>主持人按下列程序进行比选：</w:t>
      </w:r>
    </w:p>
    <w:p w14:paraId="0BDAC575">
      <w:r>
        <w:rPr>
          <w:rFonts w:hint="eastAsia"/>
        </w:rPr>
        <w:t>5.1 宣布比选纪律；</w:t>
      </w:r>
    </w:p>
    <w:p w14:paraId="69D1972B">
      <w:r>
        <w:rPr>
          <w:rFonts w:hint="eastAsia"/>
        </w:rPr>
        <w:t>5.2 宣布比选人、唱标人、记录人、监督人等有关人员姓名；</w:t>
      </w:r>
    </w:p>
    <w:p w14:paraId="5C772689">
      <w:r>
        <w:rPr>
          <w:rFonts w:hint="eastAsia"/>
        </w:rPr>
        <w:t>5.3 公布在参选截止时间前递交参选文件的参选人名称，并点名确认参选人是否派人到场；</w:t>
      </w:r>
    </w:p>
    <w:p w14:paraId="6495702D">
      <w:r>
        <w:rPr>
          <w:rFonts w:hint="eastAsia"/>
        </w:rPr>
        <w:t>5.4 展示参选保证金，参选保证金缴款不全或有误的，则记录在案交由评审委员会评审；</w:t>
      </w:r>
    </w:p>
    <w:p w14:paraId="0EBA3978">
      <w:r>
        <w:rPr>
          <w:rFonts w:hint="eastAsia"/>
        </w:rPr>
        <w:t>5.5 封装情况检查：参选人或者其推选的代表检查各参选文件的封装情况并确认；</w:t>
      </w:r>
    </w:p>
    <w:p w14:paraId="51811F19">
      <w:r>
        <w:rPr>
          <w:rFonts w:hint="eastAsia"/>
        </w:rPr>
        <w:t>5.6 设有最高限价的，公布最高限价；</w:t>
      </w:r>
    </w:p>
    <w:p w14:paraId="6950AC3C">
      <w:r>
        <w:rPr>
          <w:rFonts w:hint="eastAsia"/>
        </w:rPr>
        <w:t>5.7 开启参选文件；</w:t>
      </w:r>
    </w:p>
    <w:p w14:paraId="6DDE17BF">
      <w:r>
        <w:rPr>
          <w:rFonts w:hint="eastAsia"/>
        </w:rPr>
        <w:t>5.8 比选人代表、参选人代表、监督人、记录人等有关人员在比选记录上签字确认；</w:t>
      </w:r>
    </w:p>
    <w:p w14:paraId="2BBB2E46">
      <w:r>
        <w:rPr>
          <w:rFonts w:hint="eastAsia"/>
        </w:rPr>
        <w:t>5.9 比选结束。</w:t>
      </w:r>
    </w:p>
    <w:p w14:paraId="3C6F052C">
      <w:pPr>
        <w:pStyle w:val="3"/>
      </w:pPr>
      <w:r>
        <w:rPr>
          <w:rFonts w:hint="eastAsia"/>
        </w:rPr>
        <w:t>6. 评审</w:t>
      </w:r>
    </w:p>
    <w:p w14:paraId="25EBA4D3">
      <w:r>
        <w:rPr>
          <w:rFonts w:hint="eastAsia"/>
        </w:rPr>
        <w:t>见第四章内容。</w:t>
      </w:r>
    </w:p>
    <w:p w14:paraId="4DA7F7C6">
      <w:pPr>
        <w:pStyle w:val="3"/>
      </w:pPr>
      <w:r>
        <w:rPr>
          <w:rFonts w:hint="eastAsia"/>
        </w:rPr>
        <w:t>7. 定</w:t>
      </w:r>
      <w:r>
        <w:t>选</w:t>
      </w:r>
      <w:bookmarkEnd w:id="39"/>
    </w:p>
    <w:p w14:paraId="6A843084">
      <w:r>
        <w:rPr>
          <w:rFonts w:hint="eastAsia"/>
        </w:rPr>
        <w:t>7.1 定选原则</w:t>
      </w:r>
    </w:p>
    <w:p w14:paraId="7AA09D90">
      <w:r>
        <w:rPr>
          <w:rFonts w:hint="eastAsia"/>
        </w:rPr>
        <w:t>比选人按照评审报告中推荐的中选候选人排名顺序确定中选人，如中选人因不可抗力或者自身原因不能履行合同的，比选人可以确定依次其后的候选人为中选人，以此类推。</w:t>
      </w:r>
    </w:p>
    <w:p w14:paraId="24678159">
      <w:r>
        <w:rPr>
          <w:rFonts w:hint="eastAsia"/>
        </w:rPr>
        <w:t>7.2 不承诺最低价格中选。</w:t>
      </w:r>
    </w:p>
    <w:p w14:paraId="28F9D7A0">
      <w:r>
        <w:rPr>
          <w:rFonts w:hint="eastAsia"/>
        </w:rPr>
        <w:t>7.3 若中选人参选材料出现造假、不实等与实际查询结果不符或无故弃选的情况，比选人有权选择重新比选或顺延下一中选候选人，由此带来的损失比选人有权通过没收参选保证金等方式进行追溯。</w:t>
      </w:r>
    </w:p>
    <w:p w14:paraId="476EF26C">
      <w:pPr>
        <w:pStyle w:val="3"/>
      </w:pPr>
      <w:bookmarkStart w:id="40" w:name="_Toc89675168"/>
      <w:bookmarkStart w:id="41" w:name="_Toc12245"/>
      <w:r>
        <w:rPr>
          <w:rFonts w:hint="eastAsia"/>
        </w:rPr>
        <w:t>8. 签订合同</w:t>
      </w:r>
      <w:bookmarkEnd w:id="40"/>
      <w:bookmarkEnd w:id="41"/>
    </w:p>
    <w:p w14:paraId="464B88FB">
      <w:r>
        <w:rPr>
          <w:rFonts w:hint="eastAsia"/>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781958EF">
      <w:r>
        <w:rPr>
          <w:rFonts w:hint="eastAsia"/>
        </w:rPr>
        <w:t>8.2 比选文件、中选人的参选文件及澄清文件等，均为签订合同的依据。</w:t>
      </w:r>
    </w:p>
    <w:p w14:paraId="1AFA1D1B">
      <w:r>
        <w:rPr>
          <w:rFonts w:hint="eastAsia"/>
        </w:rPr>
        <w:t>8.3 合同生效条款由供需双方约定，法律、行政法规规定应当办理批准、登记等手续后生效的合同，依照其规定。</w:t>
      </w:r>
    </w:p>
    <w:p w14:paraId="03F09483">
      <w:r>
        <w:rPr>
          <w:rFonts w:hint="eastAsia"/>
        </w:rPr>
        <w:t>8.4 签订合同前后，若中选人无法按要求履约，比选人可以废除中选人资格，并可选择按照中选候选人顺位与下一候选人签订合同。</w:t>
      </w:r>
    </w:p>
    <w:p w14:paraId="37D3013D">
      <w:r>
        <w:rPr>
          <w:rFonts w:hint="eastAsia"/>
        </w:rPr>
        <w:t>8.5 该项目不允许任何形式的转包。</w:t>
      </w:r>
    </w:p>
    <w:p w14:paraId="742B3BEF">
      <w:pPr>
        <w:pStyle w:val="3"/>
      </w:pPr>
      <w:r>
        <w:rPr>
          <w:rFonts w:hint="eastAsia"/>
        </w:rPr>
        <w:t>9. 纪律与要求</w:t>
      </w:r>
    </w:p>
    <w:p w14:paraId="3BA281B6">
      <w:r>
        <w:rPr>
          <w:rFonts w:hint="eastAsia"/>
        </w:rPr>
        <w:t>参选人不得相互串通参选或者与比选人串通参选，不得向比选人行贿谋取中选，不得以他人名义参选或者以其他方式弄虚作假骗取中选；参选人不得以任何方式干扰、影响评审工作。</w:t>
      </w:r>
    </w:p>
    <w:p w14:paraId="7FCBD854">
      <w:r>
        <w:rPr>
          <w:rFonts w:hint="eastAsia"/>
        </w:rPr>
        <w:t>9.1 有下列情形之一的，属于参选人相互串通参选：</w:t>
      </w:r>
    </w:p>
    <w:p w14:paraId="3E333AF3">
      <w:r>
        <w:rPr>
          <w:rFonts w:hint="eastAsia"/>
        </w:rPr>
        <w:t>9.1.1 参选人之间协商参选报价等参选文件的实质性内容；</w:t>
      </w:r>
    </w:p>
    <w:p w14:paraId="680DA824">
      <w:r>
        <w:rPr>
          <w:rFonts w:hint="eastAsia"/>
        </w:rPr>
        <w:t>9.1.2 参选人之间约定中选人；</w:t>
      </w:r>
    </w:p>
    <w:p w14:paraId="5A28B4F6">
      <w:r>
        <w:rPr>
          <w:rFonts w:hint="eastAsia"/>
        </w:rPr>
        <w:t>9.1.3 参选人之间约定部分参选人放弃参选或者中选；</w:t>
      </w:r>
    </w:p>
    <w:p w14:paraId="492E7F9D">
      <w:r>
        <w:rPr>
          <w:rFonts w:hint="eastAsia"/>
        </w:rPr>
        <w:t>9.1.4 属于同一集团、协会、商会等组织成员的参选人按照该组织要求协同参选；</w:t>
      </w:r>
    </w:p>
    <w:p w14:paraId="19421238">
      <w:r>
        <w:rPr>
          <w:rFonts w:hint="eastAsia"/>
        </w:rPr>
        <w:t>9.1.5 参选人之间为谋取中选或者排斥特定参选人而采取的其他联合行动。</w:t>
      </w:r>
    </w:p>
    <w:p w14:paraId="1564458F">
      <w:r>
        <w:rPr>
          <w:rFonts w:hint="eastAsia"/>
        </w:rPr>
        <w:t>9.2 有下列情形之一的，视为参选人相互串通参选：</w:t>
      </w:r>
    </w:p>
    <w:p w14:paraId="7042E87F">
      <w:r>
        <w:rPr>
          <w:rFonts w:hint="eastAsia"/>
        </w:rPr>
        <w:t>9.2.1 不同参选人的参选文件由同一单位或者个人编制；</w:t>
      </w:r>
    </w:p>
    <w:p w14:paraId="7E0850D1">
      <w:r>
        <w:rPr>
          <w:rFonts w:hint="eastAsia"/>
        </w:rPr>
        <w:t>9.2.2 不同参选人委托同一单位或者个人办理参选事宜；</w:t>
      </w:r>
    </w:p>
    <w:p w14:paraId="50C116DD">
      <w:r>
        <w:rPr>
          <w:rFonts w:hint="eastAsia"/>
        </w:rPr>
        <w:t>9.2.3 不同参选人的参选文件载明的项目管理成员为同一人；</w:t>
      </w:r>
    </w:p>
    <w:p w14:paraId="28F3F8B8">
      <w:r>
        <w:rPr>
          <w:rFonts w:hint="eastAsia"/>
        </w:rPr>
        <w:t>9.2.4 不同参选人的参选文件相互混装；</w:t>
      </w:r>
    </w:p>
    <w:p w14:paraId="0BA52A1F">
      <w:r>
        <w:rPr>
          <w:rFonts w:hint="eastAsia"/>
        </w:rPr>
        <w:t>9.2.5 不同参选人的参选保证金从同一单位或者个人的账户转出。</w:t>
      </w:r>
    </w:p>
    <w:p w14:paraId="55321417">
      <w:r>
        <w:rPr>
          <w:rFonts w:hint="eastAsia"/>
        </w:rPr>
        <w:t>9.3 使用通过受让或者租借等方式获取的资格、资质证书参选的，属于以他人名义参选。</w:t>
      </w:r>
    </w:p>
    <w:p w14:paraId="4AD6B230">
      <w:r>
        <w:rPr>
          <w:rFonts w:hint="eastAsia"/>
        </w:rPr>
        <w:t>9.4 参选人有下列情形之一的，属于弄虚作假的行为：</w:t>
      </w:r>
    </w:p>
    <w:p w14:paraId="302A0799">
      <w:r>
        <w:rPr>
          <w:rFonts w:hint="eastAsia"/>
        </w:rPr>
        <w:t>9.4.1 使用伪造、变造的许可证件；</w:t>
      </w:r>
    </w:p>
    <w:p w14:paraId="0C694B34">
      <w:r>
        <w:rPr>
          <w:rFonts w:hint="eastAsia"/>
        </w:rPr>
        <w:t>9.4.2 提供虚假的财务状况或者虚假业绩；</w:t>
      </w:r>
    </w:p>
    <w:p w14:paraId="0BB99D8C">
      <w:r>
        <w:rPr>
          <w:rFonts w:hint="eastAsia"/>
        </w:rPr>
        <w:t>9.4.3 提供虚假的项目负责人或者主要技术人员简历、劳动关系证明；</w:t>
      </w:r>
    </w:p>
    <w:p w14:paraId="51BFC05D">
      <w:r>
        <w:rPr>
          <w:rFonts w:hint="eastAsia"/>
        </w:rPr>
        <w:t>9.4.4 提供虚假的信用状况；</w:t>
      </w:r>
    </w:p>
    <w:p w14:paraId="45AC937D">
      <w:r>
        <w:rPr>
          <w:rFonts w:hint="eastAsia"/>
        </w:rPr>
        <w:t>9.4.5 其它弄虚作假的行为。</w:t>
      </w:r>
    </w:p>
    <w:p w14:paraId="4DC0FF3F">
      <w:r>
        <w:rPr>
          <w:rFonts w:hint="eastAsia"/>
        </w:rPr>
        <w:t>针对以上情况，比选人有权没收参选人的参选保证金，并保留进一步追究由此带来损失的权利。</w:t>
      </w:r>
    </w:p>
    <w:p w14:paraId="68123379">
      <w:pPr>
        <w:pStyle w:val="3"/>
      </w:pPr>
      <w:bookmarkStart w:id="42" w:name="_Toc89675169"/>
      <w:r>
        <w:rPr>
          <w:rFonts w:hint="eastAsia"/>
        </w:rPr>
        <w:t>10. 提问、质疑、投诉</w:t>
      </w:r>
    </w:p>
    <w:p w14:paraId="700628DF">
      <w:r>
        <w:rPr>
          <w:rFonts w:hint="eastAsia"/>
        </w:rPr>
        <w:t>10.1 补遗内容可能影响参选文件编制的，须在参选截止时间3日前发布，发布时间至参选截止时间不足3日的，须相应延后参选截止时间。</w:t>
      </w:r>
    </w:p>
    <w:p w14:paraId="368859D8">
      <w:r>
        <w:rPr>
          <w:rFonts w:hint="eastAsia"/>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220789EE">
      <w:r>
        <w:rPr>
          <w:rFonts w:hint="eastAsia"/>
        </w:rPr>
        <w:t>10.3 参选人对公示的中选结果有质疑，参选人需在公示期内以书面形式向比选人提出质疑。比选人认为有必要对参选人所提质疑进行答复时，将以书面形式进行答复。</w:t>
      </w:r>
    </w:p>
    <w:p w14:paraId="4FC11158">
      <w:r>
        <w:rPr>
          <w:rFonts w:hint="eastAsia"/>
        </w:rPr>
        <w:t>10.4 参选人对比选人的答复不满意或者有质疑，可向本行纪检监察部投诉。</w:t>
      </w:r>
    </w:p>
    <w:p w14:paraId="7886688F">
      <w:r>
        <w:rPr>
          <w:rFonts w:hint="eastAsia"/>
        </w:rPr>
        <w:t>采购质疑邮箱：</w:t>
      </w:r>
      <w:r>
        <w:t>sx.jcb@ccqtgb.com</w:t>
      </w:r>
    </w:p>
    <w:p w14:paraId="4950E457">
      <w:r>
        <w:rPr>
          <w:rFonts w:hint="eastAsia"/>
        </w:rPr>
        <w:t>采购投诉邮箱：</w:t>
      </w:r>
      <w:bookmarkStart w:id="43" w:name="_Hlk74215856"/>
      <w:r>
        <w:rPr>
          <w:rFonts w:hint="eastAsia" w:ascii="宋体"/>
          <w:snapToGrid w:val="0"/>
          <w:kern w:val="0"/>
          <w:szCs w:val="24"/>
        </w:rPr>
        <w:t>sxyhjjz@</w:t>
      </w:r>
      <w:r>
        <w:rPr>
          <w:rFonts w:ascii="宋体"/>
          <w:snapToGrid w:val="0"/>
          <w:kern w:val="0"/>
          <w:szCs w:val="24"/>
        </w:rPr>
        <w:t>ccqtgb</w:t>
      </w:r>
      <w:r>
        <w:rPr>
          <w:rFonts w:hint="eastAsia" w:ascii="宋体"/>
          <w:snapToGrid w:val="0"/>
          <w:kern w:val="0"/>
          <w:szCs w:val="24"/>
        </w:rPr>
        <w:t>.com</w:t>
      </w:r>
      <w:bookmarkEnd w:id="43"/>
    </w:p>
    <w:p w14:paraId="7E4CBD37">
      <w:pPr>
        <w:pStyle w:val="3"/>
      </w:pPr>
      <w:bookmarkStart w:id="44" w:name="_Toc275199618"/>
      <w:bookmarkStart w:id="45" w:name="_Toc15059431"/>
      <w:bookmarkStart w:id="46" w:name="_Toc11439"/>
      <w:bookmarkStart w:id="47" w:name="_Toc89675157"/>
      <w:bookmarkStart w:id="48" w:name="_Toc440628924"/>
      <w:r>
        <w:rPr>
          <w:rFonts w:hint="eastAsia"/>
        </w:rPr>
        <w:t>11. 无效参选条款</w:t>
      </w:r>
      <w:bookmarkEnd w:id="44"/>
      <w:bookmarkEnd w:id="45"/>
      <w:bookmarkEnd w:id="46"/>
      <w:bookmarkEnd w:id="47"/>
      <w:bookmarkEnd w:id="48"/>
    </w:p>
    <w:p w14:paraId="031D0B76">
      <w:r>
        <w:rPr>
          <w:rFonts w:hint="eastAsia"/>
        </w:rPr>
        <w:t>参选人或其参选文件出现下列情况之一者，应为无效参选：</w:t>
      </w:r>
    </w:p>
    <w:p w14:paraId="07039B1E">
      <w:r>
        <w:rPr>
          <w:rFonts w:hint="eastAsia"/>
        </w:rPr>
        <w:t xml:space="preserve">11.1 </w:t>
      </w:r>
      <w:r>
        <w:t>参选人未按比选文件规定提交足额参选保证金的</w:t>
      </w:r>
      <w:r>
        <w:rPr>
          <w:rFonts w:hint="eastAsia"/>
        </w:rPr>
        <w:t>。</w:t>
      </w:r>
    </w:p>
    <w:p w14:paraId="44166EC6">
      <w:r>
        <w:rPr>
          <w:rFonts w:hint="eastAsia"/>
        </w:rPr>
        <w:t xml:space="preserve">11.2 </w:t>
      </w:r>
      <w:r>
        <w:t>参选人未通过资格性检查，参选文件未通过符合性检查或参选文件经证实存在弄虚作假的</w:t>
      </w:r>
      <w:r>
        <w:rPr>
          <w:rFonts w:hint="eastAsia"/>
        </w:rPr>
        <w:t>。</w:t>
      </w:r>
    </w:p>
    <w:p w14:paraId="69FD2950">
      <w:r>
        <w:rPr>
          <w:rFonts w:hint="eastAsia"/>
        </w:rPr>
        <w:t>11.3 参选人超出其营业执照或事业单位法人证书上经营范围（业务范围）参选的。</w:t>
      </w:r>
    </w:p>
    <w:p w14:paraId="16E8F777">
      <w:r>
        <w:rPr>
          <w:rFonts w:hint="eastAsia"/>
        </w:rPr>
        <w:t>11.4 单位负责人为同一人或者存在直接控股、管理关系的不同参选人，不得参加同一合同项下的采购活动。</w:t>
      </w:r>
    </w:p>
    <w:p w14:paraId="5D22E6B0">
      <w:r>
        <w:rPr>
          <w:rFonts w:hint="eastAsia"/>
        </w:rPr>
        <w:t xml:space="preserve">11.5 </w:t>
      </w:r>
      <w:r>
        <w:t>同一分包的软件，制造商参与参选，再委托代理商参与参选的</w:t>
      </w:r>
      <w:r>
        <w:rPr>
          <w:rFonts w:hint="eastAsia"/>
        </w:rPr>
        <w:t>。</w:t>
      </w:r>
    </w:p>
    <w:p w14:paraId="606E35C9">
      <w:r>
        <w:rPr>
          <w:rFonts w:hint="eastAsia"/>
        </w:rPr>
        <w:t xml:space="preserve">11.6 </w:t>
      </w:r>
      <w:r>
        <w:t>参选文件不满足比选文件第</w:t>
      </w:r>
      <w:r>
        <w:rPr>
          <w:rFonts w:hint="eastAsia"/>
        </w:rPr>
        <w:t>六</w:t>
      </w:r>
      <w:r>
        <w:t>章参选文件格式中所规定签字、盖章的</w:t>
      </w:r>
      <w:r>
        <w:rPr>
          <w:rFonts w:hint="eastAsia"/>
        </w:rPr>
        <w:t>。</w:t>
      </w:r>
    </w:p>
    <w:p w14:paraId="363BFA7E">
      <w:r>
        <w:rPr>
          <w:rFonts w:hint="eastAsia"/>
        </w:rPr>
        <w:t xml:space="preserve">11.7 </w:t>
      </w:r>
      <w:r>
        <w:t>参选文件出现多个参选方案或参选报价的</w:t>
      </w:r>
      <w:r>
        <w:rPr>
          <w:rFonts w:hint="eastAsia"/>
        </w:rPr>
        <w:t>。</w:t>
      </w:r>
    </w:p>
    <w:p w14:paraId="2835913A">
      <w:r>
        <w:rPr>
          <w:rFonts w:hint="eastAsia"/>
        </w:rPr>
        <w:t xml:space="preserve">11.8 </w:t>
      </w:r>
      <w:r>
        <w:t>参选报价超出最高限价的</w:t>
      </w:r>
      <w:r>
        <w:rPr>
          <w:rFonts w:hint="eastAsia"/>
        </w:rPr>
        <w:t>。</w:t>
      </w:r>
    </w:p>
    <w:p w14:paraId="2CEB9F32">
      <w:r>
        <w:rPr>
          <w:rFonts w:hint="eastAsia"/>
        </w:rPr>
        <w:t xml:space="preserve">11.9 </w:t>
      </w:r>
      <w:r>
        <w:t>参选文件含有违反国家法律、法规的内容，或附有比选人不能接受的条件的。</w:t>
      </w:r>
    </w:p>
    <w:p w14:paraId="4E571106">
      <w:r>
        <w:rPr>
          <w:rFonts w:hint="eastAsia"/>
        </w:rPr>
        <w:t>11.10 出现影响比选公正的违法、违规行为的。</w:t>
      </w:r>
    </w:p>
    <w:p w14:paraId="1C6D2A1C">
      <w:r>
        <w:rPr>
          <w:rFonts w:hint="eastAsia"/>
        </w:rPr>
        <w:t>11.11 与比选人、评审专家、其他参选人恶意串通。</w:t>
      </w:r>
    </w:p>
    <w:p w14:paraId="6E2852BF">
      <w:r>
        <w:rPr>
          <w:rFonts w:hint="eastAsia"/>
        </w:rPr>
        <w:t>11.12 参选法人发生合并、分立、破产等重大变化后，不再具备比选要求的资格条件的。</w:t>
      </w:r>
    </w:p>
    <w:p w14:paraId="06B0B50D">
      <w:r>
        <w:rPr>
          <w:rFonts w:hint="eastAsia"/>
        </w:rPr>
        <w:t>11.13 提供虚假材料谋取中选资格的。</w:t>
      </w:r>
    </w:p>
    <w:p w14:paraId="75D9DC5F">
      <w:r>
        <w:rPr>
          <w:rFonts w:hint="eastAsia"/>
        </w:rPr>
        <w:t>11.14 参选文件含有比选人不能接受的附件条件的。</w:t>
      </w:r>
    </w:p>
    <w:p w14:paraId="3BB2684F">
      <w:pPr>
        <w:pStyle w:val="3"/>
        <w:rPr>
          <w:rFonts w:hint="eastAsia" w:ascii="宋体" w:hAnsi="宋体"/>
        </w:rPr>
      </w:pPr>
      <w:r>
        <w:rPr>
          <w:rFonts w:hint="eastAsia" w:ascii="宋体" w:hAnsi="宋体"/>
        </w:rPr>
        <w:t>12. 比选失败情形</w:t>
      </w:r>
    </w:p>
    <w:p w14:paraId="4B43BC66">
      <w:pPr>
        <w:snapToGrid w:val="0"/>
        <w:spacing w:line="600" w:lineRule="exact"/>
      </w:pPr>
      <w:r>
        <w:rPr>
          <w:rFonts w:hint="eastAsia"/>
        </w:rPr>
        <w:t>出现以下情形本次比选失败：</w:t>
      </w:r>
    </w:p>
    <w:p w14:paraId="266F0BDB">
      <w:pPr>
        <w:snapToGrid w:val="0"/>
        <w:spacing w:line="600" w:lineRule="exact"/>
      </w:pPr>
      <w:r>
        <w:rPr>
          <w:rFonts w:hint="eastAsia"/>
        </w:rPr>
        <w:t>12.1 参选截止时间止，参选人少于2个的。</w:t>
      </w:r>
    </w:p>
    <w:p w14:paraId="3F3B1B09">
      <w:r>
        <w:rPr>
          <w:rFonts w:hint="eastAsia"/>
        </w:rPr>
        <w:t>12.2 经评审委员会评审后否决所有参选的。</w:t>
      </w:r>
    </w:p>
    <w:p w14:paraId="0C30993B">
      <w:pPr>
        <w:pStyle w:val="3"/>
      </w:pPr>
      <w:r>
        <w:rPr>
          <w:rFonts w:hint="eastAsia"/>
        </w:rPr>
        <w:t>13. 终止</w:t>
      </w:r>
      <w:r>
        <w:t>比选</w:t>
      </w:r>
      <w:bookmarkEnd w:id="42"/>
    </w:p>
    <w:p w14:paraId="6CB1B3E0">
      <w:r>
        <w:rPr>
          <w:rFonts w:hint="eastAsia"/>
        </w:rPr>
        <w:t>13.1 因情况发生变化或其他原因造成该项目取消的，本次比选自动终止，双方互不承担责任，比选人无息退还参选保证金。</w:t>
      </w:r>
    </w:p>
    <w:p w14:paraId="387E0883">
      <w:r>
        <w:rPr>
          <w:rFonts w:hint="eastAsia"/>
        </w:rPr>
        <w:t>13.2 签订合同之前，比选人发现中选候选人经营、财务状况发生较大变化或存在违法行为，比选人认为可能影响其履约能力的，比选人可废除中选人或中选候选人资格。</w:t>
      </w:r>
    </w:p>
    <w:p w14:paraId="0FDC8DEA">
      <w:pPr>
        <w:pStyle w:val="3"/>
      </w:pPr>
      <w:r>
        <w:rPr>
          <w:rFonts w:hint="eastAsia"/>
        </w:rPr>
        <w:t xml:space="preserve">14. </w:t>
      </w:r>
      <w:r>
        <w:t>参选</w:t>
      </w:r>
      <w:r>
        <w:rPr>
          <w:rFonts w:hint="eastAsia"/>
        </w:rPr>
        <w:t>费用</w:t>
      </w:r>
    </w:p>
    <w:p w14:paraId="6C094714">
      <w:r>
        <w:rPr>
          <w:rFonts w:hint="eastAsia"/>
        </w:rPr>
        <w:t>参选人参与本比选项目时，一切与参选有关的费用均由参选人自理。</w:t>
      </w:r>
    </w:p>
    <w:p w14:paraId="4D9EC22B">
      <w:r>
        <w:rPr>
          <w:rFonts w:hint="eastAsia"/>
        </w:rPr>
        <w:t>若本项目中选金额大于等于50万元，平台服务费为1.5万元，若本项目中选金额小于50万元，平台服务费为0.8万元，由中选人向重庆联合产权交易所集团股份有限公司支付。中选人应在领取中选通知书时一次性缴纳，请各参选人综合考虑进行报价。</w:t>
      </w:r>
    </w:p>
    <w:p w14:paraId="152EA2F0">
      <w:pPr>
        <w:widowControl/>
        <w:jc w:val="left"/>
        <w:rPr>
          <w:rFonts w:hint="eastAsia" w:ascii="宋体" w:hAnsi="宋体" w:cs="Cambria"/>
          <w:snapToGrid w:val="0"/>
          <w:kern w:val="0"/>
          <w:szCs w:val="28"/>
        </w:rPr>
      </w:pPr>
      <w:r>
        <w:rPr>
          <w:rFonts w:ascii="宋体" w:hAnsi="宋体" w:cs="Cambria"/>
          <w:snapToGrid w:val="0"/>
          <w:kern w:val="0"/>
          <w:szCs w:val="28"/>
        </w:rPr>
        <w:br w:type="page"/>
      </w:r>
    </w:p>
    <w:p w14:paraId="7E81BA73">
      <w:pPr>
        <w:pStyle w:val="2"/>
      </w:pPr>
      <w:bookmarkStart w:id="49" w:name="_Toc10767"/>
      <w:bookmarkStart w:id="50" w:name="_Toc24158"/>
      <w:r>
        <w:rPr>
          <w:rFonts w:hint="eastAsia"/>
        </w:rPr>
        <w:t>第三章 项目要求</w:t>
      </w:r>
      <w:bookmarkEnd w:id="49"/>
      <w:bookmarkEnd w:id="50"/>
    </w:p>
    <w:p w14:paraId="56EB9ECC">
      <w:pPr>
        <w:pStyle w:val="3"/>
      </w:pPr>
      <w:r>
        <w:t>1.</w:t>
      </w:r>
      <w:r>
        <w:rPr>
          <w:rFonts w:hint="eastAsia"/>
        </w:rPr>
        <w:t xml:space="preserve"> 业务需求</w:t>
      </w:r>
    </w:p>
    <w:p w14:paraId="6E486AFA">
      <w:r>
        <w:t>为稳步推进财富管理产品体系的建设，向客户提供更多优质服务，计划在我行</w:t>
      </w:r>
      <w:r>
        <w:rPr>
          <w:rFonts w:hint="eastAsia"/>
        </w:rPr>
        <w:t>“</w:t>
      </w:r>
      <w:r>
        <w:t>金融产品销售平台</w:t>
      </w:r>
      <w:r>
        <w:rPr>
          <w:rFonts w:hint="eastAsia"/>
        </w:rPr>
        <w:t>”</w:t>
      </w:r>
      <w:r>
        <w:t>基础上增加代销实物贵金属业务模块，通过手机银行</w:t>
      </w:r>
      <w:r>
        <w:rPr>
          <w:rFonts w:hint="eastAsia"/>
        </w:rPr>
        <w:t>等渠道向客户销售合作公司的</w:t>
      </w:r>
      <w:r>
        <w:t>实物贵金属</w:t>
      </w:r>
      <w:r>
        <w:rPr>
          <w:rFonts w:hint="eastAsia"/>
        </w:rPr>
        <w:t>产品</w:t>
      </w:r>
      <w:r>
        <w:t>。</w:t>
      </w:r>
    </w:p>
    <w:p w14:paraId="3A57AAC7">
      <w:pPr>
        <w:pStyle w:val="4"/>
      </w:pPr>
      <w:r>
        <w:rPr>
          <w:rFonts w:hint="eastAsia"/>
        </w:rPr>
        <w:t>1.1 对客前端</w:t>
      </w:r>
    </w:p>
    <w:p w14:paraId="7163156D">
      <w:r>
        <w:rPr>
          <w:rFonts w:hint="eastAsia"/>
        </w:rPr>
        <w:t>在手机银行等对客渠道为客户提供在线购买渠道，</w:t>
      </w:r>
      <w:r>
        <w:t>支持游客和</w:t>
      </w:r>
      <w:r>
        <w:rPr>
          <w:rFonts w:hint="eastAsia"/>
        </w:rPr>
        <w:t>登录客户两种方式进行在售产品查询，提供按照产品类型、供货商等方式的分类展示功能，提供产品详情展示，提供购物车功能，提供订单管理功能，提供轮播广告展示功能，并按照对客前端规范提供下单购买流程。</w:t>
      </w:r>
    </w:p>
    <w:p w14:paraId="38112114">
      <w:r>
        <w:rPr>
          <w:rFonts w:hint="eastAsia"/>
        </w:rPr>
        <w:t>1.1.1 产品列表</w:t>
      </w:r>
    </w:p>
    <w:p w14:paraId="2D120161">
      <w:r>
        <w:rPr>
          <w:rFonts w:hint="eastAsia"/>
        </w:rPr>
        <w:t>（1）产品列表，展示正在销售的各类产品，支持分类查找、搜索等功能，支持游客和登录客户查看。</w:t>
      </w:r>
    </w:p>
    <w:p w14:paraId="2AFD80D1">
      <w:r>
        <w:rPr>
          <w:rFonts w:hint="eastAsia"/>
        </w:rPr>
        <w:t>（2）产品分类展示，提供投资金条、工艺金、热门推荐、供货商等各种方式的分类展示，产品分类支持通过后台进行配置。</w:t>
      </w:r>
    </w:p>
    <w:p w14:paraId="6FFB2D8E">
      <w:r>
        <w:rPr>
          <w:rFonts w:hint="eastAsia"/>
        </w:rPr>
        <w:t>1.1.2 产品详情</w:t>
      </w:r>
    </w:p>
    <w:p w14:paraId="79CADECD">
      <w:r>
        <w:rPr>
          <w:rFonts w:hint="eastAsia"/>
        </w:rPr>
        <w:t>产品详情，展示代销产品的详情信息。</w:t>
      </w:r>
    </w:p>
    <w:p w14:paraId="302A03E8">
      <w:r>
        <w:rPr>
          <w:rFonts w:hint="eastAsia"/>
        </w:rPr>
        <w:t>（1）支持轮播图、产品视频（支持上传视频展示商品展示），展示产品的属性（产品名称、重量、供货商等）、产品详情图，风险提示（风险提示根据产品类型自动附加）。</w:t>
      </w:r>
    </w:p>
    <w:p w14:paraId="72D84EBA">
      <w:r>
        <w:rPr>
          <w:rFonts w:hint="eastAsia"/>
        </w:rPr>
        <w:t>（2）支持同一产品不同规格的展示，并可以通过后台进行配置。</w:t>
      </w:r>
    </w:p>
    <w:p w14:paraId="49D72247">
      <w:r>
        <w:rPr>
          <w:rFonts w:hint="eastAsia"/>
        </w:rPr>
        <w:t>（3）支持将产品详情页通过分享方式分享到社交媒体，比如微信好友聊天分享、微信朋友圈分享以及复制产品详情链接方式分享。</w:t>
      </w:r>
    </w:p>
    <w:p w14:paraId="20BC1C5B">
      <w:r>
        <w:rPr>
          <w:rFonts w:hint="eastAsia"/>
        </w:rPr>
        <w:t>1.1.3 购物车</w:t>
      </w:r>
    </w:p>
    <w:p w14:paraId="0DBB9603">
      <w:r>
        <w:rPr>
          <w:rFonts w:hint="eastAsia"/>
        </w:rPr>
        <w:t>提供购物车功能，可以在购物车进行合并支付，在支付时支持按照不同供应商进行支付订单的拆分。</w:t>
      </w:r>
    </w:p>
    <w:p w14:paraId="40BD5873">
      <w:r>
        <w:rPr>
          <w:rFonts w:hint="eastAsia"/>
        </w:rPr>
        <w:t>1.1.4 收货地址管理</w:t>
      </w:r>
    </w:p>
    <w:p w14:paraId="449FFA80">
      <w:r>
        <w:rPr>
          <w:rFonts w:hint="eastAsia"/>
        </w:rPr>
        <w:t>收货地址使用对客渠道已经添加的收货地址，且可以调用对应渠道提供的功能增添、修改收货地址。</w:t>
      </w:r>
    </w:p>
    <w:p w14:paraId="781A562F">
      <w:r>
        <w:rPr>
          <w:rFonts w:hint="eastAsia"/>
        </w:rPr>
        <w:t>1.1.5 订单信息</w:t>
      </w:r>
    </w:p>
    <w:p w14:paraId="35CDAC73">
      <w:r>
        <w:rPr>
          <w:rFonts w:hint="eastAsia"/>
        </w:rPr>
        <w:t>（1）展示客户的订单信息，支持按照待支付、已支付、已收货进行分类。</w:t>
      </w:r>
    </w:p>
    <w:p w14:paraId="63477FF4">
      <w:r>
        <w:rPr>
          <w:rFonts w:hint="eastAsia"/>
        </w:rPr>
        <w:t>（2）订单详情，展示订单购买产品信息，支付信息，收货信息。</w:t>
      </w:r>
    </w:p>
    <w:p w14:paraId="57C9C53E">
      <w:r>
        <w:rPr>
          <w:rFonts w:hint="eastAsia"/>
        </w:rPr>
        <w:t>（3）物流信息，对于快递送货上门订单需要展示物流签收状态，确认收货按钮，物流流转信息（需要对接外部物流信息查询接口）。</w:t>
      </w:r>
    </w:p>
    <w:p w14:paraId="75128A44">
      <w:r>
        <w:rPr>
          <w:rFonts w:hint="eastAsia"/>
        </w:rPr>
        <w:t>（4）退货，对支持退货的产品提供退货功能，客户可在退货有效期进行退货。</w:t>
      </w:r>
    </w:p>
    <w:p w14:paraId="7478EE00">
      <w:r>
        <w:rPr>
          <w:rFonts w:hint="eastAsia"/>
        </w:rPr>
        <w:t>1.1.6 广告</w:t>
      </w:r>
      <w:r>
        <w:t>展示</w:t>
      </w:r>
    </w:p>
    <w:p w14:paraId="0D1B38D6">
      <w:r>
        <w:rPr>
          <w:rFonts w:hint="eastAsia"/>
        </w:rPr>
        <w:t>需要支持在贵金属首页进行广告配置，采用轮播方式进行产品推介。</w:t>
      </w:r>
    </w:p>
    <w:p w14:paraId="5B7456CC">
      <w:r>
        <w:rPr>
          <w:rFonts w:hint="eastAsia"/>
        </w:rPr>
        <w:t>1.1.7 购买流程</w:t>
      </w:r>
    </w:p>
    <w:p w14:paraId="35CAC36D">
      <w:r>
        <w:rPr>
          <w:rFonts w:hint="eastAsia"/>
        </w:rPr>
        <w:t>客户通过手机银行进行产品购买，购买产品可以填写工号信息。</w:t>
      </w:r>
    </w:p>
    <w:p w14:paraId="5535500C">
      <w:r>
        <w:rPr>
          <w:rFonts w:hint="eastAsia"/>
        </w:rPr>
        <w:t>（1）直接购买</w:t>
      </w:r>
    </w:p>
    <w:p w14:paraId="0E77A600">
      <w:r>
        <w:rPr>
          <w:rFonts w:hint="eastAsia"/>
        </w:rPr>
        <w:t>a、客户在产品列表选择需要购买的产品和产品规格点击【购买】打开订单确认界面。</w:t>
      </w:r>
    </w:p>
    <w:p w14:paraId="040015C6">
      <w:r>
        <w:rPr>
          <w:rFonts w:hint="eastAsia"/>
        </w:rPr>
        <w:t>b、客户在订单确认页面设置收货地址、发票等信息。</w:t>
      </w:r>
    </w:p>
    <w:p w14:paraId="10634B4A">
      <w:r>
        <w:rPr>
          <w:rFonts w:hint="eastAsia"/>
        </w:rPr>
        <w:t>c、客户阅读并同意贵金属购买风险提示和条款后进入支付页面。</w:t>
      </w:r>
    </w:p>
    <w:p w14:paraId="364855B4">
      <w:r>
        <w:rPr>
          <w:rFonts w:hint="eastAsia"/>
        </w:rPr>
        <w:t>d、客户选择支付的银行卡，输入付款密码进行支付，完成前端流程。</w:t>
      </w:r>
    </w:p>
    <w:p w14:paraId="23B869B6">
      <w:r>
        <w:rPr>
          <w:rFonts w:hint="eastAsia"/>
        </w:rPr>
        <w:t>e、生成订单，供货商户和后台管理人员处理。</w:t>
      </w:r>
    </w:p>
    <w:p w14:paraId="79E182C1">
      <w:r>
        <w:rPr>
          <w:rFonts w:hint="eastAsia"/>
        </w:rPr>
        <w:t>（2）购物车支付</w:t>
      </w:r>
    </w:p>
    <w:p w14:paraId="2EA31E70">
      <w:r>
        <w:rPr>
          <w:rFonts w:hint="eastAsia"/>
        </w:rPr>
        <w:t>a、客户在产品详情页，将需要购买的产品及规格加入购物车。</w:t>
      </w:r>
    </w:p>
    <w:p w14:paraId="0A4C832D">
      <w:r>
        <w:rPr>
          <w:rFonts w:hint="eastAsia"/>
        </w:rPr>
        <w:t>b、客户进入购物车，选择需要支付产品进行支付，跳转到订单确认页面。</w:t>
      </w:r>
    </w:p>
    <w:p w14:paraId="49B8ACAE">
      <w:r>
        <w:rPr>
          <w:rFonts w:hint="eastAsia"/>
        </w:rPr>
        <w:t>c、客户选择支付的银行卡，输入付款密码进行支付。密码校验通过后调用支付相关接口完成扣款，如果购买产品归属于不同产品供应商的需要分别扣款，生成多条扣款记录。</w:t>
      </w:r>
    </w:p>
    <w:p w14:paraId="6C411C23">
      <w:r>
        <w:t xml:space="preserve">1.1.8 </w:t>
      </w:r>
      <w:r>
        <w:rPr>
          <w:rFonts w:hint="eastAsia"/>
        </w:rPr>
        <w:t>营销功能</w:t>
      </w:r>
    </w:p>
    <w:p w14:paraId="68EF7ED1">
      <w:r>
        <w:rPr>
          <w:rFonts w:hint="eastAsia"/>
        </w:rPr>
        <w:t>支持多种产品组合成套装方式销售；支持对不同类型客户进行特殊定价；支持对产品进行打折销售等营销功能；支持通过积分进行产品购买</w:t>
      </w:r>
      <w:r>
        <w:t>。</w:t>
      </w:r>
    </w:p>
    <w:p w14:paraId="54B1ABD2">
      <w:pPr>
        <w:pStyle w:val="4"/>
      </w:pPr>
      <w:r>
        <w:rPr>
          <w:rFonts w:hint="eastAsia"/>
        </w:rPr>
        <w:t>1.2 供应商前端</w:t>
      </w:r>
    </w:p>
    <w:p w14:paraId="21FEB9B5">
      <w:r>
        <w:rPr>
          <w:rFonts w:hint="eastAsia"/>
        </w:rPr>
        <w:t>为供货商提供前端门户网站，以便商户通过外网进行产品管理、金价维护、订单管理，并提供独立门户网站的基础管理功能如找回登录密码、密码修改、等功能。</w:t>
      </w:r>
    </w:p>
    <w:p w14:paraId="1732E905">
      <w:r>
        <w:rPr>
          <w:rFonts w:hint="eastAsia"/>
        </w:rPr>
        <w:t>1.2.1 产品管理</w:t>
      </w:r>
    </w:p>
    <w:p w14:paraId="11F7E07D">
      <w:r>
        <w:rPr>
          <w:rFonts w:hint="eastAsia"/>
        </w:rPr>
        <w:t>为供货商提供产品管理功能，可以通过该功能实现产品的录入、查询、修改功能。</w:t>
      </w:r>
    </w:p>
    <w:p w14:paraId="4B9525E4">
      <w:r>
        <w:rPr>
          <w:rFonts w:hint="eastAsia"/>
        </w:rPr>
        <w:t>（1）产品录入，录入产品的主图、详情图、产品的属性、产品规格，计价方式。产品属性：产品编号（供货商为产品设定的唯一编号）、产品名称、产品类别（投资金条、工艺金）、产品材质（文本框）、计价方式、库存数量。</w:t>
      </w:r>
    </w:p>
    <w:p w14:paraId="636B6979">
      <w:r>
        <w:rPr>
          <w:rFonts w:hint="eastAsia"/>
        </w:rPr>
        <w:t>（2）产品修改，修改产品的属性，配图等。</w:t>
      </w:r>
    </w:p>
    <w:p w14:paraId="039087C6">
      <w:r>
        <w:rPr>
          <w:rFonts w:hint="eastAsia"/>
        </w:rPr>
        <w:t>（3）产品预览，提供产品预览功能在保存产品信息后可以通过预览方式查看实际展示样式。</w:t>
      </w:r>
    </w:p>
    <w:p w14:paraId="0632C002">
      <w:r>
        <w:rPr>
          <w:rFonts w:hint="eastAsia"/>
        </w:rPr>
        <w:t>（4）新增、修改等操作需要提交到行方进行审核后才能上架生效。</w:t>
      </w:r>
    </w:p>
    <w:p w14:paraId="710E3A8A">
      <w:r>
        <w:rPr>
          <w:rFonts w:hint="eastAsia"/>
        </w:rPr>
        <w:t>（5）商户可以供货的类别通过后台的供货商管理进行维护，只有开通了相应产品类别的商户在新增产品</w:t>
      </w:r>
      <w:r>
        <w:t>时</w:t>
      </w:r>
      <w:r>
        <w:rPr>
          <w:rFonts w:hint="eastAsia"/>
        </w:rPr>
        <w:t>可以选择对应的产品类别。</w:t>
      </w:r>
    </w:p>
    <w:p w14:paraId="016FF8CF">
      <w:r>
        <w:rPr>
          <w:rFonts w:hint="eastAsia"/>
        </w:rPr>
        <w:t>1.2.2</w:t>
      </w:r>
      <w:r>
        <w:t xml:space="preserve"> </w:t>
      </w:r>
      <w:r>
        <w:rPr>
          <w:rFonts w:hint="eastAsia"/>
        </w:rPr>
        <w:t>金价维护</w:t>
      </w:r>
    </w:p>
    <w:p w14:paraId="22A104AE">
      <w:r>
        <w:rPr>
          <w:rFonts w:hint="eastAsia"/>
        </w:rPr>
        <w:t>对于开通了投资金条供货的供货商，供货商户可以维护实时金价。维护金价后需要进行审核审批后才能生效，供货商维护的金价仅对该供货商的产品生效。需要支持设定金价的有效时间，需要支持对接外部实时金价自动调整售价。支持黄金、白银、铂金、钯金等多种贵金属进行金价维护。需要支持展示历史维护的记录。</w:t>
      </w:r>
    </w:p>
    <w:p w14:paraId="4562F0C8">
      <w:r>
        <w:rPr>
          <w:rFonts w:hint="eastAsia"/>
        </w:rPr>
        <w:t>1.2.3 订单管理</w:t>
      </w:r>
    </w:p>
    <w:p w14:paraId="2B2C02C6">
      <w:r>
        <w:rPr>
          <w:rFonts w:hint="eastAsia"/>
        </w:rPr>
        <w:t>为供货商户展示订单信息，并提供订单查看详情、订单导出、发货维护、收货维护、退货管理等功能。</w:t>
      </w:r>
    </w:p>
    <w:p w14:paraId="4828415C">
      <w:r>
        <w:rPr>
          <w:rFonts w:hint="eastAsia"/>
        </w:rPr>
        <w:t>1.2.4 对账查询</w:t>
      </w:r>
    </w:p>
    <w:p w14:paraId="208FA955">
      <w:r>
        <w:rPr>
          <w:rFonts w:hint="eastAsia"/>
        </w:rPr>
        <w:t>为商户提供对账单查询功能，以便供货商进行对账管理。列表展示字段：订单编号、产品编号、产品名称、产品规格、购买数量、支付流水号、购买单价、支付金额、结算金额、佣金金额、佣金支付模式、结算流水（从内部户划账的到供货商账户的核心流水）、结算时间（系统划账到供货商的时间）。</w:t>
      </w:r>
    </w:p>
    <w:p w14:paraId="10AC3853">
      <w:pPr>
        <w:pStyle w:val="4"/>
      </w:pPr>
      <w:r>
        <w:rPr>
          <w:rFonts w:hint="eastAsia"/>
        </w:rPr>
        <w:t>1.3</w:t>
      </w:r>
      <w:r>
        <w:t xml:space="preserve"> </w:t>
      </w:r>
      <w:r>
        <w:rPr>
          <w:rFonts w:hint="eastAsia"/>
        </w:rPr>
        <w:t>业务管理平台</w:t>
      </w:r>
    </w:p>
    <w:p w14:paraId="43732E6D">
      <w:r>
        <w:rPr>
          <w:rFonts w:hint="eastAsia"/>
        </w:rPr>
        <w:t>为后台管理人员提供管理平台，通过内网进行登录进行相关操作。</w:t>
      </w:r>
    </w:p>
    <w:p w14:paraId="63AAF955">
      <w:r>
        <w:rPr>
          <w:rFonts w:hint="eastAsia"/>
        </w:rPr>
        <w:t>1.3.1 后台基础功能</w:t>
      </w:r>
    </w:p>
    <w:p w14:paraId="1150E0FD">
      <w:r>
        <w:rPr>
          <w:rFonts w:hint="eastAsia"/>
        </w:rPr>
        <w:t>提供操作员管理、角色权限管理（一个操作员可以担任多个角色，拥有对应角色的操作权限、权限配置需要对应到操作按钮）、日志记录查询（日志记录到登录、编辑、审核、导出等维度，超级管理员可以查看所有账号的日志，普通操作员可以查看本人操作日志），机构同步（同步核心的机构信息），单点登录（通过OA单点登录方式登录账号），页面水印（所有页面展示水印暗纹，以便追踪拍照、截图等行为）。</w:t>
      </w:r>
    </w:p>
    <w:p w14:paraId="6B3BD55E">
      <w:r>
        <w:rPr>
          <w:rFonts w:hint="eastAsia"/>
        </w:rPr>
        <w:t>1.3.2 供货商管理</w:t>
      </w:r>
    </w:p>
    <w:p w14:paraId="0A9B9B11">
      <w:r>
        <w:rPr>
          <w:rFonts w:hint="eastAsia"/>
        </w:rPr>
        <w:t>管理供货商信息，支持维护供货商的基础信息包括：公司名称、公司营业执照号码、公司注册地址、公司注册资本、法定代表人姓名、法定代表人身份证号码、法定代表人身份证有效期以及营业执照、行业证书、合同的上传功能，上传支持png、jpg等图片格式和pdf 文档，联系人信息，客服电话。</w:t>
      </w:r>
    </w:p>
    <w:p w14:paraId="6FC0BE07">
      <w:r>
        <w:rPr>
          <w:rFonts w:hint="eastAsia"/>
        </w:rPr>
        <w:t>1.3.3 产品库管理</w:t>
      </w:r>
    </w:p>
    <w:p w14:paraId="3B9D2A8D">
      <w:r>
        <w:rPr>
          <w:rFonts w:hint="eastAsia"/>
        </w:rPr>
        <w:t>提供产品库功能，可以查询所有产品信息。通过列表展示所有状态产品，并可以查询产品详情。展示字段：产品编号、产品名称、供货商、产品类别、产品规格、产品单价（当前价格，如果是以及停止销售产品展示最后销售价格）、产品状态、产品销量、佣金计算方式（固定金额和按比例）、佣金比例（佣金金额）。</w:t>
      </w:r>
    </w:p>
    <w:p w14:paraId="26FB6AFE">
      <w:r>
        <w:rPr>
          <w:rFonts w:hint="eastAsia"/>
        </w:rPr>
        <w:t>1.3.4 产品准入及上下架</w:t>
      </w:r>
    </w:p>
    <w:p w14:paraId="11C56D3F">
      <w:r>
        <w:rPr>
          <w:rFonts w:hint="eastAsia"/>
        </w:rPr>
        <w:t>供货商户在录入产品后，需要准入和上架后对外进行销售，下架后不再前端展示且不再可以下单销售。产品上架支持手动上架和定时上架；产品下架支持手动下架、定时下架和条件触发下架。</w:t>
      </w:r>
    </w:p>
    <w:p w14:paraId="3E7DD050">
      <w:r>
        <w:rPr>
          <w:rFonts w:hint="eastAsia"/>
        </w:rPr>
        <w:t>1.3.5 分类展示</w:t>
      </w:r>
    </w:p>
    <w:p w14:paraId="08778611">
      <w:r>
        <w:rPr>
          <w:rFonts w:hint="eastAsia"/>
        </w:rPr>
        <w:t>前端分类展示，为对客前端提供分类展示功能，按照产品类别分类外还支持如热门产品、主推产品等方式进行人工分类，在后台提供相应的配置功能。</w:t>
      </w:r>
    </w:p>
    <w:p w14:paraId="6BC9B6A3">
      <w:r>
        <w:rPr>
          <w:rFonts w:hint="eastAsia"/>
        </w:rPr>
        <w:t>1.3.6 订单管理</w:t>
      </w:r>
    </w:p>
    <w:p w14:paraId="52253880">
      <w:r>
        <w:rPr>
          <w:rFonts w:hint="eastAsia"/>
        </w:rPr>
        <w:t>在后台提供订单查询及管理功能，订单查询功能支持查询待支付、已支付、已、已发货等各种状态订单，同时可以查询订单的购买人信息、产品信息、支付信息、物流信息。</w:t>
      </w:r>
    </w:p>
    <w:p w14:paraId="35415355">
      <w:r>
        <w:rPr>
          <w:rFonts w:hint="eastAsia"/>
        </w:rPr>
        <w:t>1.3.7</w:t>
      </w:r>
      <w:r>
        <w:t xml:space="preserve"> </w:t>
      </w:r>
      <w:r>
        <w:rPr>
          <w:rFonts w:hint="eastAsia"/>
        </w:rPr>
        <w:t>内部对账功能</w:t>
      </w:r>
    </w:p>
    <w:p w14:paraId="2E3EE477">
      <w:r>
        <w:rPr>
          <w:rFonts w:hint="eastAsia"/>
        </w:rPr>
        <w:t>每日对订单进行对账，将贵金属系统订单于用于归集的内部户交易明细进行对账。提供对账报表查询功能。</w:t>
      </w:r>
    </w:p>
    <w:p w14:paraId="2EBEE208">
      <w:r>
        <w:rPr>
          <w:rFonts w:hint="eastAsia"/>
        </w:rPr>
        <w:t>1.3.8</w:t>
      </w:r>
      <w:r>
        <w:t xml:space="preserve"> </w:t>
      </w:r>
      <w:r>
        <w:rPr>
          <w:rFonts w:hint="eastAsia"/>
        </w:rPr>
        <w:t>报表查询及下载</w:t>
      </w:r>
    </w:p>
    <w:p w14:paraId="1B65F42B">
      <w:r>
        <w:rPr>
          <w:rFonts w:hint="eastAsia"/>
        </w:rPr>
        <w:t>（1）根据监管对代销贵金属的要求按照月度、季度、年度生成监管报送的报表。包括外部报送平台、为行内综合报送平台提供数据。</w:t>
      </w:r>
    </w:p>
    <w:p w14:paraId="7D80B6CC">
      <w:r>
        <w:rPr>
          <w:rFonts w:hint="eastAsia"/>
        </w:rPr>
        <w:t>（2）业务报表，提供按日、月、季、年或者手动设置交易区间生成报表，并可以供货商、分支机构、产品类别、产品为维度的报表。报表主要统计订单量、销售金额、中间业务收入等。</w:t>
      </w:r>
    </w:p>
    <w:p w14:paraId="7AF72484">
      <w:r>
        <w:rPr>
          <w:rFonts w:hint="eastAsia"/>
        </w:rPr>
        <w:t>1.3.9 自动结算</w:t>
      </w:r>
    </w:p>
    <w:p w14:paraId="64710BB3">
      <w:r>
        <w:rPr>
          <w:rFonts w:hint="eastAsia"/>
        </w:rPr>
        <w:t>按照与供货商约定的结算周期进行自动结算，不同供货商不同产品类型的结算周期可以独立设置。</w:t>
      </w:r>
    </w:p>
    <w:p w14:paraId="77F653D3">
      <w:r>
        <w:rPr>
          <w:rFonts w:hint="eastAsia"/>
        </w:rPr>
        <w:t>（1）每个供货商可以按照产品类别（工艺金和投资金）设置不同的结算模式。</w:t>
      </w:r>
    </w:p>
    <w:p w14:paraId="3FF433DC">
      <w:r>
        <w:rPr>
          <w:rFonts w:hint="eastAsia"/>
        </w:rPr>
        <w:t>（2）支持按照固定周期结算如销售后的T+N，D+N。</w:t>
      </w:r>
    </w:p>
    <w:p w14:paraId="4DF98A79">
      <w:r>
        <w:rPr>
          <w:rFonts w:hint="eastAsia"/>
        </w:rPr>
        <w:t>（3）支持按照发货后N天进行结算</w:t>
      </w:r>
      <w:r>
        <w:t>。</w:t>
      </w:r>
    </w:p>
    <w:p w14:paraId="347105E0">
      <w:pPr>
        <w:pStyle w:val="4"/>
      </w:pPr>
      <w:r>
        <w:rPr>
          <w:rFonts w:hint="eastAsia"/>
        </w:rPr>
        <w:t>1.4</w:t>
      </w:r>
      <w:r>
        <w:t xml:space="preserve"> </w:t>
      </w:r>
      <w:r>
        <w:rPr>
          <w:rFonts w:hint="eastAsia"/>
        </w:rPr>
        <w:t>销售名单控制</w:t>
      </w:r>
    </w:p>
    <w:p w14:paraId="74F2EB96">
      <w:r>
        <w:rPr>
          <w:rFonts w:hint="eastAsia"/>
        </w:rPr>
        <w:t>提供销售名单控制功能，一是提供黑白名单，在产品维度进行黑白名单控制，二是提供客户等级控制功能，产品可对不同等级的客户进行可见性控制和购买控制。</w:t>
      </w:r>
    </w:p>
    <w:p w14:paraId="6F57A82D">
      <w:pPr>
        <w:pStyle w:val="4"/>
      </w:pPr>
      <w:r>
        <w:rPr>
          <w:rFonts w:hint="eastAsia"/>
        </w:rPr>
        <w:t>1.5</w:t>
      </w:r>
      <w:r>
        <w:t xml:space="preserve"> </w:t>
      </w:r>
      <w:r>
        <w:rPr>
          <w:rFonts w:hint="eastAsia"/>
        </w:rPr>
        <w:t>风险控制</w:t>
      </w:r>
    </w:p>
    <w:p w14:paraId="1F6670EE">
      <w:r>
        <w:rPr>
          <w:rFonts w:hint="eastAsia"/>
        </w:rPr>
        <w:t>（1）按照反洗钱系统规范，为反洗钱系统提供数据以实现反洗钱的监控。</w:t>
      </w:r>
    </w:p>
    <w:p w14:paraId="504E2799">
      <w:r>
        <w:rPr>
          <w:rFonts w:hint="eastAsia"/>
        </w:rPr>
        <w:t>（2）行内黑白名单对接，客户购买过程中需要调用行内黑名单系统，限制限制命中黑名单的客户购买。</w:t>
      </w:r>
    </w:p>
    <w:p w14:paraId="084351FF">
      <w:r>
        <w:rPr>
          <w:rFonts w:hint="eastAsia"/>
        </w:rPr>
        <w:t>（3）客户购买风控规则，制定针对贵金属业务的风控规则，并阻断高风险交易。</w:t>
      </w:r>
    </w:p>
    <w:p w14:paraId="094FB60C">
      <w:pPr>
        <w:pStyle w:val="3"/>
      </w:pPr>
      <w:r>
        <w:t>2.</w:t>
      </w:r>
      <w:r>
        <w:rPr>
          <w:rFonts w:hint="eastAsia"/>
        </w:rPr>
        <w:t xml:space="preserve"> 技术要求</w:t>
      </w:r>
    </w:p>
    <w:p w14:paraId="2EDC9997">
      <w:pPr>
        <w:pStyle w:val="4"/>
      </w:pPr>
      <w:r>
        <w:rPr>
          <w:rFonts w:hint="eastAsia"/>
        </w:rPr>
        <w:t>2</w:t>
      </w:r>
      <w:r>
        <w:t xml:space="preserve">.1 </w:t>
      </w:r>
      <w:r>
        <w:rPr>
          <w:rFonts w:hint="eastAsia"/>
        </w:rPr>
        <w:t>总体原则</w:t>
      </w:r>
    </w:p>
    <w:p w14:paraId="4F3D5701">
      <w:r>
        <w:rPr>
          <w:rFonts w:hint="eastAsia"/>
        </w:rPr>
        <w:t>系统的建设应遵循集成性、先进性、可扩展性、稳定性、安全性、经济性、前瞻性和可维护性相结合的原则。</w:t>
      </w:r>
    </w:p>
    <w:p w14:paraId="3AF40318">
      <w:r>
        <w:t xml:space="preserve">2.1.1 </w:t>
      </w:r>
      <w:r>
        <w:rPr>
          <w:rFonts w:hint="eastAsia"/>
        </w:rPr>
        <w:t>集成性：系统建设需充分考虑与其它系统的集成，能快速与比选人其它业务和管理系统的集成。</w:t>
      </w:r>
    </w:p>
    <w:p w14:paraId="14409007">
      <w:r>
        <w:t>2.1.</w:t>
      </w:r>
      <w:r>
        <w:rPr>
          <w:rFonts w:hint="eastAsia"/>
        </w:rPr>
        <w:t>2 先进性：软件系统的选择与开发应在满足业务需求的基础上具有易改造、易升级、易操作、易维护等特点。</w:t>
      </w:r>
    </w:p>
    <w:p w14:paraId="020727BA">
      <w:r>
        <w:t>2.1.</w:t>
      </w:r>
      <w:r>
        <w:rPr>
          <w:rFonts w:hint="eastAsia"/>
        </w:rPr>
        <w:t>3 可扩展性：支持业务和系统的可扩展，支持行业应用可扩展，具有向后兼容的能力。</w:t>
      </w:r>
    </w:p>
    <w:p w14:paraId="64A3D077">
      <w:r>
        <w:t>2.1.</w:t>
      </w:r>
      <w:r>
        <w:rPr>
          <w:rFonts w:hint="eastAsia"/>
        </w:rPr>
        <w:t>4 稳定性：系统要确保系统平稳运行，支持7×24小时连续运行，满足高峰处理的需要。</w:t>
      </w:r>
    </w:p>
    <w:p w14:paraId="6A0D57B0">
      <w:r>
        <w:t>2.1.</w:t>
      </w:r>
      <w:r>
        <w:rPr>
          <w:rFonts w:hint="eastAsia"/>
        </w:rPr>
        <w:t>5 安全性：</w:t>
      </w:r>
    </w:p>
    <w:p w14:paraId="5528A8AF">
      <w:r>
        <w:t>1</w:t>
      </w:r>
      <w:r>
        <w:rPr>
          <w:rFonts w:hint="eastAsia"/>
        </w:rPr>
        <w:t>）系统必须建立在成熟稳定的硬件环境和应用软件基础上，通过完善的备份恢复策略、安全控制机制、可靠的运行管理监控和故障处理手段来保障系统的运行稳定、安全。</w:t>
      </w:r>
    </w:p>
    <w:p w14:paraId="245D3DD7">
      <w:r>
        <w:t>2</w:t>
      </w:r>
      <w:r>
        <w:rPr>
          <w:rFonts w:hint="eastAsia"/>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02E9EC89">
      <w:r>
        <w:t>2.1.</w:t>
      </w:r>
      <w:r>
        <w:rPr>
          <w:rFonts w:hint="eastAsia"/>
        </w:rPr>
        <w:t>6 经济性：系统的建设要考虑在网络、设备、信息安全等方面合理利用现有的资源。要充分调研，结合业务需求，合理利用现有资源，降低系统的投资，创造最优的工作效率，产生最好的经济效益。</w:t>
      </w:r>
    </w:p>
    <w:p w14:paraId="1B935D19">
      <w:r>
        <w:t>2.1.</w:t>
      </w:r>
      <w:r>
        <w:rPr>
          <w:rFonts w:hint="eastAsia"/>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42FF4207">
      <w:r>
        <w:t>2.1.</w:t>
      </w:r>
      <w:r>
        <w:rPr>
          <w:rFonts w:hint="eastAsia"/>
        </w:rPr>
        <w:t>8 可维护性：系统可维护，运行成本可控。</w:t>
      </w:r>
    </w:p>
    <w:p w14:paraId="4A6D9C8A">
      <w:pPr>
        <w:pStyle w:val="4"/>
      </w:pPr>
      <w:r>
        <w:rPr>
          <w:rFonts w:hint="eastAsia"/>
        </w:rPr>
        <w:t>2.2 用户体验要求</w:t>
      </w:r>
    </w:p>
    <w:p w14:paraId="15952897">
      <w:r>
        <w:rPr>
          <w:rFonts w:hint="eastAsia"/>
        </w:rPr>
        <w:t>界面可根据用户需求灵活更改（增强标签分类特性），注重用户体验，使系统各项功能易见、易学、易用。</w:t>
      </w:r>
    </w:p>
    <w:p w14:paraId="53A6BBB8">
      <w:r>
        <w:rPr>
          <w:rFonts w:hint="eastAsia"/>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7B5E32B3">
      <w:pPr>
        <w:pStyle w:val="4"/>
      </w:pPr>
      <w:r>
        <w:rPr>
          <w:rFonts w:hint="eastAsia"/>
        </w:rPr>
        <w:t>2</w:t>
      </w:r>
      <w:r>
        <w:t xml:space="preserve">.3 </w:t>
      </w:r>
      <w:r>
        <w:rPr>
          <w:rFonts w:hint="eastAsia"/>
        </w:rPr>
        <w:t>系统技术架构要求</w:t>
      </w:r>
    </w:p>
    <w:p w14:paraId="39615139">
      <w:r>
        <w:rPr>
          <w:rFonts w:hint="eastAsia"/>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5960898A">
      <w:r>
        <w:rPr>
          <w:rFonts w:hint="eastAsia"/>
        </w:rPr>
        <w:t>2）系统技术架构合理，数据结构合理，避免数据冗余，具有良好的扩展性、维护性和稳定性。如服务限流机制、服务降级机制等服务管控机制的应用，保障系统稳定运行。</w:t>
      </w:r>
    </w:p>
    <w:p w14:paraId="29435945">
      <w:r>
        <w:rPr>
          <w:rFonts w:hint="eastAsia"/>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54313AA8">
      <w:r>
        <w:rPr>
          <w:rFonts w:hint="eastAsia"/>
        </w:rPr>
        <w:t>4）支持集群部署方式，适应本行未来业务发展的需要。应用系统之间逻辑独立、启停服务时系统间不相互影响的部署方案。应用系统应支持双活跨数据中心的部署方案。</w:t>
      </w:r>
    </w:p>
    <w:p w14:paraId="095A5994">
      <w:r>
        <w:rPr>
          <w:rFonts w:hint="eastAsia"/>
        </w:rPr>
        <w:t>5）系统支持域名部署。</w:t>
      </w:r>
    </w:p>
    <w:p w14:paraId="017EECC6">
      <w:pPr>
        <w:pStyle w:val="4"/>
      </w:pPr>
      <w:r>
        <w:t xml:space="preserve">2.4 </w:t>
      </w:r>
      <w:r>
        <w:rPr>
          <w:rFonts w:hint="eastAsia"/>
        </w:rPr>
        <w:t>系统性能要求</w:t>
      </w:r>
    </w:p>
    <w:p w14:paraId="37D95CBF">
      <w:r>
        <w:rPr>
          <w:rFonts w:hint="eastAsia"/>
        </w:rPr>
        <w:t>1）应具有高效的运行效率，能通过负载均衡、流量控制、消息缓存等机制，提供大规模、高并发量的交易处理能力，满足登陆、查询、日终批量等性能需求；</w:t>
      </w:r>
    </w:p>
    <w:p w14:paraId="2D34BD57">
      <w:r>
        <w:rPr>
          <w:rFonts w:hint="eastAsia"/>
        </w:rPr>
        <w:t>2）系统必须提供平台级的负载均衡和容错能力；</w:t>
      </w:r>
    </w:p>
    <w:p w14:paraId="71E8519C">
      <w:r>
        <w:rPr>
          <w:rFonts w:hint="eastAsia"/>
        </w:rPr>
        <w:t>3）主机系统能够保持7*24稳定的不间断运行，从系统软硬件平台及网络等方面来保证系统的稳定性；</w:t>
      </w:r>
    </w:p>
    <w:p w14:paraId="2F9EDCFA">
      <w:r>
        <w:rPr>
          <w:rFonts w:hint="eastAsia"/>
        </w:rPr>
        <w:t>4）可用率：系统总体平均可用率在99.99%以上。</w:t>
      </w:r>
    </w:p>
    <w:p w14:paraId="09AF2B97">
      <w:pPr>
        <w:pStyle w:val="4"/>
      </w:pPr>
      <w:r>
        <w:rPr>
          <w:rFonts w:hint="eastAsia"/>
        </w:rPr>
        <w:t>2</w:t>
      </w:r>
      <w:r>
        <w:t xml:space="preserve">.5 </w:t>
      </w:r>
      <w:r>
        <w:rPr>
          <w:rFonts w:hint="eastAsia"/>
        </w:rPr>
        <w:t>安全性要求</w:t>
      </w:r>
    </w:p>
    <w:p w14:paraId="0D111494">
      <w:r>
        <w:rPr>
          <w:rFonts w:hint="eastAsia"/>
        </w:rPr>
        <w:t>为确保信息安全，采取的措施包括但不限于以下：</w:t>
      </w:r>
    </w:p>
    <w:p w14:paraId="67D055D7">
      <w:r>
        <w:rPr>
          <w:rFonts w:hint="eastAsia"/>
        </w:rPr>
        <w:t>1）平台安全：架构设计符合安全性要求，平台软件达到安全设计标准且不低于同业相关系统要求。</w:t>
      </w:r>
    </w:p>
    <w:p w14:paraId="46223960">
      <w:r>
        <w:rPr>
          <w:rFonts w:hint="eastAsia"/>
        </w:rPr>
        <w:t>2）数据安全：支持文档安全软件整合技术，从而做到数据传输加密、远程安全访问、数据存储加密，数据部署网络区域应支持入侵检测与防御系统、防火墙的应用。</w:t>
      </w:r>
    </w:p>
    <w:p w14:paraId="2946072B">
      <w:r>
        <w:rPr>
          <w:rFonts w:hint="eastAsia"/>
        </w:rPr>
        <w:t>3）容灾备份：支持各种容灾的软硬件设备的使用等。</w:t>
      </w:r>
    </w:p>
    <w:p w14:paraId="43073BC0">
      <w:r>
        <w:rPr>
          <w:rFonts w:hint="eastAsia"/>
        </w:rPr>
        <w:t>4）管理安全：提供完善的日志功能，能够记录系统使用人员的关键操作，保证系统应用的安全。</w:t>
      </w:r>
    </w:p>
    <w:p w14:paraId="15C2A1BA">
      <w:r>
        <w:rPr>
          <w:rFonts w:hint="eastAsia"/>
        </w:rPr>
        <w:t>5）密码策略：初始密码强制更改、启用验证码、密码过期控制、密码错误次数控制、密码强度设置等，不得以明文的方式保存任何相关密码，防止暴力破解和恶意攻击。</w:t>
      </w:r>
    </w:p>
    <w:p w14:paraId="327F6598">
      <w:r>
        <w:rPr>
          <w:rFonts w:hint="eastAsia"/>
        </w:rPr>
        <w:t>6）系统严密、灵活的访问安全控制</w:t>
      </w:r>
      <w:r>
        <w:t>。</w:t>
      </w:r>
    </w:p>
    <w:p w14:paraId="5910E116">
      <w:r>
        <w:rPr>
          <w:rFonts w:hint="eastAsia"/>
        </w:rPr>
        <w:t>7）系统有整体的用户/权限管理体系，可统一进行用户/权限的管理，实现到字段级的查询、修改、管理权限控制</w:t>
      </w:r>
      <w:r>
        <w:t>。</w:t>
      </w:r>
    </w:p>
    <w:p w14:paraId="34B26D43">
      <w:r>
        <w:t>8）系统开发必须满足比选人软件研发项目安全需求基线要求。</w:t>
      </w:r>
    </w:p>
    <w:p w14:paraId="4B4DC443">
      <w:pPr>
        <w:pStyle w:val="4"/>
      </w:pPr>
      <w:r>
        <w:rPr>
          <w:rFonts w:hint="eastAsia"/>
        </w:rPr>
        <w:t>2</w:t>
      </w:r>
      <w:r>
        <w:t xml:space="preserve">.6 </w:t>
      </w:r>
      <w:r>
        <w:rPr>
          <w:rFonts w:hint="eastAsia"/>
        </w:rPr>
        <w:t>可扩展性需求</w:t>
      </w:r>
    </w:p>
    <w:p w14:paraId="40A8D942">
      <w:r>
        <w:rPr>
          <w:rFonts w:hint="eastAsia"/>
        </w:rPr>
        <w:t>1）系统要求支持主流操作系统、数据库和通讯中间件，对软、硬件平台具有良好的可扩展能力，支持跨平台客制化开发。</w:t>
      </w:r>
    </w:p>
    <w:p w14:paraId="5BA96D2F">
      <w:r>
        <w:rPr>
          <w:rFonts w:hint="eastAsia"/>
        </w:rPr>
        <w:t>2）支持交易数据导入、模型参数维护、计量、会计核算、报表模块对于新产品的支持，系统容易改进、扩展和升级。</w:t>
      </w:r>
    </w:p>
    <w:p w14:paraId="4DAEE388">
      <w:r>
        <w:rPr>
          <w:rFonts w:hint="eastAsia"/>
        </w:rPr>
        <w:t>3）提供的平台能够很好的实现业务功能扩展的灵活性，通过后台服务器对业务功能的模块化处理和可配置处理实现对功能的一站式更新，且不影响原有系统的正常运行。</w:t>
      </w:r>
    </w:p>
    <w:p w14:paraId="1196587D">
      <w:r>
        <w:rPr>
          <w:rFonts w:hint="eastAsia"/>
        </w:rPr>
        <w:t>4）系统的计算能力支持横向扩展；</w:t>
      </w:r>
    </w:p>
    <w:p w14:paraId="7342B09E">
      <w:r>
        <w:rPr>
          <w:rFonts w:hint="eastAsia"/>
        </w:rPr>
        <w:t>5）对第三方平台提供良好的接口支持和扩展能力。</w:t>
      </w:r>
    </w:p>
    <w:p w14:paraId="1ED0810E">
      <w:pPr>
        <w:pStyle w:val="4"/>
      </w:pPr>
      <w:r>
        <w:rPr>
          <w:rFonts w:hint="eastAsia"/>
        </w:rPr>
        <w:t>2</w:t>
      </w:r>
      <w:r>
        <w:t xml:space="preserve">.7 </w:t>
      </w:r>
      <w:r>
        <w:rPr>
          <w:rFonts w:hint="eastAsia"/>
        </w:rPr>
        <w:t>二次开发要求</w:t>
      </w:r>
    </w:p>
    <w:p w14:paraId="068940CA">
      <w:r>
        <w:rPr>
          <w:rFonts w:hint="eastAsia"/>
        </w:rPr>
        <w:t>为满足本行业务发展需要，系统应能灵活、方便、快捷地支持个性化需求开发，相关要求包括：</w:t>
      </w:r>
    </w:p>
    <w:p w14:paraId="78F273A8">
      <w:r>
        <w:rPr>
          <w:rFonts w:hint="eastAsia"/>
        </w:rPr>
        <w:t>1）支持模型参数的个性化调整，从而适应监管要求及行内业务需求的变化；</w:t>
      </w:r>
    </w:p>
    <w:p w14:paraId="6DC03403">
      <w:r>
        <w:rPr>
          <w:rFonts w:hint="eastAsia"/>
        </w:rPr>
        <w:t>2）支持数据采集范围扩展及接口快速开发；</w:t>
      </w:r>
    </w:p>
    <w:p w14:paraId="7458C27A">
      <w:r>
        <w:rPr>
          <w:rFonts w:hint="eastAsia"/>
        </w:rPr>
        <w:t>3）支持较为便捷的全量/增量程序版本抽取和提交；</w:t>
      </w:r>
    </w:p>
    <w:p w14:paraId="73EBA972">
      <w:r>
        <w:rPr>
          <w:rFonts w:hint="eastAsia"/>
        </w:rPr>
        <w:t>4）支持日常需求改造涉及的其他开发要求。</w:t>
      </w:r>
    </w:p>
    <w:p w14:paraId="7C56B8CB">
      <w:pPr>
        <w:pStyle w:val="4"/>
      </w:pPr>
      <w:r>
        <w:rPr>
          <w:rFonts w:hint="eastAsia"/>
        </w:rPr>
        <w:t>2</w:t>
      </w:r>
      <w:r>
        <w:t xml:space="preserve">.8 </w:t>
      </w:r>
      <w:r>
        <w:rPr>
          <w:rFonts w:hint="eastAsia"/>
        </w:rPr>
        <w:t>其它非功能性要求</w:t>
      </w:r>
    </w:p>
    <w:p w14:paraId="5C05C477">
      <w:r>
        <w:t>2.8.</w:t>
      </w:r>
      <w:r>
        <w:rPr>
          <w:rFonts w:hint="eastAsia"/>
        </w:rPr>
        <w:t>1 运维要求</w:t>
      </w:r>
    </w:p>
    <w:p w14:paraId="3FF19C73">
      <w:r>
        <w:rPr>
          <w:rFonts w:hint="eastAsia"/>
        </w:rPr>
        <w:t>1）提供日常运行监控和完整的系统维护管理的方案：提供日志、实时交易监控等系统问题定位方案；提供日志和历史数据备份、清理机制；</w:t>
      </w:r>
    </w:p>
    <w:p w14:paraId="68DD1B9B">
      <w:r>
        <w:rPr>
          <w:rFonts w:hint="eastAsia"/>
        </w:rPr>
        <w:t>2） 提供应用系统之间逻辑独立、启停服务时系统间不相互影响的部署方案（十分重要），保障系统的7*24小时运行；</w:t>
      </w:r>
    </w:p>
    <w:p w14:paraId="15617213">
      <w:r>
        <w:rPr>
          <w:rFonts w:hint="eastAsia"/>
        </w:rPr>
        <w:t>3）提供系统资源运行情况实时监控报告；提供系统出现异常预警报告；提供系统运行情况报表等。</w:t>
      </w:r>
    </w:p>
    <w:p w14:paraId="3946026F">
      <w:r>
        <w:rPr>
          <w:rFonts w:hint="eastAsia"/>
        </w:rPr>
        <w:t>4）涉及重大生产故障，需15分钟内响应，30分钟内提供临时解决方案并能恢复生产服务，并安排响应的技术专家进行技术支持。</w:t>
      </w:r>
    </w:p>
    <w:p w14:paraId="42DFFFB6">
      <w:r>
        <w:t>2.8.</w:t>
      </w:r>
      <w:r>
        <w:rPr>
          <w:rFonts w:hint="eastAsia"/>
        </w:rPr>
        <w:t>2 日志要求</w:t>
      </w:r>
    </w:p>
    <w:p w14:paraId="1C812A20">
      <w:r>
        <w:rPr>
          <w:rFonts w:hint="eastAsia"/>
        </w:rPr>
        <w:t>1）应完整记录所有通讯日志，如果通讯日志为字节码的，不能直接查看的，应提供查看工具。</w:t>
      </w:r>
    </w:p>
    <w:p w14:paraId="012B871C">
      <w:r>
        <w:rPr>
          <w:rFonts w:hint="eastAsia"/>
        </w:rPr>
        <w:t>2）应完整记录交易日志，方便交易统计分析，不同类型的交易可分不同的交易日志表。</w:t>
      </w:r>
    </w:p>
    <w:p w14:paraId="160B3F57">
      <w:r>
        <w:rPr>
          <w:rFonts w:hint="eastAsia"/>
        </w:rPr>
        <w:t>3）可在线动态调整日志级别，在生产环境下定位问题时不需要中断服务。</w:t>
      </w:r>
    </w:p>
    <w:p w14:paraId="311C52C3">
      <w:r>
        <w:rPr>
          <w:rFonts w:hint="eastAsia"/>
        </w:rPr>
        <w:t>4）系统相关日志应输出在应用目录之外。</w:t>
      </w:r>
    </w:p>
    <w:p w14:paraId="738E79AA">
      <w:r>
        <w:rPr>
          <w:rFonts w:hint="eastAsia"/>
        </w:rPr>
        <w:t>5）不应在日志中记录客户支付敏感信息；不允许保留非本机构的客户敏感信息。</w:t>
      </w:r>
    </w:p>
    <w:p w14:paraId="5E00CFE0">
      <w:r>
        <w:t>2.8.</w:t>
      </w:r>
      <w:r>
        <w:rPr>
          <w:rFonts w:hint="eastAsia"/>
        </w:rPr>
        <w:t>3 自动监控指标</w:t>
      </w:r>
    </w:p>
    <w:p w14:paraId="69BCA62B">
      <w:r>
        <w:rPr>
          <w:rFonts w:hint="eastAsia"/>
        </w:rPr>
        <w:t>1）磁盘占用率（关键目录）、CPU使用率、内存占用率等；</w:t>
      </w:r>
    </w:p>
    <w:p w14:paraId="57A8D425">
      <w:r>
        <w:rPr>
          <w:rFonts w:hint="eastAsia"/>
        </w:rPr>
        <w:t>2）数据库连接池使用情况：总连接数、空闲连接数、使用中连接数；线程池使用情况：总线程、空闲线程、使用中线程；</w:t>
      </w:r>
    </w:p>
    <w:p w14:paraId="5366E436">
      <w:r>
        <w:rPr>
          <w:rFonts w:hint="eastAsia"/>
        </w:rPr>
        <w:t>3）虚拟机堆内存情况（适用Java）：空闲内存、使用中内存；</w:t>
      </w:r>
    </w:p>
    <w:p w14:paraId="1E20E901">
      <w:r>
        <w:rPr>
          <w:rFonts w:hint="eastAsia"/>
        </w:rPr>
        <w:t>4）交易级的错误，应用系统重大错误；</w:t>
      </w:r>
    </w:p>
    <w:p w14:paraId="1C065272">
      <w:pPr>
        <w:pStyle w:val="4"/>
      </w:pPr>
      <w:r>
        <w:rPr>
          <w:rFonts w:hint="eastAsia"/>
        </w:rPr>
        <w:t>2</w:t>
      </w:r>
      <w:r>
        <w:t xml:space="preserve">.9 </w:t>
      </w:r>
      <w:r>
        <w:rPr>
          <w:rFonts w:hint="eastAsia"/>
        </w:rPr>
        <w:t>应当遵循的标准和规范</w:t>
      </w:r>
    </w:p>
    <w:p w14:paraId="53AC5BB3">
      <w:r>
        <w:rPr>
          <w:rFonts w:hint="eastAsia"/>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7E3B3483">
      <w:r>
        <w:rPr>
          <w:rFonts w:hint="eastAsia"/>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0EF5E209">
      <w:r>
        <w:rPr>
          <w:rFonts w:hint="eastAsia"/>
        </w:rPr>
        <w:t>业务处理符合国家法律、法规和有关政策规定。数据标准要满足银监会及人民银行相关管理办法及标准化的要求。</w:t>
      </w:r>
    </w:p>
    <w:p w14:paraId="56DF681F">
      <w:pPr>
        <w:pStyle w:val="4"/>
      </w:pPr>
      <w:r>
        <w:rPr>
          <w:rFonts w:hint="eastAsia"/>
        </w:rPr>
        <w:t>2</w:t>
      </w:r>
      <w:r>
        <w:t xml:space="preserve">.10 </w:t>
      </w:r>
      <w:r>
        <w:rPr>
          <w:rFonts w:hint="eastAsia"/>
        </w:rPr>
        <w:t>其他技术要求</w:t>
      </w:r>
    </w:p>
    <w:p w14:paraId="09FCA43E">
      <w:r>
        <w:rPr>
          <w:rFonts w:hint="eastAsia"/>
        </w:rPr>
        <w:t>1）开发环境基于J2EE轻量级框架，支持JDK版本：</w:t>
      </w:r>
      <w:r>
        <w:t>open</w:t>
      </w:r>
      <w:r>
        <w:rPr>
          <w:rFonts w:hint="eastAsia"/>
        </w:rPr>
        <w:t>JDK1.8及以上版本。</w:t>
      </w:r>
    </w:p>
    <w:p w14:paraId="4ADB0694">
      <w:r>
        <w:rPr>
          <w:rFonts w:hint="eastAsia"/>
        </w:rPr>
        <w:t>2）</w:t>
      </w:r>
      <w:r>
        <w:t>操作系统、数据库和中间件满足以下要求：服务端操作系统支持Linux（RHEL 7.9）、银河麒麟V10等，支持Oracle（19C）数据库（支持rac）、OceanBase数据库等，支持TongWeb、Weblogic（12.2.1.4及以上）中间件及Tomcat中间件</w:t>
      </w:r>
      <w:r>
        <w:rPr>
          <w:rFonts w:hint="eastAsia"/>
        </w:rPr>
        <w:t>。</w:t>
      </w:r>
    </w:p>
    <w:p w14:paraId="5D9EC238">
      <w:r>
        <w:rPr>
          <w:rFonts w:hint="eastAsia"/>
        </w:rPr>
        <w:t>3）</w:t>
      </w:r>
      <w:r>
        <w:t>必须支持Windows全系操作系统，即WinXP/Win7/Win8/Win10，支持麒麟桌面操作系统，支持谷歌、360、IE6及以上版本浏览器使用，支持统信、奇安信、360等国产浏览器使用</w:t>
      </w:r>
      <w:r>
        <w:rPr>
          <w:rFonts w:hint="eastAsia"/>
        </w:rPr>
        <w:t>。</w:t>
      </w:r>
    </w:p>
    <w:p w14:paraId="200A3E7B">
      <w:r>
        <w:t>4</w:t>
      </w:r>
      <w:r>
        <w:rPr>
          <w:rFonts w:hint="eastAsia"/>
        </w:rPr>
        <w:t>）系统基础架构和底层数据库具备灵活性。</w:t>
      </w:r>
    </w:p>
    <w:p w14:paraId="22AE989E">
      <w:r>
        <w:t>5</w:t>
      </w:r>
      <w:r>
        <w:rPr>
          <w:rFonts w:hint="eastAsia"/>
        </w:rPr>
        <w:t>）系统可集群部署，支持负载均衡，具备横向可扩展性。</w:t>
      </w:r>
    </w:p>
    <w:p w14:paraId="09542965">
      <w:r>
        <w:t>6</w:t>
      </w:r>
      <w:r>
        <w:rPr>
          <w:rFonts w:hint="eastAsia"/>
        </w:rPr>
        <w:t>）系统处理能力能够满足现有业务数据以及未来三年可能发展的业务数据量。</w:t>
      </w:r>
    </w:p>
    <w:p w14:paraId="59D4536B">
      <w:r>
        <w:t>7</w:t>
      </w:r>
      <w:r>
        <w:rPr>
          <w:rFonts w:hint="eastAsia"/>
        </w:rPr>
        <w:t>）系统开发需要符合我行开发规范和整体框架要求。</w:t>
      </w:r>
    </w:p>
    <w:p w14:paraId="32369BE2">
      <w:r>
        <w:t>8</w:t>
      </w:r>
      <w:r>
        <w:rPr>
          <w:rFonts w:hint="eastAsia"/>
        </w:rPr>
        <w:t>）系统需支持dns方式连接数据库以及应用。</w:t>
      </w:r>
    </w:p>
    <w:p w14:paraId="59D34D54">
      <w:r>
        <w:t>9</w:t>
      </w:r>
      <w:r>
        <w:rPr>
          <w:rFonts w:hint="eastAsia"/>
        </w:rPr>
        <w:t>）原则上不对系统许可（license）做限制。</w:t>
      </w:r>
    </w:p>
    <w:p w14:paraId="23F89EA6">
      <w:r>
        <w:rPr>
          <w:rFonts w:hint="eastAsia"/>
        </w:rPr>
        <w:t>1</w:t>
      </w:r>
      <w:r>
        <w:t>0</w:t>
      </w:r>
      <w:r>
        <w:rPr>
          <w:rFonts w:hint="eastAsia"/>
        </w:rPr>
        <w:t>）参选人需提供完善的数据备份方案及备份机制。</w:t>
      </w:r>
    </w:p>
    <w:p w14:paraId="37CFF2FB">
      <w:r>
        <w:rPr>
          <w:rFonts w:hint="eastAsia"/>
        </w:rPr>
        <w:t>1</w:t>
      </w:r>
      <w:r>
        <w:t>1</w:t>
      </w:r>
      <w:r>
        <w:rPr>
          <w:rFonts w:hint="eastAsia"/>
        </w:rPr>
        <w:t>）技术RTO（恢复时间目标）：</w:t>
      </w:r>
      <w:r>
        <w:t>3</w:t>
      </w:r>
      <w:r>
        <w:rPr>
          <w:rFonts w:hint="eastAsia"/>
        </w:rPr>
        <w:t>小时；技术RPO（恢复时间点目标）：</w:t>
      </w:r>
      <w:r>
        <w:t>0.5</w:t>
      </w:r>
      <w:r>
        <w:rPr>
          <w:rFonts w:hint="eastAsia"/>
        </w:rPr>
        <w:t>小时。</w:t>
      </w:r>
    </w:p>
    <w:p w14:paraId="1F45ABEF">
      <w:r>
        <w:rPr>
          <w:rFonts w:hint="eastAsia"/>
        </w:rPr>
        <w:t>1</w:t>
      </w:r>
      <w:r>
        <w:t>2</w:t>
      </w:r>
      <w:r>
        <w:rPr>
          <w:rFonts w:hint="eastAsia"/>
        </w:rPr>
        <w:t>）需支持IPV6协议。</w:t>
      </w:r>
    </w:p>
    <w:p w14:paraId="46269299">
      <w:r>
        <w:rPr>
          <w:rFonts w:hint="eastAsia"/>
        </w:rPr>
        <w:t>1</w:t>
      </w:r>
      <w:r>
        <w:t>3</w:t>
      </w:r>
      <w:r>
        <w:rPr>
          <w:rFonts w:hint="eastAsia"/>
        </w:rPr>
        <w:t>）禁止应用软件部署使用的安装码或授权码与其运行的基础环境（如：硬盘序列号、CPU序列号或网卡序列号等）进行绑定。</w:t>
      </w:r>
    </w:p>
    <w:p w14:paraId="5FBED341">
      <w:r>
        <w:rPr>
          <w:rFonts w:hint="eastAsia"/>
        </w:rPr>
        <w:t>1</w:t>
      </w:r>
      <w:r>
        <w:t>4</w:t>
      </w:r>
      <w:r>
        <w:rPr>
          <w:rFonts w:hint="eastAsia"/>
        </w:rPr>
        <w:t>）系统在集群部署共享文件访问时使用对象存储。</w:t>
      </w:r>
    </w:p>
    <w:p w14:paraId="471D60E6">
      <w:r>
        <w:rPr>
          <w:rFonts w:hint="eastAsia"/>
        </w:rPr>
        <w:t>1</w:t>
      </w:r>
      <w:r>
        <w:t>5</w:t>
      </w:r>
      <w:r>
        <w:rPr>
          <w:rFonts w:hint="eastAsia"/>
        </w:rPr>
        <w:t>）满足国家保密标准及要求。</w:t>
      </w:r>
    </w:p>
    <w:p w14:paraId="1498BC0B">
      <w:r>
        <w:t>16）支持信创软硬件运行环境。</w:t>
      </w:r>
    </w:p>
    <w:p w14:paraId="349CD22C">
      <w:pPr>
        <w:pStyle w:val="3"/>
      </w:pPr>
      <w:r>
        <w:t>3.</w:t>
      </w:r>
      <w:r>
        <w:rPr>
          <w:rFonts w:hint="eastAsia"/>
        </w:rPr>
        <w:t xml:space="preserve"> 测试要求</w:t>
      </w:r>
    </w:p>
    <w:p w14:paraId="64F9151A">
      <w:r>
        <w:t>1</w:t>
      </w:r>
      <w:r>
        <w:rPr>
          <w:rFonts w:hint="eastAsia"/>
        </w:rPr>
        <w:t>）中</w:t>
      </w:r>
      <w:r>
        <w:t>选人应负责系统的单元</w:t>
      </w:r>
      <w:r>
        <w:rPr>
          <w:rFonts w:hint="eastAsia"/>
        </w:rPr>
        <w:t>、</w:t>
      </w:r>
      <w:r>
        <w:t>集成</w:t>
      </w:r>
      <w:r>
        <w:rPr>
          <w:rFonts w:hint="eastAsia"/>
        </w:rPr>
        <w:t>和系统</w:t>
      </w:r>
      <w:r>
        <w:t>测试，提交完整的测试案例及达到准出标准的单元</w:t>
      </w:r>
      <w:r>
        <w:rPr>
          <w:rFonts w:hint="eastAsia"/>
        </w:rPr>
        <w:t>、</w:t>
      </w:r>
      <w:r>
        <w:t>集成</w:t>
      </w:r>
      <w:r>
        <w:rPr>
          <w:rFonts w:hint="eastAsia"/>
        </w:rPr>
        <w:t>和系统</w:t>
      </w:r>
      <w:r>
        <w:t>测试报告。</w:t>
      </w:r>
    </w:p>
    <w:p w14:paraId="5CF9D54A">
      <w:r>
        <w:t>2</w:t>
      </w:r>
      <w:r>
        <w:rPr>
          <w:rFonts w:hint="eastAsia"/>
        </w:rPr>
        <w:t>）中</w:t>
      </w:r>
      <w:r>
        <w:t>选人应提供专职的性能测试负责人及性能测试人员进行系统的性能测试，提交满足系统性能指标的性能测试报告。</w:t>
      </w:r>
    </w:p>
    <w:p w14:paraId="398BD04A">
      <w:r>
        <w:t>3</w:t>
      </w:r>
      <w:r>
        <w:rPr>
          <w:rFonts w:hint="eastAsia"/>
        </w:rPr>
        <w:t>）中</w:t>
      </w:r>
      <w:r>
        <w:t>选人应指派专职的测试项目经理及项目成员进行系统测试，参照</w:t>
      </w:r>
      <w:r>
        <w:rPr>
          <w:rFonts w:hint="eastAsia"/>
        </w:rPr>
        <w:t>比选人</w:t>
      </w:r>
      <w:r>
        <w:t>系统测试准入准出标准。</w:t>
      </w:r>
    </w:p>
    <w:tbl>
      <w:tblPr>
        <w:tblStyle w:val="22"/>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6"/>
        <w:gridCol w:w="6889"/>
      </w:tblGrid>
      <w:tr w14:paraId="5590A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3A668AED">
            <w:pPr>
              <w:spacing w:line="240" w:lineRule="auto"/>
              <w:ind w:firstLine="0" w:firstLineChars="0"/>
              <w:jc w:val="center"/>
              <w:rPr>
                <w:b/>
                <w:szCs w:val="24"/>
              </w:rPr>
            </w:pPr>
            <w:r>
              <w:rPr>
                <w:rFonts w:hint="eastAsia"/>
                <w:b/>
                <w:szCs w:val="24"/>
              </w:rPr>
              <w:t>系统测试准入准出标准</w:t>
            </w:r>
          </w:p>
        </w:tc>
      </w:tr>
      <w:tr w14:paraId="4D528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403F2AE">
            <w:pPr>
              <w:spacing w:line="240" w:lineRule="auto"/>
              <w:ind w:firstLine="0" w:firstLineChars="0"/>
              <w:rPr>
                <w:b/>
                <w:szCs w:val="24"/>
              </w:rPr>
            </w:pPr>
            <w:r>
              <w:rPr>
                <w:rFonts w:hint="eastAsia"/>
                <w:b/>
                <w:szCs w:val="24"/>
              </w:rPr>
              <w:t>一、系统测试准入标准</w:t>
            </w:r>
          </w:p>
        </w:tc>
      </w:tr>
      <w:tr w14:paraId="2E665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6B515EA">
            <w:pPr>
              <w:spacing w:line="240" w:lineRule="auto"/>
              <w:ind w:firstLine="0" w:firstLineChars="0"/>
              <w:jc w:val="center"/>
              <w:rPr>
                <w:b/>
                <w:szCs w:val="24"/>
              </w:rPr>
            </w:pPr>
            <w:r>
              <w:rPr>
                <w:rFonts w:hint="eastAsia"/>
                <w:b/>
                <w:szCs w:val="24"/>
              </w:rPr>
              <w:t>阶段</w:t>
            </w:r>
          </w:p>
        </w:tc>
        <w:tc>
          <w:tcPr>
            <w:tcW w:w="6889" w:type="dxa"/>
            <w:tcBorders>
              <w:left w:val="single" w:color="auto" w:sz="6" w:space="0"/>
            </w:tcBorders>
            <w:shd w:val="clear" w:color="auto" w:fill="auto"/>
            <w:vAlign w:val="center"/>
          </w:tcPr>
          <w:p w14:paraId="5E31E48B">
            <w:pPr>
              <w:spacing w:line="240" w:lineRule="auto"/>
              <w:ind w:firstLine="0" w:firstLineChars="0"/>
              <w:jc w:val="center"/>
              <w:rPr>
                <w:b/>
                <w:szCs w:val="24"/>
              </w:rPr>
            </w:pPr>
            <w:r>
              <w:rPr>
                <w:rFonts w:hint="eastAsia"/>
                <w:b/>
                <w:szCs w:val="24"/>
              </w:rPr>
              <w:t>准入条件</w:t>
            </w:r>
          </w:p>
        </w:tc>
      </w:tr>
      <w:tr w14:paraId="10512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46FB037A">
            <w:pPr>
              <w:spacing w:line="240" w:lineRule="auto"/>
              <w:ind w:firstLine="0" w:firstLineChars="0"/>
              <w:jc w:val="center"/>
              <w:rPr>
                <w:szCs w:val="24"/>
              </w:rPr>
            </w:pPr>
            <w:r>
              <w:rPr>
                <w:rFonts w:hint="eastAsia"/>
                <w:szCs w:val="24"/>
              </w:rPr>
              <w:t>计划阶段</w:t>
            </w:r>
          </w:p>
        </w:tc>
        <w:tc>
          <w:tcPr>
            <w:tcW w:w="6889" w:type="dxa"/>
            <w:tcBorders>
              <w:left w:val="single" w:color="auto" w:sz="6" w:space="0"/>
            </w:tcBorders>
            <w:shd w:val="clear" w:color="auto" w:fill="auto"/>
            <w:vAlign w:val="center"/>
          </w:tcPr>
          <w:p w14:paraId="235D4C8C">
            <w:pPr>
              <w:spacing w:line="240" w:lineRule="auto"/>
              <w:ind w:firstLine="0" w:firstLineChars="0"/>
              <w:rPr>
                <w:szCs w:val="24"/>
              </w:rPr>
            </w:pPr>
            <w:r>
              <w:rPr>
                <w:rFonts w:hint="eastAsia"/>
                <w:szCs w:val="24"/>
              </w:rPr>
              <w:t>开发项目在立项之初应提交纸质测试服务申请单给测试负责人</w:t>
            </w:r>
          </w:p>
        </w:tc>
      </w:tr>
      <w:tr w14:paraId="26195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57A470B"/>
        </w:tc>
        <w:tc>
          <w:tcPr>
            <w:tcW w:w="6889" w:type="dxa"/>
            <w:tcBorders>
              <w:left w:val="single" w:color="auto" w:sz="6" w:space="0"/>
            </w:tcBorders>
            <w:shd w:val="clear" w:color="auto" w:fill="auto"/>
            <w:vAlign w:val="center"/>
          </w:tcPr>
          <w:p w14:paraId="63CEEADF">
            <w:pPr>
              <w:spacing w:line="240" w:lineRule="auto"/>
              <w:ind w:firstLine="0" w:firstLineChars="0"/>
              <w:rPr>
                <w:szCs w:val="24"/>
              </w:rPr>
            </w:pPr>
            <w:r>
              <w:rPr>
                <w:rFonts w:hint="eastAsia"/>
                <w:szCs w:val="24"/>
              </w:rPr>
              <w:t>开发项目整体项目计划必须包含系统测试计划或系统测试计划时间</w:t>
            </w:r>
          </w:p>
        </w:tc>
      </w:tr>
      <w:tr w14:paraId="73B1E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267297F7"/>
        </w:tc>
        <w:tc>
          <w:tcPr>
            <w:tcW w:w="6889" w:type="dxa"/>
            <w:tcBorders>
              <w:left w:val="single" w:color="auto" w:sz="6" w:space="0"/>
            </w:tcBorders>
            <w:shd w:val="clear" w:color="auto" w:fill="auto"/>
            <w:vAlign w:val="center"/>
          </w:tcPr>
          <w:p w14:paraId="27311F13">
            <w:pPr>
              <w:spacing w:line="240" w:lineRule="auto"/>
              <w:ind w:firstLine="0" w:firstLineChars="0"/>
              <w:rPr>
                <w:szCs w:val="24"/>
              </w:rPr>
            </w:pPr>
            <w:r>
              <w:rPr>
                <w:rFonts w:hint="eastAsia"/>
                <w:szCs w:val="24"/>
              </w:rPr>
              <w:t>测试方要求的需求说明书及相关说明书已经通过评审，并形成终稿；文档包括但不限于：业务需求、需求说明书、系统原型、概要设计（可选）、用户手册</w:t>
            </w:r>
          </w:p>
        </w:tc>
      </w:tr>
      <w:tr w14:paraId="159C9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479D86B9"/>
        </w:tc>
        <w:tc>
          <w:tcPr>
            <w:tcW w:w="6889" w:type="dxa"/>
            <w:tcBorders>
              <w:left w:val="single" w:color="auto" w:sz="6" w:space="0"/>
            </w:tcBorders>
            <w:shd w:val="clear" w:color="auto" w:fill="auto"/>
            <w:vAlign w:val="center"/>
          </w:tcPr>
          <w:p w14:paraId="69167434">
            <w:pPr>
              <w:spacing w:line="240" w:lineRule="auto"/>
              <w:ind w:firstLine="0" w:firstLineChars="0"/>
              <w:rPr>
                <w:szCs w:val="24"/>
              </w:rPr>
            </w:pPr>
            <w:r>
              <w:rPr>
                <w:rFonts w:hint="eastAsia"/>
                <w:szCs w:val="24"/>
              </w:rPr>
              <w:t>变更影响范围是否提供</w:t>
            </w:r>
          </w:p>
        </w:tc>
      </w:tr>
      <w:tr w14:paraId="618A3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2335216B">
            <w:pPr>
              <w:spacing w:line="240" w:lineRule="auto"/>
              <w:ind w:firstLine="0" w:firstLineChars="0"/>
              <w:jc w:val="center"/>
              <w:rPr>
                <w:szCs w:val="24"/>
              </w:rPr>
            </w:pPr>
            <w:r>
              <w:rPr>
                <w:rFonts w:hint="eastAsia"/>
                <w:szCs w:val="24"/>
              </w:rPr>
              <w:t>执行阶段</w:t>
            </w:r>
          </w:p>
        </w:tc>
        <w:tc>
          <w:tcPr>
            <w:tcW w:w="6889" w:type="dxa"/>
            <w:tcBorders>
              <w:left w:val="single" w:color="auto" w:sz="6" w:space="0"/>
            </w:tcBorders>
            <w:shd w:val="clear" w:color="auto" w:fill="auto"/>
            <w:vAlign w:val="center"/>
          </w:tcPr>
          <w:p w14:paraId="0706DC34">
            <w:pPr>
              <w:spacing w:line="240" w:lineRule="auto"/>
              <w:ind w:firstLine="0" w:firstLineChars="0"/>
              <w:rPr>
                <w:szCs w:val="24"/>
              </w:rPr>
            </w:pPr>
            <w:r>
              <w:rPr>
                <w:rFonts w:hint="eastAsia"/>
                <w:szCs w:val="24"/>
              </w:rPr>
              <w:t>提交的产品经过了开发自测(单元及集成测试），并提交了测试案例与测试报告，单元及集成测试案例密度不低于20条/每功能点，案例需求覆盖度100%，无致命及严重遗留问题</w:t>
            </w:r>
          </w:p>
        </w:tc>
      </w:tr>
      <w:tr w14:paraId="0B8E0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4FADB85E"/>
        </w:tc>
        <w:tc>
          <w:tcPr>
            <w:tcW w:w="6889" w:type="dxa"/>
            <w:tcBorders>
              <w:left w:val="single" w:color="auto" w:sz="6" w:space="0"/>
            </w:tcBorders>
            <w:shd w:val="clear" w:color="auto" w:fill="auto"/>
            <w:vAlign w:val="center"/>
          </w:tcPr>
          <w:p w14:paraId="51CA6F70">
            <w:pPr>
              <w:spacing w:line="240" w:lineRule="auto"/>
              <w:ind w:firstLine="0" w:firstLineChars="0"/>
              <w:rPr>
                <w:szCs w:val="24"/>
              </w:rPr>
            </w:pPr>
            <w:r>
              <w:rPr>
                <w:rFonts w:hint="eastAsia"/>
                <w:szCs w:val="24"/>
              </w:rPr>
              <w:t>系统测试案例准备就绪（案例密度为35条/每功能点）</w:t>
            </w:r>
          </w:p>
        </w:tc>
      </w:tr>
      <w:tr w14:paraId="2ABCB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1B46CB79"/>
        </w:tc>
        <w:tc>
          <w:tcPr>
            <w:tcW w:w="6889" w:type="dxa"/>
            <w:tcBorders>
              <w:left w:val="single" w:color="auto" w:sz="6" w:space="0"/>
            </w:tcBorders>
            <w:shd w:val="clear" w:color="auto" w:fill="auto"/>
            <w:vAlign w:val="center"/>
          </w:tcPr>
          <w:p w14:paraId="0780D533">
            <w:pPr>
              <w:spacing w:line="240" w:lineRule="auto"/>
              <w:ind w:firstLine="0" w:firstLineChars="0"/>
              <w:rPr>
                <w:szCs w:val="24"/>
              </w:rPr>
            </w:pPr>
            <w:r>
              <w:rPr>
                <w:rFonts w:hint="eastAsia"/>
                <w:szCs w:val="24"/>
              </w:rPr>
              <w:t>测试环境准备就绪</w:t>
            </w:r>
          </w:p>
        </w:tc>
      </w:tr>
      <w:tr w14:paraId="5DED5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A0B41A2"/>
        </w:tc>
        <w:tc>
          <w:tcPr>
            <w:tcW w:w="6889" w:type="dxa"/>
            <w:tcBorders>
              <w:left w:val="single" w:color="auto" w:sz="6" w:space="0"/>
            </w:tcBorders>
            <w:shd w:val="clear" w:color="auto" w:fill="auto"/>
            <w:vAlign w:val="center"/>
          </w:tcPr>
          <w:p w14:paraId="36ED574A">
            <w:pPr>
              <w:spacing w:line="240" w:lineRule="auto"/>
              <w:ind w:firstLine="0" w:firstLineChars="0"/>
              <w:rPr>
                <w:szCs w:val="24"/>
              </w:rPr>
            </w:pPr>
            <w:r>
              <w:rPr>
                <w:rFonts w:hint="eastAsia"/>
                <w:szCs w:val="24"/>
              </w:rPr>
              <w:t>测试版本能够成功部署到测试环境。（如果测试和开发处于同一环境，则在系统测试开始前应该按照开发提交的版本重新部署）</w:t>
            </w:r>
          </w:p>
        </w:tc>
      </w:tr>
      <w:tr w14:paraId="328CA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4E27120"/>
        </w:tc>
        <w:tc>
          <w:tcPr>
            <w:tcW w:w="6889" w:type="dxa"/>
            <w:tcBorders>
              <w:left w:val="single" w:color="auto" w:sz="6" w:space="0"/>
            </w:tcBorders>
            <w:shd w:val="clear" w:color="auto" w:fill="auto"/>
            <w:vAlign w:val="center"/>
          </w:tcPr>
          <w:p w14:paraId="691DB9D9">
            <w:pPr>
              <w:spacing w:line="240" w:lineRule="auto"/>
              <w:ind w:firstLine="0" w:firstLineChars="0"/>
              <w:rPr>
                <w:szCs w:val="24"/>
              </w:rPr>
            </w:pPr>
            <w:r>
              <w:rPr>
                <w:rFonts w:hint="eastAsia"/>
                <w:szCs w:val="24"/>
              </w:rPr>
              <w:t>冒烟测试达到通过标准（冒烟测试案例通过率大于90%，有效缺陷率不高于10%）</w:t>
            </w:r>
          </w:p>
        </w:tc>
      </w:tr>
      <w:tr w14:paraId="01342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39B468E6">
            <w:pPr>
              <w:spacing w:line="240" w:lineRule="auto"/>
              <w:ind w:firstLine="0" w:firstLineChars="0"/>
              <w:rPr>
                <w:b/>
                <w:szCs w:val="24"/>
              </w:rPr>
            </w:pPr>
            <w:r>
              <w:rPr>
                <w:rFonts w:hint="eastAsia"/>
                <w:b/>
                <w:szCs w:val="24"/>
              </w:rPr>
              <w:t>二、暂停/继续标准：满足下列之一的条件并由项目组审核同意，测试可以暂停</w:t>
            </w:r>
          </w:p>
        </w:tc>
      </w:tr>
      <w:tr w14:paraId="52518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7C3864A">
            <w:pPr>
              <w:spacing w:line="240" w:lineRule="auto"/>
              <w:ind w:firstLine="0" w:firstLineChars="0"/>
              <w:jc w:val="center"/>
              <w:rPr>
                <w:b/>
                <w:szCs w:val="24"/>
              </w:rPr>
            </w:pPr>
            <w:r>
              <w:rPr>
                <w:rFonts w:hint="eastAsia"/>
                <w:b/>
                <w:szCs w:val="24"/>
              </w:rPr>
              <w:t>序号</w:t>
            </w:r>
          </w:p>
        </w:tc>
        <w:tc>
          <w:tcPr>
            <w:tcW w:w="6889" w:type="dxa"/>
            <w:tcBorders>
              <w:left w:val="single" w:color="auto" w:sz="6" w:space="0"/>
            </w:tcBorders>
            <w:shd w:val="clear" w:color="auto" w:fill="auto"/>
            <w:vAlign w:val="center"/>
          </w:tcPr>
          <w:p w14:paraId="68CB50C2">
            <w:pPr>
              <w:spacing w:line="240" w:lineRule="auto"/>
              <w:ind w:firstLine="0" w:firstLineChars="0"/>
              <w:jc w:val="center"/>
              <w:rPr>
                <w:b/>
                <w:szCs w:val="24"/>
              </w:rPr>
            </w:pPr>
            <w:r>
              <w:rPr>
                <w:rFonts w:hint="eastAsia"/>
                <w:b/>
                <w:szCs w:val="24"/>
              </w:rPr>
              <w:t>暂停条件</w:t>
            </w:r>
          </w:p>
        </w:tc>
      </w:tr>
      <w:tr w14:paraId="726C3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45AB804">
            <w:pPr>
              <w:spacing w:line="240" w:lineRule="auto"/>
              <w:ind w:firstLine="0" w:firstLineChars="0"/>
              <w:jc w:val="center"/>
              <w:rPr>
                <w:szCs w:val="24"/>
              </w:rPr>
            </w:pPr>
            <w:r>
              <w:rPr>
                <w:rFonts w:hint="eastAsia"/>
                <w:szCs w:val="24"/>
              </w:rPr>
              <w:t>1</w:t>
            </w:r>
          </w:p>
        </w:tc>
        <w:tc>
          <w:tcPr>
            <w:tcW w:w="6889" w:type="dxa"/>
            <w:tcBorders>
              <w:left w:val="single" w:color="auto" w:sz="6" w:space="0"/>
            </w:tcBorders>
            <w:shd w:val="clear" w:color="auto" w:fill="auto"/>
            <w:vAlign w:val="center"/>
          </w:tcPr>
          <w:p w14:paraId="18E69B48">
            <w:pPr>
              <w:spacing w:line="240" w:lineRule="auto"/>
              <w:ind w:firstLine="0" w:firstLineChars="0"/>
              <w:rPr>
                <w:szCs w:val="24"/>
              </w:rPr>
            </w:pPr>
            <w:r>
              <w:rPr>
                <w:rFonts w:hint="eastAsia"/>
                <w:szCs w:val="24"/>
              </w:rPr>
              <w:t>由于程序、环境原因导致测试无法进行</w:t>
            </w:r>
          </w:p>
        </w:tc>
      </w:tr>
      <w:tr w14:paraId="4B1C9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9B7A7E6">
            <w:pPr>
              <w:spacing w:line="240" w:lineRule="auto"/>
              <w:ind w:firstLine="0" w:firstLineChars="0"/>
              <w:jc w:val="center"/>
              <w:rPr>
                <w:szCs w:val="24"/>
              </w:rPr>
            </w:pPr>
            <w:r>
              <w:rPr>
                <w:rFonts w:hint="eastAsia"/>
                <w:szCs w:val="24"/>
              </w:rPr>
              <w:t>2</w:t>
            </w:r>
          </w:p>
        </w:tc>
        <w:tc>
          <w:tcPr>
            <w:tcW w:w="6889" w:type="dxa"/>
            <w:tcBorders>
              <w:left w:val="single" w:color="auto" w:sz="6" w:space="0"/>
            </w:tcBorders>
            <w:shd w:val="clear" w:color="auto" w:fill="auto"/>
            <w:vAlign w:val="center"/>
          </w:tcPr>
          <w:p w14:paraId="4FC555A0">
            <w:pPr>
              <w:spacing w:line="240" w:lineRule="auto"/>
              <w:ind w:firstLine="0" w:firstLineChars="0"/>
              <w:rPr>
                <w:szCs w:val="24"/>
              </w:rPr>
            </w:pPr>
            <w:r>
              <w:rPr>
                <w:rFonts w:hint="eastAsia"/>
                <w:szCs w:val="24"/>
              </w:rPr>
              <w:t>项目暂停，已无测试必要</w:t>
            </w:r>
          </w:p>
        </w:tc>
      </w:tr>
      <w:tr w14:paraId="003F9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EB63A47">
            <w:pPr>
              <w:spacing w:line="240" w:lineRule="auto"/>
              <w:ind w:firstLine="0" w:firstLineChars="0"/>
              <w:jc w:val="center"/>
              <w:rPr>
                <w:szCs w:val="24"/>
              </w:rPr>
            </w:pPr>
            <w:r>
              <w:rPr>
                <w:rFonts w:hint="eastAsia"/>
                <w:szCs w:val="24"/>
              </w:rPr>
              <w:t>4</w:t>
            </w:r>
          </w:p>
        </w:tc>
        <w:tc>
          <w:tcPr>
            <w:tcW w:w="6889" w:type="dxa"/>
            <w:tcBorders>
              <w:left w:val="single" w:color="auto" w:sz="6" w:space="0"/>
            </w:tcBorders>
            <w:shd w:val="clear" w:color="auto" w:fill="auto"/>
            <w:vAlign w:val="center"/>
          </w:tcPr>
          <w:p w14:paraId="51F43930">
            <w:pPr>
              <w:spacing w:line="240" w:lineRule="auto"/>
              <w:ind w:firstLine="0" w:firstLineChars="0"/>
              <w:rPr>
                <w:szCs w:val="24"/>
              </w:rPr>
            </w:pPr>
            <w:r>
              <w:rPr>
                <w:rFonts w:hint="eastAsia"/>
                <w:szCs w:val="24"/>
              </w:rPr>
              <w:t>测试需求稳定指数小于70%，则暂停测试执行</w:t>
            </w:r>
          </w:p>
        </w:tc>
      </w:tr>
      <w:tr w14:paraId="236A6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104E34A">
            <w:pPr>
              <w:spacing w:line="240" w:lineRule="auto"/>
              <w:ind w:firstLine="0" w:firstLineChars="0"/>
              <w:jc w:val="center"/>
              <w:rPr>
                <w:szCs w:val="24"/>
              </w:rPr>
            </w:pPr>
            <w:r>
              <w:rPr>
                <w:rFonts w:hint="eastAsia"/>
                <w:szCs w:val="24"/>
              </w:rPr>
              <w:t>5</w:t>
            </w:r>
          </w:p>
        </w:tc>
        <w:tc>
          <w:tcPr>
            <w:tcW w:w="6889" w:type="dxa"/>
            <w:tcBorders>
              <w:left w:val="single" w:color="auto" w:sz="6" w:space="0"/>
            </w:tcBorders>
            <w:shd w:val="clear" w:color="auto" w:fill="auto"/>
            <w:vAlign w:val="center"/>
          </w:tcPr>
          <w:p w14:paraId="758EF5FA">
            <w:pPr>
              <w:spacing w:line="240" w:lineRule="auto"/>
              <w:ind w:firstLine="0" w:firstLineChars="0"/>
              <w:rPr>
                <w:szCs w:val="24"/>
              </w:rPr>
            </w:pPr>
            <w:r>
              <w:rPr>
                <w:rFonts w:hint="eastAsia"/>
                <w:szCs w:val="24"/>
              </w:rPr>
              <w:t>每个里程碑节点或执行轮次案例执行通过率低于60%，则暂停测试执行</w:t>
            </w:r>
          </w:p>
        </w:tc>
      </w:tr>
      <w:tr w14:paraId="349F9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906EE9E">
            <w:pPr>
              <w:spacing w:line="240" w:lineRule="auto"/>
              <w:ind w:firstLine="0" w:firstLineChars="0"/>
              <w:jc w:val="center"/>
              <w:rPr>
                <w:szCs w:val="24"/>
              </w:rPr>
            </w:pPr>
            <w:r>
              <w:rPr>
                <w:rFonts w:hint="eastAsia"/>
                <w:szCs w:val="24"/>
              </w:rPr>
              <w:t>6</w:t>
            </w:r>
          </w:p>
        </w:tc>
        <w:tc>
          <w:tcPr>
            <w:tcW w:w="6889" w:type="dxa"/>
            <w:tcBorders>
              <w:left w:val="single" w:color="auto" w:sz="6" w:space="0"/>
            </w:tcBorders>
            <w:shd w:val="clear" w:color="auto" w:fill="auto"/>
            <w:vAlign w:val="center"/>
          </w:tcPr>
          <w:p w14:paraId="60DC9B0E">
            <w:pPr>
              <w:spacing w:line="240" w:lineRule="auto"/>
              <w:ind w:firstLine="0" w:firstLineChars="0"/>
              <w:rPr>
                <w:szCs w:val="24"/>
              </w:rPr>
            </w:pPr>
            <w:r>
              <w:rPr>
                <w:rFonts w:hint="eastAsia"/>
                <w:szCs w:val="24"/>
              </w:rPr>
              <w:t>每个里程碑节点或执行轮次缺陷解决率低于50%，则暂停测试执行</w:t>
            </w:r>
          </w:p>
        </w:tc>
      </w:tr>
      <w:tr w14:paraId="4CB24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5699D92">
            <w:pPr>
              <w:spacing w:line="240" w:lineRule="auto"/>
              <w:ind w:firstLine="0" w:firstLineChars="0"/>
              <w:jc w:val="center"/>
              <w:rPr>
                <w:szCs w:val="24"/>
              </w:rPr>
            </w:pPr>
            <w:r>
              <w:rPr>
                <w:rFonts w:hint="eastAsia"/>
                <w:szCs w:val="24"/>
              </w:rPr>
              <w:t>7</w:t>
            </w:r>
          </w:p>
        </w:tc>
        <w:tc>
          <w:tcPr>
            <w:tcW w:w="6889" w:type="dxa"/>
            <w:tcBorders>
              <w:left w:val="single" w:color="auto" w:sz="6" w:space="0"/>
            </w:tcBorders>
            <w:shd w:val="clear" w:color="auto" w:fill="auto"/>
            <w:vAlign w:val="center"/>
          </w:tcPr>
          <w:p w14:paraId="2B80C384">
            <w:pPr>
              <w:spacing w:line="240" w:lineRule="auto"/>
              <w:ind w:firstLine="0" w:firstLineChars="0"/>
              <w:rPr>
                <w:szCs w:val="24"/>
              </w:rPr>
            </w:pPr>
            <w:r>
              <w:rPr>
                <w:rFonts w:hint="eastAsia"/>
                <w:szCs w:val="24"/>
              </w:rPr>
              <w:t>每个里程碑节点或执行轮次缺陷的案例命中率大于25%，则暂停测试执行</w:t>
            </w:r>
          </w:p>
        </w:tc>
      </w:tr>
      <w:tr w14:paraId="7FD18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74DFF17">
            <w:pPr>
              <w:spacing w:line="240" w:lineRule="auto"/>
              <w:ind w:firstLine="0" w:firstLineChars="0"/>
              <w:jc w:val="center"/>
              <w:rPr>
                <w:szCs w:val="24"/>
              </w:rPr>
            </w:pPr>
            <w:r>
              <w:rPr>
                <w:rFonts w:hint="eastAsia"/>
                <w:szCs w:val="24"/>
              </w:rPr>
              <w:t>8</w:t>
            </w:r>
          </w:p>
        </w:tc>
        <w:tc>
          <w:tcPr>
            <w:tcW w:w="6889" w:type="dxa"/>
            <w:tcBorders>
              <w:left w:val="single" w:color="auto" w:sz="6" w:space="0"/>
            </w:tcBorders>
            <w:shd w:val="clear" w:color="auto" w:fill="auto"/>
            <w:vAlign w:val="center"/>
          </w:tcPr>
          <w:p w14:paraId="790AC855">
            <w:pPr>
              <w:spacing w:line="240" w:lineRule="auto"/>
              <w:ind w:firstLine="0" w:firstLineChars="0"/>
              <w:rPr>
                <w:szCs w:val="24"/>
              </w:rPr>
            </w:pPr>
            <w:r>
              <w:rPr>
                <w:rFonts w:hint="eastAsia"/>
                <w:szCs w:val="24"/>
              </w:rPr>
              <w:t>每个里程碑节点或执行轮次严重以上缺陷占比大于35%，则暂停测试执行</w:t>
            </w:r>
          </w:p>
        </w:tc>
      </w:tr>
      <w:tr w14:paraId="56DB4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59FB655">
            <w:pPr>
              <w:spacing w:line="240" w:lineRule="auto"/>
              <w:ind w:firstLine="0" w:firstLineChars="0"/>
              <w:jc w:val="center"/>
              <w:rPr>
                <w:szCs w:val="24"/>
              </w:rPr>
            </w:pPr>
            <w:r>
              <w:rPr>
                <w:rFonts w:hint="eastAsia"/>
                <w:szCs w:val="24"/>
              </w:rPr>
              <w:t>9</w:t>
            </w:r>
          </w:p>
        </w:tc>
        <w:tc>
          <w:tcPr>
            <w:tcW w:w="6889" w:type="dxa"/>
            <w:tcBorders>
              <w:left w:val="single" w:color="auto" w:sz="6" w:space="0"/>
            </w:tcBorders>
            <w:shd w:val="clear" w:color="auto" w:fill="auto"/>
            <w:vAlign w:val="center"/>
          </w:tcPr>
          <w:p w14:paraId="37EA1AA4">
            <w:pPr>
              <w:spacing w:line="240" w:lineRule="auto"/>
              <w:ind w:firstLine="0" w:firstLineChars="0"/>
              <w:rPr>
                <w:szCs w:val="24"/>
              </w:rPr>
            </w:pPr>
            <w:r>
              <w:rPr>
                <w:rFonts w:hint="eastAsia"/>
                <w:szCs w:val="24"/>
              </w:rPr>
              <w:t>测试环境、测试数据、测试人员等等测试必备条件不再具备或发生变化导致测试不能进行，则暂停测试执行</w:t>
            </w:r>
          </w:p>
        </w:tc>
      </w:tr>
      <w:tr w14:paraId="1405C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96E1013">
            <w:pPr>
              <w:spacing w:line="240" w:lineRule="auto"/>
              <w:ind w:firstLine="0" w:firstLineChars="0"/>
              <w:jc w:val="center"/>
              <w:rPr>
                <w:szCs w:val="24"/>
              </w:rPr>
            </w:pPr>
            <w:r>
              <w:rPr>
                <w:rFonts w:hint="eastAsia"/>
                <w:szCs w:val="24"/>
              </w:rPr>
              <w:t>10</w:t>
            </w:r>
          </w:p>
        </w:tc>
        <w:tc>
          <w:tcPr>
            <w:tcW w:w="6889" w:type="dxa"/>
            <w:tcBorders>
              <w:left w:val="single" w:color="auto" w:sz="6" w:space="0"/>
            </w:tcBorders>
            <w:shd w:val="clear" w:color="auto" w:fill="auto"/>
            <w:vAlign w:val="center"/>
          </w:tcPr>
          <w:p w14:paraId="3ACF58CB">
            <w:pPr>
              <w:spacing w:line="240" w:lineRule="auto"/>
              <w:ind w:firstLine="0" w:firstLineChars="0"/>
              <w:rPr>
                <w:szCs w:val="24"/>
              </w:rPr>
            </w:pPr>
            <w:r>
              <w:rPr>
                <w:rFonts w:hint="eastAsia"/>
                <w:szCs w:val="24"/>
              </w:rPr>
              <w:t>项目组确定的可以暂停的其他条件</w:t>
            </w:r>
          </w:p>
        </w:tc>
      </w:tr>
      <w:tr w14:paraId="47F00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8798D49">
            <w:pPr>
              <w:spacing w:line="240" w:lineRule="auto"/>
              <w:ind w:firstLine="0" w:firstLineChars="0"/>
              <w:jc w:val="center"/>
              <w:rPr>
                <w:szCs w:val="24"/>
              </w:rPr>
            </w:pPr>
            <w:r>
              <w:rPr>
                <w:rFonts w:hint="eastAsia"/>
                <w:szCs w:val="24"/>
              </w:rPr>
              <w:t>11</w:t>
            </w:r>
          </w:p>
        </w:tc>
        <w:tc>
          <w:tcPr>
            <w:tcW w:w="6889" w:type="dxa"/>
            <w:tcBorders>
              <w:left w:val="single" w:color="auto" w:sz="6" w:space="0"/>
            </w:tcBorders>
            <w:shd w:val="clear" w:color="auto" w:fill="auto"/>
            <w:vAlign w:val="center"/>
          </w:tcPr>
          <w:p w14:paraId="6DCF0E58">
            <w:pPr>
              <w:spacing w:line="240" w:lineRule="auto"/>
              <w:ind w:firstLine="0" w:firstLineChars="0"/>
              <w:rPr>
                <w:szCs w:val="24"/>
              </w:rPr>
            </w:pPr>
            <w:r>
              <w:rPr>
                <w:rFonts w:hint="eastAsia"/>
                <w:szCs w:val="24"/>
              </w:rPr>
              <w:t>恢复以上的条件并由项目组审核同意，测试可以继续</w:t>
            </w:r>
          </w:p>
        </w:tc>
      </w:tr>
      <w:tr w14:paraId="6E1F2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3ED5E17">
            <w:pPr>
              <w:spacing w:line="240" w:lineRule="auto"/>
              <w:ind w:firstLine="0" w:firstLineChars="0"/>
              <w:rPr>
                <w:b/>
                <w:szCs w:val="24"/>
              </w:rPr>
            </w:pPr>
            <w:r>
              <w:rPr>
                <w:rFonts w:hint="eastAsia"/>
                <w:b/>
                <w:szCs w:val="24"/>
              </w:rPr>
              <w:t>三、系统测试准出标准：同时满足以下条件，系统测试完成</w:t>
            </w:r>
          </w:p>
        </w:tc>
      </w:tr>
      <w:tr w14:paraId="709D7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49426C1">
            <w:pPr>
              <w:spacing w:line="240" w:lineRule="auto"/>
              <w:ind w:firstLine="0" w:firstLineChars="0"/>
              <w:jc w:val="center"/>
              <w:rPr>
                <w:b/>
                <w:szCs w:val="24"/>
              </w:rPr>
            </w:pPr>
            <w:r>
              <w:rPr>
                <w:rFonts w:hint="eastAsia"/>
                <w:b/>
                <w:szCs w:val="24"/>
              </w:rPr>
              <w:t>序号</w:t>
            </w:r>
          </w:p>
        </w:tc>
        <w:tc>
          <w:tcPr>
            <w:tcW w:w="6889" w:type="dxa"/>
            <w:tcBorders>
              <w:left w:val="single" w:color="auto" w:sz="6" w:space="0"/>
            </w:tcBorders>
            <w:shd w:val="clear" w:color="auto" w:fill="auto"/>
            <w:vAlign w:val="center"/>
          </w:tcPr>
          <w:p w14:paraId="49B719B2">
            <w:pPr>
              <w:spacing w:line="240" w:lineRule="auto"/>
              <w:ind w:firstLine="0" w:firstLineChars="0"/>
              <w:jc w:val="center"/>
              <w:rPr>
                <w:b/>
                <w:szCs w:val="24"/>
              </w:rPr>
            </w:pPr>
            <w:r>
              <w:rPr>
                <w:rFonts w:hint="eastAsia"/>
                <w:b/>
                <w:szCs w:val="24"/>
              </w:rPr>
              <w:t>准出条件</w:t>
            </w:r>
          </w:p>
        </w:tc>
      </w:tr>
      <w:tr w14:paraId="24690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0AA3C29">
            <w:pPr>
              <w:spacing w:line="240" w:lineRule="auto"/>
              <w:ind w:firstLine="0" w:firstLineChars="0"/>
              <w:jc w:val="center"/>
              <w:rPr>
                <w:szCs w:val="24"/>
              </w:rPr>
            </w:pPr>
            <w:r>
              <w:rPr>
                <w:rFonts w:hint="eastAsia"/>
                <w:szCs w:val="24"/>
              </w:rPr>
              <w:t>1</w:t>
            </w:r>
          </w:p>
        </w:tc>
        <w:tc>
          <w:tcPr>
            <w:tcW w:w="6889" w:type="dxa"/>
            <w:tcBorders>
              <w:left w:val="single" w:color="auto" w:sz="6" w:space="0"/>
            </w:tcBorders>
            <w:shd w:val="clear" w:color="auto" w:fill="auto"/>
            <w:vAlign w:val="center"/>
          </w:tcPr>
          <w:p w14:paraId="10E1A453">
            <w:pPr>
              <w:spacing w:line="240" w:lineRule="auto"/>
              <w:ind w:firstLine="0" w:firstLineChars="0"/>
              <w:rPr>
                <w:szCs w:val="24"/>
              </w:rPr>
            </w:pPr>
            <w:r>
              <w:rPr>
                <w:rFonts w:hint="eastAsia"/>
                <w:szCs w:val="24"/>
              </w:rPr>
              <w:t>测试需求覆盖率达到100%，测试案例覆盖度100%</w:t>
            </w:r>
          </w:p>
        </w:tc>
      </w:tr>
      <w:tr w14:paraId="4FC1C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2BC92D8">
            <w:pPr>
              <w:spacing w:line="240" w:lineRule="auto"/>
              <w:ind w:firstLine="0" w:firstLineChars="0"/>
              <w:jc w:val="center"/>
              <w:rPr>
                <w:szCs w:val="24"/>
              </w:rPr>
            </w:pPr>
            <w:r>
              <w:rPr>
                <w:rFonts w:hint="eastAsia"/>
                <w:szCs w:val="24"/>
              </w:rPr>
              <w:t>2</w:t>
            </w:r>
          </w:p>
        </w:tc>
        <w:tc>
          <w:tcPr>
            <w:tcW w:w="6889" w:type="dxa"/>
            <w:tcBorders>
              <w:left w:val="single" w:color="auto" w:sz="6" w:space="0"/>
            </w:tcBorders>
            <w:shd w:val="clear" w:color="auto" w:fill="auto"/>
            <w:vAlign w:val="center"/>
          </w:tcPr>
          <w:p w14:paraId="0DFAAF23">
            <w:pPr>
              <w:spacing w:line="240" w:lineRule="auto"/>
              <w:ind w:firstLine="0" w:firstLineChars="0"/>
              <w:rPr>
                <w:szCs w:val="24"/>
              </w:rPr>
            </w:pPr>
            <w:r>
              <w:rPr>
                <w:rFonts w:hint="eastAsia"/>
                <w:szCs w:val="24"/>
              </w:rPr>
              <w:t>测试案例执行率达到100%，测试通过率95%</w:t>
            </w:r>
          </w:p>
        </w:tc>
      </w:tr>
      <w:tr w14:paraId="25A74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07A1A1F">
            <w:pPr>
              <w:spacing w:line="240" w:lineRule="auto"/>
              <w:ind w:firstLine="0" w:firstLineChars="0"/>
              <w:jc w:val="center"/>
              <w:rPr>
                <w:szCs w:val="24"/>
              </w:rPr>
            </w:pPr>
            <w:r>
              <w:rPr>
                <w:rFonts w:hint="eastAsia"/>
                <w:szCs w:val="24"/>
              </w:rPr>
              <w:t>3</w:t>
            </w:r>
          </w:p>
        </w:tc>
        <w:tc>
          <w:tcPr>
            <w:tcW w:w="6889" w:type="dxa"/>
            <w:tcBorders>
              <w:left w:val="single" w:color="auto" w:sz="6" w:space="0"/>
            </w:tcBorders>
            <w:shd w:val="clear" w:color="auto" w:fill="auto"/>
            <w:vAlign w:val="center"/>
          </w:tcPr>
          <w:p w14:paraId="2CCB5973">
            <w:pPr>
              <w:spacing w:line="240" w:lineRule="auto"/>
              <w:ind w:firstLine="0" w:firstLineChars="0"/>
              <w:rPr>
                <w:szCs w:val="24"/>
              </w:rPr>
            </w:pPr>
            <w:r>
              <w:rPr>
                <w:rFonts w:hint="eastAsia"/>
                <w:szCs w:val="24"/>
              </w:rPr>
              <w:t>缺陷修复率达到95%</w:t>
            </w:r>
          </w:p>
        </w:tc>
      </w:tr>
      <w:tr w14:paraId="622A5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1605DDB">
            <w:pPr>
              <w:spacing w:line="240" w:lineRule="auto"/>
              <w:ind w:firstLine="0" w:firstLineChars="0"/>
              <w:jc w:val="center"/>
              <w:rPr>
                <w:szCs w:val="24"/>
              </w:rPr>
            </w:pPr>
            <w:r>
              <w:rPr>
                <w:rFonts w:hint="eastAsia"/>
                <w:szCs w:val="24"/>
              </w:rPr>
              <w:t>4</w:t>
            </w:r>
          </w:p>
        </w:tc>
        <w:tc>
          <w:tcPr>
            <w:tcW w:w="6889" w:type="dxa"/>
            <w:tcBorders>
              <w:left w:val="single" w:color="auto" w:sz="6" w:space="0"/>
            </w:tcBorders>
            <w:shd w:val="clear" w:color="auto" w:fill="auto"/>
            <w:vAlign w:val="center"/>
          </w:tcPr>
          <w:p w14:paraId="34B8F638">
            <w:pPr>
              <w:spacing w:line="240" w:lineRule="auto"/>
              <w:ind w:firstLine="0" w:firstLineChars="0"/>
              <w:rPr>
                <w:szCs w:val="24"/>
              </w:rPr>
            </w:pPr>
            <w:r>
              <w:rPr>
                <w:rFonts w:hint="eastAsia"/>
                <w:szCs w:val="24"/>
              </w:rPr>
              <w:t>致命缺陷、严重缺陷解决率达到100%</w:t>
            </w:r>
          </w:p>
        </w:tc>
      </w:tr>
      <w:tr w14:paraId="516BE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66AD3F6">
            <w:pPr>
              <w:spacing w:line="240" w:lineRule="auto"/>
              <w:ind w:firstLine="0" w:firstLineChars="0"/>
              <w:jc w:val="center"/>
              <w:rPr>
                <w:szCs w:val="24"/>
              </w:rPr>
            </w:pPr>
            <w:r>
              <w:rPr>
                <w:rFonts w:hint="eastAsia"/>
                <w:szCs w:val="24"/>
              </w:rPr>
              <w:t>5</w:t>
            </w:r>
          </w:p>
        </w:tc>
        <w:tc>
          <w:tcPr>
            <w:tcW w:w="6889" w:type="dxa"/>
            <w:tcBorders>
              <w:left w:val="single" w:color="auto" w:sz="6" w:space="0"/>
            </w:tcBorders>
            <w:shd w:val="clear" w:color="auto" w:fill="auto"/>
            <w:vAlign w:val="center"/>
          </w:tcPr>
          <w:p w14:paraId="39A2473A">
            <w:pPr>
              <w:spacing w:line="240" w:lineRule="auto"/>
              <w:ind w:firstLine="0" w:firstLineChars="0"/>
              <w:rPr>
                <w:szCs w:val="24"/>
              </w:rPr>
            </w:pPr>
            <w:r>
              <w:rPr>
                <w:rFonts w:hint="eastAsia"/>
                <w:szCs w:val="24"/>
              </w:rPr>
              <w:t>一般缺陷、微小缺陷解决率达到90%以上，建议缺陷解决率达到80%以上，且未解决缺陷得项目组认可</w:t>
            </w:r>
          </w:p>
        </w:tc>
      </w:tr>
      <w:tr w14:paraId="71BD1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47F9140">
            <w:pPr>
              <w:spacing w:line="240" w:lineRule="auto"/>
              <w:ind w:firstLine="0" w:firstLineChars="0"/>
              <w:jc w:val="center"/>
              <w:rPr>
                <w:szCs w:val="24"/>
              </w:rPr>
            </w:pPr>
            <w:r>
              <w:rPr>
                <w:rFonts w:hint="eastAsia"/>
                <w:szCs w:val="24"/>
              </w:rPr>
              <w:t>6</w:t>
            </w:r>
          </w:p>
        </w:tc>
        <w:tc>
          <w:tcPr>
            <w:tcW w:w="6889" w:type="dxa"/>
            <w:tcBorders>
              <w:left w:val="single" w:color="auto" w:sz="6" w:space="0"/>
            </w:tcBorders>
            <w:shd w:val="clear" w:color="auto" w:fill="auto"/>
            <w:vAlign w:val="center"/>
          </w:tcPr>
          <w:p w14:paraId="52E5CDD4">
            <w:pPr>
              <w:spacing w:line="240" w:lineRule="auto"/>
              <w:ind w:firstLine="0" w:firstLineChars="0"/>
              <w:rPr>
                <w:szCs w:val="24"/>
              </w:rPr>
            </w:pPr>
            <w:r>
              <w:rPr>
                <w:rFonts w:hint="eastAsia"/>
                <w:szCs w:val="24"/>
              </w:rPr>
              <w:t>提交系统测试报告及通过评审</w:t>
            </w:r>
          </w:p>
        </w:tc>
      </w:tr>
      <w:tr w14:paraId="7C9C9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A9B3D42">
            <w:pPr>
              <w:spacing w:line="240" w:lineRule="auto"/>
              <w:ind w:firstLine="0" w:firstLineChars="0"/>
              <w:rPr>
                <w:b/>
                <w:szCs w:val="24"/>
              </w:rPr>
            </w:pPr>
            <w:r>
              <w:rPr>
                <w:rFonts w:hint="eastAsia"/>
                <w:b/>
                <w:szCs w:val="24"/>
              </w:rPr>
              <w:t>四、测试指标公式附录</w:t>
            </w:r>
          </w:p>
        </w:tc>
      </w:tr>
      <w:tr w14:paraId="2254B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F7EA6FB">
            <w:pPr>
              <w:spacing w:line="240" w:lineRule="auto"/>
              <w:ind w:firstLine="0" w:firstLineChars="0"/>
              <w:jc w:val="center"/>
              <w:rPr>
                <w:b/>
                <w:szCs w:val="24"/>
              </w:rPr>
            </w:pPr>
            <w:r>
              <w:rPr>
                <w:rFonts w:hint="eastAsia"/>
                <w:b/>
                <w:szCs w:val="24"/>
              </w:rPr>
              <w:t>TPI</w:t>
            </w:r>
          </w:p>
        </w:tc>
        <w:tc>
          <w:tcPr>
            <w:tcW w:w="6889" w:type="dxa"/>
            <w:tcBorders>
              <w:left w:val="single" w:color="auto" w:sz="6" w:space="0"/>
            </w:tcBorders>
            <w:shd w:val="clear" w:color="auto" w:fill="auto"/>
            <w:vAlign w:val="center"/>
          </w:tcPr>
          <w:p w14:paraId="6B172FB3">
            <w:pPr>
              <w:spacing w:line="240" w:lineRule="auto"/>
              <w:ind w:firstLine="0" w:firstLineChars="0"/>
              <w:jc w:val="center"/>
              <w:rPr>
                <w:b/>
                <w:szCs w:val="24"/>
              </w:rPr>
            </w:pPr>
            <w:r>
              <w:rPr>
                <w:rFonts w:hint="eastAsia"/>
                <w:b/>
                <w:szCs w:val="24"/>
              </w:rPr>
              <w:t>公式</w:t>
            </w:r>
          </w:p>
        </w:tc>
      </w:tr>
      <w:tr w14:paraId="51984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75F97C2">
            <w:pPr>
              <w:spacing w:line="240" w:lineRule="auto"/>
              <w:ind w:firstLine="0" w:firstLineChars="0"/>
              <w:rPr>
                <w:szCs w:val="24"/>
              </w:rPr>
            </w:pPr>
            <w:r>
              <w:rPr>
                <w:rFonts w:hint="eastAsia"/>
                <w:szCs w:val="24"/>
              </w:rPr>
              <w:t>测试需求覆盖率</w:t>
            </w:r>
          </w:p>
        </w:tc>
        <w:tc>
          <w:tcPr>
            <w:tcW w:w="6889" w:type="dxa"/>
            <w:tcBorders>
              <w:left w:val="single" w:color="auto" w:sz="6" w:space="0"/>
            </w:tcBorders>
            <w:shd w:val="clear" w:color="auto" w:fill="auto"/>
            <w:vAlign w:val="center"/>
          </w:tcPr>
          <w:p w14:paraId="2B14AB48">
            <w:pPr>
              <w:spacing w:line="240" w:lineRule="auto"/>
              <w:ind w:firstLine="0" w:firstLineChars="0"/>
              <w:rPr>
                <w:szCs w:val="24"/>
              </w:rPr>
            </w:pPr>
            <w:r>
              <w:rPr>
                <w:rFonts w:hint="eastAsia"/>
                <w:szCs w:val="24"/>
              </w:rPr>
              <w:t>测试需求覆盖点/软件需求功能点</w:t>
            </w:r>
          </w:p>
        </w:tc>
      </w:tr>
      <w:tr w14:paraId="747FC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EED5D71">
            <w:pPr>
              <w:spacing w:line="240" w:lineRule="auto"/>
              <w:ind w:firstLine="0" w:firstLineChars="0"/>
              <w:rPr>
                <w:szCs w:val="24"/>
              </w:rPr>
            </w:pPr>
            <w:r>
              <w:rPr>
                <w:rFonts w:hint="eastAsia"/>
                <w:szCs w:val="24"/>
              </w:rPr>
              <w:t>有效案例总数</w:t>
            </w:r>
          </w:p>
        </w:tc>
        <w:tc>
          <w:tcPr>
            <w:tcW w:w="6889" w:type="dxa"/>
            <w:tcBorders>
              <w:left w:val="single" w:color="auto" w:sz="6" w:space="0"/>
            </w:tcBorders>
            <w:shd w:val="clear" w:color="auto" w:fill="auto"/>
            <w:vAlign w:val="center"/>
          </w:tcPr>
          <w:p w14:paraId="361ACF4D">
            <w:pPr>
              <w:spacing w:line="240" w:lineRule="auto"/>
              <w:ind w:firstLine="0" w:firstLineChars="0"/>
              <w:rPr>
                <w:szCs w:val="24"/>
              </w:rPr>
            </w:pPr>
            <w:r>
              <w:rPr>
                <w:rFonts w:hint="eastAsia"/>
                <w:szCs w:val="24"/>
              </w:rPr>
              <w:t>案例总数-无效案例总数</w:t>
            </w:r>
          </w:p>
        </w:tc>
      </w:tr>
      <w:tr w14:paraId="5DB47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5B3DEE5">
            <w:pPr>
              <w:spacing w:line="240" w:lineRule="auto"/>
              <w:ind w:firstLine="0" w:firstLineChars="0"/>
              <w:rPr>
                <w:szCs w:val="24"/>
              </w:rPr>
            </w:pPr>
            <w:r>
              <w:rPr>
                <w:rFonts w:hint="eastAsia"/>
                <w:szCs w:val="24"/>
              </w:rPr>
              <w:t>有效缺陷总数</w:t>
            </w:r>
          </w:p>
        </w:tc>
        <w:tc>
          <w:tcPr>
            <w:tcW w:w="6889" w:type="dxa"/>
            <w:tcBorders>
              <w:left w:val="single" w:color="auto" w:sz="6" w:space="0"/>
            </w:tcBorders>
            <w:shd w:val="clear" w:color="auto" w:fill="auto"/>
            <w:vAlign w:val="center"/>
          </w:tcPr>
          <w:p w14:paraId="2D3A0A7A">
            <w:pPr>
              <w:spacing w:line="240" w:lineRule="auto"/>
              <w:ind w:firstLine="0" w:firstLineChars="0"/>
              <w:rPr>
                <w:szCs w:val="24"/>
              </w:rPr>
            </w:pPr>
            <w:r>
              <w:rPr>
                <w:rFonts w:hint="eastAsia"/>
                <w:szCs w:val="24"/>
              </w:rPr>
              <w:t>缺陷总数-无效缺陷总数-伪缺陷总数</w:t>
            </w:r>
          </w:p>
        </w:tc>
      </w:tr>
      <w:tr w14:paraId="32285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BB1F86C">
            <w:pPr>
              <w:spacing w:line="240" w:lineRule="auto"/>
              <w:ind w:firstLine="0" w:firstLineChars="0"/>
              <w:rPr>
                <w:szCs w:val="24"/>
              </w:rPr>
            </w:pPr>
            <w:r>
              <w:rPr>
                <w:rFonts w:hint="eastAsia"/>
                <w:szCs w:val="24"/>
              </w:rPr>
              <w:t>严重以上缺陷总数</w:t>
            </w:r>
          </w:p>
        </w:tc>
        <w:tc>
          <w:tcPr>
            <w:tcW w:w="6889" w:type="dxa"/>
            <w:tcBorders>
              <w:left w:val="single" w:color="auto" w:sz="6" w:space="0"/>
            </w:tcBorders>
            <w:shd w:val="clear" w:color="auto" w:fill="auto"/>
            <w:vAlign w:val="center"/>
          </w:tcPr>
          <w:p w14:paraId="068BE4B3">
            <w:pPr>
              <w:spacing w:line="240" w:lineRule="auto"/>
              <w:ind w:firstLine="0" w:firstLineChars="0"/>
              <w:rPr>
                <w:szCs w:val="24"/>
              </w:rPr>
            </w:pPr>
            <w:r>
              <w:rPr>
                <w:rFonts w:hint="eastAsia"/>
                <w:szCs w:val="24"/>
              </w:rPr>
              <w:t>严重及致命缺陷总数-无效的严重及致命缺陷总数</w:t>
            </w:r>
          </w:p>
        </w:tc>
      </w:tr>
      <w:tr w14:paraId="146F1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18EDC2B">
            <w:pPr>
              <w:spacing w:line="240" w:lineRule="auto"/>
              <w:ind w:firstLine="0" w:firstLineChars="0"/>
              <w:rPr>
                <w:szCs w:val="24"/>
              </w:rPr>
            </w:pPr>
            <w:r>
              <w:rPr>
                <w:rFonts w:hint="eastAsia"/>
                <w:szCs w:val="24"/>
              </w:rPr>
              <w:t>案例执行率</w:t>
            </w:r>
          </w:p>
        </w:tc>
        <w:tc>
          <w:tcPr>
            <w:tcW w:w="6889" w:type="dxa"/>
            <w:tcBorders>
              <w:left w:val="single" w:color="auto" w:sz="6" w:space="0"/>
            </w:tcBorders>
            <w:shd w:val="clear" w:color="auto" w:fill="auto"/>
            <w:vAlign w:val="center"/>
          </w:tcPr>
          <w:p w14:paraId="242C9ADB">
            <w:pPr>
              <w:spacing w:line="240" w:lineRule="auto"/>
              <w:ind w:firstLine="0" w:firstLineChars="0"/>
              <w:rPr>
                <w:szCs w:val="24"/>
              </w:rPr>
            </w:pPr>
            <w:r>
              <w:rPr>
                <w:rFonts w:hint="eastAsia"/>
                <w:szCs w:val="24"/>
              </w:rPr>
              <w:t>每轮执行案例数/每轮计划执行的案例个数</w:t>
            </w:r>
          </w:p>
        </w:tc>
      </w:tr>
      <w:tr w14:paraId="3668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C340AB0">
            <w:pPr>
              <w:spacing w:line="240" w:lineRule="auto"/>
              <w:ind w:firstLine="0" w:firstLineChars="0"/>
              <w:rPr>
                <w:szCs w:val="24"/>
              </w:rPr>
            </w:pPr>
            <w:r>
              <w:rPr>
                <w:rFonts w:hint="eastAsia"/>
                <w:szCs w:val="24"/>
              </w:rPr>
              <w:t>需求稳定指数</w:t>
            </w:r>
          </w:p>
        </w:tc>
        <w:tc>
          <w:tcPr>
            <w:tcW w:w="6889" w:type="dxa"/>
            <w:tcBorders>
              <w:left w:val="single" w:color="auto" w:sz="6" w:space="0"/>
            </w:tcBorders>
            <w:shd w:val="clear" w:color="auto" w:fill="auto"/>
            <w:vAlign w:val="center"/>
          </w:tcPr>
          <w:p w14:paraId="149FBC35">
            <w:pPr>
              <w:spacing w:line="240" w:lineRule="auto"/>
              <w:ind w:firstLine="0" w:firstLineChars="0"/>
              <w:rPr>
                <w:szCs w:val="24"/>
              </w:rPr>
            </w:pPr>
            <w:r>
              <w:rPr>
                <w:rFonts w:hint="eastAsia"/>
                <w:szCs w:val="24"/>
              </w:rPr>
              <w:t>（测试需求分析中规则数量-业务需求因素引起变更的测试需求规则数-开发因素引起变更的测试需求规则数）/测试需求分析中规则数量</w:t>
            </w:r>
          </w:p>
        </w:tc>
      </w:tr>
      <w:tr w14:paraId="497D9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2171B92">
            <w:pPr>
              <w:spacing w:line="240" w:lineRule="auto"/>
              <w:ind w:firstLine="0" w:firstLineChars="0"/>
              <w:rPr>
                <w:szCs w:val="24"/>
              </w:rPr>
            </w:pPr>
            <w:r>
              <w:rPr>
                <w:rFonts w:hint="eastAsia"/>
                <w:szCs w:val="24"/>
              </w:rPr>
              <w:t>案例执行通过率</w:t>
            </w:r>
          </w:p>
        </w:tc>
        <w:tc>
          <w:tcPr>
            <w:tcW w:w="6889" w:type="dxa"/>
            <w:tcBorders>
              <w:left w:val="single" w:color="auto" w:sz="6" w:space="0"/>
            </w:tcBorders>
            <w:shd w:val="clear" w:color="auto" w:fill="auto"/>
            <w:vAlign w:val="center"/>
          </w:tcPr>
          <w:p w14:paraId="09E4EC0D">
            <w:pPr>
              <w:spacing w:line="240" w:lineRule="auto"/>
              <w:ind w:firstLine="0" w:firstLineChars="0"/>
              <w:rPr>
                <w:szCs w:val="24"/>
              </w:rPr>
            </w:pPr>
            <w:r>
              <w:rPr>
                <w:rFonts w:hint="eastAsia"/>
                <w:szCs w:val="24"/>
              </w:rPr>
              <w:t>每轮执行通过的案例个数/每轮执行案例数</w:t>
            </w:r>
          </w:p>
        </w:tc>
      </w:tr>
      <w:tr w14:paraId="00441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07B6B2EE">
            <w:pPr>
              <w:spacing w:line="240" w:lineRule="auto"/>
              <w:ind w:firstLine="0" w:firstLineChars="0"/>
              <w:rPr>
                <w:szCs w:val="24"/>
              </w:rPr>
            </w:pPr>
            <w:r>
              <w:rPr>
                <w:rFonts w:hint="eastAsia"/>
                <w:szCs w:val="24"/>
              </w:rPr>
              <w:t>缺陷的案例命中率</w:t>
            </w:r>
          </w:p>
        </w:tc>
        <w:tc>
          <w:tcPr>
            <w:tcW w:w="6889" w:type="dxa"/>
            <w:tcBorders>
              <w:left w:val="single" w:color="auto" w:sz="6" w:space="0"/>
            </w:tcBorders>
            <w:shd w:val="clear" w:color="auto" w:fill="auto"/>
            <w:vAlign w:val="bottom"/>
          </w:tcPr>
          <w:p w14:paraId="74CC74E9">
            <w:pPr>
              <w:spacing w:line="240" w:lineRule="auto"/>
              <w:ind w:firstLine="0" w:firstLineChars="0"/>
              <w:rPr>
                <w:szCs w:val="24"/>
              </w:rPr>
            </w:pPr>
            <w:r>
              <w:rPr>
                <w:rFonts w:hint="eastAsia"/>
                <w:szCs w:val="24"/>
              </w:rPr>
              <w:t>有效缺陷总数/有效案例总数</w:t>
            </w:r>
          </w:p>
        </w:tc>
      </w:tr>
      <w:tr w14:paraId="17AAA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223E6F34">
            <w:pPr>
              <w:spacing w:line="240" w:lineRule="auto"/>
              <w:ind w:firstLine="0" w:firstLineChars="0"/>
              <w:rPr>
                <w:szCs w:val="24"/>
              </w:rPr>
            </w:pPr>
            <w:r>
              <w:rPr>
                <w:rFonts w:hint="eastAsia"/>
                <w:szCs w:val="24"/>
              </w:rPr>
              <w:t>严重以上缺陷占比</w:t>
            </w:r>
          </w:p>
        </w:tc>
        <w:tc>
          <w:tcPr>
            <w:tcW w:w="6889" w:type="dxa"/>
            <w:tcBorders>
              <w:left w:val="single" w:color="auto" w:sz="6" w:space="0"/>
            </w:tcBorders>
            <w:shd w:val="clear" w:color="auto" w:fill="auto"/>
            <w:vAlign w:val="bottom"/>
          </w:tcPr>
          <w:p w14:paraId="1DB777E9">
            <w:pPr>
              <w:spacing w:line="240" w:lineRule="auto"/>
              <w:ind w:firstLine="0" w:firstLineChars="0"/>
              <w:rPr>
                <w:szCs w:val="24"/>
              </w:rPr>
            </w:pPr>
            <w:r>
              <w:rPr>
                <w:rFonts w:hint="eastAsia"/>
                <w:szCs w:val="24"/>
              </w:rPr>
              <w:t>严重以上缺陷总数/有效缺陷总数</w:t>
            </w:r>
          </w:p>
        </w:tc>
      </w:tr>
      <w:tr w14:paraId="269BF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40001E02">
            <w:pPr>
              <w:spacing w:line="240" w:lineRule="auto"/>
              <w:ind w:firstLine="0" w:firstLineChars="0"/>
              <w:rPr>
                <w:szCs w:val="24"/>
              </w:rPr>
            </w:pPr>
            <w:r>
              <w:rPr>
                <w:rFonts w:hint="eastAsia"/>
                <w:szCs w:val="24"/>
              </w:rPr>
              <w:t>缺陷解决率</w:t>
            </w:r>
          </w:p>
        </w:tc>
        <w:tc>
          <w:tcPr>
            <w:tcW w:w="6889" w:type="dxa"/>
            <w:tcBorders>
              <w:left w:val="single" w:color="auto" w:sz="6" w:space="0"/>
            </w:tcBorders>
            <w:shd w:val="clear" w:color="auto" w:fill="auto"/>
            <w:vAlign w:val="bottom"/>
          </w:tcPr>
          <w:p w14:paraId="1931A1F8">
            <w:pPr>
              <w:spacing w:line="240" w:lineRule="auto"/>
              <w:ind w:firstLine="0" w:firstLineChars="0"/>
              <w:rPr>
                <w:szCs w:val="24"/>
              </w:rPr>
            </w:pPr>
            <w:r>
              <w:rPr>
                <w:rFonts w:hint="eastAsia"/>
                <w:szCs w:val="24"/>
              </w:rPr>
              <w:t>关闭缺陷总数/有效缺陷总数</w:t>
            </w:r>
          </w:p>
        </w:tc>
      </w:tr>
    </w:tbl>
    <w:p w14:paraId="7FA8FD82"/>
    <w:p w14:paraId="5C955B23">
      <w:pPr>
        <w:pStyle w:val="3"/>
      </w:pPr>
      <w:r>
        <w:t>4.</w:t>
      </w:r>
      <w:r>
        <w:rPr>
          <w:rFonts w:hint="eastAsia"/>
        </w:rPr>
        <w:t xml:space="preserve"> 人员要求</w:t>
      </w:r>
    </w:p>
    <w:p w14:paraId="0D44CCAF">
      <w:bookmarkStart w:id="51" w:name="_Toc89675142"/>
      <w:r>
        <w:t>1</w:t>
      </w:r>
      <w:r>
        <w:rPr>
          <w:rFonts w:hint="eastAsia"/>
        </w:rPr>
        <w:t>）</w:t>
      </w:r>
      <w:r>
        <w:t>参选</w:t>
      </w:r>
      <w:r>
        <w:rPr>
          <w:rFonts w:hint="eastAsia"/>
        </w:rPr>
        <w:t>人应承诺未征得我行书面同意的情况下不得更换项目成员。</w:t>
      </w:r>
      <w:bookmarkEnd w:id="51"/>
    </w:p>
    <w:p w14:paraId="40D62D3F">
      <w:r>
        <w:t>2</w:t>
      </w:r>
      <w:r>
        <w:rPr>
          <w:rFonts w:hint="eastAsia"/>
        </w:rPr>
        <w:t>）所有成员必须为参选人单位员工，参选人项目组成员须提供近半年公司为其缴纳社保的证明材料，不得外包其他单位员工。</w:t>
      </w:r>
      <w:r>
        <w:t>（员工参保单位为参选人或委托第三方公司代缴，均认定有效；若员工社保委托第三方公司代缴，需提供代缴材料证明与第三方签订的合同或协议。）</w:t>
      </w:r>
      <w:r>
        <w:rPr>
          <w:rFonts w:hint="eastAsia"/>
        </w:rPr>
        <w:t>【提供近半年公司为项目组成员缴纳社保的证明材料】</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35DE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237DDF0">
            <w:pPr>
              <w:snapToGrid w:val="0"/>
              <w:spacing w:line="240" w:lineRule="auto"/>
              <w:ind w:firstLine="0" w:firstLineChars="0"/>
              <w:jc w:val="center"/>
              <w:rPr>
                <w:szCs w:val="28"/>
              </w:rPr>
            </w:pPr>
            <w:r>
              <w:rPr>
                <w:rFonts w:hint="eastAsia"/>
                <w:szCs w:val="28"/>
              </w:rPr>
              <w:t>项目经理</w:t>
            </w:r>
          </w:p>
        </w:tc>
        <w:tc>
          <w:tcPr>
            <w:tcW w:w="7660" w:type="dxa"/>
            <w:tcBorders>
              <w:top w:val="single" w:color="auto" w:sz="4" w:space="0"/>
              <w:left w:val="single" w:color="auto" w:sz="4" w:space="0"/>
              <w:bottom w:val="single" w:color="auto" w:sz="4" w:space="0"/>
              <w:right w:val="single" w:color="auto" w:sz="4" w:space="0"/>
            </w:tcBorders>
          </w:tcPr>
          <w:p w14:paraId="603F548E">
            <w:pPr>
              <w:spacing w:line="240" w:lineRule="auto"/>
              <w:ind w:firstLine="0" w:firstLineChars="0"/>
            </w:pPr>
            <w:r>
              <w:rPr>
                <w:rFonts w:hint="eastAsia" w:cs="Cambria"/>
                <w:kern w:val="0"/>
              </w:rPr>
              <w:t>主导过三个以上同类项目和具有五年以上项目经理工作经验</w:t>
            </w:r>
            <w:r>
              <w:rPr>
                <w:rFonts w:hint="eastAsia"/>
              </w:rPr>
              <w:t>，具有独当一面的技术能力；直接对项目的实施负责，通过对工期、成本、质量的控制（包括总体制定、执行、跟踪、调整相关计划，协调项目可用资源），确保项目按要求完成。</w:t>
            </w:r>
          </w:p>
        </w:tc>
      </w:tr>
      <w:tr w14:paraId="39B2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6DE37F34">
            <w:pPr>
              <w:snapToGrid w:val="0"/>
              <w:spacing w:line="240" w:lineRule="auto"/>
              <w:ind w:firstLine="0" w:firstLineChars="0"/>
              <w:jc w:val="center"/>
              <w:rPr>
                <w:szCs w:val="28"/>
              </w:rPr>
            </w:pPr>
            <w:r>
              <w:rPr>
                <w:rFonts w:hint="eastAsia"/>
                <w:szCs w:val="28"/>
              </w:rPr>
              <w:t>需求分析师</w:t>
            </w:r>
          </w:p>
        </w:tc>
        <w:tc>
          <w:tcPr>
            <w:tcW w:w="7660" w:type="dxa"/>
            <w:tcBorders>
              <w:top w:val="single" w:color="auto" w:sz="4" w:space="0"/>
              <w:left w:val="single" w:color="auto" w:sz="4" w:space="0"/>
              <w:bottom w:val="single" w:color="auto" w:sz="4" w:space="0"/>
              <w:right w:val="single" w:color="auto" w:sz="4" w:space="0"/>
            </w:tcBorders>
          </w:tcPr>
          <w:p w14:paraId="689E7248">
            <w:pPr>
              <w:spacing w:line="240" w:lineRule="auto"/>
              <w:ind w:firstLine="0" w:firstLineChars="0"/>
            </w:pPr>
            <w:r>
              <w:rPr>
                <w:rFonts w:hint="eastAsia" w:cs="Cambria"/>
                <w:kern w:val="0"/>
              </w:rPr>
              <w:t>主导完成过三个以上同类项目的需求分析、设计，</w:t>
            </w:r>
            <w:r>
              <w:rPr>
                <w:rFonts w:hint="eastAsia"/>
              </w:rPr>
              <w:t>熟悉银行业务流程和相关法律法规，能够辅助比选人完成业务流程梳理、整合以及创新，善于表达，具有良好的沟通技巧和能力。</w:t>
            </w:r>
          </w:p>
        </w:tc>
      </w:tr>
      <w:tr w14:paraId="465C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09EDEED0">
            <w:pPr>
              <w:snapToGrid w:val="0"/>
              <w:spacing w:line="240" w:lineRule="auto"/>
              <w:ind w:firstLine="0" w:firstLineChars="0"/>
              <w:jc w:val="center"/>
              <w:rPr>
                <w:szCs w:val="28"/>
              </w:rPr>
            </w:pPr>
            <w:r>
              <w:rPr>
                <w:rFonts w:hint="eastAsia"/>
                <w:szCs w:val="28"/>
              </w:rPr>
              <w:t>系统架构师</w:t>
            </w:r>
          </w:p>
        </w:tc>
        <w:tc>
          <w:tcPr>
            <w:tcW w:w="7660" w:type="dxa"/>
            <w:tcBorders>
              <w:top w:val="single" w:color="auto" w:sz="4" w:space="0"/>
              <w:left w:val="single" w:color="auto" w:sz="4" w:space="0"/>
              <w:bottom w:val="single" w:color="auto" w:sz="4" w:space="0"/>
              <w:right w:val="single" w:color="auto" w:sz="4" w:space="0"/>
            </w:tcBorders>
          </w:tcPr>
          <w:p w14:paraId="2308B883">
            <w:pPr>
              <w:snapToGrid w:val="0"/>
              <w:spacing w:line="240" w:lineRule="auto"/>
              <w:ind w:firstLine="0" w:firstLineChars="0"/>
            </w:pPr>
            <w:r>
              <w:rPr>
                <w:rFonts w:hint="eastAsia" w:cs="Cambria"/>
                <w:kern w:val="0"/>
              </w:rPr>
              <w:t>主导过三个以上同类项目和七年以上相关工作经历</w:t>
            </w:r>
            <w:r>
              <w:rPr>
                <w:rFonts w:hint="eastAsia"/>
              </w:rPr>
              <w:t>，并且熟悉SOA、分布式架构以及主流开发框架。</w:t>
            </w:r>
          </w:p>
        </w:tc>
      </w:tr>
      <w:tr w14:paraId="5EC1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2431C351">
            <w:pPr>
              <w:snapToGrid w:val="0"/>
              <w:spacing w:line="240" w:lineRule="auto"/>
              <w:ind w:firstLine="0" w:firstLineChars="0"/>
              <w:jc w:val="center"/>
              <w:rPr>
                <w:szCs w:val="28"/>
              </w:rPr>
            </w:pPr>
            <w:r>
              <w:rPr>
                <w:rFonts w:hint="eastAsia"/>
                <w:szCs w:val="28"/>
              </w:rPr>
              <w:t>项目组开发人员</w:t>
            </w:r>
          </w:p>
        </w:tc>
        <w:tc>
          <w:tcPr>
            <w:tcW w:w="7660" w:type="dxa"/>
            <w:tcBorders>
              <w:top w:val="single" w:color="auto" w:sz="4" w:space="0"/>
              <w:left w:val="single" w:color="auto" w:sz="4" w:space="0"/>
              <w:bottom w:val="single" w:color="auto" w:sz="4" w:space="0"/>
              <w:right w:val="single" w:color="auto" w:sz="4" w:space="0"/>
            </w:tcBorders>
          </w:tcPr>
          <w:p w14:paraId="0813A4FA">
            <w:pPr>
              <w:snapToGrid w:val="0"/>
              <w:spacing w:line="240" w:lineRule="auto"/>
              <w:ind w:firstLine="0" w:firstLineChars="0"/>
            </w:pPr>
            <w:r>
              <w:rPr>
                <w:rFonts w:hint="eastAsia"/>
              </w:rPr>
              <w:t>至少二年开发经验，开发组长须有至少五年开发经验，且均有银行相关系统的项目实施经历。</w:t>
            </w:r>
          </w:p>
        </w:tc>
      </w:tr>
      <w:tr w14:paraId="21A0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FDDD5B3">
            <w:pPr>
              <w:snapToGrid w:val="0"/>
              <w:spacing w:line="240" w:lineRule="auto"/>
              <w:ind w:firstLine="0" w:firstLineChars="0"/>
              <w:jc w:val="center"/>
              <w:rPr>
                <w:szCs w:val="28"/>
              </w:rPr>
            </w:pPr>
            <w:r>
              <w:rPr>
                <w:rFonts w:hint="eastAsia"/>
                <w:szCs w:val="28"/>
              </w:rPr>
              <w:t>项目组测试人员</w:t>
            </w:r>
          </w:p>
        </w:tc>
        <w:tc>
          <w:tcPr>
            <w:tcW w:w="7660" w:type="dxa"/>
            <w:tcBorders>
              <w:top w:val="single" w:color="auto" w:sz="4" w:space="0"/>
              <w:left w:val="single" w:color="auto" w:sz="4" w:space="0"/>
              <w:bottom w:val="single" w:color="auto" w:sz="4" w:space="0"/>
              <w:right w:val="single" w:color="auto" w:sz="4" w:space="0"/>
            </w:tcBorders>
          </w:tcPr>
          <w:p w14:paraId="0B167011">
            <w:pPr>
              <w:snapToGrid w:val="0"/>
              <w:spacing w:line="240" w:lineRule="auto"/>
              <w:ind w:firstLine="0" w:firstLineChars="0"/>
              <w:rPr>
                <w:snapToGrid w:val="0"/>
                <w:kern w:val="0"/>
              </w:rPr>
            </w:pPr>
            <w:r>
              <w:rPr>
                <w:rFonts w:hint="eastAsia"/>
              </w:rPr>
              <w:t>具有两年以上银行相关系统测试经验，</w:t>
            </w:r>
            <w:r>
              <w:rPr>
                <w:rFonts w:hint="eastAsia" w:cs="Cambria"/>
                <w:kern w:val="0"/>
              </w:rPr>
              <w:t>项目测试经理主导完成过二个以上同类项目的系统测试工作</w:t>
            </w:r>
            <w:r>
              <w:rPr>
                <w:rFonts w:hint="eastAsia"/>
              </w:rPr>
              <w:t>，且具有三年以上银行相关系统测试经验。</w:t>
            </w:r>
          </w:p>
        </w:tc>
      </w:tr>
    </w:tbl>
    <w:p w14:paraId="6697031B">
      <w:r>
        <w:t>3</w:t>
      </w:r>
      <w:r>
        <w:rPr>
          <w:rFonts w:hint="eastAsia"/>
        </w:rPr>
        <w:t>）需提供人员简历信息，同时，比选人将对所提供的人员进行审核，达不到我行要求的将要求替换。项目经理及骨干成员须参加比选人组织的面试，面试人员在合同签订时不得进行更换。【提供</w:t>
      </w:r>
      <w:r>
        <w:t>项目组成员简历信息</w:t>
      </w:r>
      <w:r>
        <w:rPr>
          <w:rFonts w:hint="eastAsia"/>
        </w:rPr>
        <w:t>】</w:t>
      </w:r>
    </w:p>
    <w:p w14:paraId="08C78DAF">
      <w:r>
        <w:t>4</w:t>
      </w:r>
      <w:r>
        <w:rPr>
          <w:rFonts w:hint="eastAsia"/>
        </w:rPr>
        <w:t>）</w:t>
      </w:r>
      <w:r>
        <w:t>项目组成员若有违约违规行为将由参选人承担责任。</w:t>
      </w:r>
    </w:p>
    <w:p w14:paraId="01E2F839">
      <w:pPr>
        <w:pStyle w:val="3"/>
      </w:pPr>
      <w:bookmarkStart w:id="52" w:name="_Toc15059418"/>
      <w:bookmarkStart w:id="53" w:name="_Toc89675144"/>
      <w:r>
        <w:t>5.</w:t>
      </w:r>
      <w:r>
        <w:rPr>
          <w:rFonts w:hint="eastAsia"/>
        </w:rPr>
        <w:t xml:space="preserve"> 项目实施要求</w:t>
      </w:r>
    </w:p>
    <w:p w14:paraId="750B8A5B">
      <w:r>
        <w:rPr>
          <w:rFonts w:hint="eastAsia"/>
        </w:rPr>
        <w:t>在本项目实施周期内，如遇到原系统功能与需求不符，需要及时调整实施方案，满足比选人的要求，并征得比选人同意方可变更。</w:t>
      </w:r>
    </w:p>
    <w:p w14:paraId="4C67542E">
      <w:r>
        <w:rPr>
          <w:rFonts w:hint="eastAsia"/>
        </w:rPr>
        <w:t>参选人在项目实施过程中，需按照比选人项目管理规范提供相应文档（所有提交文档必须为中文）。</w:t>
      </w:r>
    </w:p>
    <w:p w14:paraId="6B6BC2F8">
      <w:r>
        <w:rPr>
          <w:rFonts w:hint="eastAsia"/>
        </w:rPr>
        <w:t>本项目为现场开发，原则上不允许远程开发模式，除非得到比选人的明确认可和授权。</w:t>
      </w:r>
    </w:p>
    <w:p w14:paraId="0A59C11F">
      <w:pPr>
        <w:pStyle w:val="3"/>
        <w:ind w:left="360" w:hanging="360"/>
      </w:pPr>
      <w:r>
        <w:t>6.</w:t>
      </w:r>
      <w:r>
        <w:rPr>
          <w:rFonts w:hint="eastAsia"/>
        </w:rPr>
        <w:t xml:space="preserve"> 项目源代码要求</w:t>
      </w:r>
    </w:p>
    <w:p w14:paraId="747326BC">
      <w:r>
        <w:rPr>
          <w:rFonts w:hint="eastAsia"/>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w:t>
      </w:r>
      <w:r>
        <w:t>归双方共有</w:t>
      </w:r>
      <w:r>
        <w:rPr>
          <w:rFonts w:hint="eastAsia"/>
        </w:rPr>
        <w:t>。针对共有部分，比选人拥有在比选人及其分支机构使用及后续开发的权利，参选人拥有在其公司和其他组织范围内使用的权利，但参选人使用时不得侵犯比选人利益。</w:t>
      </w:r>
    </w:p>
    <w:p w14:paraId="14DC0D24">
      <w:pPr>
        <w:pStyle w:val="3"/>
      </w:pPr>
      <w:r>
        <w:t>7.</w:t>
      </w:r>
      <w:r>
        <w:rPr>
          <w:rFonts w:hint="eastAsia"/>
        </w:rPr>
        <w:t xml:space="preserve"> 交付周期、地点</w:t>
      </w:r>
      <w:bookmarkEnd w:id="52"/>
      <w:bookmarkEnd w:id="53"/>
    </w:p>
    <w:p w14:paraId="1729D1E4">
      <w:pPr>
        <w:pStyle w:val="4"/>
      </w:pPr>
      <w:bookmarkStart w:id="54" w:name="_Toc89675146"/>
      <w:bookmarkStart w:id="55" w:name="_Toc15059420"/>
      <w:bookmarkStart w:id="56" w:name="_Toc387826347"/>
      <w:bookmarkStart w:id="57" w:name="_Toc1125"/>
      <w:bookmarkStart w:id="58" w:name="_Toc440628915"/>
      <w:bookmarkStart w:id="59" w:name="_Toc432254881"/>
      <w:r>
        <w:t>7</w:t>
      </w:r>
      <w:r>
        <w:rPr>
          <w:rFonts w:hint="eastAsia"/>
        </w:rPr>
        <w:t>.1 交付时间</w:t>
      </w:r>
    </w:p>
    <w:p w14:paraId="0F007D24">
      <w:r>
        <w:rPr>
          <w:rFonts w:hint="eastAsia"/>
        </w:rPr>
        <w:t>项目合同</w:t>
      </w:r>
      <w:r>
        <w:t>签订后三个月内完成上线。</w:t>
      </w:r>
    </w:p>
    <w:p w14:paraId="433DC04C">
      <w:pPr>
        <w:pStyle w:val="4"/>
      </w:pPr>
      <w:r>
        <w:t>7</w:t>
      </w:r>
      <w:r>
        <w:rPr>
          <w:rFonts w:hint="eastAsia"/>
        </w:rPr>
        <w:t>.2 实施及交付地点</w:t>
      </w:r>
    </w:p>
    <w:p w14:paraId="11427062">
      <w:r>
        <w:rPr>
          <w:rFonts w:hint="eastAsia"/>
        </w:rPr>
        <w:t>比选人指定地点。</w:t>
      </w:r>
    </w:p>
    <w:p w14:paraId="6B3AC819">
      <w:pPr>
        <w:pStyle w:val="3"/>
      </w:pPr>
      <w:r>
        <w:t>8.</w:t>
      </w:r>
      <w:r>
        <w:rPr>
          <w:rFonts w:hint="eastAsia"/>
        </w:rPr>
        <w:t xml:space="preserve"> 验收测试</w:t>
      </w:r>
    </w:p>
    <w:p w14:paraId="391899E8">
      <w:pPr>
        <w:pStyle w:val="4"/>
      </w:pPr>
      <w:r>
        <w:rPr>
          <w:rFonts w:hint="eastAsia"/>
        </w:rPr>
        <w:t>8</w:t>
      </w:r>
      <w:r>
        <w:t xml:space="preserve">.1 </w:t>
      </w:r>
      <w:r>
        <w:rPr>
          <w:rFonts w:hint="eastAsia"/>
        </w:rPr>
        <w:t>验收测试的范围</w:t>
      </w:r>
    </w:p>
    <w:p w14:paraId="4CAA4721">
      <w:r>
        <w:rPr>
          <w:rFonts w:hint="eastAsia"/>
        </w:rPr>
        <w:t>验收测试的范围为项目实施完毕,上线前最终确认的所有需求。</w:t>
      </w:r>
    </w:p>
    <w:p w14:paraId="71110619">
      <w:pPr>
        <w:pStyle w:val="4"/>
      </w:pPr>
      <w:r>
        <w:rPr>
          <w:rFonts w:hint="eastAsia"/>
        </w:rPr>
        <w:t>8</w:t>
      </w:r>
      <w:r>
        <w:t xml:space="preserve">.2 </w:t>
      </w:r>
      <w:r>
        <w:rPr>
          <w:rFonts w:hint="eastAsia"/>
        </w:rPr>
        <w:t>验收测试的组织</w:t>
      </w:r>
    </w:p>
    <w:p w14:paraId="04C102EA">
      <w:r>
        <w:rPr>
          <w:rFonts w:hint="eastAsia"/>
        </w:rPr>
        <w:t>1）验收测试小组由比选人、中选人等有关人员组成，负责对项目建设进行验收测试。</w:t>
      </w:r>
    </w:p>
    <w:p w14:paraId="119BF0F9">
      <w:r>
        <w:rPr>
          <w:rFonts w:hint="eastAsia"/>
        </w:rPr>
        <w:t>2）中选人编制测试手册，经验收小组确认后，由验收小组负责验收测试。</w:t>
      </w:r>
    </w:p>
    <w:p w14:paraId="632CE98D">
      <w:r>
        <w:rPr>
          <w:rFonts w:hint="eastAsia"/>
        </w:rPr>
        <w:t>3）在验收测试过程中，出现严重缺陷或质量问题时，验收小组可以决定暂停所有测试，直至缺陷和问题得到纠正。</w:t>
      </w:r>
    </w:p>
    <w:p w14:paraId="185C7984">
      <w:pPr>
        <w:pStyle w:val="4"/>
      </w:pPr>
      <w:r>
        <w:rPr>
          <w:rFonts w:hint="eastAsia"/>
        </w:rPr>
        <w:t>8</w:t>
      </w:r>
      <w:r>
        <w:t xml:space="preserve">.3 </w:t>
      </w:r>
      <w:r>
        <w:rPr>
          <w:rFonts w:hint="eastAsia"/>
        </w:rPr>
        <w:t>验收测试的程序</w:t>
      </w:r>
    </w:p>
    <w:p w14:paraId="2E1639DE">
      <w:r>
        <w:rPr>
          <w:rFonts w:hint="eastAsia"/>
        </w:rPr>
        <w:t>1）对各功能模块进行测试；</w:t>
      </w:r>
    </w:p>
    <w:p w14:paraId="6B6FE373">
      <w:r>
        <w:rPr>
          <w:rFonts w:hint="eastAsia"/>
        </w:rPr>
        <w:t>2）在各功能模块测试合格的前提下，对系统进行全面初验；</w:t>
      </w:r>
    </w:p>
    <w:p w14:paraId="3A24FEA9">
      <w:r>
        <w:rPr>
          <w:rFonts w:hint="eastAsia"/>
        </w:rPr>
        <w:t>3）系统验收测试合格后，进入试运行阶段；</w:t>
      </w:r>
    </w:p>
    <w:p w14:paraId="7DC29123">
      <w:r>
        <w:t>4</w:t>
      </w:r>
      <w:r>
        <w:rPr>
          <w:rFonts w:hint="eastAsia"/>
        </w:rPr>
        <w:t>）系统在全行上线运行三个月后，进行验收。</w:t>
      </w:r>
    </w:p>
    <w:p w14:paraId="5D2993F9">
      <w:pPr>
        <w:pStyle w:val="4"/>
      </w:pPr>
      <w:r>
        <w:rPr>
          <w:rFonts w:hint="eastAsia"/>
        </w:rPr>
        <w:t>8</w:t>
      </w:r>
      <w:r>
        <w:t xml:space="preserve">.4 </w:t>
      </w:r>
      <w:r>
        <w:rPr>
          <w:rFonts w:hint="eastAsia"/>
        </w:rPr>
        <w:t>验收测试的评定</w:t>
      </w:r>
    </w:p>
    <w:p w14:paraId="06674295">
      <w:r>
        <w:rPr>
          <w:rFonts w:hint="eastAsia"/>
        </w:rPr>
        <w:t>测试结果按下列级别评定，并经验收小组签字认可：</w:t>
      </w:r>
    </w:p>
    <w:p w14:paraId="014E12EF">
      <w:r>
        <w:rPr>
          <w:rFonts w:hint="eastAsia"/>
        </w:rPr>
        <w:t>•优良：功能和质量达到预期目的。</w:t>
      </w:r>
    </w:p>
    <w:p w14:paraId="6426BAE9">
      <w:r>
        <w:rPr>
          <w:rFonts w:hint="eastAsia"/>
        </w:rPr>
        <w:t>•合格：部分功能和质量不能满足比选人的要求，但中选人（集成商）采取了改正措施，使测试结果达到预期目的。</w:t>
      </w:r>
    </w:p>
    <w:p w14:paraId="27689BEF">
      <w:r>
        <w:rPr>
          <w:rFonts w:hint="eastAsia"/>
        </w:rPr>
        <w:t>•不合格：功能和质量不能满足比选人的要求。</w:t>
      </w:r>
    </w:p>
    <w:p w14:paraId="3226B5EA">
      <w:pPr>
        <w:pStyle w:val="3"/>
      </w:pPr>
      <w:r>
        <w:t>9.</w:t>
      </w:r>
      <w:r>
        <w:rPr>
          <w:rFonts w:hint="eastAsia"/>
        </w:rPr>
        <w:t xml:space="preserve"> 售后服务和支持</w:t>
      </w:r>
    </w:p>
    <w:p w14:paraId="722A5477">
      <w:r>
        <w:rPr>
          <w:rFonts w:hint="eastAsia"/>
        </w:rPr>
        <w:t>服务和支持的范围：</w:t>
      </w:r>
    </w:p>
    <w:p w14:paraId="6BC8A18C">
      <w:r>
        <w:rPr>
          <w:rFonts w:hint="eastAsia"/>
        </w:rPr>
        <w:t>•系统的安装、部署和调试；</w:t>
      </w:r>
    </w:p>
    <w:p w14:paraId="2A744786">
      <w:r>
        <w:rPr>
          <w:rFonts w:hint="eastAsia"/>
        </w:rPr>
        <w:t>•项目的验收测试；</w:t>
      </w:r>
    </w:p>
    <w:p w14:paraId="525FAAF2">
      <w:r>
        <w:rPr>
          <w:rFonts w:hint="eastAsia"/>
        </w:rPr>
        <w:t>•项目的数据转换、数据迁移、模拟运行和试运行；</w:t>
      </w:r>
    </w:p>
    <w:p w14:paraId="7F8F0DED">
      <w:r>
        <w:rPr>
          <w:rFonts w:hint="eastAsia"/>
        </w:rPr>
        <w:t>•维保</w:t>
      </w:r>
      <w:r>
        <w:t>范围包括</w:t>
      </w:r>
      <w:r>
        <w:rPr>
          <w:rFonts w:hint="eastAsia"/>
        </w:rPr>
        <w:t>原</w:t>
      </w:r>
      <w:r>
        <w:t>系统（金融产品销售平台）的原有</w:t>
      </w:r>
      <w:r>
        <w:rPr>
          <w:rFonts w:hint="eastAsia"/>
        </w:rPr>
        <w:t>部分</w:t>
      </w:r>
      <w:r>
        <w:t>和本项目新增部分的内容，即整个</w:t>
      </w:r>
      <w:r>
        <w:rPr>
          <w:rFonts w:hint="eastAsia"/>
        </w:rPr>
        <w:t>“</w:t>
      </w:r>
      <w:r>
        <w:t>金融产品销售平台</w:t>
      </w:r>
      <w:r>
        <w:rPr>
          <w:rFonts w:hint="eastAsia"/>
        </w:rPr>
        <w:t>”</w:t>
      </w:r>
      <w:r>
        <w:t>所有内容；</w:t>
      </w:r>
    </w:p>
    <w:p w14:paraId="35330B86">
      <w:r>
        <w:rPr>
          <w:rFonts w:hint="eastAsia"/>
        </w:rPr>
        <w:t>•与系统运行有关的技术问题（含操作系统、数据库、应用系统的整体性能调优等）</w:t>
      </w:r>
    </w:p>
    <w:p w14:paraId="15677C01">
      <w:r>
        <w:rPr>
          <w:rFonts w:hint="eastAsia"/>
        </w:rPr>
        <w:t>•项目上线后两年内，针对本项目的完善性需求以及监管提出的安全性需求，中选人需免费进行开发。</w:t>
      </w:r>
    </w:p>
    <w:p w14:paraId="657AF3DD">
      <w:r>
        <w:rPr>
          <w:rFonts w:hint="eastAsia"/>
        </w:rPr>
        <w:t>•相关技术及业务培训（其中在项目实施前必须组织技术人员进行平台二次开发培训，并提供平台的所有技术文档等）</w:t>
      </w:r>
    </w:p>
    <w:p w14:paraId="477A2BC6">
      <w:r>
        <w:rPr>
          <w:rFonts w:hint="eastAsia"/>
        </w:rPr>
        <w:t>•</w:t>
      </w:r>
      <w:bookmarkStart w:id="60" w:name="_Hlk22733819"/>
      <w:r>
        <w:rPr>
          <w:rFonts w:hint="eastAsia"/>
        </w:rPr>
        <w:t>维保期</w:t>
      </w:r>
      <w:bookmarkEnd w:id="60"/>
      <w:r>
        <w:rPr>
          <w:rFonts w:hint="eastAsia"/>
        </w:rPr>
        <w:t>以年度计算，</w:t>
      </w:r>
      <w:r>
        <w:t>应至少提供1</w:t>
      </w:r>
      <w:r>
        <w:rPr>
          <w:rFonts w:hint="eastAsia"/>
        </w:rPr>
        <w:t>年</w:t>
      </w:r>
      <w:r>
        <w:t>维保</w:t>
      </w:r>
      <w:r>
        <w:rPr>
          <w:rFonts w:hint="eastAsia"/>
        </w:rPr>
        <w:t>，维保期起始日为验收后次日，维保期结束日需延期至到期当年的6月30日或12月31日中较近日期（即维保延期最长不超过半年）。</w:t>
      </w:r>
    </w:p>
    <w:p w14:paraId="06E2B301">
      <w:r>
        <w:rPr>
          <w:rFonts w:hint="eastAsia"/>
        </w:rPr>
        <w:t>•参选人在参选文件中详细说明在系统维保期的具体服务内容，系统维保期过后有偿维保的内容、价格及收取方式，若按开发量评估收取，应说明每人/月价格；</w:t>
      </w:r>
    </w:p>
    <w:p w14:paraId="0554625C">
      <w:r>
        <w:rPr>
          <w:rFonts w:hint="eastAsia"/>
        </w:rPr>
        <w:t>参选人在参选文件中需对以上相关内容中进行阐述并作出相应承诺。</w:t>
      </w:r>
    </w:p>
    <w:p w14:paraId="0BD217CE">
      <w:r>
        <w:rPr>
          <w:rFonts w:hint="eastAsia" w:cs="Times New Roman"/>
        </w:rPr>
        <w:t>【提供</w:t>
      </w:r>
      <w:r>
        <w:rPr>
          <w:rFonts w:cs="Times New Roman"/>
        </w:rPr>
        <w:t>售后服务和培训方案</w:t>
      </w:r>
      <w:r>
        <w:rPr>
          <w:rFonts w:hint="eastAsia" w:cs="Times New Roman"/>
        </w:rPr>
        <w:t>】</w:t>
      </w:r>
    </w:p>
    <w:p w14:paraId="090BDF55">
      <w:pPr>
        <w:pStyle w:val="3"/>
      </w:pPr>
      <w:r>
        <w:t>10.</w:t>
      </w:r>
      <w:r>
        <w:rPr>
          <w:rFonts w:hint="eastAsia"/>
        </w:rPr>
        <w:t xml:space="preserve"> 系统维保费用</w:t>
      </w:r>
    </w:p>
    <w:p w14:paraId="42012899">
      <w:r>
        <w:rPr>
          <w:rFonts w:hint="eastAsia"/>
        </w:rPr>
        <w:t>维护期满后，</w:t>
      </w:r>
      <w:r>
        <w:t>整个</w:t>
      </w:r>
      <w:r>
        <w:rPr>
          <w:rFonts w:hint="eastAsia"/>
        </w:rPr>
        <w:t>“</w:t>
      </w:r>
      <w:r>
        <w:t>金融产品销售平台</w:t>
      </w:r>
      <w:r>
        <w:rPr>
          <w:rFonts w:hint="eastAsia"/>
        </w:rPr>
        <w:t>”每年维护费用不高于</w:t>
      </w:r>
      <w:r>
        <w:t>11.64万元</w:t>
      </w:r>
      <w:r>
        <w:rPr>
          <w:rFonts w:hint="eastAsia"/>
        </w:rPr>
        <w:t>，且每年系统升级改造工作量2个人月内不收费，具体维保费用以合同约定为准。</w:t>
      </w:r>
    </w:p>
    <w:p w14:paraId="7059DAA5">
      <w:pPr>
        <w:pStyle w:val="3"/>
      </w:pPr>
      <w:r>
        <w:t>11.</w:t>
      </w:r>
      <w:r>
        <w:rPr>
          <w:rFonts w:hint="eastAsia"/>
        </w:rPr>
        <w:t xml:space="preserve"> 文档和培训</w:t>
      </w:r>
    </w:p>
    <w:p w14:paraId="6ECB30BD">
      <w:pPr>
        <w:pStyle w:val="4"/>
      </w:pPr>
      <w:r>
        <w:rPr>
          <w:rFonts w:hint="eastAsia"/>
        </w:rPr>
        <w:t>1</w:t>
      </w:r>
      <w:r>
        <w:t xml:space="preserve">1.1 </w:t>
      </w:r>
      <w:r>
        <w:rPr>
          <w:rFonts w:hint="eastAsia"/>
        </w:rPr>
        <w:t>文档</w:t>
      </w:r>
    </w:p>
    <w:p w14:paraId="20E1F32F">
      <w:r>
        <w:rPr>
          <w:rFonts w:hint="eastAsia"/>
        </w:rPr>
        <w:t>1）文档范围</w:t>
      </w:r>
    </w:p>
    <w:p w14:paraId="1F38B9D5">
      <w:r>
        <w:rPr>
          <w:rFonts w:hint="eastAsia"/>
        </w:rPr>
        <w:t>包括中选人收集整理的系统建设中所形成的全部文字记载、录音和照片等，项目验收后由中选人向比选人提供。</w:t>
      </w:r>
    </w:p>
    <w:p w14:paraId="10DA208A">
      <w:r>
        <w:rPr>
          <w:rFonts w:hint="eastAsia"/>
        </w:rPr>
        <w:t>2）文档内容</w:t>
      </w:r>
    </w:p>
    <w:p w14:paraId="26A03434">
      <w:r>
        <w:rPr>
          <w:rFonts w:hint="eastAsia"/>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3B91F16D">
      <w:r>
        <w:rPr>
          <w:rFonts w:hint="eastAsia"/>
        </w:rPr>
        <w:t xml:space="preserve">3）要求 </w:t>
      </w:r>
    </w:p>
    <w:p w14:paraId="19FB3549">
      <w:r>
        <w:rPr>
          <w:rFonts w:hint="eastAsia"/>
        </w:rPr>
        <w:t>参选人提供的文档要保持完整性和准确性。所有文档都采用简体中文（第三方产品出厂文件除外）。</w:t>
      </w:r>
    </w:p>
    <w:p w14:paraId="38411EFF">
      <w:pPr>
        <w:pStyle w:val="4"/>
      </w:pPr>
      <w:r>
        <w:rPr>
          <w:rFonts w:hint="eastAsia"/>
        </w:rPr>
        <w:t>1</w:t>
      </w:r>
      <w:r>
        <w:t xml:space="preserve">1.2 </w:t>
      </w:r>
      <w:r>
        <w:rPr>
          <w:rFonts w:hint="eastAsia"/>
        </w:rPr>
        <w:t>培训</w:t>
      </w:r>
    </w:p>
    <w:p w14:paraId="40E3DBC2">
      <w:r>
        <w:rPr>
          <w:rFonts w:hint="eastAsia"/>
        </w:rPr>
        <w:t>1）培训人员</w:t>
      </w:r>
    </w:p>
    <w:p w14:paraId="2EC01C8D">
      <w:r>
        <w:rPr>
          <w:rFonts w:hint="eastAsia"/>
        </w:rPr>
        <w:t>中选人应对下列人员进行相应的技术培训：</w:t>
      </w:r>
    </w:p>
    <w:p w14:paraId="515DCF49">
      <w:r>
        <w:rPr>
          <w:rFonts w:hint="eastAsia"/>
        </w:rPr>
        <w:t>包括但不限于涉及本项目的相关开发人员、运维人员以及业务人员等。</w:t>
      </w:r>
    </w:p>
    <w:p w14:paraId="71DFED46">
      <w:r>
        <w:rPr>
          <w:rFonts w:hint="eastAsia"/>
        </w:rPr>
        <w:t>2）要求</w:t>
      </w:r>
    </w:p>
    <w:p w14:paraId="50B6D573">
      <w:r>
        <w:rPr>
          <w:rFonts w:hint="eastAsia"/>
        </w:rPr>
        <w:t>对所有的培训，参选人除提供完备的书面教材外，还应提交培训方案和计划。</w:t>
      </w:r>
    </w:p>
    <w:p w14:paraId="1DFB8862">
      <w:r>
        <w:rPr>
          <w:rFonts w:hint="eastAsia"/>
        </w:rPr>
        <w:t>比选人要求所有的培训在比选人指定地点进行。</w:t>
      </w:r>
    </w:p>
    <w:p w14:paraId="5CB3EEB1">
      <w:pPr>
        <w:pStyle w:val="3"/>
      </w:pPr>
      <w:r>
        <w:t>12.</w:t>
      </w:r>
      <w:r>
        <w:rPr>
          <w:rFonts w:hint="eastAsia"/>
        </w:rPr>
        <w:t xml:space="preserve"> 服务连续性预案</w:t>
      </w:r>
    </w:p>
    <w:p w14:paraId="43D6ACC9">
      <w:r>
        <w:rPr>
          <w:rFonts w:hint="eastAsia"/>
        </w:rPr>
        <w:t>在本次比选中，参选人应在参选文件中提供服务连续性预案供比选人查看，服务连续性预案应考虑供应链风险产生的影响。【提供服务连续性预案】</w:t>
      </w:r>
    </w:p>
    <w:p w14:paraId="2B2AC362">
      <w:pPr>
        <w:pStyle w:val="3"/>
      </w:pPr>
      <w:r>
        <w:t>13.</w:t>
      </w:r>
      <w:r>
        <w:rPr>
          <w:rFonts w:hint="eastAsia"/>
        </w:rPr>
        <w:t xml:space="preserve"> 项目实施方案</w:t>
      </w:r>
    </w:p>
    <w:p w14:paraId="0A88289E">
      <w:r>
        <w:rPr>
          <w:rFonts w:hint="eastAsia"/>
        </w:rPr>
        <w:t>在本次比选中，参选人应在参选文件中提供项目实施方案供比选人查看，方案应包括履行合同的时间计划、提交资料、人员安排等内容。【提供项目实施方案】</w:t>
      </w:r>
    </w:p>
    <w:bookmarkEnd w:id="54"/>
    <w:bookmarkEnd w:id="55"/>
    <w:p w14:paraId="54C65980">
      <w:pPr>
        <w:pStyle w:val="3"/>
      </w:pPr>
      <w:bookmarkStart w:id="61" w:name="_Toc89675148"/>
      <w:bookmarkStart w:id="62" w:name="_Toc15059422"/>
      <w:r>
        <w:t>14.</w:t>
      </w:r>
      <w:r>
        <w:rPr>
          <w:rFonts w:hint="eastAsia"/>
        </w:rPr>
        <w:t xml:space="preserve"> 付款方式</w:t>
      </w:r>
      <w:bookmarkEnd w:id="61"/>
      <w:bookmarkEnd w:id="62"/>
    </w:p>
    <w:p w14:paraId="5EC0D184">
      <w:r>
        <w:rPr>
          <w:rFonts w:hint="eastAsia"/>
        </w:rPr>
        <w:t>原则上不预付款项，本合同款项采用分期付款：</w:t>
      </w:r>
    </w:p>
    <w:p w14:paraId="27CFC81A">
      <w:pPr>
        <w:pStyle w:val="4"/>
        <w:rPr>
          <w:rFonts w:hint="eastAsia"/>
        </w:rPr>
      </w:pPr>
      <w:r>
        <w:rPr>
          <w:rFonts w:hint="eastAsia"/>
        </w:rPr>
        <w:t>14.1 第一次付款</w:t>
      </w:r>
    </w:p>
    <w:p w14:paraId="68E6C057">
      <w:r>
        <w:rPr>
          <w:rFonts w:hint="eastAsia"/>
        </w:rPr>
        <w:t>项目安装、调试并投入试运行后30个工作日内，乙方向甲方提供合法足额的增值税专用发票，甲方向乙方支付合同总额的60％。</w:t>
      </w:r>
    </w:p>
    <w:p w14:paraId="6CF828F6">
      <w:pPr>
        <w:pStyle w:val="4"/>
        <w:rPr>
          <w:rFonts w:hint="eastAsia"/>
        </w:rPr>
      </w:pPr>
      <w:r>
        <w:rPr>
          <w:rFonts w:hint="eastAsia"/>
        </w:rPr>
        <w:t>14.2 第二次付款</w:t>
      </w:r>
    </w:p>
    <w:p w14:paraId="31D6645F">
      <w:r>
        <w:rPr>
          <w:rFonts w:hint="eastAsia"/>
        </w:rPr>
        <w:t>项目正式验收合格后30个工作日内,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3E631B6D">
      <w:pPr>
        <w:pStyle w:val="4"/>
        <w:rPr>
          <w:rFonts w:hint="eastAsia"/>
        </w:rPr>
      </w:pPr>
      <w:r>
        <w:rPr>
          <w:rFonts w:hint="eastAsia"/>
        </w:rPr>
        <w:t>14.2 第三次付款</w:t>
      </w:r>
    </w:p>
    <w:p w14:paraId="4151E626">
      <w:pPr>
        <w:rPr>
          <w:rFonts w:hint="eastAsia"/>
        </w:rPr>
      </w:pPr>
      <w:r>
        <w:rPr>
          <w:rFonts w:hint="eastAsia"/>
        </w:rPr>
        <w:t>维护到期后30个工作日内，甲方依据《服务水平协议（SLA）》对乙方服务质量作出评价，评价合格后，乙方向甲方提供合法足额的增值税专用发票，甲方向乙方支付合同总额的全部余款，否则按《服务水平协议（SLA）》进行相应金额扣除（14.2中已扣除部分，本条不重复扣减）。</w:t>
      </w:r>
    </w:p>
    <w:p w14:paraId="393774A2">
      <w:pPr>
        <w:pStyle w:val="3"/>
      </w:pPr>
      <w:bookmarkStart w:id="63" w:name="_Toc89675150"/>
      <w:bookmarkStart w:id="64" w:name="_Toc15059424"/>
      <w:r>
        <w:t>15.</w:t>
      </w:r>
      <w:r>
        <w:rPr>
          <w:rFonts w:hint="eastAsia"/>
        </w:rPr>
        <w:t xml:space="preserve"> 保密条款</w:t>
      </w:r>
      <w:bookmarkEnd w:id="56"/>
      <w:bookmarkEnd w:id="57"/>
      <w:bookmarkEnd w:id="58"/>
      <w:bookmarkEnd w:id="59"/>
      <w:bookmarkEnd w:id="63"/>
      <w:bookmarkEnd w:id="64"/>
    </w:p>
    <w:p w14:paraId="1D03CBF9">
      <w:pPr>
        <w:pStyle w:val="4"/>
      </w:pPr>
      <w:r>
        <w:rPr>
          <w:rFonts w:hint="eastAsia"/>
        </w:rPr>
        <w:t>1</w:t>
      </w:r>
      <w:r>
        <w:t>5</w:t>
      </w:r>
      <w:r>
        <w:rPr>
          <w:rFonts w:hint="eastAsia"/>
        </w:rPr>
        <w:t>.1 保密范围</w:t>
      </w:r>
    </w:p>
    <w:p w14:paraId="76BCF354">
      <w:r>
        <w:rPr>
          <w:rFonts w:hint="eastAsia"/>
        </w:rPr>
        <w:t>中选人在实施过程中接触到的比选人知识产权、经营信息等。</w:t>
      </w:r>
    </w:p>
    <w:p w14:paraId="3BAC9DCB">
      <w:pPr>
        <w:pStyle w:val="4"/>
      </w:pPr>
      <w:r>
        <w:t>15</w:t>
      </w:r>
      <w:r>
        <w:rPr>
          <w:rFonts w:hint="eastAsia"/>
        </w:rPr>
        <w:t>.2 保密责任</w:t>
      </w:r>
    </w:p>
    <w:p w14:paraId="55CB14CD">
      <w:r>
        <w:rPr>
          <w:rFonts w:hint="eastAsia"/>
        </w:rPr>
        <w:t>双方互为保密资料的提供方和接受方，负有保密义务，承担保密责任。除经过双方书面同意，任何一方不得将有关内容提供给合同以外的第三人。</w:t>
      </w:r>
    </w:p>
    <w:p w14:paraId="0DF99E68">
      <w:pPr>
        <w:pStyle w:val="3"/>
        <w:ind w:left="360" w:hanging="360"/>
      </w:pPr>
      <w:r>
        <w:t>16.</w:t>
      </w:r>
      <w:r>
        <w:rPr>
          <w:rFonts w:hint="eastAsia"/>
        </w:rPr>
        <w:t xml:space="preserve"> 报价要求</w:t>
      </w:r>
    </w:p>
    <w:p w14:paraId="7201D9E3">
      <w:r>
        <w:rPr>
          <w:rFonts w:hint="eastAsia"/>
        </w:rPr>
        <w:t>参选人应严格按照《参选文件格式》的“分项报价明细表”的格式认真填写。</w:t>
      </w:r>
    </w:p>
    <w:p w14:paraId="2783CE6A">
      <w:pPr>
        <w:pStyle w:val="3"/>
        <w:ind w:left="360" w:hanging="360"/>
      </w:pPr>
      <w:bookmarkStart w:id="65" w:name="_Toc15059426"/>
      <w:bookmarkStart w:id="66" w:name="_Toc89675152"/>
      <w:r>
        <w:t>17.</w:t>
      </w:r>
      <w:r>
        <w:rPr>
          <w:rFonts w:hint="eastAsia"/>
        </w:rPr>
        <w:t xml:space="preserve"> 知识产权</w:t>
      </w:r>
      <w:bookmarkEnd w:id="65"/>
      <w:bookmarkEnd w:id="66"/>
    </w:p>
    <w:p w14:paraId="5C1DA8CE">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3CF22C57">
      <w:r>
        <w:rPr>
          <w:rFonts w:hint="eastAsia"/>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0C4203A2">
      <w:pPr>
        <w:pStyle w:val="3"/>
        <w:ind w:left="360" w:hanging="360"/>
      </w:pPr>
      <w:bookmarkStart w:id="67" w:name="_Toc15059427"/>
      <w:bookmarkStart w:id="68" w:name="_Toc89675153"/>
      <w:r>
        <w:t>18.</w:t>
      </w:r>
      <w:r>
        <w:rPr>
          <w:rFonts w:hint="eastAsia"/>
        </w:rPr>
        <w:t xml:space="preserve"> 其他</w:t>
      </w:r>
      <w:bookmarkEnd w:id="67"/>
      <w:bookmarkEnd w:id="68"/>
    </w:p>
    <w:p w14:paraId="2604E0F1">
      <w:pPr>
        <w:rPr>
          <w:rFonts w:cs="Times New Roman"/>
        </w:rPr>
      </w:pPr>
      <w:r>
        <w:rPr>
          <w:rFonts w:cs="Times New Roman"/>
        </w:rPr>
        <w:t>1）参选人必须在响应承诺函中对本章内容做出整体承诺，承诺内容必须达到本</w:t>
      </w:r>
      <w:r>
        <w:rPr>
          <w:rFonts w:hint="eastAsia" w:cs="Times New Roman"/>
        </w:rPr>
        <w:t>章</w:t>
      </w:r>
      <w:r>
        <w:rPr>
          <w:rFonts w:cs="Times New Roman"/>
        </w:rPr>
        <w:t>及比选文件其他条款的要求。</w:t>
      </w:r>
    </w:p>
    <w:p w14:paraId="6E96E83B">
      <w:pPr>
        <w:rPr>
          <w:rFonts w:cs="Times New Roman"/>
        </w:rPr>
      </w:pPr>
      <w:r>
        <w:rPr>
          <w:rFonts w:cs="Times New Roman"/>
        </w:rPr>
        <w:t>2）参选人应根据本章内容和要求，提供对应材料，内容齐全，无遗漏。</w:t>
      </w:r>
    </w:p>
    <w:p w14:paraId="04A1E37A">
      <w:pPr>
        <w:rPr>
          <w:rFonts w:cs="Times New Roman"/>
        </w:rPr>
      </w:pPr>
      <w:r>
        <w:rPr>
          <w:rFonts w:cs="Times New Roman"/>
        </w:rPr>
        <w:t>3）其他未尽事宜由供需双方在合同中详细约定。</w:t>
      </w:r>
    </w:p>
    <w:p w14:paraId="5F078F44">
      <w:pPr>
        <w:snapToGrid w:val="0"/>
        <w:rPr>
          <w:rFonts w:cs="宋体"/>
          <w:snapToGrid w:val="0"/>
          <w:kern w:val="0"/>
          <w:szCs w:val="24"/>
        </w:rPr>
      </w:pPr>
    </w:p>
    <w:p w14:paraId="0A64F2ED">
      <w:pPr>
        <w:snapToGrid w:val="0"/>
        <w:rPr>
          <w:rFonts w:cs="宋体"/>
          <w:snapToGrid w:val="0"/>
          <w:kern w:val="0"/>
          <w:szCs w:val="24"/>
        </w:rPr>
      </w:pPr>
      <w:r>
        <w:rPr>
          <w:rFonts w:hint="eastAsia" w:cs="宋体"/>
          <w:snapToGrid w:val="0"/>
          <w:kern w:val="0"/>
          <w:szCs w:val="24"/>
        </w:rPr>
        <w:br w:type="page"/>
      </w:r>
      <w:bookmarkStart w:id="69" w:name="_Toc29189"/>
    </w:p>
    <w:p w14:paraId="5F82A7B5">
      <w:pPr>
        <w:pStyle w:val="2"/>
      </w:pPr>
      <w:bookmarkStart w:id="70" w:name="_Toc26209"/>
      <w:bookmarkStart w:id="71" w:name="_Toc23430"/>
      <w:r>
        <w:rPr>
          <w:rFonts w:hint="eastAsia"/>
        </w:rPr>
        <w:t>第四章 评审办法（综合评估法）</w:t>
      </w:r>
      <w:bookmarkEnd w:id="69"/>
      <w:bookmarkEnd w:id="70"/>
      <w:bookmarkEnd w:id="71"/>
    </w:p>
    <w:p w14:paraId="45288CDA">
      <w:pPr>
        <w:rPr>
          <w:b/>
          <w:bCs/>
        </w:rPr>
      </w:pPr>
      <w:bookmarkStart w:id="72" w:name="_Toc14810"/>
      <w:bookmarkStart w:id="73" w:name="_Toc11471"/>
      <w:bookmarkStart w:id="74" w:name="_Toc2028"/>
      <w:bookmarkStart w:id="75" w:name="_Toc27076"/>
      <w:r>
        <w:rPr>
          <w:rFonts w:hint="eastAsia"/>
          <w:b/>
          <w:bCs/>
        </w:rPr>
        <w:t>评审办法前附表</w:t>
      </w:r>
      <w:bookmarkEnd w:id="72"/>
      <w:bookmarkEnd w:id="73"/>
      <w:bookmarkEnd w:id="74"/>
      <w:bookmarkEnd w:id="75"/>
    </w:p>
    <w:p w14:paraId="4D372B50">
      <w:r>
        <w:rPr>
          <w:szCs w:val="21"/>
        </w:rPr>
        <w:t>若</w:t>
      </w:r>
      <w:r>
        <w:rPr>
          <w:rFonts w:hint="eastAsia"/>
          <w:szCs w:val="21"/>
        </w:rPr>
        <w:t>评审办法前附表</w:t>
      </w:r>
      <w:r>
        <w:rPr>
          <w:szCs w:val="21"/>
        </w:rPr>
        <w:t>与正文不一致的地方，以</w:t>
      </w:r>
      <w:r>
        <w:rPr>
          <w:rFonts w:hint="eastAsia"/>
          <w:szCs w:val="21"/>
        </w:rPr>
        <w:t>评审办法前附表</w:t>
      </w:r>
      <w:r>
        <w:rPr>
          <w:szCs w:val="21"/>
        </w:rPr>
        <w:t>为准。</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07E9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C5B966B">
            <w:pPr>
              <w:ind w:firstLine="0" w:firstLineChars="0"/>
              <w:jc w:val="center"/>
              <w:rPr>
                <w:rFonts w:cs="宋体"/>
                <w:b/>
                <w:kern w:val="0"/>
                <w:szCs w:val="21"/>
              </w:rPr>
            </w:pPr>
            <w:bookmarkStart w:id="76" w:name="CQZH1_07"/>
            <w:r>
              <w:rPr>
                <w:rFonts w:hint="eastAsia" w:cs="宋体"/>
                <w:b/>
                <w:kern w:val="0"/>
                <w:szCs w:val="21"/>
              </w:rPr>
              <w:t>条款号</w:t>
            </w:r>
          </w:p>
        </w:tc>
        <w:tc>
          <w:tcPr>
            <w:tcW w:w="1482" w:type="dxa"/>
            <w:vAlign w:val="center"/>
          </w:tcPr>
          <w:p w14:paraId="03915FB5">
            <w:pPr>
              <w:ind w:firstLine="0" w:firstLineChars="0"/>
              <w:jc w:val="center"/>
              <w:rPr>
                <w:rFonts w:cs="宋体"/>
                <w:b/>
                <w:kern w:val="0"/>
                <w:szCs w:val="21"/>
              </w:rPr>
            </w:pPr>
            <w:r>
              <w:rPr>
                <w:rFonts w:hint="eastAsia" w:cs="宋体"/>
                <w:b/>
                <w:kern w:val="0"/>
                <w:szCs w:val="21"/>
              </w:rPr>
              <w:t>评审因素</w:t>
            </w:r>
          </w:p>
        </w:tc>
        <w:tc>
          <w:tcPr>
            <w:tcW w:w="7162" w:type="dxa"/>
            <w:gridSpan w:val="3"/>
            <w:vAlign w:val="center"/>
          </w:tcPr>
          <w:p w14:paraId="37CD87A2">
            <w:pPr>
              <w:ind w:firstLine="0" w:firstLineChars="0"/>
              <w:jc w:val="center"/>
              <w:rPr>
                <w:rFonts w:cs="宋体"/>
                <w:b/>
                <w:kern w:val="0"/>
                <w:szCs w:val="21"/>
              </w:rPr>
            </w:pPr>
            <w:r>
              <w:rPr>
                <w:rFonts w:hint="eastAsia" w:cs="宋体"/>
                <w:b/>
                <w:kern w:val="0"/>
                <w:szCs w:val="21"/>
              </w:rPr>
              <w:t>评审标准</w:t>
            </w:r>
          </w:p>
        </w:tc>
      </w:tr>
      <w:tr w14:paraId="5EF1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5E9F8A1">
            <w:pPr>
              <w:ind w:firstLine="0" w:firstLineChars="0"/>
              <w:jc w:val="center"/>
              <w:rPr>
                <w:rFonts w:cs="宋体"/>
                <w:bCs/>
                <w:kern w:val="0"/>
                <w:szCs w:val="21"/>
              </w:rPr>
            </w:pPr>
            <w:r>
              <w:rPr>
                <w:rFonts w:hint="eastAsia" w:cs="宋体"/>
                <w:bCs/>
                <w:kern w:val="0"/>
                <w:szCs w:val="21"/>
              </w:rPr>
              <w:t>1</w:t>
            </w:r>
          </w:p>
        </w:tc>
        <w:tc>
          <w:tcPr>
            <w:tcW w:w="1482" w:type="dxa"/>
            <w:tcBorders>
              <w:left w:val="single" w:color="auto" w:sz="4" w:space="0"/>
            </w:tcBorders>
            <w:vAlign w:val="center"/>
          </w:tcPr>
          <w:p w14:paraId="7D590D6C">
            <w:pPr>
              <w:ind w:firstLine="0" w:firstLineChars="0"/>
              <w:jc w:val="center"/>
              <w:rPr>
                <w:rFonts w:cs="宋体"/>
                <w:b/>
                <w:kern w:val="0"/>
                <w:szCs w:val="21"/>
              </w:rPr>
            </w:pPr>
            <w:r>
              <w:rPr>
                <w:rFonts w:hint="eastAsia" w:cs="Times New Roman"/>
                <w:szCs w:val="21"/>
              </w:rPr>
              <w:t>评审办法</w:t>
            </w:r>
          </w:p>
        </w:tc>
        <w:tc>
          <w:tcPr>
            <w:tcW w:w="7162" w:type="dxa"/>
            <w:gridSpan w:val="3"/>
            <w:tcBorders>
              <w:left w:val="single" w:color="auto" w:sz="4" w:space="0"/>
            </w:tcBorders>
            <w:vAlign w:val="center"/>
          </w:tcPr>
          <w:p w14:paraId="66D40E34">
            <w:pPr>
              <w:ind w:firstLine="0" w:firstLineChars="0"/>
              <w:jc w:val="left"/>
              <w:rPr>
                <w:rFonts w:cs="宋体"/>
                <w:b/>
                <w:kern w:val="0"/>
                <w:szCs w:val="21"/>
              </w:rPr>
            </w:pPr>
            <w:r>
              <w:rPr>
                <w:rFonts w:hint="eastAsia" w:ascii="宋体" w:hAnsi="宋体" w:cs="Times New Roman"/>
                <w:kern w:val="0"/>
                <w:szCs w:val="24"/>
              </w:rPr>
              <w:t>本次评审采用综合评估法。评审委员会按照评审办法前附表第2.1 条规定的标准进行初步评审，初步评审合格的参选人评审委员会按照评审办法前附表第2.2 条规定的评分标准进行打分，按得分由高到低顺序推荐1-3名中选候选人，但参选报价低于其成本的除外。综合评分相等时，以参选报价低的优先；参选报价也相等的，</w:t>
            </w:r>
            <w:r>
              <w:rPr>
                <w:rFonts w:hint="eastAsia" w:cs="Times New Roman"/>
                <w:kern w:val="0"/>
                <w:szCs w:val="24"/>
              </w:rPr>
              <w:t>由评审委员会按照</w:t>
            </w:r>
            <w:r>
              <w:rPr>
                <w:rFonts w:cs="Times New Roman"/>
                <w:kern w:val="0"/>
                <w:szCs w:val="24"/>
              </w:rPr>
              <w:t>实施案例总数多的</w:t>
            </w:r>
            <w:r>
              <w:rPr>
                <w:rFonts w:hint="eastAsia" w:cs="Times New Roman"/>
                <w:kern w:val="0"/>
                <w:szCs w:val="24"/>
              </w:rPr>
              <w:t>排序。</w:t>
            </w:r>
          </w:p>
        </w:tc>
      </w:tr>
      <w:tr w14:paraId="6CDF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CACACF4">
            <w:pPr>
              <w:ind w:firstLine="0" w:firstLineChars="0"/>
              <w:jc w:val="center"/>
              <w:rPr>
                <w:rFonts w:cs="宋体"/>
                <w:bCs/>
                <w:kern w:val="0"/>
                <w:szCs w:val="21"/>
              </w:rPr>
            </w:pPr>
            <w:r>
              <w:rPr>
                <w:rFonts w:hint="eastAsia" w:cs="宋体"/>
                <w:bCs/>
                <w:kern w:val="0"/>
                <w:szCs w:val="21"/>
              </w:rPr>
              <w:t>2.1</w:t>
            </w:r>
          </w:p>
        </w:tc>
        <w:tc>
          <w:tcPr>
            <w:tcW w:w="1482" w:type="dxa"/>
            <w:tcBorders>
              <w:left w:val="single" w:color="auto" w:sz="4" w:space="0"/>
            </w:tcBorders>
            <w:vAlign w:val="center"/>
          </w:tcPr>
          <w:p w14:paraId="4524B93E">
            <w:pPr>
              <w:ind w:firstLine="0" w:firstLineChars="0"/>
              <w:jc w:val="center"/>
              <w:rPr>
                <w:rFonts w:cs="Times New Roman"/>
                <w:kern w:val="0"/>
                <w:szCs w:val="24"/>
              </w:rPr>
            </w:pPr>
            <w:r>
              <w:rPr>
                <w:rFonts w:hint="eastAsia" w:cs="Times New Roman"/>
                <w:kern w:val="0"/>
                <w:szCs w:val="24"/>
              </w:rPr>
              <w:t>初步评审标准</w:t>
            </w:r>
          </w:p>
        </w:tc>
        <w:tc>
          <w:tcPr>
            <w:tcW w:w="7162" w:type="dxa"/>
            <w:gridSpan w:val="3"/>
            <w:tcBorders>
              <w:left w:val="single" w:color="auto" w:sz="4" w:space="0"/>
            </w:tcBorders>
            <w:vAlign w:val="center"/>
          </w:tcPr>
          <w:p w14:paraId="6EC08E33">
            <w:pPr>
              <w:ind w:firstLine="0" w:firstLineChars="0"/>
              <w:jc w:val="left"/>
              <w:rPr>
                <w:rFonts w:cs="Times New Roman"/>
                <w:kern w:val="0"/>
                <w:szCs w:val="24"/>
              </w:rPr>
            </w:pPr>
            <w:r>
              <w:rPr>
                <w:rFonts w:hint="eastAsia" w:cs="Times New Roman"/>
                <w:kern w:val="0"/>
                <w:szCs w:val="24"/>
              </w:rPr>
              <w:t>所有参选单位</w:t>
            </w:r>
            <w:r>
              <w:rPr>
                <w:rFonts w:hint="eastAsia" w:cs="Times New Roman"/>
                <w:spacing w:val="4"/>
                <w:kern w:val="0"/>
                <w:szCs w:val="21"/>
              </w:rPr>
              <w:t>进行</w:t>
            </w:r>
            <w:r>
              <w:rPr>
                <w:rFonts w:hint="eastAsia" w:cs="Times New Roman"/>
                <w:kern w:val="0"/>
                <w:szCs w:val="24"/>
              </w:rPr>
              <w:t>初步评审</w:t>
            </w:r>
            <w:r>
              <w:rPr>
                <w:rFonts w:hint="eastAsia" w:cs="Times New Roman"/>
                <w:spacing w:val="4"/>
                <w:kern w:val="0"/>
                <w:szCs w:val="21"/>
              </w:rPr>
              <w:t>。</w:t>
            </w:r>
            <w:r>
              <w:rPr>
                <w:rFonts w:hint="eastAsia" w:cs="Times New Roman"/>
                <w:kern w:val="0"/>
                <w:szCs w:val="24"/>
              </w:rPr>
              <w:t>初步评审</w:t>
            </w:r>
            <w:r>
              <w:rPr>
                <w:rFonts w:hint="eastAsia" w:cs="Times New Roman"/>
                <w:spacing w:val="4"/>
                <w:kern w:val="0"/>
                <w:szCs w:val="21"/>
              </w:rPr>
              <w:t>内容：资格评审、形式评审、响应性评审。</w:t>
            </w:r>
          </w:p>
        </w:tc>
      </w:tr>
      <w:tr w14:paraId="73E2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3094ECA">
            <w:pPr>
              <w:ind w:firstLine="0" w:firstLineChars="0"/>
              <w:jc w:val="center"/>
              <w:rPr>
                <w:rFonts w:cs="宋体"/>
                <w:bCs/>
                <w:kern w:val="0"/>
                <w:szCs w:val="21"/>
              </w:rPr>
            </w:pPr>
            <w:r>
              <w:rPr>
                <w:rFonts w:hint="eastAsia" w:cs="宋体"/>
                <w:kern w:val="0"/>
                <w:szCs w:val="21"/>
              </w:rPr>
              <w:t>2.1.1</w:t>
            </w:r>
          </w:p>
        </w:tc>
        <w:tc>
          <w:tcPr>
            <w:tcW w:w="1482" w:type="dxa"/>
            <w:tcBorders>
              <w:left w:val="single" w:color="auto" w:sz="4" w:space="0"/>
            </w:tcBorders>
            <w:vAlign w:val="center"/>
          </w:tcPr>
          <w:p w14:paraId="503248EA">
            <w:pPr>
              <w:ind w:firstLine="0" w:firstLineChars="0"/>
              <w:jc w:val="center"/>
              <w:rPr>
                <w:rFonts w:cs="Times New Roman"/>
                <w:kern w:val="0"/>
                <w:szCs w:val="24"/>
              </w:rPr>
            </w:pPr>
            <w:r>
              <w:rPr>
                <w:rFonts w:hint="eastAsia" w:cs="宋体"/>
                <w:kern w:val="0"/>
                <w:szCs w:val="21"/>
              </w:rPr>
              <w:t>资格评审标准</w:t>
            </w:r>
          </w:p>
        </w:tc>
        <w:tc>
          <w:tcPr>
            <w:tcW w:w="1686" w:type="dxa"/>
            <w:gridSpan w:val="2"/>
            <w:tcBorders>
              <w:left w:val="single" w:color="auto" w:sz="4" w:space="0"/>
            </w:tcBorders>
            <w:vAlign w:val="center"/>
          </w:tcPr>
          <w:p w14:paraId="338922DC">
            <w:pPr>
              <w:ind w:firstLine="0" w:firstLineChars="0"/>
              <w:jc w:val="center"/>
              <w:rPr>
                <w:rFonts w:cs="Times New Roman"/>
                <w:kern w:val="0"/>
                <w:szCs w:val="24"/>
              </w:rPr>
            </w:pPr>
            <w:r>
              <w:rPr>
                <w:rFonts w:hint="eastAsia" w:cs="宋体"/>
                <w:kern w:val="0"/>
                <w:szCs w:val="21"/>
              </w:rPr>
              <w:t>资格条件要求</w:t>
            </w:r>
          </w:p>
        </w:tc>
        <w:tc>
          <w:tcPr>
            <w:tcW w:w="5476" w:type="dxa"/>
            <w:tcBorders>
              <w:left w:val="single" w:color="auto" w:sz="4" w:space="0"/>
            </w:tcBorders>
            <w:vAlign w:val="center"/>
          </w:tcPr>
          <w:p w14:paraId="436F4AB6">
            <w:pPr>
              <w:ind w:firstLine="0" w:firstLineChars="0"/>
              <w:jc w:val="left"/>
              <w:rPr>
                <w:rFonts w:cs="Times New Roman"/>
                <w:kern w:val="0"/>
                <w:szCs w:val="24"/>
              </w:rPr>
            </w:pPr>
            <w:r>
              <w:rPr>
                <w:rFonts w:hint="eastAsia" w:cs="宋体"/>
                <w:kern w:val="0"/>
                <w:szCs w:val="21"/>
              </w:rPr>
              <w:t>符合第一章“2. 参选人资格要求”规定</w:t>
            </w:r>
          </w:p>
        </w:tc>
      </w:tr>
      <w:tr w14:paraId="29AD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1FC6FEFE">
            <w:pPr>
              <w:ind w:firstLine="0" w:firstLineChars="0"/>
              <w:jc w:val="center"/>
              <w:rPr>
                <w:rFonts w:cs="宋体"/>
                <w:kern w:val="0"/>
                <w:szCs w:val="21"/>
              </w:rPr>
            </w:pPr>
            <w:r>
              <w:rPr>
                <w:rFonts w:hint="eastAsia" w:cs="宋体"/>
                <w:kern w:val="0"/>
                <w:szCs w:val="21"/>
              </w:rPr>
              <w:t>2.1.2</w:t>
            </w:r>
          </w:p>
        </w:tc>
        <w:tc>
          <w:tcPr>
            <w:tcW w:w="1482" w:type="dxa"/>
            <w:vMerge w:val="restart"/>
            <w:tcBorders>
              <w:left w:val="single" w:color="auto" w:sz="4" w:space="0"/>
            </w:tcBorders>
            <w:vAlign w:val="center"/>
          </w:tcPr>
          <w:p w14:paraId="1E0EA1E7">
            <w:pPr>
              <w:ind w:firstLine="0" w:firstLineChars="0"/>
              <w:jc w:val="center"/>
              <w:rPr>
                <w:rFonts w:cs="Times New Roman"/>
                <w:kern w:val="0"/>
                <w:szCs w:val="24"/>
              </w:rPr>
            </w:pPr>
            <w:r>
              <w:rPr>
                <w:rFonts w:hint="eastAsia" w:cs="Times New Roman"/>
                <w:kern w:val="0"/>
                <w:szCs w:val="24"/>
              </w:rPr>
              <w:t>形式评审标准</w:t>
            </w:r>
          </w:p>
        </w:tc>
        <w:tc>
          <w:tcPr>
            <w:tcW w:w="1686" w:type="dxa"/>
            <w:gridSpan w:val="2"/>
            <w:tcBorders>
              <w:left w:val="single" w:color="auto" w:sz="4" w:space="0"/>
            </w:tcBorders>
            <w:vAlign w:val="center"/>
          </w:tcPr>
          <w:p w14:paraId="78D3E169">
            <w:pPr>
              <w:ind w:firstLine="0" w:firstLineChars="0"/>
              <w:jc w:val="center"/>
              <w:rPr>
                <w:rFonts w:cs="宋体"/>
                <w:kern w:val="0"/>
                <w:szCs w:val="21"/>
              </w:rPr>
            </w:pPr>
            <w:r>
              <w:rPr>
                <w:rFonts w:hint="eastAsia" w:cs="宋体"/>
                <w:kern w:val="0"/>
                <w:szCs w:val="21"/>
              </w:rPr>
              <w:t>参选人名称</w:t>
            </w:r>
          </w:p>
        </w:tc>
        <w:tc>
          <w:tcPr>
            <w:tcW w:w="5476" w:type="dxa"/>
            <w:tcBorders>
              <w:left w:val="single" w:color="auto" w:sz="4" w:space="0"/>
            </w:tcBorders>
            <w:vAlign w:val="center"/>
          </w:tcPr>
          <w:p w14:paraId="231B306F">
            <w:pPr>
              <w:ind w:firstLine="0" w:firstLineChars="0"/>
              <w:jc w:val="left"/>
              <w:rPr>
                <w:rFonts w:cs="宋体"/>
                <w:kern w:val="0"/>
                <w:szCs w:val="21"/>
              </w:rPr>
            </w:pPr>
            <w:r>
              <w:rPr>
                <w:rFonts w:hint="eastAsia" w:cs="宋体"/>
                <w:kern w:val="0"/>
                <w:szCs w:val="21"/>
              </w:rPr>
              <w:t>与营业执照、资格证明材料一致</w:t>
            </w:r>
          </w:p>
        </w:tc>
      </w:tr>
      <w:tr w14:paraId="6CA0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597CA90"/>
        </w:tc>
        <w:tc>
          <w:tcPr>
            <w:tcW w:w="1482" w:type="dxa"/>
            <w:vMerge w:val="continue"/>
            <w:tcBorders>
              <w:left w:val="single" w:color="auto" w:sz="4" w:space="0"/>
            </w:tcBorders>
            <w:textDirection w:val="tbRlV"/>
            <w:vAlign w:val="center"/>
          </w:tcPr>
          <w:p w14:paraId="5F07AB09"/>
        </w:tc>
        <w:tc>
          <w:tcPr>
            <w:tcW w:w="1686" w:type="dxa"/>
            <w:gridSpan w:val="2"/>
            <w:tcBorders>
              <w:left w:val="single" w:color="auto" w:sz="4" w:space="0"/>
            </w:tcBorders>
            <w:vAlign w:val="center"/>
          </w:tcPr>
          <w:p w14:paraId="3B183F3D">
            <w:pPr>
              <w:ind w:firstLine="0" w:firstLineChars="0"/>
              <w:jc w:val="center"/>
              <w:rPr>
                <w:rFonts w:cs="宋体"/>
                <w:kern w:val="0"/>
                <w:szCs w:val="21"/>
              </w:rPr>
            </w:pPr>
            <w:r>
              <w:rPr>
                <w:rFonts w:hint="eastAsia" w:cs="宋体"/>
                <w:kern w:val="0"/>
                <w:szCs w:val="21"/>
              </w:rPr>
              <w:t>参选文件的签字盖章</w:t>
            </w:r>
          </w:p>
        </w:tc>
        <w:tc>
          <w:tcPr>
            <w:tcW w:w="5476" w:type="dxa"/>
            <w:tcBorders>
              <w:left w:val="single" w:color="auto" w:sz="4" w:space="0"/>
            </w:tcBorders>
            <w:vAlign w:val="center"/>
          </w:tcPr>
          <w:p w14:paraId="10D68DAE">
            <w:pPr>
              <w:ind w:firstLine="0" w:firstLineChars="0"/>
              <w:jc w:val="left"/>
              <w:rPr>
                <w:rFonts w:cs="宋体"/>
                <w:kern w:val="0"/>
                <w:szCs w:val="21"/>
              </w:rPr>
            </w:pPr>
            <w:r>
              <w:rPr>
                <w:rFonts w:hint="eastAsia" w:cs="宋体"/>
                <w:kern w:val="0"/>
                <w:szCs w:val="21"/>
              </w:rPr>
              <w:t>符合第二章“参选人须知”4.5 条规定</w:t>
            </w:r>
          </w:p>
        </w:tc>
      </w:tr>
      <w:tr w14:paraId="5102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A82DE01"/>
        </w:tc>
        <w:tc>
          <w:tcPr>
            <w:tcW w:w="1482" w:type="dxa"/>
            <w:vMerge w:val="continue"/>
            <w:tcBorders>
              <w:left w:val="single" w:color="auto" w:sz="4" w:space="0"/>
            </w:tcBorders>
            <w:textDirection w:val="tbRlV"/>
            <w:vAlign w:val="center"/>
          </w:tcPr>
          <w:p w14:paraId="1CE8E4FC"/>
        </w:tc>
        <w:tc>
          <w:tcPr>
            <w:tcW w:w="1686" w:type="dxa"/>
            <w:gridSpan w:val="2"/>
            <w:tcBorders>
              <w:left w:val="single" w:color="auto" w:sz="4" w:space="0"/>
            </w:tcBorders>
            <w:vAlign w:val="center"/>
          </w:tcPr>
          <w:p w14:paraId="3F72439E">
            <w:pPr>
              <w:ind w:firstLine="0" w:firstLineChars="0"/>
              <w:jc w:val="center"/>
              <w:rPr>
                <w:rFonts w:cs="宋体"/>
                <w:kern w:val="0"/>
                <w:szCs w:val="21"/>
              </w:rPr>
            </w:pPr>
            <w:r>
              <w:rPr>
                <w:rFonts w:hint="eastAsia" w:cs="宋体"/>
                <w:kern w:val="0"/>
                <w:szCs w:val="21"/>
              </w:rPr>
              <w:t>参选文件的密封</w:t>
            </w:r>
          </w:p>
        </w:tc>
        <w:tc>
          <w:tcPr>
            <w:tcW w:w="5476" w:type="dxa"/>
            <w:tcBorders>
              <w:left w:val="single" w:color="auto" w:sz="4" w:space="0"/>
            </w:tcBorders>
            <w:vAlign w:val="center"/>
          </w:tcPr>
          <w:p w14:paraId="53EC8998">
            <w:pPr>
              <w:ind w:firstLine="0" w:firstLineChars="0"/>
              <w:jc w:val="left"/>
              <w:rPr>
                <w:rFonts w:cs="宋体"/>
                <w:kern w:val="0"/>
                <w:szCs w:val="21"/>
              </w:rPr>
            </w:pPr>
            <w:r>
              <w:rPr>
                <w:rFonts w:hint="eastAsia" w:cs="宋体"/>
                <w:kern w:val="0"/>
                <w:szCs w:val="21"/>
              </w:rPr>
              <w:t>符合第二章“参选人须知”4.6 条规定</w:t>
            </w:r>
          </w:p>
        </w:tc>
      </w:tr>
      <w:tr w14:paraId="00B8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A3EBFF4"/>
        </w:tc>
        <w:tc>
          <w:tcPr>
            <w:tcW w:w="1482" w:type="dxa"/>
            <w:vMerge w:val="continue"/>
            <w:tcBorders>
              <w:left w:val="single" w:color="auto" w:sz="4" w:space="0"/>
            </w:tcBorders>
            <w:textDirection w:val="tbRlV"/>
            <w:vAlign w:val="center"/>
          </w:tcPr>
          <w:p w14:paraId="07A81653"/>
        </w:tc>
        <w:tc>
          <w:tcPr>
            <w:tcW w:w="1686" w:type="dxa"/>
            <w:gridSpan w:val="2"/>
            <w:tcBorders>
              <w:left w:val="single" w:color="auto" w:sz="4" w:space="0"/>
            </w:tcBorders>
            <w:vAlign w:val="center"/>
          </w:tcPr>
          <w:p w14:paraId="4B36C407">
            <w:pPr>
              <w:ind w:firstLine="0" w:firstLineChars="0"/>
              <w:jc w:val="center"/>
              <w:rPr>
                <w:rFonts w:cs="宋体"/>
                <w:kern w:val="0"/>
                <w:szCs w:val="21"/>
              </w:rPr>
            </w:pPr>
            <w:r>
              <w:rPr>
                <w:rFonts w:hint="eastAsia" w:cs="宋体"/>
                <w:kern w:val="0"/>
                <w:szCs w:val="21"/>
              </w:rPr>
              <w:t>参选文件格式</w:t>
            </w:r>
          </w:p>
        </w:tc>
        <w:tc>
          <w:tcPr>
            <w:tcW w:w="5476" w:type="dxa"/>
            <w:tcBorders>
              <w:left w:val="single" w:color="auto" w:sz="4" w:space="0"/>
            </w:tcBorders>
            <w:vAlign w:val="center"/>
          </w:tcPr>
          <w:p w14:paraId="5ACFBB94">
            <w:pPr>
              <w:ind w:firstLine="0" w:firstLineChars="0"/>
              <w:jc w:val="left"/>
              <w:rPr>
                <w:rFonts w:cs="宋体"/>
                <w:kern w:val="0"/>
                <w:szCs w:val="21"/>
              </w:rPr>
            </w:pPr>
            <w:r>
              <w:rPr>
                <w:rFonts w:hint="eastAsia" w:cs="宋体"/>
                <w:kern w:val="0"/>
                <w:szCs w:val="21"/>
              </w:rPr>
              <w:t>符合第六章“参选文件格式”的要求</w:t>
            </w:r>
          </w:p>
        </w:tc>
      </w:tr>
      <w:tr w14:paraId="66CB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35243A0"/>
        </w:tc>
        <w:tc>
          <w:tcPr>
            <w:tcW w:w="1482" w:type="dxa"/>
            <w:vMerge w:val="continue"/>
            <w:tcBorders>
              <w:left w:val="single" w:color="auto" w:sz="4" w:space="0"/>
            </w:tcBorders>
            <w:textDirection w:val="tbRlV"/>
            <w:vAlign w:val="center"/>
          </w:tcPr>
          <w:p w14:paraId="71F1EC2A"/>
        </w:tc>
        <w:tc>
          <w:tcPr>
            <w:tcW w:w="1686" w:type="dxa"/>
            <w:gridSpan w:val="2"/>
            <w:tcBorders>
              <w:left w:val="single" w:color="auto" w:sz="4" w:space="0"/>
            </w:tcBorders>
            <w:vAlign w:val="center"/>
          </w:tcPr>
          <w:p w14:paraId="703E4F93">
            <w:pPr>
              <w:ind w:firstLine="0" w:firstLineChars="0"/>
              <w:jc w:val="center"/>
              <w:rPr>
                <w:rFonts w:cs="宋体"/>
                <w:kern w:val="0"/>
                <w:szCs w:val="21"/>
              </w:rPr>
            </w:pPr>
            <w:r>
              <w:rPr>
                <w:rFonts w:hint="eastAsia" w:cs="宋体"/>
                <w:kern w:val="0"/>
                <w:szCs w:val="21"/>
              </w:rPr>
              <w:t>参选文件组成</w:t>
            </w:r>
          </w:p>
        </w:tc>
        <w:tc>
          <w:tcPr>
            <w:tcW w:w="5476" w:type="dxa"/>
            <w:tcBorders>
              <w:left w:val="single" w:color="auto" w:sz="4" w:space="0"/>
            </w:tcBorders>
            <w:vAlign w:val="center"/>
          </w:tcPr>
          <w:p w14:paraId="5DC0E1DA">
            <w:pPr>
              <w:ind w:firstLine="0" w:firstLineChars="0"/>
              <w:jc w:val="left"/>
              <w:rPr>
                <w:rFonts w:cs="宋体"/>
                <w:kern w:val="0"/>
                <w:szCs w:val="21"/>
              </w:rPr>
            </w:pPr>
            <w:r>
              <w:rPr>
                <w:rFonts w:hint="eastAsia" w:cs="宋体"/>
                <w:kern w:val="0"/>
                <w:szCs w:val="21"/>
              </w:rPr>
              <w:t>符合第二章“参选人须知”4.1 条规定，</w:t>
            </w:r>
            <w:r>
              <w:rPr>
                <w:rFonts w:hint="eastAsia" w:cs="宋体"/>
                <w:kern w:val="0"/>
                <w:sz w:val="20"/>
              </w:rPr>
              <w:t>内容齐全、无遗漏</w:t>
            </w:r>
          </w:p>
        </w:tc>
      </w:tr>
      <w:tr w14:paraId="312F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F2CFCA7"/>
        </w:tc>
        <w:tc>
          <w:tcPr>
            <w:tcW w:w="1482" w:type="dxa"/>
            <w:vMerge w:val="continue"/>
            <w:tcBorders>
              <w:left w:val="single" w:color="auto" w:sz="4" w:space="0"/>
            </w:tcBorders>
            <w:textDirection w:val="tbRlV"/>
            <w:vAlign w:val="center"/>
          </w:tcPr>
          <w:p w14:paraId="64FBF957"/>
        </w:tc>
        <w:tc>
          <w:tcPr>
            <w:tcW w:w="1686" w:type="dxa"/>
            <w:gridSpan w:val="2"/>
            <w:tcBorders>
              <w:left w:val="single" w:color="auto" w:sz="4" w:space="0"/>
            </w:tcBorders>
            <w:vAlign w:val="center"/>
          </w:tcPr>
          <w:p w14:paraId="51E96AE8">
            <w:pPr>
              <w:ind w:firstLine="0" w:firstLineChars="0"/>
              <w:jc w:val="center"/>
              <w:rPr>
                <w:rFonts w:cs="宋体"/>
                <w:kern w:val="0"/>
                <w:szCs w:val="21"/>
              </w:rPr>
            </w:pPr>
            <w:r>
              <w:rPr>
                <w:rFonts w:hint="eastAsia" w:cs="宋体"/>
                <w:kern w:val="0"/>
                <w:szCs w:val="21"/>
              </w:rPr>
              <w:t>联合体参选</w:t>
            </w:r>
          </w:p>
        </w:tc>
        <w:tc>
          <w:tcPr>
            <w:tcW w:w="5476" w:type="dxa"/>
            <w:tcBorders>
              <w:left w:val="single" w:color="auto" w:sz="4" w:space="0"/>
            </w:tcBorders>
            <w:vAlign w:val="center"/>
          </w:tcPr>
          <w:p w14:paraId="49E8B388">
            <w:pPr>
              <w:ind w:firstLine="0" w:firstLineChars="0"/>
              <w:jc w:val="left"/>
              <w:rPr>
                <w:rFonts w:cs="宋体"/>
                <w:kern w:val="0"/>
                <w:szCs w:val="21"/>
              </w:rPr>
            </w:pPr>
            <w:r>
              <w:rPr>
                <w:rFonts w:hint="eastAsia" w:cs="宋体"/>
                <w:kern w:val="0"/>
                <w:szCs w:val="21"/>
              </w:rPr>
              <w:t>符合第一章“2. 参选人资格要求”2.8 条的要求</w:t>
            </w:r>
          </w:p>
        </w:tc>
      </w:tr>
      <w:tr w14:paraId="305B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7AE3D2EC">
            <w:pPr>
              <w:ind w:firstLine="0" w:firstLineChars="0"/>
              <w:jc w:val="center"/>
              <w:rPr>
                <w:rFonts w:cs="宋体"/>
                <w:szCs w:val="21"/>
              </w:rPr>
            </w:pPr>
            <w:r>
              <w:rPr>
                <w:rFonts w:hint="eastAsia" w:cs="宋体"/>
                <w:kern w:val="0"/>
                <w:szCs w:val="21"/>
              </w:rPr>
              <w:t>2.1.3</w:t>
            </w:r>
          </w:p>
        </w:tc>
        <w:tc>
          <w:tcPr>
            <w:tcW w:w="1482" w:type="dxa"/>
            <w:vMerge w:val="restart"/>
            <w:tcBorders>
              <w:left w:val="single" w:color="auto" w:sz="4" w:space="0"/>
            </w:tcBorders>
            <w:vAlign w:val="center"/>
          </w:tcPr>
          <w:p w14:paraId="3D7629AD">
            <w:pPr>
              <w:ind w:firstLine="0" w:firstLineChars="0"/>
              <w:jc w:val="center"/>
              <w:rPr>
                <w:rFonts w:cs="宋体"/>
                <w:szCs w:val="21"/>
              </w:rPr>
            </w:pPr>
            <w:r>
              <w:rPr>
                <w:rFonts w:hint="eastAsia" w:cs="宋体"/>
                <w:kern w:val="0"/>
                <w:szCs w:val="21"/>
              </w:rPr>
              <w:t>响应性评审标准</w:t>
            </w:r>
          </w:p>
        </w:tc>
        <w:tc>
          <w:tcPr>
            <w:tcW w:w="1686" w:type="dxa"/>
            <w:gridSpan w:val="2"/>
            <w:tcBorders>
              <w:left w:val="single" w:color="auto" w:sz="4" w:space="0"/>
            </w:tcBorders>
            <w:vAlign w:val="center"/>
          </w:tcPr>
          <w:p w14:paraId="508810F7">
            <w:pPr>
              <w:ind w:firstLine="0" w:firstLineChars="0"/>
              <w:jc w:val="center"/>
              <w:rPr>
                <w:rFonts w:cs="宋体"/>
                <w:kern w:val="0"/>
                <w:szCs w:val="21"/>
              </w:rPr>
            </w:pPr>
            <w:r>
              <w:rPr>
                <w:rFonts w:hint="eastAsia" w:cs="宋体"/>
                <w:kern w:val="0"/>
                <w:szCs w:val="21"/>
              </w:rPr>
              <w:t>参选内容</w:t>
            </w:r>
          </w:p>
        </w:tc>
        <w:tc>
          <w:tcPr>
            <w:tcW w:w="5476" w:type="dxa"/>
            <w:tcBorders>
              <w:left w:val="single" w:color="auto" w:sz="4" w:space="0"/>
            </w:tcBorders>
            <w:vAlign w:val="center"/>
          </w:tcPr>
          <w:p w14:paraId="16BF8343">
            <w:pPr>
              <w:ind w:firstLine="0" w:firstLineChars="0"/>
              <w:jc w:val="left"/>
              <w:rPr>
                <w:rFonts w:cs="宋体"/>
                <w:kern w:val="0"/>
                <w:szCs w:val="21"/>
              </w:rPr>
            </w:pPr>
            <w:r>
              <w:rPr>
                <w:rFonts w:hint="eastAsia" w:cs="宋体"/>
                <w:kern w:val="0"/>
                <w:szCs w:val="21"/>
              </w:rPr>
              <w:t>1. 在响应承诺函中对第三章“项目要求”内容做出整体承诺；</w:t>
            </w:r>
          </w:p>
          <w:p w14:paraId="27816822">
            <w:pPr>
              <w:ind w:firstLine="0" w:firstLineChars="0"/>
              <w:jc w:val="left"/>
              <w:rPr>
                <w:rFonts w:cs="宋体"/>
                <w:kern w:val="0"/>
                <w:szCs w:val="21"/>
              </w:rPr>
            </w:pPr>
            <w:r>
              <w:rPr>
                <w:rFonts w:hint="eastAsia" w:cs="宋体"/>
                <w:kern w:val="0"/>
                <w:szCs w:val="21"/>
              </w:rPr>
              <w:t xml:space="preserve">2. 根据第一章“2. </w:t>
            </w:r>
            <w:r>
              <w:rPr>
                <w:rFonts w:cs="宋体"/>
                <w:kern w:val="0"/>
                <w:szCs w:val="21"/>
              </w:rPr>
              <w:t>参选人资格要求”和第三章“项目要求”的要求规定，提供对应</w:t>
            </w:r>
            <w:r>
              <w:rPr>
                <w:rFonts w:hint="eastAsia" w:cs="宋体"/>
                <w:kern w:val="0"/>
                <w:szCs w:val="21"/>
              </w:rPr>
              <w:t>资料</w:t>
            </w:r>
            <w:r>
              <w:rPr>
                <w:rFonts w:cs="宋体"/>
                <w:kern w:val="0"/>
                <w:szCs w:val="21"/>
              </w:rPr>
              <w:t>，内容齐全、无遗漏。</w:t>
            </w:r>
          </w:p>
        </w:tc>
      </w:tr>
      <w:tr w14:paraId="4F71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98BAE4E"/>
        </w:tc>
        <w:tc>
          <w:tcPr>
            <w:tcW w:w="1482" w:type="dxa"/>
            <w:vMerge w:val="continue"/>
            <w:tcBorders>
              <w:left w:val="single" w:color="auto" w:sz="4" w:space="0"/>
            </w:tcBorders>
          </w:tcPr>
          <w:p w14:paraId="75C3E7CF"/>
        </w:tc>
        <w:tc>
          <w:tcPr>
            <w:tcW w:w="1686" w:type="dxa"/>
            <w:gridSpan w:val="2"/>
            <w:tcBorders>
              <w:left w:val="single" w:color="auto" w:sz="4" w:space="0"/>
            </w:tcBorders>
            <w:vAlign w:val="center"/>
          </w:tcPr>
          <w:p w14:paraId="6FDFDE6B">
            <w:pPr>
              <w:ind w:firstLine="0" w:firstLineChars="0"/>
              <w:jc w:val="center"/>
              <w:rPr>
                <w:rFonts w:cs="宋体"/>
                <w:kern w:val="0"/>
                <w:szCs w:val="21"/>
              </w:rPr>
            </w:pPr>
            <w:r>
              <w:rPr>
                <w:rFonts w:hint="eastAsia" w:cs="宋体"/>
                <w:kern w:val="0"/>
                <w:szCs w:val="21"/>
              </w:rPr>
              <w:t>参选文件份数</w:t>
            </w:r>
          </w:p>
        </w:tc>
        <w:tc>
          <w:tcPr>
            <w:tcW w:w="5476" w:type="dxa"/>
            <w:tcBorders>
              <w:left w:val="single" w:color="auto" w:sz="4" w:space="0"/>
            </w:tcBorders>
            <w:vAlign w:val="center"/>
          </w:tcPr>
          <w:p w14:paraId="441D13F9">
            <w:pPr>
              <w:spacing w:line="240" w:lineRule="auto"/>
              <w:ind w:firstLine="0" w:firstLineChars="0"/>
              <w:rPr>
                <w:rFonts w:cs="宋体"/>
                <w:kern w:val="0"/>
                <w:szCs w:val="21"/>
              </w:rPr>
            </w:pPr>
            <w:r>
              <w:rPr>
                <w:rFonts w:hint="eastAsia" w:cs="宋体"/>
                <w:kern w:val="0"/>
                <w:szCs w:val="21"/>
              </w:rPr>
              <w:t>符合第二章“参选人须知”4.5 条规定</w:t>
            </w:r>
          </w:p>
        </w:tc>
      </w:tr>
      <w:tr w14:paraId="21CA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CE9CE5A"/>
        </w:tc>
        <w:tc>
          <w:tcPr>
            <w:tcW w:w="1482" w:type="dxa"/>
            <w:vMerge w:val="continue"/>
            <w:tcBorders>
              <w:left w:val="single" w:color="auto" w:sz="4" w:space="0"/>
            </w:tcBorders>
          </w:tcPr>
          <w:p w14:paraId="1AC3A423"/>
        </w:tc>
        <w:tc>
          <w:tcPr>
            <w:tcW w:w="1686" w:type="dxa"/>
            <w:gridSpan w:val="2"/>
            <w:tcBorders>
              <w:left w:val="single" w:color="auto" w:sz="4" w:space="0"/>
            </w:tcBorders>
            <w:vAlign w:val="center"/>
          </w:tcPr>
          <w:p w14:paraId="15EECB0A">
            <w:pPr>
              <w:ind w:firstLine="0" w:firstLineChars="0"/>
              <w:jc w:val="center"/>
              <w:rPr>
                <w:rFonts w:cs="宋体"/>
                <w:kern w:val="0"/>
                <w:szCs w:val="21"/>
              </w:rPr>
            </w:pPr>
            <w:r>
              <w:rPr>
                <w:rFonts w:hint="eastAsia" w:cs="宋体"/>
                <w:kern w:val="0"/>
                <w:szCs w:val="21"/>
              </w:rPr>
              <w:t>参选方案唯一</w:t>
            </w:r>
          </w:p>
        </w:tc>
        <w:tc>
          <w:tcPr>
            <w:tcW w:w="5476" w:type="dxa"/>
            <w:tcBorders>
              <w:left w:val="single" w:color="auto" w:sz="4" w:space="0"/>
            </w:tcBorders>
            <w:vAlign w:val="center"/>
          </w:tcPr>
          <w:p w14:paraId="5C82FDBE">
            <w:pPr>
              <w:ind w:firstLine="0" w:firstLineChars="0"/>
              <w:jc w:val="left"/>
              <w:rPr>
                <w:rFonts w:cs="宋体"/>
                <w:kern w:val="0"/>
                <w:szCs w:val="21"/>
              </w:rPr>
            </w:pPr>
            <w:r>
              <w:rPr>
                <w:rFonts w:hint="eastAsia" w:cs="宋体"/>
                <w:kern w:val="0"/>
                <w:szCs w:val="21"/>
              </w:rPr>
              <w:t>只能有一个方案参选。</w:t>
            </w:r>
          </w:p>
        </w:tc>
      </w:tr>
      <w:tr w14:paraId="1902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DE5ADBC"/>
        </w:tc>
        <w:tc>
          <w:tcPr>
            <w:tcW w:w="1482" w:type="dxa"/>
            <w:vMerge w:val="continue"/>
            <w:tcBorders>
              <w:left w:val="single" w:color="auto" w:sz="4" w:space="0"/>
            </w:tcBorders>
          </w:tcPr>
          <w:p w14:paraId="414E235F"/>
        </w:tc>
        <w:tc>
          <w:tcPr>
            <w:tcW w:w="1686" w:type="dxa"/>
            <w:gridSpan w:val="2"/>
            <w:tcBorders>
              <w:left w:val="single" w:color="auto" w:sz="4" w:space="0"/>
            </w:tcBorders>
            <w:vAlign w:val="center"/>
          </w:tcPr>
          <w:p w14:paraId="6541EEC3">
            <w:pPr>
              <w:ind w:firstLine="0" w:firstLineChars="0"/>
              <w:jc w:val="center"/>
              <w:rPr>
                <w:rFonts w:cs="宋体"/>
                <w:kern w:val="0"/>
                <w:szCs w:val="21"/>
              </w:rPr>
            </w:pPr>
            <w:r>
              <w:rPr>
                <w:rFonts w:hint="eastAsia" w:cs="宋体"/>
                <w:kern w:val="0"/>
                <w:szCs w:val="21"/>
              </w:rPr>
              <w:t>参选报价</w:t>
            </w:r>
          </w:p>
        </w:tc>
        <w:tc>
          <w:tcPr>
            <w:tcW w:w="5476" w:type="dxa"/>
            <w:tcBorders>
              <w:left w:val="single" w:color="auto" w:sz="4" w:space="0"/>
            </w:tcBorders>
            <w:vAlign w:val="center"/>
          </w:tcPr>
          <w:p w14:paraId="6E29FF28">
            <w:pPr>
              <w:adjustRightInd w:val="0"/>
              <w:snapToGrid w:val="0"/>
              <w:ind w:firstLine="0" w:firstLineChars="0"/>
              <w:rPr>
                <w:rFonts w:cs="宋体"/>
                <w:kern w:val="0"/>
                <w:szCs w:val="21"/>
              </w:rPr>
            </w:pPr>
            <w:r>
              <w:rPr>
                <w:rFonts w:hint="eastAsia" w:cs="宋体"/>
                <w:kern w:val="0"/>
                <w:szCs w:val="21"/>
              </w:rPr>
              <w:t>符合第二章“参选人须知”4.7 条规定</w:t>
            </w:r>
          </w:p>
        </w:tc>
      </w:tr>
      <w:tr w14:paraId="1BB6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F72399B"/>
        </w:tc>
        <w:tc>
          <w:tcPr>
            <w:tcW w:w="1482" w:type="dxa"/>
            <w:vMerge w:val="continue"/>
            <w:tcBorders>
              <w:left w:val="single" w:color="auto" w:sz="4" w:space="0"/>
            </w:tcBorders>
          </w:tcPr>
          <w:p w14:paraId="29B67247"/>
        </w:tc>
        <w:tc>
          <w:tcPr>
            <w:tcW w:w="1686" w:type="dxa"/>
            <w:gridSpan w:val="2"/>
            <w:tcBorders>
              <w:left w:val="single" w:color="auto" w:sz="4" w:space="0"/>
            </w:tcBorders>
            <w:vAlign w:val="center"/>
          </w:tcPr>
          <w:p w14:paraId="61B3BE47">
            <w:pPr>
              <w:ind w:firstLine="0" w:firstLineChars="0"/>
              <w:jc w:val="center"/>
              <w:rPr>
                <w:rFonts w:cs="宋体"/>
                <w:kern w:val="0"/>
                <w:szCs w:val="21"/>
              </w:rPr>
            </w:pPr>
            <w:r>
              <w:rPr>
                <w:rFonts w:hint="eastAsia" w:cs="宋体"/>
                <w:kern w:val="0"/>
                <w:szCs w:val="21"/>
              </w:rPr>
              <w:t>参选有效期</w:t>
            </w:r>
          </w:p>
        </w:tc>
        <w:tc>
          <w:tcPr>
            <w:tcW w:w="5476" w:type="dxa"/>
            <w:tcBorders>
              <w:left w:val="single" w:color="auto" w:sz="4" w:space="0"/>
            </w:tcBorders>
          </w:tcPr>
          <w:p w14:paraId="4099A8C4">
            <w:pPr>
              <w:ind w:firstLine="0" w:firstLineChars="0"/>
              <w:jc w:val="left"/>
              <w:rPr>
                <w:rFonts w:cs="宋体"/>
                <w:kern w:val="0"/>
                <w:szCs w:val="21"/>
              </w:rPr>
            </w:pPr>
            <w:r>
              <w:rPr>
                <w:rFonts w:hint="eastAsia" w:cs="宋体"/>
                <w:kern w:val="0"/>
                <w:szCs w:val="21"/>
              </w:rPr>
              <w:t>符合第二章“参选人须知”4.3 条规定</w:t>
            </w:r>
          </w:p>
        </w:tc>
      </w:tr>
      <w:tr w14:paraId="63B6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9F731F4"/>
        </w:tc>
        <w:tc>
          <w:tcPr>
            <w:tcW w:w="1482" w:type="dxa"/>
            <w:vMerge w:val="continue"/>
            <w:tcBorders>
              <w:left w:val="single" w:color="auto" w:sz="4" w:space="0"/>
            </w:tcBorders>
          </w:tcPr>
          <w:p w14:paraId="6C63E9D9"/>
        </w:tc>
        <w:tc>
          <w:tcPr>
            <w:tcW w:w="1686" w:type="dxa"/>
            <w:gridSpan w:val="2"/>
            <w:tcBorders>
              <w:left w:val="single" w:color="auto" w:sz="4" w:space="0"/>
            </w:tcBorders>
            <w:vAlign w:val="center"/>
          </w:tcPr>
          <w:p w14:paraId="71AE2116">
            <w:pPr>
              <w:ind w:firstLine="0" w:firstLineChars="0"/>
              <w:jc w:val="center"/>
              <w:rPr>
                <w:rFonts w:cs="宋体"/>
                <w:kern w:val="0"/>
                <w:szCs w:val="21"/>
              </w:rPr>
            </w:pPr>
            <w:r>
              <w:rPr>
                <w:rFonts w:hint="eastAsia" w:cs="宋体"/>
                <w:kern w:val="0"/>
                <w:szCs w:val="21"/>
              </w:rPr>
              <w:t>参选保证金</w:t>
            </w:r>
          </w:p>
        </w:tc>
        <w:tc>
          <w:tcPr>
            <w:tcW w:w="5476" w:type="dxa"/>
            <w:tcBorders>
              <w:left w:val="single" w:color="auto" w:sz="4" w:space="0"/>
            </w:tcBorders>
          </w:tcPr>
          <w:p w14:paraId="43696CE1">
            <w:pPr>
              <w:ind w:firstLine="0" w:firstLineChars="0"/>
              <w:jc w:val="left"/>
              <w:rPr>
                <w:rFonts w:cs="宋体"/>
                <w:kern w:val="0"/>
                <w:szCs w:val="21"/>
              </w:rPr>
            </w:pPr>
            <w:r>
              <w:rPr>
                <w:rFonts w:hint="eastAsia" w:cs="宋体"/>
                <w:kern w:val="0"/>
                <w:szCs w:val="21"/>
              </w:rPr>
              <w:t>符合第二章“参选人须知”4.4 条规定</w:t>
            </w:r>
          </w:p>
        </w:tc>
      </w:tr>
      <w:tr w14:paraId="487A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vAlign w:val="center"/>
          </w:tcPr>
          <w:p w14:paraId="37081DBA">
            <w:pPr>
              <w:ind w:firstLine="0" w:firstLineChars="0"/>
              <w:rPr>
                <w:rFonts w:cs="宋体"/>
                <w:kern w:val="0"/>
                <w:szCs w:val="21"/>
              </w:rPr>
            </w:pPr>
            <w:r>
              <w:rPr>
                <w:rFonts w:hint="eastAsia" w:cs="宋体"/>
                <w:kern w:val="0"/>
                <w:szCs w:val="21"/>
              </w:rPr>
              <w:t>2.2</w:t>
            </w:r>
          </w:p>
        </w:tc>
        <w:tc>
          <w:tcPr>
            <w:tcW w:w="1482" w:type="dxa"/>
            <w:vMerge w:val="restart"/>
            <w:tcBorders>
              <w:left w:val="single" w:color="auto" w:sz="4" w:space="0"/>
            </w:tcBorders>
            <w:vAlign w:val="center"/>
          </w:tcPr>
          <w:p w14:paraId="55330EF2">
            <w:pPr>
              <w:ind w:firstLine="0" w:firstLineChars="0"/>
              <w:jc w:val="center"/>
              <w:rPr>
                <w:rFonts w:cs="宋体"/>
                <w:kern w:val="0"/>
                <w:szCs w:val="21"/>
              </w:rPr>
            </w:pPr>
            <w:r>
              <w:rPr>
                <w:rFonts w:hint="eastAsia" w:cs="宋体"/>
                <w:kern w:val="0"/>
                <w:szCs w:val="21"/>
              </w:rPr>
              <w:t>详细评审</w:t>
            </w:r>
          </w:p>
        </w:tc>
        <w:tc>
          <w:tcPr>
            <w:tcW w:w="1686" w:type="dxa"/>
            <w:gridSpan w:val="2"/>
            <w:vMerge w:val="restart"/>
            <w:tcBorders>
              <w:left w:val="single" w:color="auto" w:sz="4" w:space="0"/>
            </w:tcBorders>
            <w:vAlign w:val="center"/>
          </w:tcPr>
          <w:p w14:paraId="651B3110">
            <w:pPr>
              <w:tabs>
                <w:tab w:val="left" w:pos="1875"/>
              </w:tabs>
              <w:ind w:firstLine="0" w:firstLineChars="0"/>
              <w:jc w:val="center"/>
              <w:rPr>
                <w:rFonts w:cs="宋体"/>
                <w:kern w:val="0"/>
                <w:szCs w:val="21"/>
              </w:rPr>
            </w:pPr>
            <w:r>
              <w:rPr>
                <w:rFonts w:hint="eastAsia" w:cs="宋体"/>
                <w:szCs w:val="21"/>
              </w:rPr>
              <w:t>分值构成与评分标准</w:t>
            </w:r>
          </w:p>
          <w:p w14:paraId="41758315">
            <w:pPr>
              <w:tabs>
                <w:tab w:val="left" w:pos="1875"/>
              </w:tabs>
              <w:ind w:firstLine="0" w:firstLineChars="0"/>
              <w:jc w:val="center"/>
              <w:rPr>
                <w:rFonts w:cs="宋体"/>
                <w:kern w:val="0"/>
                <w:szCs w:val="21"/>
              </w:rPr>
            </w:pPr>
            <w:r>
              <w:rPr>
                <w:rFonts w:hint="eastAsia" w:cs="宋体"/>
                <w:kern w:val="0"/>
                <w:szCs w:val="21"/>
              </w:rPr>
              <w:t>(总分1OO分)</w:t>
            </w:r>
          </w:p>
        </w:tc>
        <w:tc>
          <w:tcPr>
            <w:tcW w:w="5476" w:type="dxa"/>
            <w:tcBorders>
              <w:left w:val="single" w:color="auto" w:sz="4" w:space="0"/>
            </w:tcBorders>
            <w:vAlign w:val="center"/>
          </w:tcPr>
          <w:p w14:paraId="70A75BD1">
            <w:pPr>
              <w:ind w:firstLine="0" w:firstLineChars="0"/>
              <w:rPr>
                <w:rFonts w:cs="Times New Roman"/>
                <w:kern w:val="0"/>
                <w:szCs w:val="21"/>
              </w:rPr>
            </w:pPr>
            <w:r>
              <w:rPr>
                <w:rFonts w:cs="Times New Roman"/>
                <w:kern w:val="0"/>
                <w:szCs w:val="21"/>
              </w:rPr>
              <w:t>一、参选报价</w:t>
            </w:r>
            <w:r>
              <w:rPr>
                <w:rFonts w:hint="eastAsia" w:cs="Times New Roman"/>
                <w:kern w:val="0"/>
                <w:szCs w:val="21"/>
              </w:rPr>
              <w:t>（不含税报价）</w:t>
            </w:r>
            <w:r>
              <w:rPr>
                <w:rFonts w:cs="Times New Roman"/>
                <w:kern w:val="0"/>
                <w:szCs w:val="21"/>
              </w:rPr>
              <w:t>评分规则（分值：60分）</w:t>
            </w:r>
          </w:p>
          <w:p w14:paraId="2EA72B15">
            <w:pPr>
              <w:ind w:firstLine="0" w:firstLineChars="0"/>
              <w:jc w:val="left"/>
              <w:rPr>
                <w:rFonts w:cs="宋体"/>
                <w:kern w:val="0"/>
                <w:szCs w:val="21"/>
              </w:rPr>
            </w:pPr>
            <w:r>
              <w:rPr>
                <w:rFonts w:hint="eastAsia" w:cs="宋体"/>
                <w:kern w:val="0"/>
                <w:szCs w:val="21"/>
              </w:rPr>
              <w:t>1.</w:t>
            </w:r>
            <w:r>
              <w:rPr>
                <w:rFonts w:hint="eastAsia"/>
              </w:rPr>
              <w:t xml:space="preserve"> </w:t>
            </w:r>
            <w:r>
              <w:rPr>
                <w:rFonts w:hint="eastAsia" w:cs="宋体"/>
                <w:kern w:val="0"/>
                <w:szCs w:val="21"/>
              </w:rPr>
              <w:t>以各有效报价（不含税报价）之和的平均价格作为评标基准价，基准分为</w:t>
            </w:r>
            <w:r>
              <w:rPr>
                <w:rFonts w:cs="宋体"/>
                <w:kern w:val="0"/>
                <w:szCs w:val="21"/>
              </w:rPr>
              <w:t>6</w:t>
            </w:r>
            <w:r>
              <w:rPr>
                <w:rFonts w:hint="eastAsia" w:cs="宋体"/>
                <w:kern w:val="0"/>
                <w:szCs w:val="21"/>
              </w:rPr>
              <w:t>0分；</w:t>
            </w:r>
          </w:p>
          <w:p w14:paraId="27D08BDE">
            <w:pPr>
              <w:ind w:firstLine="0" w:firstLineChars="0"/>
              <w:jc w:val="left"/>
              <w:rPr>
                <w:rFonts w:cs="宋体"/>
                <w:kern w:val="0"/>
                <w:szCs w:val="21"/>
              </w:rPr>
            </w:pPr>
            <w:r>
              <w:rPr>
                <w:rFonts w:hint="eastAsia" w:cs="宋体"/>
                <w:kern w:val="0"/>
                <w:szCs w:val="21"/>
              </w:rPr>
              <w:t>2.计算各有效报价与评标基准价的偏离度。偏离度=（有效报价/评标基准价-1）*100%；</w:t>
            </w:r>
          </w:p>
          <w:p w14:paraId="18439820">
            <w:pPr>
              <w:ind w:firstLine="0" w:firstLineChars="0"/>
              <w:jc w:val="left"/>
              <w:rPr>
                <w:rFonts w:cs="宋体"/>
                <w:kern w:val="0"/>
                <w:szCs w:val="21"/>
              </w:rPr>
            </w:pPr>
            <w:r>
              <w:rPr>
                <w:rFonts w:hint="eastAsia" w:cs="宋体"/>
                <w:kern w:val="0"/>
                <w:szCs w:val="21"/>
              </w:rPr>
              <w:t>3.</w:t>
            </w:r>
            <w:r>
              <w:rPr>
                <w:rFonts w:hint="eastAsia"/>
              </w:rPr>
              <w:t xml:space="preserve"> </w:t>
            </w:r>
            <w:r>
              <w:rPr>
                <w:rFonts w:hint="eastAsia" w:cs="宋体"/>
                <w:kern w:val="0"/>
                <w:szCs w:val="21"/>
              </w:rPr>
              <w:t>报价向上每偏离基准价的1%扣1分；向下偏离基准价10%以内的，不扣分；向下偏离基准价超过10%的，在向下偏离基准价10%的基础上，向下偏离每多超过1%扣0.5分，扣完为止，不足1%的不予扣减。</w:t>
            </w:r>
          </w:p>
        </w:tc>
      </w:tr>
      <w:tr w14:paraId="5875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6D8908A0"/>
        </w:tc>
        <w:tc>
          <w:tcPr>
            <w:tcW w:w="1482" w:type="dxa"/>
            <w:vMerge w:val="continue"/>
            <w:tcBorders>
              <w:left w:val="single" w:color="auto" w:sz="4" w:space="0"/>
            </w:tcBorders>
            <w:vAlign w:val="center"/>
          </w:tcPr>
          <w:p w14:paraId="543D610E"/>
        </w:tc>
        <w:tc>
          <w:tcPr>
            <w:tcW w:w="1686" w:type="dxa"/>
            <w:gridSpan w:val="2"/>
            <w:vMerge w:val="continue"/>
            <w:tcBorders>
              <w:left w:val="single" w:color="auto" w:sz="4" w:space="0"/>
            </w:tcBorders>
            <w:vAlign w:val="center"/>
          </w:tcPr>
          <w:p w14:paraId="76901959"/>
        </w:tc>
        <w:tc>
          <w:tcPr>
            <w:tcW w:w="5476" w:type="dxa"/>
            <w:tcBorders>
              <w:left w:val="single" w:color="auto" w:sz="4" w:space="0"/>
            </w:tcBorders>
            <w:vAlign w:val="center"/>
          </w:tcPr>
          <w:p w14:paraId="1AA39511">
            <w:pPr>
              <w:ind w:firstLine="0" w:firstLineChars="0"/>
              <w:rPr>
                <w:rFonts w:cs="Times New Roman"/>
                <w:bCs/>
                <w:kern w:val="0"/>
                <w:szCs w:val="21"/>
              </w:rPr>
            </w:pPr>
            <w:r>
              <w:rPr>
                <w:rFonts w:cs="Times New Roman"/>
                <w:kern w:val="0"/>
                <w:szCs w:val="21"/>
              </w:rPr>
              <w:t>二、商</w:t>
            </w:r>
            <w:r>
              <w:rPr>
                <w:rFonts w:hint="eastAsia" w:cs="Times New Roman"/>
                <w:bCs/>
                <w:kern w:val="0"/>
                <w:szCs w:val="21"/>
              </w:rPr>
              <w:t>务部分评分规则（</w:t>
            </w:r>
            <w:r>
              <w:rPr>
                <w:rFonts w:cs="Times New Roman"/>
                <w:bCs/>
                <w:kern w:val="0"/>
                <w:szCs w:val="21"/>
              </w:rPr>
              <w:t>分值：</w:t>
            </w:r>
            <w:r>
              <w:rPr>
                <w:rFonts w:hint="eastAsia" w:cs="Times New Roman"/>
                <w:bCs/>
                <w:kern w:val="0"/>
                <w:szCs w:val="21"/>
              </w:rPr>
              <w:t>40分）</w:t>
            </w:r>
          </w:p>
          <w:p w14:paraId="2667B595">
            <w:pPr>
              <w:ind w:firstLine="0" w:firstLineChars="0"/>
              <w:rPr>
                <w:rFonts w:cs="Times New Roman"/>
                <w:bCs/>
                <w:kern w:val="0"/>
                <w:szCs w:val="21"/>
              </w:rPr>
            </w:pPr>
            <w:r>
              <w:rPr>
                <w:rFonts w:hint="eastAsia" w:cs="Times New Roman"/>
                <w:bCs/>
                <w:kern w:val="0"/>
                <w:szCs w:val="21"/>
              </w:rPr>
              <w:t>1.原系统升级改造实施案例（10分）</w:t>
            </w:r>
          </w:p>
          <w:p w14:paraId="6ED7EB1C">
            <w:pPr>
              <w:ind w:firstLine="0" w:firstLineChars="0"/>
              <w:rPr>
                <w:rFonts w:cs="Times New Roman"/>
                <w:bCs/>
                <w:kern w:val="0"/>
                <w:szCs w:val="21"/>
              </w:rPr>
            </w:pPr>
            <w:r>
              <w:rPr>
                <w:rFonts w:hint="eastAsia" w:cs="Times New Roman"/>
                <w:bCs/>
                <w:kern w:val="0"/>
                <w:szCs w:val="21"/>
              </w:rPr>
              <w:t>提供2021年</w:t>
            </w:r>
            <w:r>
              <w:rPr>
                <w:rFonts w:cs="Times New Roman"/>
                <w:bCs/>
                <w:kern w:val="0"/>
                <w:szCs w:val="21"/>
              </w:rPr>
              <w:t>6</w:t>
            </w:r>
            <w:r>
              <w:rPr>
                <w:rFonts w:hint="eastAsia" w:cs="Times New Roman"/>
                <w:bCs/>
                <w:kern w:val="0"/>
                <w:szCs w:val="21"/>
              </w:rPr>
              <w:t>月至今（以合同签订时间为准）的国内同业同类型实施案例</w:t>
            </w:r>
            <w:r>
              <w:rPr>
                <w:rFonts w:cs="Times New Roman"/>
                <w:bCs/>
                <w:kern w:val="0"/>
                <w:szCs w:val="21"/>
              </w:rPr>
              <w:t>，</w:t>
            </w:r>
            <w:r>
              <w:rPr>
                <w:rFonts w:hint="eastAsia" w:cs="宋体"/>
                <w:kern w:val="0"/>
                <w:szCs w:val="21"/>
              </w:rPr>
              <w:t>参选人资格要求所用案例不进入评审计分</w:t>
            </w:r>
            <w:r>
              <w:rPr>
                <w:rFonts w:hint="eastAsia" w:cs="Times New Roman"/>
                <w:bCs/>
                <w:kern w:val="0"/>
                <w:szCs w:val="21"/>
              </w:rPr>
              <w:t>。案例为</w:t>
            </w:r>
            <w:r>
              <w:rPr>
                <w:rFonts w:cs="Times New Roman"/>
                <w:bCs/>
                <w:kern w:val="0"/>
                <w:szCs w:val="21"/>
              </w:rPr>
              <w:t>基于北京开科唯识技术股份有限公司财富平台</w:t>
            </w:r>
            <w:r>
              <w:rPr>
                <w:rFonts w:hint="eastAsia" w:cs="Times New Roman"/>
                <w:bCs/>
                <w:kern w:val="0"/>
                <w:szCs w:val="21"/>
              </w:rPr>
              <w:t>完成升级改造的实施</w:t>
            </w:r>
            <w:r>
              <w:rPr>
                <w:rFonts w:cs="Times New Roman"/>
                <w:bCs/>
                <w:kern w:val="0"/>
                <w:szCs w:val="21"/>
              </w:rPr>
              <w:t>案例</w:t>
            </w:r>
            <w:r>
              <w:rPr>
                <w:rFonts w:hint="eastAsia" w:cs="Times New Roman"/>
                <w:bCs/>
                <w:kern w:val="0"/>
                <w:szCs w:val="21"/>
              </w:rPr>
              <w:t>，每1个得</w:t>
            </w:r>
            <w:r>
              <w:rPr>
                <w:rFonts w:cs="Times New Roman"/>
                <w:bCs/>
                <w:kern w:val="0"/>
                <w:szCs w:val="21"/>
              </w:rPr>
              <w:t>2</w:t>
            </w:r>
            <w:r>
              <w:rPr>
                <w:rFonts w:hint="eastAsia" w:cs="Times New Roman"/>
                <w:bCs/>
                <w:kern w:val="0"/>
                <w:szCs w:val="21"/>
              </w:rPr>
              <w:t>分，满分1</w:t>
            </w:r>
            <w:r>
              <w:rPr>
                <w:rFonts w:cs="Times New Roman"/>
                <w:bCs/>
                <w:kern w:val="0"/>
                <w:szCs w:val="21"/>
              </w:rPr>
              <w:t>0</w:t>
            </w:r>
            <w:r>
              <w:rPr>
                <w:rFonts w:hint="eastAsia" w:cs="Times New Roman"/>
                <w:bCs/>
                <w:kern w:val="0"/>
                <w:szCs w:val="21"/>
              </w:rPr>
              <w:t>分。</w:t>
            </w:r>
          </w:p>
          <w:p w14:paraId="766B1AAE">
            <w:pPr>
              <w:ind w:firstLine="0" w:firstLineChars="0"/>
              <w:rPr>
                <w:rFonts w:cs="Times New Roman"/>
                <w:bCs/>
                <w:kern w:val="0"/>
                <w:szCs w:val="21"/>
              </w:rPr>
            </w:pPr>
            <w:r>
              <w:rPr>
                <w:rFonts w:cs="Times New Roman"/>
                <w:kern w:val="0"/>
                <w:szCs w:val="21"/>
              </w:rPr>
              <w:t>案例评审依据：需提供案例合同关键页复印件。合同关键页包括</w:t>
            </w:r>
            <w:r>
              <w:rPr>
                <w:rFonts w:hint="eastAsia" w:cs="Times New Roman"/>
                <w:bCs/>
                <w:kern w:val="0"/>
                <w:szCs w:val="21"/>
              </w:rPr>
              <w:t>甲乙</w:t>
            </w:r>
            <w:r>
              <w:rPr>
                <w:rFonts w:cs="Times New Roman"/>
                <w:bCs/>
                <w:kern w:val="0"/>
                <w:szCs w:val="21"/>
              </w:rPr>
              <w:t>双方名称、双方印章、项目/产品的名称、合同/中标通知书签订时间、需求内容页等。合同对应的发票需同时提供网上税务系统查询发票截图（网上税务系统：https://inv-veri.chinatax.gov.cn，查询发票截图应与合同发票数量及编码一致。发票应同时满足：开票日期晚于合同签订日期；发票购买方与合同买方一致；发票销售方与合同卖方（投标人）一致）。以上证明文件若</w:t>
            </w:r>
            <w:r>
              <w:rPr>
                <w:rFonts w:hint="eastAsia" w:cs="Times New Roman"/>
                <w:bCs/>
                <w:kern w:val="0"/>
                <w:szCs w:val="21"/>
              </w:rPr>
              <w:t>比选</w:t>
            </w:r>
            <w:r>
              <w:rPr>
                <w:rFonts w:cs="Times New Roman"/>
                <w:bCs/>
                <w:kern w:val="0"/>
                <w:szCs w:val="21"/>
              </w:rPr>
              <w:t>人存疑，参选人需提供原件备查，参选文件中须附相关证明文件复印件并逐页加盖公章，案例证明需提供甲方联系方式备查。</w:t>
            </w:r>
          </w:p>
          <w:p w14:paraId="36580B9D">
            <w:pPr>
              <w:ind w:firstLine="0" w:firstLineChars="0"/>
              <w:rPr>
                <w:rFonts w:cs="Times New Roman"/>
                <w:bCs/>
                <w:kern w:val="0"/>
                <w:szCs w:val="21"/>
              </w:rPr>
            </w:pPr>
            <w:r>
              <w:rPr>
                <w:rFonts w:cs="Times New Roman"/>
                <w:bCs/>
                <w:kern w:val="0"/>
                <w:szCs w:val="21"/>
              </w:rPr>
              <w:t>2</w:t>
            </w:r>
            <w:r>
              <w:rPr>
                <w:rFonts w:hint="eastAsia" w:cs="Times New Roman"/>
                <w:bCs/>
                <w:kern w:val="0"/>
                <w:szCs w:val="21"/>
              </w:rPr>
              <w:t>.同业同类型实施案例（1</w:t>
            </w:r>
            <w:r>
              <w:rPr>
                <w:rFonts w:cs="Times New Roman"/>
                <w:bCs/>
                <w:kern w:val="0"/>
                <w:szCs w:val="21"/>
              </w:rPr>
              <w:t>0</w:t>
            </w:r>
            <w:r>
              <w:rPr>
                <w:rFonts w:hint="eastAsia" w:cs="Times New Roman"/>
                <w:bCs/>
                <w:kern w:val="0"/>
                <w:szCs w:val="21"/>
              </w:rPr>
              <w:t>分）</w:t>
            </w:r>
          </w:p>
          <w:p w14:paraId="02AEB098">
            <w:pPr>
              <w:ind w:firstLine="0" w:firstLineChars="0"/>
              <w:rPr>
                <w:rFonts w:cs="Times New Roman"/>
                <w:bCs/>
                <w:kern w:val="0"/>
                <w:szCs w:val="21"/>
              </w:rPr>
            </w:pPr>
            <w:r>
              <w:rPr>
                <w:rFonts w:hint="eastAsia" w:cs="Times New Roman"/>
                <w:bCs/>
                <w:kern w:val="0"/>
                <w:szCs w:val="21"/>
              </w:rPr>
              <w:t>提供2021年</w:t>
            </w:r>
            <w:r>
              <w:rPr>
                <w:rFonts w:cs="Times New Roman"/>
                <w:bCs/>
                <w:kern w:val="0"/>
                <w:szCs w:val="21"/>
              </w:rPr>
              <w:t>6</w:t>
            </w:r>
            <w:r>
              <w:rPr>
                <w:rFonts w:hint="eastAsia" w:cs="Times New Roman"/>
                <w:bCs/>
                <w:kern w:val="0"/>
                <w:szCs w:val="21"/>
              </w:rPr>
              <w:t>月至今（以合同签订时间为准）的国内同业同类型实施案例，</w:t>
            </w:r>
            <w:r>
              <w:rPr>
                <w:rFonts w:hint="eastAsia" w:cs="宋体"/>
                <w:kern w:val="0"/>
                <w:szCs w:val="21"/>
              </w:rPr>
              <w:t>参选人资格要求所用案例不进入评审计分</w:t>
            </w:r>
            <w:r>
              <w:rPr>
                <w:rFonts w:hint="eastAsia" w:cs="Times New Roman"/>
                <w:bCs/>
                <w:kern w:val="0"/>
                <w:szCs w:val="21"/>
              </w:rPr>
              <w:t>。</w:t>
            </w:r>
          </w:p>
          <w:p w14:paraId="79954487">
            <w:pPr>
              <w:ind w:firstLine="0" w:firstLineChars="0"/>
              <w:rPr>
                <w:rFonts w:cs="Times New Roman"/>
                <w:bCs/>
                <w:kern w:val="0"/>
                <w:szCs w:val="21"/>
              </w:rPr>
            </w:pPr>
            <w:r>
              <w:rPr>
                <w:rFonts w:hint="eastAsia" w:cs="Times New Roman"/>
                <w:bCs/>
                <w:kern w:val="0"/>
                <w:szCs w:val="21"/>
              </w:rPr>
              <w:t>（1）在满足资格要求中5个案例的基础上，每多1个国内同业同类型有效案例，得0</w:t>
            </w:r>
            <w:r>
              <w:rPr>
                <w:rFonts w:cs="Times New Roman"/>
                <w:bCs/>
                <w:kern w:val="0"/>
                <w:szCs w:val="21"/>
              </w:rPr>
              <w:t>.5</w:t>
            </w:r>
            <w:r>
              <w:rPr>
                <w:rFonts w:hint="eastAsia" w:cs="Times New Roman"/>
                <w:bCs/>
                <w:kern w:val="0"/>
                <w:szCs w:val="21"/>
              </w:rPr>
              <w:t>分，满分</w:t>
            </w:r>
            <w:r>
              <w:rPr>
                <w:rFonts w:cs="Times New Roman"/>
                <w:bCs/>
                <w:kern w:val="0"/>
                <w:szCs w:val="21"/>
              </w:rPr>
              <w:t>3</w:t>
            </w:r>
            <w:r>
              <w:rPr>
                <w:rFonts w:hint="eastAsia" w:cs="Times New Roman"/>
                <w:bCs/>
                <w:kern w:val="0"/>
                <w:szCs w:val="21"/>
              </w:rPr>
              <w:t>分。</w:t>
            </w:r>
          </w:p>
          <w:p w14:paraId="1C6F69FE">
            <w:pPr>
              <w:ind w:firstLine="0" w:firstLineChars="0"/>
              <w:rPr>
                <w:rFonts w:cs="Times New Roman"/>
                <w:bCs/>
                <w:kern w:val="0"/>
                <w:szCs w:val="21"/>
              </w:rPr>
            </w:pPr>
            <w:r>
              <w:rPr>
                <w:rFonts w:hint="eastAsia" w:cs="Times New Roman"/>
                <w:bCs/>
                <w:kern w:val="0"/>
                <w:szCs w:val="21"/>
              </w:rPr>
              <w:t>（2）案例中有国有商业银行（中国工商银行、中国农业银行、中国银行、中国建设银行、交通银行、中国邮政储蓄银行）</w:t>
            </w:r>
            <w:r>
              <w:rPr>
                <w:rFonts w:cs="Times New Roman"/>
                <w:bCs/>
                <w:kern w:val="0"/>
                <w:szCs w:val="21"/>
              </w:rPr>
              <w:t>或</w:t>
            </w:r>
            <w:r>
              <w:rPr>
                <w:rFonts w:hint="eastAsia" w:cs="Times New Roman"/>
                <w:bCs/>
                <w:kern w:val="0"/>
                <w:szCs w:val="21"/>
              </w:rPr>
              <w:t>全国性股份制商业银行（招商银行、浦发银行、中信银行、中国光大银行、华夏银行、中国民生银行、广发银行、兴业银行、平安银行、浙商银行、恒丰银行、渤海银行的。每有1个，得</w:t>
            </w:r>
            <w:r>
              <w:rPr>
                <w:rFonts w:cs="Times New Roman"/>
                <w:bCs/>
                <w:kern w:val="0"/>
                <w:szCs w:val="21"/>
              </w:rPr>
              <w:t>2</w:t>
            </w:r>
            <w:r>
              <w:rPr>
                <w:rFonts w:hint="eastAsia" w:cs="Times New Roman"/>
                <w:bCs/>
                <w:kern w:val="0"/>
                <w:szCs w:val="21"/>
              </w:rPr>
              <w:t>分，满分</w:t>
            </w:r>
            <w:r>
              <w:rPr>
                <w:rFonts w:cs="Times New Roman"/>
                <w:bCs/>
                <w:kern w:val="0"/>
                <w:szCs w:val="21"/>
              </w:rPr>
              <w:t>4</w:t>
            </w:r>
            <w:r>
              <w:rPr>
                <w:rFonts w:hint="eastAsia" w:cs="Times New Roman"/>
                <w:bCs/>
                <w:kern w:val="0"/>
                <w:szCs w:val="21"/>
              </w:rPr>
              <w:t>分。</w:t>
            </w:r>
          </w:p>
          <w:p w14:paraId="2D6705A8">
            <w:pPr>
              <w:ind w:firstLine="0" w:firstLineChars="0"/>
              <w:rPr>
                <w:rFonts w:cs="Times New Roman"/>
                <w:bCs/>
                <w:kern w:val="0"/>
                <w:szCs w:val="21"/>
              </w:rPr>
            </w:pPr>
            <w:r>
              <w:rPr>
                <w:rFonts w:hint="eastAsia" w:cs="Times New Roman"/>
                <w:bCs/>
                <w:kern w:val="0"/>
                <w:szCs w:val="21"/>
              </w:rPr>
              <w:t>（3）实施案例中有地方性商业银行</w:t>
            </w:r>
            <w:r>
              <w:rPr>
                <w:rFonts w:cs="Times New Roman"/>
                <w:bCs/>
                <w:kern w:val="0"/>
                <w:szCs w:val="21"/>
              </w:rPr>
              <w:t>（包含农商、农信）</w:t>
            </w:r>
            <w:r>
              <w:rPr>
                <w:rFonts w:hint="eastAsia" w:cs="Times New Roman"/>
                <w:bCs/>
                <w:kern w:val="0"/>
                <w:szCs w:val="21"/>
              </w:rPr>
              <w:t>的</w:t>
            </w:r>
            <w:r>
              <w:rPr>
                <w:rFonts w:cs="Times New Roman"/>
                <w:bCs/>
                <w:kern w:val="0"/>
                <w:szCs w:val="21"/>
              </w:rPr>
              <w:t>。</w:t>
            </w:r>
            <w:r>
              <w:rPr>
                <w:rFonts w:hint="eastAsia" w:cs="Times New Roman"/>
                <w:bCs/>
                <w:kern w:val="0"/>
                <w:szCs w:val="21"/>
              </w:rPr>
              <w:t>每有1个，得</w:t>
            </w:r>
            <w:r>
              <w:rPr>
                <w:rFonts w:cs="Times New Roman"/>
                <w:bCs/>
                <w:kern w:val="0"/>
                <w:szCs w:val="21"/>
              </w:rPr>
              <w:t>1.5</w:t>
            </w:r>
            <w:r>
              <w:rPr>
                <w:rFonts w:hint="eastAsia" w:cs="Times New Roman"/>
                <w:bCs/>
                <w:kern w:val="0"/>
                <w:szCs w:val="21"/>
              </w:rPr>
              <w:t>分，满分</w:t>
            </w:r>
            <w:r>
              <w:rPr>
                <w:rFonts w:cs="Times New Roman"/>
                <w:bCs/>
                <w:kern w:val="0"/>
                <w:szCs w:val="21"/>
              </w:rPr>
              <w:t>3</w:t>
            </w:r>
            <w:r>
              <w:rPr>
                <w:rFonts w:hint="eastAsia" w:cs="Times New Roman"/>
                <w:bCs/>
                <w:kern w:val="0"/>
                <w:szCs w:val="21"/>
              </w:rPr>
              <w:t>分。</w:t>
            </w:r>
          </w:p>
          <w:p w14:paraId="42CBAC43">
            <w:pPr>
              <w:ind w:firstLine="0" w:firstLineChars="0"/>
              <w:rPr>
                <w:rFonts w:cs="Times New Roman"/>
                <w:bCs/>
                <w:kern w:val="0"/>
                <w:szCs w:val="21"/>
              </w:rPr>
            </w:pPr>
            <w:r>
              <w:rPr>
                <w:rFonts w:cs="Times New Roman"/>
                <w:kern w:val="0"/>
                <w:szCs w:val="21"/>
              </w:rPr>
              <w:t>案例评审依据：需提供案例合同关键页复印件。合同关键页包括</w:t>
            </w:r>
            <w:r>
              <w:rPr>
                <w:rFonts w:hint="eastAsia" w:cs="Times New Roman"/>
                <w:bCs/>
                <w:kern w:val="0"/>
                <w:szCs w:val="21"/>
              </w:rPr>
              <w:t>甲乙</w:t>
            </w:r>
            <w:r>
              <w:rPr>
                <w:rFonts w:cs="Times New Roman"/>
                <w:bCs/>
                <w:kern w:val="0"/>
                <w:szCs w:val="21"/>
              </w:rPr>
              <w:t>双方名称、双方印章、项目/产品的名称、合同/中标通知书签订时间、需求内容页等。合同对应的发票需同时提供网上税务系统查询发票截图（网上税务系统：https://inv-veri.chinatax.gov.cn，查询发票截图应与合同发票数量及编码一致。发票应同时满足：开票日期晚于合同签订日期；发票购买方与合同买方一致；发票销售方与合同卖方（投标人）一致）。以上证明文件若</w:t>
            </w:r>
            <w:r>
              <w:rPr>
                <w:rFonts w:hint="eastAsia" w:cs="Times New Roman"/>
                <w:bCs/>
                <w:kern w:val="0"/>
                <w:szCs w:val="21"/>
              </w:rPr>
              <w:t>比选</w:t>
            </w:r>
            <w:r>
              <w:rPr>
                <w:rFonts w:cs="Times New Roman"/>
                <w:bCs/>
                <w:kern w:val="0"/>
                <w:szCs w:val="21"/>
              </w:rPr>
              <w:t>人存疑，参选人需提供原件备查，参选文件中须附相关证明文件复印件并逐页加盖公章，案例证明需提供甲方联系方式备查。</w:t>
            </w:r>
          </w:p>
          <w:p w14:paraId="2C7D8B4F">
            <w:pPr>
              <w:ind w:firstLine="0" w:firstLineChars="0"/>
              <w:rPr>
                <w:rFonts w:cs="Times New Roman"/>
                <w:bCs/>
                <w:kern w:val="0"/>
                <w:szCs w:val="21"/>
              </w:rPr>
            </w:pPr>
            <w:r>
              <w:rPr>
                <w:rFonts w:cs="Times New Roman"/>
                <w:bCs/>
                <w:kern w:val="0"/>
                <w:szCs w:val="21"/>
              </w:rPr>
              <w:t>3</w:t>
            </w:r>
            <w:r>
              <w:rPr>
                <w:rFonts w:hint="eastAsia" w:cs="Times New Roman"/>
                <w:bCs/>
                <w:kern w:val="0"/>
                <w:szCs w:val="21"/>
              </w:rPr>
              <w:t>.实施团队要求（</w:t>
            </w:r>
            <w:r>
              <w:rPr>
                <w:rFonts w:cs="Times New Roman"/>
                <w:bCs/>
                <w:kern w:val="0"/>
                <w:szCs w:val="21"/>
              </w:rPr>
              <w:t>10</w:t>
            </w:r>
            <w:r>
              <w:rPr>
                <w:rFonts w:hint="eastAsia" w:cs="Times New Roman"/>
                <w:bCs/>
                <w:kern w:val="0"/>
                <w:szCs w:val="21"/>
              </w:rPr>
              <w:t>分）</w:t>
            </w:r>
          </w:p>
          <w:p w14:paraId="3EE04060">
            <w:pPr>
              <w:ind w:firstLine="0" w:firstLineChars="0"/>
              <w:rPr>
                <w:rFonts w:cs="Times New Roman"/>
                <w:bCs/>
                <w:kern w:val="0"/>
                <w:szCs w:val="21"/>
              </w:rPr>
            </w:pPr>
            <w:r>
              <w:rPr>
                <w:rFonts w:cs="Times New Roman"/>
                <w:bCs/>
                <w:kern w:val="0"/>
                <w:szCs w:val="21"/>
              </w:rPr>
              <w:t>（1）项目经理</w:t>
            </w:r>
            <w:r>
              <w:rPr>
                <w:rFonts w:hint="eastAsia" w:cs="Times New Roman"/>
                <w:bCs/>
                <w:kern w:val="0"/>
                <w:szCs w:val="21"/>
              </w:rPr>
              <w:t>具有</w:t>
            </w:r>
            <w:r>
              <w:rPr>
                <w:rFonts w:cs="Times New Roman"/>
                <w:bCs/>
                <w:kern w:val="0"/>
                <w:szCs w:val="21"/>
              </w:rPr>
              <w:t>8</w:t>
            </w:r>
            <w:r>
              <w:rPr>
                <w:rFonts w:hint="eastAsia" w:cs="Times New Roman"/>
                <w:bCs/>
                <w:kern w:val="0"/>
                <w:szCs w:val="21"/>
              </w:rPr>
              <w:t>年（含）以上同类型系统项目从业经验，</w:t>
            </w:r>
            <w:r>
              <w:rPr>
                <w:rFonts w:cs="Times New Roman"/>
                <w:bCs/>
                <w:kern w:val="0"/>
                <w:szCs w:val="21"/>
              </w:rPr>
              <w:t>10</w:t>
            </w:r>
            <w:r>
              <w:rPr>
                <w:rFonts w:hint="eastAsia" w:cs="Times New Roman"/>
                <w:bCs/>
                <w:kern w:val="0"/>
                <w:szCs w:val="21"/>
              </w:rPr>
              <w:t>个及以上银行同类型系统实施经验</w:t>
            </w:r>
            <w:r>
              <w:rPr>
                <w:rFonts w:cs="Times New Roman"/>
                <w:bCs/>
                <w:kern w:val="0"/>
                <w:szCs w:val="21"/>
              </w:rPr>
              <w:t>，得3分，否则不得分。架构师</w:t>
            </w:r>
            <w:r>
              <w:rPr>
                <w:rFonts w:hint="eastAsia" w:cs="Times New Roman"/>
                <w:bCs/>
                <w:kern w:val="0"/>
                <w:szCs w:val="21"/>
              </w:rPr>
              <w:t>具有</w:t>
            </w:r>
            <w:r>
              <w:rPr>
                <w:rFonts w:cs="Times New Roman"/>
                <w:bCs/>
                <w:kern w:val="0"/>
                <w:szCs w:val="21"/>
              </w:rPr>
              <w:t>8</w:t>
            </w:r>
            <w:r>
              <w:rPr>
                <w:rFonts w:hint="eastAsia" w:cs="Times New Roman"/>
                <w:bCs/>
                <w:kern w:val="0"/>
                <w:szCs w:val="21"/>
              </w:rPr>
              <w:t>年（含）以上同类型系统项目从业经验，</w:t>
            </w:r>
            <w:r>
              <w:rPr>
                <w:rFonts w:cs="Times New Roman"/>
                <w:bCs/>
                <w:kern w:val="0"/>
                <w:szCs w:val="21"/>
              </w:rPr>
              <w:t>8</w:t>
            </w:r>
            <w:r>
              <w:rPr>
                <w:rFonts w:hint="eastAsia" w:cs="Times New Roman"/>
                <w:bCs/>
                <w:kern w:val="0"/>
                <w:szCs w:val="21"/>
              </w:rPr>
              <w:t>个及以上银行同类型系统实施经验</w:t>
            </w:r>
            <w:r>
              <w:rPr>
                <w:rFonts w:cs="Times New Roman"/>
                <w:bCs/>
                <w:kern w:val="0"/>
                <w:szCs w:val="21"/>
              </w:rPr>
              <w:t>，得2分，否则不得分。需求分析师</w:t>
            </w:r>
            <w:r>
              <w:rPr>
                <w:rFonts w:hint="eastAsia" w:cs="Times New Roman"/>
                <w:bCs/>
                <w:kern w:val="0"/>
                <w:szCs w:val="21"/>
              </w:rPr>
              <w:t>具有</w:t>
            </w:r>
            <w:r>
              <w:rPr>
                <w:rFonts w:cs="Times New Roman"/>
                <w:bCs/>
                <w:kern w:val="0"/>
                <w:szCs w:val="21"/>
              </w:rPr>
              <w:t>5</w:t>
            </w:r>
            <w:r>
              <w:rPr>
                <w:rFonts w:hint="eastAsia" w:cs="Times New Roman"/>
                <w:bCs/>
                <w:kern w:val="0"/>
                <w:szCs w:val="21"/>
              </w:rPr>
              <w:t>年（含）以上同类型系统项目从业经验，</w:t>
            </w:r>
            <w:r>
              <w:rPr>
                <w:rFonts w:cs="Times New Roman"/>
                <w:bCs/>
                <w:kern w:val="0"/>
                <w:szCs w:val="21"/>
              </w:rPr>
              <w:t>5</w:t>
            </w:r>
            <w:r>
              <w:rPr>
                <w:rFonts w:hint="eastAsia" w:cs="Times New Roman"/>
                <w:bCs/>
                <w:kern w:val="0"/>
                <w:szCs w:val="21"/>
              </w:rPr>
              <w:t>个及以上银行同类型系统实施经验</w:t>
            </w:r>
            <w:r>
              <w:rPr>
                <w:rFonts w:cs="Times New Roman"/>
                <w:bCs/>
                <w:kern w:val="0"/>
                <w:szCs w:val="21"/>
              </w:rPr>
              <w:t>，得2分，否则不得分。</w:t>
            </w:r>
          </w:p>
          <w:p w14:paraId="1E3A1C84">
            <w:pPr>
              <w:ind w:firstLine="0" w:firstLineChars="0"/>
              <w:rPr>
                <w:rFonts w:cs="Times New Roman"/>
                <w:bCs/>
                <w:kern w:val="0"/>
                <w:szCs w:val="21"/>
              </w:rPr>
            </w:pPr>
            <w:r>
              <w:rPr>
                <w:rFonts w:cs="Times New Roman"/>
                <w:bCs/>
                <w:kern w:val="0"/>
                <w:szCs w:val="21"/>
              </w:rPr>
              <w:t>（2）项目组成员曾在比选人现场实施过项目，熟悉比选人内部各关联系统交互流程，3名（含）以上得</w:t>
            </w:r>
            <w:r>
              <w:rPr>
                <w:rFonts w:hint="eastAsia" w:cs="Times New Roman"/>
                <w:bCs/>
                <w:kern w:val="0"/>
                <w:szCs w:val="21"/>
              </w:rPr>
              <w:t>3</w:t>
            </w:r>
            <w:r>
              <w:rPr>
                <w:rFonts w:cs="Times New Roman"/>
                <w:bCs/>
                <w:kern w:val="0"/>
                <w:szCs w:val="21"/>
              </w:rPr>
              <w:t>分，2名</w:t>
            </w:r>
            <w:r>
              <w:rPr>
                <w:rFonts w:hint="eastAsia" w:cs="Times New Roman"/>
                <w:bCs/>
                <w:kern w:val="0"/>
                <w:szCs w:val="21"/>
              </w:rPr>
              <w:t>得2</w:t>
            </w:r>
            <w:r>
              <w:rPr>
                <w:rFonts w:cs="Times New Roman"/>
                <w:bCs/>
                <w:kern w:val="0"/>
                <w:szCs w:val="21"/>
              </w:rPr>
              <w:t>分，1名得</w:t>
            </w:r>
            <w:r>
              <w:rPr>
                <w:rFonts w:hint="eastAsia" w:cs="Times New Roman"/>
                <w:bCs/>
                <w:kern w:val="0"/>
                <w:szCs w:val="21"/>
              </w:rPr>
              <w:t>1分</w:t>
            </w:r>
            <w:r>
              <w:rPr>
                <w:rFonts w:cs="Times New Roman"/>
                <w:bCs/>
                <w:kern w:val="0"/>
                <w:szCs w:val="21"/>
              </w:rPr>
              <w:t>，低于1名不得分。</w:t>
            </w:r>
          </w:p>
          <w:p w14:paraId="693B7F34">
            <w:pPr>
              <w:ind w:firstLine="0" w:firstLineChars="0"/>
              <w:rPr>
                <w:rFonts w:cs="Times New Roman"/>
                <w:kern w:val="0"/>
                <w:szCs w:val="21"/>
              </w:rPr>
            </w:pPr>
            <w:r>
              <w:rPr>
                <w:rFonts w:cs="Times New Roman"/>
                <w:bCs/>
                <w:kern w:val="0"/>
                <w:szCs w:val="21"/>
              </w:rPr>
              <w:t>注：参与本比选项目现场实施的项目组成员需要提供人员简历表，相关工作及项目经历需提供相应的证明材料，包括但不限于满足要求的案例合同中项目组成员名单，盖有合作方公章的证明材料等。工作经验年限需提供个人社保缴费记录。此处出示提供证明的人</w:t>
            </w:r>
            <w:r>
              <w:rPr>
                <w:rFonts w:cs="Times New Roman"/>
                <w:kern w:val="0"/>
                <w:szCs w:val="21"/>
              </w:rPr>
              <w:t>员必须作为本比选项目的项目组成员参与开发建设。</w:t>
            </w:r>
          </w:p>
          <w:p w14:paraId="53182084">
            <w:pPr>
              <w:ind w:firstLine="0" w:firstLineChars="0"/>
              <w:rPr>
                <w:rFonts w:cs="Times New Roman"/>
                <w:bCs/>
                <w:kern w:val="0"/>
                <w:szCs w:val="21"/>
              </w:rPr>
            </w:pPr>
            <w:r>
              <w:rPr>
                <w:rFonts w:cs="Times New Roman"/>
                <w:bCs/>
                <w:kern w:val="0"/>
                <w:szCs w:val="21"/>
              </w:rPr>
              <w:t>4. 项目实施方案（5分）</w:t>
            </w:r>
          </w:p>
          <w:p w14:paraId="077582F2">
            <w:pPr>
              <w:pStyle w:val="48"/>
              <w:spacing w:line="360" w:lineRule="auto"/>
            </w:pPr>
            <w:r>
              <w:rPr>
                <w:rFonts w:hint="eastAsia"/>
              </w:rPr>
              <w:t>根据</w:t>
            </w:r>
            <w:r>
              <w:t>参选人所提供的</w:t>
            </w:r>
            <w:r>
              <w:rPr>
                <w:rFonts w:hint="eastAsia"/>
              </w:rPr>
              <w:t>项目</w:t>
            </w:r>
            <w:r>
              <w:t>实施方案</w:t>
            </w:r>
            <w:r>
              <w:rPr>
                <w:rFonts w:hint="eastAsia"/>
              </w:rPr>
              <w:t>，从方案的</w:t>
            </w:r>
            <w:r>
              <w:t>完整</w:t>
            </w:r>
            <w:r>
              <w:rPr>
                <w:rFonts w:hint="eastAsia"/>
              </w:rPr>
              <w:t>性</w:t>
            </w:r>
            <w:r>
              <w:t>、详细</w:t>
            </w:r>
            <w:r>
              <w:rPr>
                <w:rFonts w:hint="eastAsia"/>
              </w:rPr>
              <w:t>程度</w:t>
            </w:r>
            <w:r>
              <w:t>，实施步骤</w:t>
            </w:r>
            <w:r>
              <w:rPr>
                <w:rFonts w:hint="eastAsia"/>
              </w:rPr>
              <w:t>是否明确</w:t>
            </w:r>
            <w:r>
              <w:t>、计划</w:t>
            </w:r>
            <w:r>
              <w:rPr>
                <w:rFonts w:hint="eastAsia"/>
              </w:rPr>
              <w:t>是否</w:t>
            </w:r>
            <w:r>
              <w:t>明确，</w:t>
            </w:r>
            <w:r>
              <w:rPr>
                <w:rFonts w:hint="eastAsia"/>
              </w:rPr>
              <w:t>是否</w:t>
            </w:r>
            <w:r>
              <w:t>符合项目建设要求</w:t>
            </w:r>
            <w:r>
              <w:rPr>
                <w:rFonts w:hint="eastAsia"/>
              </w:rPr>
              <w:t>和</w:t>
            </w:r>
            <w:r>
              <w:t>可行性</w:t>
            </w:r>
            <w:r>
              <w:rPr>
                <w:rFonts w:hint="eastAsia"/>
              </w:rPr>
              <w:t>等方面，由评审委员会酌情给分</w:t>
            </w:r>
            <w:r>
              <w:t>。</w:t>
            </w:r>
          </w:p>
          <w:p w14:paraId="4709CEF1">
            <w:pPr>
              <w:pStyle w:val="48"/>
              <w:spacing w:line="360" w:lineRule="auto"/>
            </w:pPr>
            <w:r>
              <w:rPr>
                <w:rFonts w:hint="eastAsia"/>
              </w:rPr>
              <w:t>方案内容优秀，得4-5分；</w:t>
            </w:r>
          </w:p>
          <w:p w14:paraId="14346208">
            <w:pPr>
              <w:pStyle w:val="48"/>
              <w:spacing w:line="360" w:lineRule="auto"/>
            </w:pPr>
            <w:r>
              <w:rPr>
                <w:rFonts w:hint="eastAsia"/>
              </w:rPr>
              <w:t>方案内容一般，得2-3分；</w:t>
            </w:r>
          </w:p>
          <w:p w14:paraId="14224A10">
            <w:pPr>
              <w:pStyle w:val="48"/>
              <w:spacing w:line="360" w:lineRule="auto"/>
            </w:pPr>
            <w:r>
              <w:rPr>
                <w:rFonts w:hint="eastAsia"/>
              </w:rPr>
              <w:t>方案内容差，得0-1分。</w:t>
            </w:r>
          </w:p>
          <w:p w14:paraId="50802656">
            <w:pPr>
              <w:ind w:firstLine="0" w:firstLineChars="0"/>
              <w:rPr>
                <w:rFonts w:cs="Times New Roman"/>
                <w:bCs/>
                <w:kern w:val="0"/>
                <w:szCs w:val="21"/>
              </w:rPr>
            </w:pPr>
            <w:r>
              <w:rPr>
                <w:rFonts w:cs="Times New Roman"/>
                <w:bCs/>
                <w:kern w:val="0"/>
                <w:szCs w:val="21"/>
              </w:rPr>
              <w:t>注：参选人应提供详细且可行的实施方案与进度计划安排，内容包含：实施方案、实施阶段、实施范围内容、人员安排、实施工期等。</w:t>
            </w:r>
          </w:p>
          <w:p w14:paraId="262955E6">
            <w:pPr>
              <w:ind w:firstLine="0" w:firstLineChars="0"/>
              <w:rPr>
                <w:rFonts w:cs="Times New Roman"/>
                <w:bCs/>
                <w:kern w:val="0"/>
                <w:szCs w:val="21"/>
              </w:rPr>
            </w:pPr>
            <w:r>
              <w:rPr>
                <w:rFonts w:cs="Times New Roman"/>
                <w:bCs/>
                <w:kern w:val="0"/>
                <w:szCs w:val="21"/>
              </w:rPr>
              <w:t>5.本地化分支机构要求（5分）</w:t>
            </w:r>
          </w:p>
          <w:p w14:paraId="4F02D8F2">
            <w:pPr>
              <w:ind w:firstLine="0" w:firstLineChars="0"/>
              <w:rPr>
                <w:rFonts w:cs="Times New Roman"/>
                <w:bCs/>
                <w:kern w:val="0"/>
                <w:szCs w:val="21"/>
              </w:rPr>
            </w:pPr>
            <w:r>
              <w:rPr>
                <w:rFonts w:cs="Times New Roman"/>
                <w:bCs/>
                <w:kern w:val="0"/>
                <w:szCs w:val="21"/>
              </w:rPr>
              <w:t>在川渝地区设有分支机构，同时分支机构具备售后技术支持能力得5分，需提供营业执照复印件。</w:t>
            </w:r>
          </w:p>
        </w:tc>
      </w:tr>
      <w:tr w14:paraId="6509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1B77D9BB">
            <w:pPr>
              <w:ind w:firstLine="0" w:firstLineChars="0"/>
              <w:jc w:val="center"/>
              <w:rPr>
                <w:rFonts w:cs="宋体"/>
                <w:kern w:val="0"/>
                <w:szCs w:val="21"/>
              </w:rPr>
            </w:pPr>
            <w:r>
              <w:rPr>
                <w:rFonts w:hint="eastAsia" w:cs="宋体"/>
                <w:szCs w:val="21"/>
              </w:rPr>
              <w:t>3</w:t>
            </w:r>
          </w:p>
        </w:tc>
        <w:tc>
          <w:tcPr>
            <w:tcW w:w="1482" w:type="dxa"/>
            <w:tcBorders>
              <w:left w:val="single" w:color="auto" w:sz="4" w:space="0"/>
            </w:tcBorders>
            <w:vAlign w:val="center"/>
          </w:tcPr>
          <w:p w14:paraId="3587B351">
            <w:pPr>
              <w:ind w:firstLine="0" w:firstLineChars="0"/>
              <w:jc w:val="center"/>
              <w:rPr>
                <w:rFonts w:cs="宋体"/>
                <w:kern w:val="0"/>
                <w:szCs w:val="21"/>
              </w:rPr>
            </w:pPr>
            <w:r>
              <w:rPr>
                <w:rFonts w:hint="eastAsia" w:cs="宋体"/>
                <w:szCs w:val="21"/>
              </w:rPr>
              <w:t>评审程序</w:t>
            </w:r>
          </w:p>
        </w:tc>
        <w:tc>
          <w:tcPr>
            <w:tcW w:w="7162" w:type="dxa"/>
            <w:gridSpan w:val="3"/>
            <w:tcBorders>
              <w:left w:val="single" w:color="auto" w:sz="4" w:space="0"/>
            </w:tcBorders>
          </w:tcPr>
          <w:p w14:paraId="5CD3A9AF">
            <w:pPr>
              <w:ind w:firstLine="0" w:firstLineChars="0"/>
              <w:rPr>
                <w:rFonts w:hint="eastAsia" w:ascii="宋体" w:hAnsi="宋体" w:cs="宋体"/>
                <w:szCs w:val="21"/>
              </w:rPr>
            </w:pPr>
            <w:r>
              <w:rPr>
                <w:rFonts w:hint="eastAsia" w:ascii="宋体" w:hAnsi="宋体" w:cs="宋体"/>
                <w:szCs w:val="21"/>
              </w:rPr>
              <w:t>1.初步评审前，按本章第3.1.3项的规定对参选报价有算术性错误的进行算术性错误修正。</w:t>
            </w:r>
          </w:p>
          <w:p w14:paraId="2A16758B">
            <w:pPr>
              <w:ind w:firstLine="0" w:firstLineChars="0"/>
              <w:rPr>
                <w:rFonts w:hint="eastAsia" w:ascii="宋体" w:hAnsi="宋体" w:cs="宋体"/>
                <w:szCs w:val="21"/>
              </w:rPr>
            </w:pPr>
            <w:r>
              <w:rPr>
                <w:rFonts w:hint="eastAsia" w:ascii="宋体" w:hAnsi="宋体" w:cs="宋体"/>
                <w:szCs w:val="21"/>
              </w:rPr>
              <w:t>2.初步评审合格的参选文件进行参选报价、商务部分的评分。主观评审部分由各专家独立评审打分，最后取平均得分，保留2位小数。</w:t>
            </w:r>
          </w:p>
          <w:p w14:paraId="57D42CD8">
            <w:pPr>
              <w:ind w:firstLine="0" w:firstLineChars="0"/>
              <w:rPr>
                <w:rFonts w:cs="宋体"/>
                <w:szCs w:val="21"/>
              </w:rPr>
            </w:pPr>
            <w:r>
              <w:rPr>
                <w:rFonts w:hint="eastAsia" w:ascii="宋体" w:hAnsi="宋体" w:cs="宋体"/>
                <w:szCs w:val="21"/>
              </w:rPr>
              <w:t>3.根据综合得分由高至低进行排序，推荐1-3家合格的中选候选人。并依次为第一、二、三中选候选人。</w:t>
            </w:r>
          </w:p>
        </w:tc>
      </w:tr>
      <w:tr w14:paraId="275E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7E32B984">
            <w:pPr>
              <w:ind w:firstLine="0" w:firstLineChars="0"/>
              <w:rPr>
                <w:rFonts w:cs="宋体"/>
                <w:szCs w:val="21"/>
              </w:rPr>
            </w:pPr>
            <w:r>
              <w:rPr>
                <w:rFonts w:hint="eastAsia" w:cs="宋体"/>
                <w:szCs w:val="21"/>
              </w:rPr>
              <w:t>3.2.3</w:t>
            </w:r>
          </w:p>
        </w:tc>
        <w:tc>
          <w:tcPr>
            <w:tcW w:w="1511" w:type="dxa"/>
            <w:tcBorders>
              <w:left w:val="single" w:color="auto" w:sz="4" w:space="0"/>
            </w:tcBorders>
            <w:vAlign w:val="center"/>
          </w:tcPr>
          <w:p w14:paraId="05EC80AF">
            <w:pPr>
              <w:ind w:firstLine="0" w:firstLineChars="0"/>
              <w:rPr>
                <w:rFonts w:cs="宋体"/>
                <w:szCs w:val="21"/>
              </w:rPr>
            </w:pPr>
            <w:r>
              <w:rPr>
                <w:rFonts w:hint="eastAsia" w:cs="宋体"/>
                <w:szCs w:val="21"/>
              </w:rPr>
              <w:t>参选人得分</w:t>
            </w:r>
          </w:p>
        </w:tc>
        <w:tc>
          <w:tcPr>
            <w:tcW w:w="5651" w:type="dxa"/>
            <w:gridSpan w:val="2"/>
            <w:tcBorders>
              <w:left w:val="single" w:color="auto" w:sz="4" w:space="0"/>
            </w:tcBorders>
            <w:vAlign w:val="center"/>
          </w:tcPr>
          <w:p w14:paraId="456C1961">
            <w:pPr>
              <w:ind w:firstLine="0" w:firstLineChars="0"/>
              <w:jc w:val="center"/>
              <w:rPr>
                <w:rFonts w:cs="宋体"/>
                <w:szCs w:val="21"/>
              </w:rPr>
            </w:pPr>
            <w:r>
              <w:rPr>
                <w:rFonts w:hint="eastAsia" w:cs="宋体"/>
                <w:szCs w:val="21"/>
              </w:rPr>
              <w:t>参选人得分=参选报价得分+商务部分得分</w:t>
            </w:r>
          </w:p>
        </w:tc>
      </w:tr>
      <w:bookmarkEnd w:id="76"/>
    </w:tbl>
    <w:p w14:paraId="3975D2C9">
      <w:pPr>
        <w:rPr>
          <w:rFonts w:cs="宋体"/>
          <w:snapToGrid w:val="0"/>
          <w:szCs w:val="21"/>
        </w:rPr>
      </w:pPr>
      <w:bookmarkStart w:id="77" w:name="_Toc636"/>
      <w:bookmarkStart w:id="78" w:name="_Toc21111"/>
      <w:r>
        <w:rPr>
          <w:rFonts w:hint="eastAsia" w:cs="宋体"/>
          <w:snapToGrid w:val="0"/>
          <w:szCs w:val="21"/>
        </w:rPr>
        <w:br w:type="page"/>
      </w:r>
    </w:p>
    <w:p w14:paraId="18A3A360">
      <w:pPr>
        <w:pStyle w:val="3"/>
      </w:pPr>
      <w:bookmarkStart w:id="79" w:name="_Toc18283"/>
      <w:bookmarkStart w:id="80" w:name="_Toc27234"/>
      <w:bookmarkStart w:id="81" w:name="_Toc28684"/>
      <w:r>
        <w:rPr>
          <w:rFonts w:hint="eastAsia"/>
        </w:rPr>
        <w:t>1. 评审方法</w:t>
      </w:r>
    </w:p>
    <w:p w14:paraId="50D734B5">
      <w:r>
        <w:rPr>
          <w:rFonts w:hint="eastAsia"/>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4D45B346">
      <w:pPr>
        <w:pStyle w:val="3"/>
      </w:pPr>
      <w:r>
        <w:rPr>
          <w:rFonts w:hint="eastAsia"/>
        </w:rPr>
        <w:t>2. 评审标准</w:t>
      </w:r>
    </w:p>
    <w:p w14:paraId="679DCADF">
      <w:pPr>
        <w:pStyle w:val="4"/>
      </w:pPr>
      <w:r>
        <w:rPr>
          <w:rFonts w:hint="eastAsia"/>
        </w:rPr>
        <w:t>2.1 初步评审标准</w:t>
      </w:r>
    </w:p>
    <w:p w14:paraId="13E1A6D4">
      <w:r>
        <w:rPr>
          <w:rFonts w:hint="eastAsia"/>
        </w:rPr>
        <w:t>2.1.1 资格评审标准：见评审办法前附表。</w:t>
      </w:r>
    </w:p>
    <w:p w14:paraId="4C69C356">
      <w:r>
        <w:rPr>
          <w:rFonts w:hint="eastAsia"/>
        </w:rPr>
        <w:t>2.1.2 形式评审标准：见评审办法前附表。</w:t>
      </w:r>
    </w:p>
    <w:p w14:paraId="6DEE54C7">
      <w:r>
        <w:rPr>
          <w:rFonts w:hint="eastAsia"/>
        </w:rPr>
        <w:t>2.1.3 响应性评审标准：见评审办法前附表。</w:t>
      </w:r>
    </w:p>
    <w:p w14:paraId="7606387F">
      <w:pPr>
        <w:pStyle w:val="4"/>
      </w:pPr>
      <w:r>
        <w:rPr>
          <w:rFonts w:hint="eastAsia"/>
        </w:rPr>
        <w:t>2.2 分值构成与评分标准</w:t>
      </w:r>
    </w:p>
    <w:p w14:paraId="257C420D">
      <w:r>
        <w:rPr>
          <w:rFonts w:hint="eastAsia"/>
        </w:rPr>
        <w:t xml:space="preserve">2.2.1 分值构成：见评审办法前附表。 </w:t>
      </w:r>
    </w:p>
    <w:p w14:paraId="66FA8DFA">
      <w:r>
        <w:rPr>
          <w:rFonts w:hint="eastAsia"/>
        </w:rPr>
        <w:t>2.2.2 评审基准价计算方法：见评审办法前附表。</w:t>
      </w:r>
    </w:p>
    <w:p w14:paraId="33E0ABE8">
      <w:r>
        <w:rPr>
          <w:rFonts w:hint="eastAsia"/>
        </w:rPr>
        <w:t>2.2.3 评分标准：</w:t>
      </w:r>
    </w:p>
    <w:p w14:paraId="6DC2FA9A">
      <w:r>
        <w:rPr>
          <w:rFonts w:hint="eastAsia"/>
        </w:rPr>
        <w:t>（1）参选报价评分标准：见评审办法前附表；</w:t>
      </w:r>
    </w:p>
    <w:p w14:paraId="79FA933F">
      <w:r>
        <w:rPr>
          <w:rFonts w:hint="eastAsia"/>
        </w:rPr>
        <w:t>（2）商务部分评分标准：见评审办法前附表；</w:t>
      </w:r>
    </w:p>
    <w:p w14:paraId="6B2A821B">
      <w:r>
        <w:rPr>
          <w:rFonts w:hint="eastAsia"/>
        </w:rPr>
        <w:t>（3）技术部分评分标准：见评审办法前附表。</w:t>
      </w:r>
    </w:p>
    <w:p w14:paraId="697DE8F8">
      <w:pPr>
        <w:pStyle w:val="3"/>
      </w:pPr>
      <w:r>
        <w:rPr>
          <w:rFonts w:hint="eastAsia"/>
        </w:rPr>
        <w:t>3. 评审程序</w:t>
      </w:r>
    </w:p>
    <w:p w14:paraId="006EC8C2">
      <w:pPr>
        <w:pStyle w:val="4"/>
      </w:pPr>
      <w:r>
        <w:rPr>
          <w:rFonts w:hint="eastAsia"/>
        </w:rPr>
        <w:t>3.1 初步评审</w:t>
      </w:r>
    </w:p>
    <w:p w14:paraId="3E9C9447">
      <w:r>
        <w:rPr>
          <w:rFonts w:hint="eastAsia"/>
        </w:rPr>
        <w:t>3.1.1 评审委员会依据本章第2.1 条规定的标准对参选文件进行初步评审。有一项不符合评审标准的，作否决参选处理。</w:t>
      </w:r>
    </w:p>
    <w:p w14:paraId="62445A48">
      <w:r>
        <w:rPr>
          <w:rFonts w:hint="eastAsia"/>
        </w:rPr>
        <w:t>3.1.2 参选人有以下情形之一的，其参选作否决参选处理：</w:t>
      </w:r>
    </w:p>
    <w:p w14:paraId="766FD44A">
      <w:r>
        <w:rPr>
          <w:rFonts w:hint="eastAsia"/>
        </w:rPr>
        <w:t>3.1.2.1 有第二章“参选人须知”第9.条以及第11. 条规定的任何一种情形的；</w:t>
      </w:r>
    </w:p>
    <w:p w14:paraId="3DD1CD9A">
      <w:r>
        <w:rPr>
          <w:rFonts w:hint="eastAsia"/>
        </w:rPr>
        <w:t>3.1.2.2 有串通参选、弄虚作假等其他违反相关法律、法规行为的；</w:t>
      </w:r>
    </w:p>
    <w:p w14:paraId="56486B21">
      <w:r>
        <w:rPr>
          <w:rFonts w:hint="eastAsia"/>
        </w:rPr>
        <w:t>3.1.2.3 不按评审委员会要求澄清、说明或补正的。</w:t>
      </w:r>
    </w:p>
    <w:p w14:paraId="225463E9">
      <w:r>
        <w:rPr>
          <w:rFonts w:hint="eastAsia"/>
        </w:rPr>
        <w:t>3.1.2.4 本参选文件约定的其它情形。</w:t>
      </w:r>
    </w:p>
    <w:p w14:paraId="5B996BCB">
      <w:r>
        <w:rPr>
          <w:rFonts w:hint="eastAsia"/>
        </w:rPr>
        <w:t>3.1.3 参选报价有算术错误的，评审委员会按以下原则对参选报价进行修正，修正的价格经参选人书面确认后具有约束力。参选人不接受修正价格的，其参选作否决参选处理。修正原则见</w:t>
      </w:r>
      <w:r>
        <w:t>第二章“</w:t>
      </w:r>
      <w:r>
        <w:rPr>
          <w:rFonts w:hint="eastAsia"/>
        </w:rPr>
        <w:t>参选人</w:t>
      </w:r>
      <w:r>
        <w:t>须知”第</w:t>
      </w:r>
      <w:r>
        <w:rPr>
          <w:rFonts w:hint="eastAsia"/>
        </w:rPr>
        <w:t>4.8 条。</w:t>
      </w:r>
    </w:p>
    <w:p w14:paraId="4AE0278F">
      <w:pPr>
        <w:pStyle w:val="4"/>
      </w:pPr>
      <w:r>
        <w:rPr>
          <w:rFonts w:hint="eastAsia"/>
        </w:rPr>
        <w:t>3.2 详细评审</w:t>
      </w:r>
    </w:p>
    <w:p w14:paraId="5CF6EEA2">
      <w:r>
        <w:rPr>
          <w:rFonts w:hint="eastAsia"/>
        </w:rPr>
        <w:t>3.2.1 评审委员会按本章第2.2 条规定的量化因素和分值进行打分，并计算出综合评估得分。</w:t>
      </w:r>
    </w:p>
    <w:p w14:paraId="46E32409">
      <w:r>
        <w:rPr>
          <w:rFonts w:hint="eastAsia"/>
        </w:rPr>
        <w:t>3.2.1.1 按本章第2.2 条规定的评审因素和分值对参选报价计算出得分；</w:t>
      </w:r>
    </w:p>
    <w:p w14:paraId="42111AC0">
      <w:r>
        <w:rPr>
          <w:rFonts w:hint="eastAsia"/>
        </w:rPr>
        <w:t>3.2.1.2 按本章第2.2 条规定的评审因素和分值对商务部分计算出得分（评审委员会统一打分）；</w:t>
      </w:r>
    </w:p>
    <w:p w14:paraId="00DE04BC">
      <w:r>
        <w:rPr>
          <w:rFonts w:hint="eastAsia"/>
        </w:rPr>
        <w:t>3.2.2 评分分值计算保留小数点后两位，小数点后第三位“四舍五入”。</w:t>
      </w:r>
    </w:p>
    <w:p w14:paraId="25FA6D08">
      <w:r>
        <w:rPr>
          <w:rFonts w:hint="eastAsia"/>
        </w:rPr>
        <w:t>3.2.3 参选人得分=参选报价得分+商务部分得分+技术部分得分。</w:t>
      </w:r>
    </w:p>
    <w:p w14:paraId="4AFB12D7">
      <w:pPr>
        <w:pStyle w:val="4"/>
      </w:pPr>
      <w:r>
        <w:rPr>
          <w:rFonts w:hint="eastAsia"/>
        </w:rPr>
        <w:t>3.3 参选文件的澄清和补正</w:t>
      </w:r>
    </w:p>
    <w:p w14:paraId="2D3DE5C4">
      <w:r>
        <w:rPr>
          <w:rFonts w:hint="eastAsia"/>
        </w:rPr>
        <w:t>3.3.1 在评审过程中，评审委员会可以书面形式要求参选人对所提交参选文件中不明确的内容进行书面澄清或说明，或者对细微偏差进行补正。评审委员会不接受参选人主动提出的澄清、说明或补正。</w:t>
      </w:r>
    </w:p>
    <w:p w14:paraId="693C02B4">
      <w:r>
        <w:rPr>
          <w:rFonts w:hint="eastAsia"/>
        </w:rPr>
        <w:t>3.3.2 澄清、说明和补正不得改变参选文件的实质性内容（算术性错误修正的除外）。参选人的书面澄清、说明和补正属于参选文件的组成部分。</w:t>
      </w:r>
    </w:p>
    <w:p w14:paraId="65CCFFBC">
      <w:r>
        <w:rPr>
          <w:rFonts w:hint="eastAsia"/>
        </w:rPr>
        <w:t>3.3.3 评审委员会对参选人提交的澄清、说明或补正有疑问的，可以要求参选人进一步澄清、说明或补正，直至满足评审委员会的要求。</w:t>
      </w:r>
    </w:p>
    <w:p w14:paraId="6CC150BC">
      <w:pPr>
        <w:pStyle w:val="4"/>
      </w:pPr>
      <w:r>
        <w:rPr>
          <w:rFonts w:hint="eastAsia"/>
        </w:rPr>
        <w:t>3.4 评审结果</w:t>
      </w:r>
    </w:p>
    <w:p w14:paraId="7BA6A24D">
      <w:r>
        <w:rPr>
          <w:rFonts w:hint="eastAsia"/>
        </w:rPr>
        <w:t>3.4.1 评审委员会按照得分由高到低的顺序推荐中选候选人。</w:t>
      </w:r>
    </w:p>
    <w:p w14:paraId="7066C34B">
      <w:r>
        <w:rPr>
          <w:rFonts w:hint="eastAsia"/>
        </w:rPr>
        <w:t>3.4.2 评审委员会完成评审后，应当向比选人提交书面评审报告。</w:t>
      </w:r>
    </w:p>
    <w:p w14:paraId="0BF93E4F">
      <w:r>
        <w:rPr>
          <w:rFonts w:hint="eastAsia"/>
        </w:rPr>
        <w:t>3.4.3 有效参选不足两个的，</w:t>
      </w:r>
      <w:r>
        <w:rPr>
          <w:rFonts w:hint="eastAsia" w:ascii="Cambria Math" w:hAnsi="Cambria Math"/>
          <w:sz w:val="24"/>
        </w:rPr>
        <w:t>经评审</w:t>
      </w:r>
      <w:r>
        <w:rPr>
          <w:rFonts w:hint="eastAsia"/>
          <w:sz w:val="24"/>
        </w:rPr>
        <w:t>委员会</w:t>
      </w:r>
      <w:r>
        <w:rPr>
          <w:rFonts w:hint="eastAsia" w:ascii="Cambria Math" w:hAnsi="Cambria Math"/>
          <w:sz w:val="24"/>
        </w:rPr>
        <w:t>判定，参选人具有相对行业竞争力的，可继续进行评审</w:t>
      </w:r>
      <w:r>
        <w:rPr>
          <w:rFonts w:hint="eastAsia"/>
        </w:rPr>
        <w:t>。</w:t>
      </w:r>
    </w:p>
    <w:p w14:paraId="7D3B85CE">
      <w:pPr>
        <w:pStyle w:val="4"/>
      </w:pPr>
      <w:r>
        <w:rPr>
          <w:rFonts w:hint="eastAsia"/>
        </w:rPr>
        <w:t>3.5 对评审委员会成员的纪律要求</w:t>
      </w:r>
    </w:p>
    <w:p w14:paraId="58F6CBC1">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89DA127">
      <w:pPr>
        <w:pStyle w:val="4"/>
      </w:pPr>
      <w:r>
        <w:rPr>
          <w:rFonts w:hint="eastAsia"/>
        </w:rPr>
        <w:t>3.6 对与评审活动有关的工作人员的纪律要求</w:t>
      </w:r>
    </w:p>
    <w:p w14:paraId="5287CA21">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17C76F63"/>
    <w:p w14:paraId="65613681">
      <w:r>
        <w:rPr>
          <w:rFonts w:hint="eastAsia"/>
        </w:rPr>
        <w:br w:type="page"/>
      </w:r>
    </w:p>
    <w:bookmarkEnd w:id="77"/>
    <w:bookmarkEnd w:id="78"/>
    <w:bookmarkEnd w:id="79"/>
    <w:bookmarkEnd w:id="80"/>
    <w:bookmarkEnd w:id="81"/>
    <w:p w14:paraId="0F15DDB6">
      <w:pPr>
        <w:pStyle w:val="2"/>
      </w:pPr>
      <w:bookmarkStart w:id="82" w:name="_Toc16110"/>
      <w:bookmarkStart w:id="83" w:name="_Toc150953074"/>
      <w:bookmarkStart w:id="84" w:name="_Toc25012"/>
      <w:bookmarkStart w:id="85" w:name="_Toc303066034"/>
      <w:bookmarkStart w:id="86" w:name="_Toc89675170"/>
      <w:r>
        <w:rPr>
          <w:rFonts w:hint="eastAsia"/>
        </w:rPr>
        <w:t>第五章 合同</w:t>
      </w:r>
      <w:r>
        <w:t>模板</w:t>
      </w:r>
      <w:bookmarkEnd w:id="82"/>
      <w:bookmarkEnd w:id="83"/>
      <w:bookmarkEnd w:id="84"/>
    </w:p>
    <w:p w14:paraId="7AE02CE7">
      <w:pPr>
        <w:ind w:firstLine="0" w:firstLineChars="0"/>
        <w:jc w:val="center"/>
      </w:pPr>
      <w:r>
        <w:rPr>
          <w:rFonts w:hint="eastAsia"/>
        </w:rPr>
        <w:t>（本章节的合同条款及格式仅供参考，具体以合同签订时为准）</w:t>
      </w:r>
    </w:p>
    <w:p w14:paraId="5835DBB9">
      <w:pPr>
        <w:jc w:val="right"/>
        <w:rPr>
          <w:rStyle w:val="24"/>
          <w:rFonts w:ascii="宋体" w:hAnsi="宋体"/>
          <w:b w:val="0"/>
          <w:sz w:val="28"/>
          <w:szCs w:val="28"/>
        </w:rPr>
      </w:pPr>
      <w:r>
        <w:rPr>
          <w:rStyle w:val="24"/>
          <w:rFonts w:hint="eastAsia" w:ascii="宋体" w:hAnsi="宋体"/>
          <w:b w:val="0"/>
          <w:sz w:val="28"/>
          <w:szCs w:val="28"/>
        </w:rPr>
        <w:t>编号：SXYH20220101018_</w:t>
      </w:r>
      <w:r>
        <w:rPr>
          <w:rStyle w:val="24"/>
          <w:rFonts w:ascii="宋体" w:hAnsi="宋体"/>
          <w:b w:val="0"/>
          <w:sz w:val="28"/>
          <w:szCs w:val="28"/>
        </w:rPr>
        <w:t>__</w:t>
      </w:r>
    </w:p>
    <w:p w14:paraId="5EA26DC3">
      <w:pPr>
        <w:jc w:val="center"/>
        <w:rPr>
          <w:rStyle w:val="24"/>
          <w:szCs w:val="21"/>
        </w:rPr>
      </w:pPr>
    </w:p>
    <w:p w14:paraId="313162AB">
      <w:pPr>
        <w:jc w:val="center"/>
        <w:rPr>
          <w:rStyle w:val="24"/>
          <w:szCs w:val="21"/>
        </w:rPr>
      </w:pPr>
    </w:p>
    <w:p w14:paraId="677BAD15">
      <w:pPr>
        <w:jc w:val="center"/>
        <w:rPr>
          <w:rStyle w:val="24"/>
          <w:szCs w:val="21"/>
        </w:rPr>
      </w:pPr>
    </w:p>
    <w:p w14:paraId="23B5D180">
      <w:pPr>
        <w:jc w:val="center"/>
        <w:rPr>
          <w:rStyle w:val="24"/>
          <w:szCs w:val="21"/>
        </w:rPr>
      </w:pPr>
    </w:p>
    <w:p w14:paraId="6611C5A4">
      <w:pPr>
        <w:jc w:val="center"/>
        <w:rPr>
          <w:rStyle w:val="24"/>
          <w:rFonts w:ascii="宋体" w:hAnsi="宋体"/>
          <w:sz w:val="52"/>
          <w:szCs w:val="52"/>
        </w:rPr>
      </w:pPr>
      <w:r>
        <w:rPr>
          <w:rStyle w:val="24"/>
          <w:rFonts w:hint="eastAsia" w:ascii="宋体" w:hAnsi="宋体"/>
          <w:sz w:val="52"/>
          <w:szCs w:val="52"/>
        </w:rPr>
        <w:t>重庆三峡银行</w:t>
      </w:r>
    </w:p>
    <w:p w14:paraId="52D0CCD8">
      <w:pPr>
        <w:jc w:val="center"/>
        <w:rPr>
          <w:rStyle w:val="24"/>
          <w:rFonts w:ascii="宋体" w:hAnsi="宋体"/>
          <w:sz w:val="52"/>
          <w:szCs w:val="52"/>
        </w:rPr>
      </w:pPr>
      <w:r>
        <w:rPr>
          <w:rStyle w:val="24"/>
          <w:rFonts w:ascii="宋体" w:hAnsi="宋体"/>
          <w:sz w:val="52"/>
          <w:szCs w:val="52"/>
        </w:rPr>
        <w:t>金融产品销售平台</w:t>
      </w:r>
    </w:p>
    <w:p w14:paraId="461B8F27">
      <w:pPr>
        <w:jc w:val="center"/>
        <w:rPr>
          <w:rStyle w:val="24"/>
          <w:sz w:val="36"/>
          <w:szCs w:val="21"/>
        </w:rPr>
      </w:pPr>
      <w:r>
        <w:rPr>
          <w:rStyle w:val="24"/>
          <w:rFonts w:ascii="宋体" w:hAnsi="宋体"/>
          <w:sz w:val="52"/>
          <w:szCs w:val="52"/>
        </w:rPr>
        <w:t>代销实物贵金属</w:t>
      </w:r>
      <w:r>
        <w:rPr>
          <w:rStyle w:val="24"/>
          <w:rFonts w:hint="eastAsia" w:ascii="宋体" w:hAnsi="宋体"/>
          <w:sz w:val="52"/>
          <w:szCs w:val="52"/>
        </w:rPr>
        <w:t>项目合同</w:t>
      </w:r>
    </w:p>
    <w:p w14:paraId="09F201D3">
      <w:pPr>
        <w:jc w:val="center"/>
        <w:rPr>
          <w:rStyle w:val="24"/>
          <w:szCs w:val="21"/>
        </w:rPr>
      </w:pPr>
    </w:p>
    <w:p w14:paraId="0FC8B419">
      <w:pPr>
        <w:jc w:val="center"/>
        <w:rPr>
          <w:rStyle w:val="24"/>
          <w:szCs w:val="21"/>
        </w:rPr>
      </w:pPr>
    </w:p>
    <w:p w14:paraId="021302A0">
      <w:pPr>
        <w:jc w:val="center"/>
        <w:rPr>
          <w:b/>
          <w:bCs/>
        </w:rPr>
      </w:pPr>
    </w:p>
    <w:p w14:paraId="23279AFA">
      <w:pPr>
        <w:jc w:val="center"/>
        <w:rPr>
          <w:b/>
          <w:bCs/>
        </w:rPr>
      </w:pPr>
    </w:p>
    <w:p w14:paraId="1C41CC40">
      <w:pPr>
        <w:jc w:val="center"/>
        <w:rPr>
          <w:b/>
          <w:bCs/>
        </w:rPr>
      </w:pPr>
    </w:p>
    <w:p w14:paraId="23175A2E">
      <w:pPr>
        <w:rPr>
          <w:b/>
          <w:bCs/>
        </w:rPr>
      </w:pPr>
    </w:p>
    <w:p w14:paraId="32329C96">
      <w:pPr>
        <w:jc w:val="center"/>
        <w:rPr>
          <w:b/>
          <w:bCs/>
        </w:rPr>
      </w:pPr>
    </w:p>
    <w:p w14:paraId="1FA359D3">
      <w:pPr>
        <w:jc w:val="center"/>
        <w:rPr>
          <w:b/>
          <w:bCs/>
        </w:rPr>
      </w:pPr>
    </w:p>
    <w:p w14:paraId="6E30F7BC">
      <w:pPr>
        <w:jc w:val="center"/>
        <w:rPr>
          <w:b/>
          <w:bCs/>
        </w:rPr>
      </w:pPr>
    </w:p>
    <w:p w14:paraId="27A3D647">
      <w:pPr>
        <w:ind w:left="840" w:firstLine="420" w:firstLineChars="0"/>
        <w:rPr>
          <w:rFonts w:ascii="宋体"/>
          <w:b/>
          <w:bCs/>
          <w:sz w:val="28"/>
        </w:rPr>
      </w:pPr>
      <w:r>
        <w:rPr>
          <w:rFonts w:hint="eastAsia" w:ascii="宋体"/>
          <w:b/>
          <w:bCs/>
          <w:sz w:val="28"/>
        </w:rPr>
        <w:t>委托方（甲方）：重庆三峡银行股份有限公司</w:t>
      </w:r>
    </w:p>
    <w:p w14:paraId="076A893E">
      <w:pPr>
        <w:tabs>
          <w:tab w:val="right" w:pos="8312"/>
        </w:tabs>
        <w:ind w:left="840" w:firstLine="420" w:firstLineChars="0"/>
        <w:rPr>
          <w:rFonts w:ascii="宋体"/>
          <w:b/>
          <w:bCs/>
          <w:sz w:val="28"/>
        </w:rPr>
      </w:pPr>
      <w:r>
        <w:rPr>
          <w:rFonts w:hint="eastAsia" w:ascii="宋体"/>
          <w:b/>
          <w:bCs/>
          <w:sz w:val="28"/>
        </w:rPr>
        <w:t>受托方（乙方）：</w:t>
      </w:r>
      <w:r>
        <w:rPr>
          <w:rFonts w:ascii="宋体"/>
          <w:b/>
          <w:bCs/>
          <w:sz w:val="28"/>
        </w:rPr>
        <w:tab/>
      </w:r>
    </w:p>
    <w:p w14:paraId="32FF718D">
      <w:pPr>
        <w:ind w:left="840" w:firstLine="420" w:firstLineChars="0"/>
        <w:rPr>
          <w:rFonts w:ascii="宋体"/>
          <w:b/>
        </w:rPr>
      </w:pPr>
      <w:r>
        <w:rPr>
          <w:rFonts w:hint="eastAsia" w:ascii="宋体"/>
          <w:b/>
          <w:bCs/>
          <w:sz w:val="28"/>
        </w:rPr>
        <w:t>签订地点</w:t>
      </w:r>
      <w:r>
        <w:rPr>
          <w:rFonts w:hint="eastAsia" w:ascii="宋体"/>
          <w:b/>
          <w:sz w:val="28"/>
        </w:rPr>
        <w:t>：重庆</w:t>
      </w:r>
    </w:p>
    <w:p w14:paraId="40129C1A">
      <w:pPr>
        <w:rPr>
          <w:b/>
          <w:sz w:val="32"/>
        </w:rPr>
      </w:pPr>
    </w:p>
    <w:p w14:paraId="11AAB8EE">
      <w:pPr>
        <w:jc w:val="center"/>
        <w:rPr>
          <w:rFonts w:ascii="宋体"/>
          <w:b/>
          <w:sz w:val="32"/>
          <w:szCs w:val="32"/>
        </w:rPr>
      </w:pPr>
      <w:r>
        <w:br w:type="page"/>
      </w:r>
      <w:r>
        <w:rPr>
          <w:rFonts w:hint="eastAsia" w:ascii="宋体"/>
          <w:b/>
          <w:sz w:val="32"/>
          <w:szCs w:val="32"/>
        </w:rPr>
        <w:t>目录</w:t>
      </w:r>
    </w:p>
    <w:p w14:paraId="7D1EA091">
      <w:pPr>
        <w:pStyle w:val="19"/>
        <w:tabs>
          <w:tab w:val="right" w:leader="dot" w:pos="8302"/>
        </w:tabs>
        <w:spacing w:line="350" w:lineRule="auto"/>
        <w:rPr>
          <w:rFonts w:ascii="宋体"/>
        </w:rPr>
      </w:pPr>
      <w:r>
        <w:rPr>
          <w:rFonts w:hint="eastAsia" w:ascii="宋体"/>
        </w:rPr>
        <w:t>第一条定义</w:t>
      </w:r>
    </w:p>
    <w:p w14:paraId="49023F91">
      <w:pPr>
        <w:pStyle w:val="19"/>
        <w:tabs>
          <w:tab w:val="right" w:leader="dot" w:pos="8302"/>
        </w:tabs>
        <w:spacing w:line="350" w:lineRule="auto"/>
        <w:rPr>
          <w:rFonts w:ascii="宋体"/>
        </w:rPr>
      </w:pPr>
      <w:r>
        <w:rPr>
          <w:rFonts w:hint="eastAsia" w:ascii="宋体"/>
        </w:rPr>
        <w:t>第二条项目名称、内容及要求</w:t>
      </w:r>
    </w:p>
    <w:p w14:paraId="0FDFB973">
      <w:pPr>
        <w:pStyle w:val="19"/>
        <w:tabs>
          <w:tab w:val="right" w:leader="dot" w:pos="8302"/>
        </w:tabs>
        <w:spacing w:line="350" w:lineRule="auto"/>
        <w:rPr>
          <w:rFonts w:ascii="宋体"/>
        </w:rPr>
      </w:pPr>
      <w:r>
        <w:rPr>
          <w:rFonts w:hint="eastAsia" w:ascii="宋体"/>
        </w:rPr>
        <w:t>第三条项目履行的进度、期限、地点、地域、方式</w:t>
      </w:r>
    </w:p>
    <w:p w14:paraId="0A51E1DE">
      <w:pPr>
        <w:pStyle w:val="19"/>
        <w:tabs>
          <w:tab w:val="right" w:leader="dot" w:pos="8302"/>
        </w:tabs>
        <w:spacing w:line="350" w:lineRule="auto"/>
        <w:rPr>
          <w:rFonts w:ascii="宋体"/>
        </w:rPr>
      </w:pPr>
      <w:r>
        <w:rPr>
          <w:rFonts w:hint="eastAsia" w:ascii="宋体"/>
        </w:rPr>
        <w:t>第四条方案调整</w:t>
      </w:r>
    </w:p>
    <w:p w14:paraId="695F339B">
      <w:pPr>
        <w:pStyle w:val="19"/>
        <w:tabs>
          <w:tab w:val="right" w:leader="dot" w:pos="8302"/>
        </w:tabs>
        <w:spacing w:line="350" w:lineRule="auto"/>
        <w:rPr>
          <w:rFonts w:ascii="宋体"/>
        </w:rPr>
      </w:pPr>
      <w:r>
        <w:rPr>
          <w:rFonts w:hint="eastAsia" w:ascii="宋体"/>
        </w:rPr>
        <w:t>第五条验收</w:t>
      </w:r>
    </w:p>
    <w:p w14:paraId="4DDCA3FB">
      <w:pPr>
        <w:pStyle w:val="19"/>
        <w:tabs>
          <w:tab w:val="right" w:leader="dot" w:pos="8302"/>
        </w:tabs>
        <w:spacing w:line="350" w:lineRule="auto"/>
        <w:rPr>
          <w:rFonts w:ascii="宋体"/>
        </w:rPr>
      </w:pPr>
      <w:r>
        <w:rPr>
          <w:rFonts w:hint="eastAsia" w:ascii="宋体"/>
        </w:rPr>
        <w:t>第六条交付使用后维护期、系统完善和保修维护服务</w:t>
      </w:r>
    </w:p>
    <w:p w14:paraId="556C6D0F">
      <w:pPr>
        <w:pStyle w:val="19"/>
        <w:tabs>
          <w:tab w:val="right" w:leader="dot" w:pos="8302"/>
        </w:tabs>
        <w:spacing w:line="350" w:lineRule="auto"/>
        <w:rPr>
          <w:rFonts w:ascii="宋体"/>
        </w:rPr>
      </w:pPr>
      <w:r>
        <w:rPr>
          <w:rFonts w:hint="eastAsia" w:ascii="宋体"/>
        </w:rPr>
        <w:t>第七条技术辅导与培训</w:t>
      </w:r>
    </w:p>
    <w:p w14:paraId="10FAE89F">
      <w:pPr>
        <w:pStyle w:val="19"/>
        <w:tabs>
          <w:tab w:val="right" w:leader="dot" w:pos="8302"/>
        </w:tabs>
        <w:spacing w:line="350" w:lineRule="auto"/>
        <w:rPr>
          <w:rFonts w:ascii="宋体"/>
        </w:rPr>
      </w:pPr>
      <w:r>
        <w:rPr>
          <w:rFonts w:hint="eastAsia" w:ascii="宋体"/>
        </w:rPr>
        <w:t>第八条双方的权利、义务</w:t>
      </w:r>
    </w:p>
    <w:p w14:paraId="5939A322">
      <w:pPr>
        <w:pStyle w:val="19"/>
        <w:tabs>
          <w:tab w:val="right" w:leader="dot" w:pos="8302"/>
        </w:tabs>
        <w:spacing w:line="350" w:lineRule="auto"/>
        <w:rPr>
          <w:rFonts w:ascii="宋体"/>
        </w:rPr>
      </w:pPr>
      <w:r>
        <w:rPr>
          <w:rFonts w:hint="eastAsia" w:ascii="宋体"/>
        </w:rPr>
        <w:t>第九条乙方的声明与保证</w:t>
      </w:r>
    </w:p>
    <w:p w14:paraId="67D4D8B0">
      <w:pPr>
        <w:pStyle w:val="19"/>
        <w:tabs>
          <w:tab w:val="right" w:leader="dot" w:pos="8302"/>
        </w:tabs>
        <w:spacing w:line="350" w:lineRule="auto"/>
        <w:rPr>
          <w:rFonts w:ascii="宋体"/>
        </w:rPr>
      </w:pPr>
      <w:r>
        <w:rPr>
          <w:rFonts w:hint="eastAsia" w:ascii="宋体"/>
        </w:rPr>
        <w:t>第十条知识产权</w:t>
      </w:r>
    </w:p>
    <w:p w14:paraId="604F2507">
      <w:pPr>
        <w:pStyle w:val="19"/>
        <w:tabs>
          <w:tab w:val="right" w:leader="dot" w:pos="8302"/>
        </w:tabs>
        <w:spacing w:line="350" w:lineRule="auto"/>
        <w:rPr>
          <w:rFonts w:ascii="宋体"/>
        </w:rPr>
      </w:pPr>
      <w:r>
        <w:rPr>
          <w:rFonts w:hint="eastAsia" w:ascii="宋体"/>
        </w:rPr>
        <w:t>第十一条第三方索赔</w:t>
      </w:r>
    </w:p>
    <w:p w14:paraId="71E9BD9B">
      <w:pPr>
        <w:pStyle w:val="19"/>
        <w:tabs>
          <w:tab w:val="right" w:leader="dot" w:pos="8302"/>
        </w:tabs>
        <w:spacing w:line="350" w:lineRule="auto"/>
        <w:rPr>
          <w:rFonts w:ascii="宋体"/>
        </w:rPr>
      </w:pPr>
      <w:r>
        <w:rPr>
          <w:rFonts w:hint="eastAsia" w:ascii="宋体"/>
        </w:rPr>
        <w:t>第十二条保密</w:t>
      </w:r>
    </w:p>
    <w:p w14:paraId="5A13D493">
      <w:pPr>
        <w:pStyle w:val="19"/>
        <w:tabs>
          <w:tab w:val="right" w:leader="dot" w:pos="8302"/>
        </w:tabs>
        <w:spacing w:line="350" w:lineRule="auto"/>
        <w:rPr>
          <w:rFonts w:ascii="宋体"/>
        </w:rPr>
      </w:pPr>
      <w:r>
        <w:rPr>
          <w:rFonts w:hint="eastAsia" w:ascii="宋体"/>
        </w:rPr>
        <w:t>第十三条价格与支付</w:t>
      </w:r>
    </w:p>
    <w:p w14:paraId="2F713C2B">
      <w:pPr>
        <w:pStyle w:val="19"/>
        <w:tabs>
          <w:tab w:val="right" w:leader="dot" w:pos="8302"/>
        </w:tabs>
        <w:spacing w:line="350" w:lineRule="auto"/>
        <w:rPr>
          <w:rFonts w:ascii="宋体"/>
        </w:rPr>
      </w:pPr>
      <w:r>
        <w:rPr>
          <w:rFonts w:hint="eastAsia" w:ascii="宋体"/>
        </w:rPr>
        <w:t>第十四条风险责任的承担</w:t>
      </w:r>
    </w:p>
    <w:p w14:paraId="45465927">
      <w:pPr>
        <w:pStyle w:val="19"/>
        <w:tabs>
          <w:tab w:val="right" w:leader="dot" w:pos="8302"/>
        </w:tabs>
        <w:spacing w:line="350" w:lineRule="auto"/>
        <w:rPr>
          <w:rFonts w:ascii="宋体"/>
        </w:rPr>
      </w:pPr>
      <w:r>
        <w:rPr>
          <w:rFonts w:hint="eastAsia" w:ascii="宋体"/>
        </w:rPr>
        <w:t>第十五条违约与赔偿</w:t>
      </w:r>
    </w:p>
    <w:p w14:paraId="2F65F0E6">
      <w:pPr>
        <w:pStyle w:val="19"/>
        <w:tabs>
          <w:tab w:val="right" w:leader="dot" w:pos="8302"/>
        </w:tabs>
        <w:spacing w:line="350" w:lineRule="auto"/>
        <w:rPr>
          <w:rFonts w:ascii="宋体"/>
        </w:rPr>
      </w:pPr>
      <w:r>
        <w:rPr>
          <w:rFonts w:hint="eastAsia" w:ascii="宋体"/>
        </w:rPr>
        <w:t>第十六条合同的解除</w:t>
      </w:r>
    </w:p>
    <w:p w14:paraId="520FBDA1">
      <w:pPr>
        <w:pStyle w:val="19"/>
        <w:tabs>
          <w:tab w:val="right" w:leader="dot" w:pos="8302"/>
        </w:tabs>
        <w:spacing w:line="350" w:lineRule="auto"/>
        <w:rPr>
          <w:rFonts w:ascii="宋体"/>
        </w:rPr>
      </w:pPr>
      <w:r>
        <w:rPr>
          <w:rFonts w:hint="eastAsia" w:ascii="宋体"/>
        </w:rPr>
        <w:t>第十七条合同变更及转让</w:t>
      </w:r>
    </w:p>
    <w:p w14:paraId="07012699">
      <w:pPr>
        <w:pStyle w:val="19"/>
        <w:tabs>
          <w:tab w:val="right" w:leader="dot" w:pos="8302"/>
        </w:tabs>
        <w:spacing w:line="350" w:lineRule="auto"/>
        <w:rPr>
          <w:rFonts w:ascii="宋体"/>
        </w:rPr>
      </w:pPr>
      <w:r>
        <w:rPr>
          <w:rFonts w:hint="eastAsia" w:ascii="宋体"/>
        </w:rPr>
        <w:t>第十八条争议解决</w:t>
      </w:r>
    </w:p>
    <w:p w14:paraId="3E688B97">
      <w:pPr>
        <w:pStyle w:val="19"/>
        <w:tabs>
          <w:tab w:val="right" w:leader="dot" w:pos="8302"/>
        </w:tabs>
        <w:spacing w:line="350" w:lineRule="auto"/>
        <w:rPr>
          <w:rFonts w:ascii="宋体"/>
        </w:rPr>
      </w:pPr>
      <w:r>
        <w:rPr>
          <w:rFonts w:hint="eastAsia" w:ascii="宋体"/>
        </w:rPr>
        <w:t>第十九条通知与送达</w:t>
      </w:r>
    </w:p>
    <w:p w14:paraId="439B7C6F">
      <w:pPr>
        <w:pStyle w:val="19"/>
        <w:tabs>
          <w:tab w:val="right" w:leader="dot" w:pos="8302"/>
        </w:tabs>
        <w:spacing w:line="350" w:lineRule="auto"/>
        <w:rPr>
          <w:rFonts w:ascii="宋体"/>
        </w:rPr>
      </w:pPr>
      <w:r>
        <w:rPr>
          <w:rFonts w:hint="eastAsia" w:ascii="宋体"/>
        </w:rPr>
        <w:t>第二十条合同生效</w:t>
      </w:r>
    </w:p>
    <w:p w14:paraId="0241F3B4">
      <w:pPr>
        <w:pStyle w:val="19"/>
        <w:tabs>
          <w:tab w:val="right" w:leader="dot" w:pos="8302"/>
        </w:tabs>
        <w:spacing w:line="350" w:lineRule="auto"/>
        <w:rPr>
          <w:rFonts w:ascii="宋体"/>
        </w:rPr>
      </w:pPr>
      <w:r>
        <w:rPr>
          <w:rFonts w:hint="eastAsia" w:ascii="宋体"/>
        </w:rPr>
        <w:t>第二十一条不可抗力</w:t>
      </w:r>
    </w:p>
    <w:p w14:paraId="067A4214">
      <w:pPr>
        <w:pStyle w:val="19"/>
        <w:tabs>
          <w:tab w:val="right" w:leader="dot" w:pos="8302"/>
        </w:tabs>
        <w:spacing w:line="350" w:lineRule="auto"/>
        <w:rPr>
          <w:rFonts w:ascii="宋体"/>
        </w:rPr>
      </w:pPr>
      <w:r>
        <w:rPr>
          <w:rFonts w:hint="eastAsia" w:ascii="宋体"/>
        </w:rPr>
        <w:t>第二十二条反商业贿赂</w:t>
      </w:r>
    </w:p>
    <w:p w14:paraId="080783D8">
      <w:pPr>
        <w:pStyle w:val="19"/>
        <w:tabs>
          <w:tab w:val="right" w:leader="dot" w:pos="8302"/>
        </w:tabs>
        <w:spacing w:line="350" w:lineRule="auto"/>
        <w:rPr>
          <w:rFonts w:ascii="宋体"/>
        </w:rPr>
      </w:pPr>
      <w:r>
        <w:rPr>
          <w:rFonts w:hint="eastAsia" w:ascii="宋体"/>
        </w:rPr>
        <w:t>第二十三条附件</w:t>
      </w:r>
    </w:p>
    <w:p w14:paraId="5AE40B28">
      <w:pPr>
        <w:pStyle w:val="19"/>
        <w:tabs>
          <w:tab w:val="right" w:leader="dot" w:pos="8302"/>
        </w:tabs>
        <w:spacing w:line="350" w:lineRule="auto"/>
        <w:rPr>
          <w:rFonts w:ascii="宋体"/>
        </w:rPr>
      </w:pPr>
      <w:r>
        <w:rPr>
          <w:rFonts w:hint="eastAsia" w:ascii="宋体"/>
        </w:rPr>
        <w:t>第二十四条其他</w:t>
      </w:r>
    </w:p>
    <w:p w14:paraId="304B0D9C">
      <w:pPr>
        <w:rPr>
          <w:rFonts w:ascii="宋体"/>
        </w:rPr>
      </w:pPr>
    </w:p>
    <w:p w14:paraId="3862B950">
      <w:pPr>
        <w:rPr>
          <w:rFonts w:ascii="宋体"/>
          <w:b/>
          <w:u w:val="single"/>
        </w:rPr>
      </w:pPr>
      <w:r>
        <w:rPr>
          <w:rFonts w:hint="eastAsia" w:ascii="宋体"/>
        </w:rPr>
        <w:br w:type="page"/>
      </w:r>
      <w:r>
        <w:rPr>
          <w:rFonts w:hint="eastAsia" w:ascii="宋体"/>
          <w:b/>
        </w:rPr>
        <w:t>委托方: 重庆三峡银行股份有限公司（以下简称“甲方”）</w:t>
      </w:r>
    </w:p>
    <w:p w14:paraId="601F90A7">
      <w:pPr>
        <w:rPr>
          <w:rFonts w:ascii="宋体"/>
        </w:rPr>
      </w:pPr>
      <w:r>
        <w:rPr>
          <w:rFonts w:hint="eastAsia" w:ascii="宋体"/>
        </w:rPr>
        <w:t>法定代表人：刘江桥</w:t>
      </w:r>
    </w:p>
    <w:p w14:paraId="5A95E650">
      <w:pPr>
        <w:rPr>
          <w:rFonts w:ascii="宋体"/>
        </w:rPr>
      </w:pPr>
      <w:r>
        <w:rPr>
          <w:rFonts w:hint="eastAsia" w:ascii="宋体"/>
        </w:rPr>
        <w:t>地址：</w:t>
      </w:r>
      <w:r>
        <w:rPr>
          <w:rFonts w:ascii="宋体"/>
        </w:rPr>
        <w:t>重庆市渝北区嘉州路88号中渝国际都会4号写字楼</w:t>
      </w:r>
    </w:p>
    <w:p w14:paraId="74EEA71A">
      <w:pPr>
        <w:rPr>
          <w:rFonts w:ascii="宋体"/>
        </w:rPr>
      </w:pPr>
      <w:r>
        <w:rPr>
          <w:rFonts w:hint="eastAsia" w:ascii="宋体"/>
        </w:rPr>
        <w:t>邮政编码：</w:t>
      </w:r>
    </w:p>
    <w:p w14:paraId="132353A2">
      <w:pPr>
        <w:rPr>
          <w:rFonts w:ascii="宋体"/>
        </w:rPr>
      </w:pPr>
      <w:r>
        <w:rPr>
          <w:rFonts w:hint="eastAsia" w:ascii="宋体"/>
        </w:rPr>
        <w:t>联系人：</w:t>
      </w:r>
    </w:p>
    <w:p w14:paraId="6570EB4D">
      <w:pPr>
        <w:rPr>
          <w:rFonts w:ascii="宋体"/>
        </w:rPr>
      </w:pPr>
      <w:r>
        <w:rPr>
          <w:rFonts w:hint="eastAsia" w:ascii="宋体"/>
        </w:rPr>
        <w:t>电话：</w:t>
      </w:r>
    </w:p>
    <w:p w14:paraId="49381EED">
      <w:pPr>
        <w:rPr>
          <w:rFonts w:ascii="宋体"/>
        </w:rPr>
      </w:pPr>
      <w:r>
        <w:rPr>
          <w:rFonts w:hint="eastAsia" w:ascii="宋体"/>
        </w:rPr>
        <w:t>电子邮箱：</w:t>
      </w:r>
    </w:p>
    <w:p w14:paraId="4957591B">
      <w:pPr>
        <w:rPr>
          <w:rFonts w:ascii="宋体"/>
        </w:rPr>
      </w:pPr>
    </w:p>
    <w:p w14:paraId="1C1820D8">
      <w:pPr>
        <w:rPr>
          <w:rFonts w:ascii="宋体"/>
          <w:b/>
        </w:rPr>
      </w:pPr>
      <w:r>
        <w:rPr>
          <w:rFonts w:hint="eastAsia" w:ascii="宋体"/>
          <w:b/>
        </w:rPr>
        <w:t>受托方：XXXXXXXXXXXXX（以下简称“乙方”）</w:t>
      </w:r>
    </w:p>
    <w:p w14:paraId="49B4721B">
      <w:pPr>
        <w:rPr>
          <w:rFonts w:ascii="宋体"/>
        </w:rPr>
      </w:pPr>
      <w:r>
        <w:rPr>
          <w:rFonts w:hint="eastAsia" w:ascii="宋体"/>
        </w:rPr>
        <w:t xml:space="preserve">法定代表人： </w:t>
      </w:r>
    </w:p>
    <w:p w14:paraId="05F568C5">
      <w:pPr>
        <w:rPr>
          <w:rFonts w:ascii="宋体"/>
        </w:rPr>
      </w:pPr>
      <w:r>
        <w:rPr>
          <w:rFonts w:hint="eastAsia" w:ascii="宋体"/>
        </w:rPr>
        <w:t>地址：</w:t>
      </w:r>
    </w:p>
    <w:p w14:paraId="6324C880">
      <w:pPr>
        <w:rPr>
          <w:rFonts w:ascii="宋体"/>
        </w:rPr>
      </w:pPr>
      <w:r>
        <w:rPr>
          <w:rFonts w:hint="eastAsia" w:ascii="宋体"/>
        </w:rPr>
        <w:t>邮政编码：</w:t>
      </w:r>
    </w:p>
    <w:p w14:paraId="74613D54">
      <w:pPr>
        <w:rPr>
          <w:rFonts w:ascii="宋体"/>
        </w:rPr>
      </w:pPr>
      <w:r>
        <w:rPr>
          <w:rFonts w:hint="eastAsia" w:ascii="宋体"/>
        </w:rPr>
        <w:t xml:space="preserve">开户银行： </w:t>
      </w:r>
    </w:p>
    <w:p w14:paraId="26F608CD">
      <w:pPr>
        <w:rPr>
          <w:rFonts w:ascii="宋体"/>
        </w:rPr>
      </w:pPr>
      <w:r>
        <w:rPr>
          <w:rFonts w:hint="eastAsia" w:ascii="宋体"/>
        </w:rPr>
        <w:t>账号：</w:t>
      </w:r>
    </w:p>
    <w:p w14:paraId="75440413">
      <w:pPr>
        <w:rPr>
          <w:rFonts w:ascii="宋体"/>
        </w:rPr>
      </w:pPr>
      <w:r>
        <w:rPr>
          <w:rFonts w:hint="eastAsia" w:ascii="宋体"/>
        </w:rPr>
        <w:t>税号：</w:t>
      </w:r>
    </w:p>
    <w:p w14:paraId="42884D15">
      <w:pPr>
        <w:rPr>
          <w:rFonts w:ascii="宋体"/>
        </w:rPr>
      </w:pPr>
      <w:r>
        <w:rPr>
          <w:rFonts w:hint="eastAsia" w:ascii="宋体"/>
        </w:rPr>
        <w:t xml:space="preserve">联系人： </w:t>
      </w:r>
    </w:p>
    <w:p w14:paraId="08B7B044">
      <w:pPr>
        <w:rPr>
          <w:rFonts w:ascii="宋体"/>
        </w:rPr>
      </w:pPr>
      <w:r>
        <w:rPr>
          <w:rFonts w:hint="eastAsia" w:ascii="宋体"/>
        </w:rPr>
        <w:t>电话：</w:t>
      </w:r>
    </w:p>
    <w:p w14:paraId="2E0B9D50">
      <w:pPr>
        <w:rPr>
          <w:rFonts w:ascii="宋体"/>
        </w:rPr>
      </w:pPr>
      <w:r>
        <w:rPr>
          <w:rFonts w:hint="eastAsia" w:ascii="宋体"/>
        </w:rPr>
        <w:t>手机：</w:t>
      </w:r>
    </w:p>
    <w:p w14:paraId="74CF3C74">
      <w:pPr>
        <w:rPr>
          <w:rFonts w:ascii="宋体"/>
        </w:rPr>
      </w:pPr>
      <w:r>
        <w:rPr>
          <w:rFonts w:hint="eastAsia" w:ascii="宋体"/>
        </w:rPr>
        <w:t>传真：</w:t>
      </w:r>
    </w:p>
    <w:p w14:paraId="7DBE76BD">
      <w:pPr>
        <w:rPr>
          <w:rFonts w:ascii="宋体"/>
          <w:lang w:val="en-GB"/>
        </w:rPr>
      </w:pPr>
      <w:r>
        <w:rPr>
          <w:rFonts w:hint="eastAsia" w:ascii="宋体"/>
        </w:rPr>
        <w:t>电子邮箱：</w:t>
      </w:r>
    </w:p>
    <w:p w14:paraId="0EF036B3">
      <w:pPr>
        <w:rPr>
          <w:rFonts w:ascii="宋体"/>
          <w:b/>
        </w:rPr>
      </w:pPr>
      <w:r>
        <w:rPr>
          <w:rFonts w:ascii="宋体"/>
          <w:b/>
        </w:rPr>
        <w:br w:type="page"/>
      </w:r>
      <w:r>
        <w:rPr>
          <w:rFonts w:hint="eastAsia" w:ascii="宋体"/>
          <w:b/>
        </w:rPr>
        <w:t>鉴于：</w:t>
      </w:r>
    </w:p>
    <w:p w14:paraId="3C0EBD4D">
      <w:pPr>
        <w:rPr>
          <w:rFonts w:ascii="宋体"/>
        </w:rPr>
      </w:pPr>
      <w:r>
        <w:rPr>
          <w:rStyle w:val="47"/>
          <w:rFonts w:hint="eastAsia" w:ascii="宋体" w:hAnsi="宋体"/>
          <w:kern w:val="0"/>
        </w:rPr>
        <w:t>乙方具有良好的开发实施能力，甲乙双方经友好协商并达成一致，依据相关法律、法规的规定，就甲方委托</w:t>
      </w:r>
      <w:r>
        <w:rPr>
          <w:rStyle w:val="47"/>
          <w:rFonts w:ascii="宋体" w:hAnsi="宋体"/>
          <w:kern w:val="0"/>
        </w:rPr>
        <w:t>乙方</w:t>
      </w:r>
      <w:r>
        <w:rPr>
          <w:rStyle w:val="47"/>
          <w:rFonts w:hint="eastAsia" w:ascii="宋体" w:hAnsi="宋体"/>
          <w:kern w:val="0"/>
        </w:rPr>
        <w:t>进行</w:t>
      </w:r>
      <w:r>
        <w:rPr>
          <w:rStyle w:val="47"/>
          <w:rFonts w:ascii="宋体" w:hAnsi="宋体"/>
          <w:kern w:val="0"/>
        </w:rPr>
        <w:t>项目实施与技术支持</w:t>
      </w:r>
      <w:r>
        <w:rPr>
          <w:rStyle w:val="47"/>
          <w:rFonts w:hint="eastAsia" w:ascii="宋体" w:hAnsi="宋体"/>
          <w:kern w:val="0"/>
        </w:rPr>
        <w:t>，向乙方订购</w:t>
      </w:r>
      <w:r>
        <w:rPr>
          <w:rStyle w:val="47"/>
          <w:rFonts w:ascii="宋体" w:hAnsi="宋体"/>
          <w:kern w:val="0"/>
        </w:rPr>
        <w:t>代销</w:t>
      </w:r>
      <w:r>
        <w:rPr>
          <w:rFonts w:ascii="宋体"/>
          <w:u w:val="single"/>
        </w:rPr>
        <w:t>实物贵金属系统</w:t>
      </w:r>
      <w:r>
        <w:rPr>
          <w:rStyle w:val="47"/>
          <w:rFonts w:hint="eastAsia" w:ascii="宋体" w:hAnsi="宋体"/>
          <w:kern w:val="0"/>
        </w:rPr>
        <w:t>（含定制化开发）的相关事宜订立本合同，</w:t>
      </w:r>
      <w:r>
        <w:rPr>
          <w:rFonts w:hint="eastAsia" w:ascii="宋体"/>
        </w:rPr>
        <w:t>以资信守：</w:t>
      </w:r>
    </w:p>
    <w:p w14:paraId="2898BB8B">
      <w:pPr>
        <w:ind w:firstLine="413" w:firstLineChars="196"/>
        <w:outlineLvl w:val="1"/>
        <w:rPr>
          <w:rFonts w:ascii="宋体"/>
          <w:b/>
        </w:rPr>
      </w:pPr>
      <w:bookmarkStart w:id="87" w:name="_Toc84948025"/>
      <w:r>
        <w:rPr>
          <w:rFonts w:hint="eastAsia" w:ascii="宋体"/>
          <w:b/>
        </w:rPr>
        <w:t>第一条 定义</w:t>
      </w:r>
      <w:bookmarkEnd w:id="87"/>
    </w:p>
    <w:p w14:paraId="6D3E1302">
      <w:pPr>
        <w:rPr>
          <w:rFonts w:ascii="宋体"/>
        </w:rPr>
      </w:pPr>
      <w:r>
        <w:rPr>
          <w:rFonts w:hint="eastAsia" w:ascii="宋体"/>
        </w:rPr>
        <w:t>在本合同中，除非有相反的表述，下列术语具有如下含义：</w:t>
      </w:r>
    </w:p>
    <w:p w14:paraId="370C616F">
      <w:pPr>
        <w:rPr>
          <w:rFonts w:ascii="宋体"/>
        </w:rPr>
      </w:pPr>
      <w:r>
        <w:rPr>
          <w:rFonts w:hint="eastAsia" w:ascii="宋体"/>
        </w:rPr>
        <w:t>1.1“项目”系指乙方受甲方委托，单独为本合同目的依据合同附件一《工作（需求）说明书》的产品实施与数据迁移服务。</w:t>
      </w:r>
    </w:p>
    <w:p w14:paraId="7C0DD253">
      <w:pPr>
        <w:rPr>
          <w:rFonts w:ascii="宋体"/>
        </w:rPr>
      </w:pPr>
      <w:r>
        <w:rPr>
          <w:rFonts w:hint="eastAsia" w:ascii="宋体"/>
        </w:rPr>
        <w:t>1.2“客户化工作”指项目交付乙方后乙方对甲方的需求进行开发实施。</w:t>
      </w:r>
    </w:p>
    <w:p w14:paraId="2C2395C5">
      <w:pPr>
        <w:rPr>
          <w:rFonts w:ascii="宋体"/>
        </w:rPr>
      </w:pPr>
      <w:r>
        <w:rPr>
          <w:rFonts w:hint="eastAsia" w:ascii="宋体"/>
        </w:rPr>
        <w:t>1.3“产品实施数据迁移”指乙方产品的安装配置和业务数据迁移服务。</w:t>
      </w:r>
    </w:p>
    <w:p w14:paraId="216BA3DF">
      <w:pPr>
        <w:rPr>
          <w:rFonts w:ascii="宋体"/>
        </w:rPr>
      </w:pPr>
      <w:r>
        <w:rPr>
          <w:rFonts w:hint="eastAsia" w:ascii="宋体"/>
        </w:rPr>
        <w:t>1.4“</w:t>
      </w:r>
      <w:r>
        <w:rPr>
          <w:rFonts w:ascii="宋体"/>
        </w:rPr>
        <w:t>代销实物贵金属</w:t>
      </w:r>
      <w:r>
        <w:rPr>
          <w:rFonts w:hint="eastAsia" w:ascii="宋体"/>
          <w:lang w:val="en-GB"/>
        </w:rPr>
        <w:t>系统</w:t>
      </w:r>
      <w:r>
        <w:rPr>
          <w:rFonts w:hint="eastAsia" w:ascii="宋体"/>
        </w:rPr>
        <w:t>业务”指乙方提供给甲方的附件一中所涵盖的业务功能。</w:t>
      </w:r>
    </w:p>
    <w:p w14:paraId="0BE33F7B">
      <w:pPr>
        <w:ind w:left="-2" w:leftChars="-1"/>
        <w:rPr>
          <w:rFonts w:ascii="宋体" w:cs="宋体"/>
          <w:szCs w:val="24"/>
        </w:rPr>
      </w:pPr>
      <w:r>
        <w:rPr>
          <w:rFonts w:hint="eastAsia" w:ascii="宋体" w:cs="宋体"/>
          <w:szCs w:val="24"/>
        </w:rPr>
        <w:t>1.</w:t>
      </w:r>
      <w:r>
        <w:rPr>
          <w:rFonts w:ascii="宋体" w:cs="宋体"/>
          <w:szCs w:val="24"/>
        </w:rPr>
        <w:t>5</w:t>
      </w:r>
      <w:r>
        <w:rPr>
          <w:rFonts w:hint="eastAsia" w:ascii="宋体" w:cs="宋体"/>
          <w:szCs w:val="24"/>
        </w:rPr>
        <w:t>“缺陷逃逸率”：后一测试阶段测试期间发现的缺陷个数/（当前测试期间所发现的缺陷个数+后一测试期间发现的缺陷个数）。</w:t>
      </w:r>
    </w:p>
    <w:p w14:paraId="584BAEB6">
      <w:pPr>
        <w:ind w:left="-2" w:leftChars="-1"/>
        <w:rPr>
          <w:rFonts w:ascii="宋体" w:cs="宋体"/>
          <w:szCs w:val="24"/>
        </w:rPr>
      </w:pPr>
      <w:r>
        <w:rPr>
          <w:rFonts w:hint="eastAsia" w:ascii="宋体" w:cs="宋体"/>
          <w:szCs w:val="24"/>
        </w:rPr>
        <w:t>1.</w:t>
      </w:r>
      <w:r>
        <w:rPr>
          <w:rFonts w:ascii="宋体" w:cs="宋体"/>
          <w:szCs w:val="24"/>
        </w:rPr>
        <w:t>6</w:t>
      </w:r>
      <w:r>
        <w:rPr>
          <w:rFonts w:hint="eastAsia" w:ascii="宋体" w:cs="宋体"/>
          <w:szCs w:val="24"/>
        </w:rPr>
        <w:t>“试运行”：项目上线后进入试运行阶段，项目试运行至少3个月。在试运行期间，甲方随时将发现的逃逸的缺陷通知乙方，乙方在最快的时间内予以响应。</w:t>
      </w:r>
    </w:p>
    <w:p w14:paraId="7CBB4D3E">
      <w:pPr>
        <w:ind w:left="-2" w:leftChars="-1"/>
        <w:rPr>
          <w:rFonts w:ascii="宋体" w:cs="宋体"/>
          <w:szCs w:val="24"/>
        </w:rPr>
      </w:pPr>
      <w:r>
        <w:rPr>
          <w:rFonts w:hint="eastAsia" w:ascii="宋体" w:cs="宋体"/>
          <w:szCs w:val="24"/>
        </w:rPr>
        <w:t>1.</w:t>
      </w:r>
      <w:r>
        <w:rPr>
          <w:rFonts w:ascii="宋体" w:cs="宋体"/>
          <w:szCs w:val="24"/>
        </w:rPr>
        <w:t>7</w:t>
      </w:r>
      <w:r>
        <w:rPr>
          <w:rFonts w:hint="eastAsia" w:ascii="宋体" w:cs="宋体"/>
          <w:szCs w:val="24"/>
        </w:rPr>
        <w:t>“响应时间”：指乙方就甲方提出的问题予以答复的时间。</w:t>
      </w:r>
    </w:p>
    <w:p w14:paraId="435F1505">
      <w:pPr>
        <w:ind w:left="-2" w:leftChars="-1"/>
        <w:rPr>
          <w:rFonts w:ascii="宋体" w:cs="宋体"/>
          <w:szCs w:val="24"/>
        </w:rPr>
      </w:pPr>
      <w:r>
        <w:rPr>
          <w:rFonts w:hint="eastAsia" w:ascii="宋体" w:cs="宋体"/>
          <w:szCs w:val="24"/>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44B615A0">
      <w:pPr>
        <w:ind w:left="-2" w:leftChars="-1"/>
        <w:rPr>
          <w:rFonts w:ascii="宋体" w:cs="宋体"/>
          <w:szCs w:val="24"/>
        </w:rPr>
      </w:pPr>
      <w:r>
        <w:rPr>
          <w:rFonts w:hint="eastAsia" w:ascii="宋体" w:cs="宋体"/>
          <w:szCs w:val="24"/>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4426EC08">
      <w:pPr>
        <w:ind w:left="-2" w:leftChars="-1"/>
        <w:rPr>
          <w:rFonts w:ascii="宋体" w:cs="宋体"/>
          <w:szCs w:val="24"/>
        </w:rPr>
      </w:pPr>
      <w:r>
        <w:rPr>
          <w:rFonts w:hint="eastAsia" w:ascii="宋体" w:cs="宋体"/>
          <w:szCs w:val="24"/>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07FE2C12">
      <w:pPr>
        <w:ind w:left="-2" w:leftChars="-1"/>
        <w:rPr>
          <w:rFonts w:ascii="宋体" w:cs="宋体"/>
          <w:szCs w:val="24"/>
        </w:rPr>
      </w:pPr>
      <w:r>
        <w:rPr>
          <w:rFonts w:hint="eastAsia" w:ascii="宋体" w:cs="宋体"/>
          <w:szCs w:val="24"/>
        </w:rPr>
        <w:t>1.1</w:t>
      </w:r>
      <w:r>
        <w:rPr>
          <w:rFonts w:ascii="宋体" w:cs="宋体"/>
          <w:szCs w:val="24"/>
        </w:rPr>
        <w:t>1</w:t>
      </w:r>
      <w:r>
        <w:rPr>
          <w:rFonts w:hint="eastAsia" w:ascii="宋体" w:cs="宋体"/>
          <w:szCs w:val="24"/>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74AAEC79">
      <w:pPr>
        <w:ind w:left="-2" w:leftChars="-1"/>
        <w:rPr>
          <w:rFonts w:ascii="宋体" w:cs="宋体"/>
          <w:szCs w:val="24"/>
        </w:rPr>
      </w:pPr>
      <w:r>
        <w:rPr>
          <w:rFonts w:hint="eastAsia" w:ascii="宋体" w:cs="宋体"/>
          <w:szCs w:val="24"/>
        </w:rPr>
        <w:t>1.1</w:t>
      </w:r>
      <w:r>
        <w:rPr>
          <w:rFonts w:ascii="宋体" w:cs="宋体"/>
          <w:szCs w:val="24"/>
        </w:rPr>
        <w:t>2</w:t>
      </w:r>
      <w:r>
        <w:rPr>
          <w:rFonts w:hint="eastAsia" w:ascii="宋体" w:cs="宋体"/>
          <w:szCs w:val="24"/>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0732202A">
      <w:pPr>
        <w:ind w:left="-2" w:leftChars="-1"/>
        <w:rPr>
          <w:rFonts w:ascii="宋体" w:cs="宋体"/>
          <w:szCs w:val="24"/>
        </w:rPr>
      </w:pPr>
      <w:r>
        <w:rPr>
          <w:rFonts w:hint="eastAsia" w:ascii="宋体" w:cs="宋体"/>
          <w:szCs w:val="24"/>
        </w:rPr>
        <w:t>1.1</w:t>
      </w:r>
      <w:r>
        <w:rPr>
          <w:rFonts w:ascii="宋体" w:cs="宋体"/>
          <w:szCs w:val="24"/>
        </w:rPr>
        <w:t>3</w:t>
      </w:r>
      <w:r>
        <w:rPr>
          <w:rFonts w:hint="eastAsia" w:ascii="宋体" w:cs="宋体"/>
          <w:szCs w:val="24"/>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44689D6B">
      <w:pPr>
        <w:ind w:left="-2" w:leftChars="-1"/>
        <w:rPr>
          <w:rFonts w:ascii="宋体" w:cs="宋体"/>
          <w:szCs w:val="24"/>
        </w:rPr>
      </w:pPr>
      <w:r>
        <w:rPr>
          <w:rFonts w:hint="eastAsia" w:ascii="宋体" w:cs="宋体"/>
          <w:szCs w:val="24"/>
        </w:rPr>
        <w:t>1.1</w:t>
      </w:r>
      <w:r>
        <w:rPr>
          <w:rFonts w:ascii="宋体" w:cs="宋体"/>
          <w:szCs w:val="24"/>
        </w:rPr>
        <w:t>4</w:t>
      </w:r>
      <w:r>
        <w:rPr>
          <w:rFonts w:hint="eastAsia" w:ascii="宋体" w:cs="宋体"/>
          <w:szCs w:val="24"/>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76A20825">
      <w:pPr>
        <w:ind w:left="-2" w:leftChars="-1"/>
        <w:rPr>
          <w:rFonts w:ascii="宋体"/>
          <w:szCs w:val="24"/>
        </w:rPr>
      </w:pPr>
      <w:r>
        <w:rPr>
          <w:rFonts w:hint="eastAsia" w:ascii="宋体"/>
          <w:szCs w:val="24"/>
        </w:rPr>
        <w:t>1.1</w:t>
      </w:r>
      <w:r>
        <w:rPr>
          <w:rFonts w:ascii="宋体"/>
          <w:szCs w:val="24"/>
        </w:rPr>
        <w:t>5</w:t>
      </w:r>
      <w:r>
        <w:rPr>
          <w:rFonts w:hint="eastAsia" w:ascii="宋体"/>
          <w:szCs w:val="24"/>
        </w:rPr>
        <w:t>“重大缺陷”：指严重缺陷和致命缺陷。</w:t>
      </w:r>
    </w:p>
    <w:p w14:paraId="74393343">
      <w:pPr>
        <w:ind w:left="-2" w:leftChars="-1"/>
        <w:rPr>
          <w:rFonts w:ascii="宋体"/>
        </w:rPr>
      </w:pPr>
    </w:p>
    <w:p w14:paraId="0E7AB6D2">
      <w:pPr>
        <w:ind w:firstLine="413" w:firstLineChars="196"/>
        <w:outlineLvl w:val="1"/>
        <w:rPr>
          <w:rFonts w:ascii="宋体"/>
          <w:b/>
        </w:rPr>
      </w:pPr>
      <w:bookmarkStart w:id="88" w:name="_Toc84948026"/>
      <w:r>
        <w:rPr>
          <w:rFonts w:hint="eastAsia" w:ascii="宋体"/>
          <w:b/>
        </w:rPr>
        <w:t>第二条</w:t>
      </w:r>
      <w:bookmarkStart w:id="89" w:name="_Toc58337493"/>
      <w:r>
        <w:rPr>
          <w:rFonts w:hint="eastAsia" w:ascii="宋体"/>
          <w:b/>
        </w:rPr>
        <w:t xml:space="preserve"> 项目名称</w:t>
      </w:r>
      <w:r>
        <w:rPr>
          <w:rFonts w:ascii="宋体"/>
          <w:b/>
        </w:rPr>
        <w:t>、</w:t>
      </w:r>
      <w:r>
        <w:rPr>
          <w:rFonts w:hint="eastAsia" w:ascii="宋体"/>
          <w:b/>
        </w:rPr>
        <w:t>内容及要求</w:t>
      </w:r>
      <w:bookmarkEnd w:id="88"/>
      <w:bookmarkEnd w:id="89"/>
    </w:p>
    <w:p w14:paraId="04998223">
      <w:pPr>
        <w:rPr>
          <w:rFonts w:ascii="宋体"/>
        </w:rPr>
      </w:pPr>
      <w:r>
        <w:rPr>
          <w:rFonts w:hint="eastAsia" w:ascii="宋体"/>
        </w:rPr>
        <w:t>2.1项目名称</w:t>
      </w:r>
      <w:r>
        <w:rPr>
          <w:rFonts w:ascii="宋体"/>
        </w:rPr>
        <w:t>：金融产品销售平台代销实物贵金属项目</w:t>
      </w:r>
    </w:p>
    <w:p w14:paraId="1491442C">
      <w:pPr>
        <w:rPr>
          <w:rFonts w:ascii="宋体"/>
        </w:rPr>
      </w:pPr>
      <w:bookmarkStart w:id="90" w:name="_Toc58337494"/>
      <w:r>
        <w:rPr>
          <w:rFonts w:hint="eastAsia" w:ascii="宋体"/>
        </w:rPr>
        <w:t>2.2项目内容</w:t>
      </w:r>
      <w:r>
        <w:rPr>
          <w:rFonts w:ascii="宋体"/>
        </w:rPr>
        <w:t>、</w:t>
      </w:r>
      <w:r>
        <w:rPr>
          <w:rFonts w:hint="eastAsia" w:ascii="宋体"/>
        </w:rPr>
        <w:t>范围及要求</w:t>
      </w:r>
      <w:bookmarkEnd w:id="90"/>
    </w:p>
    <w:p w14:paraId="3011F1CF">
      <w:pPr>
        <w:snapToGrid w:val="0"/>
        <w:rPr>
          <w:rFonts w:ascii="宋体"/>
        </w:rPr>
      </w:pPr>
      <w:r>
        <w:t>为稳步推进财富管理产品体系的建设，向客户提供更多优质服务，计划在</w:t>
      </w:r>
      <w:r>
        <w:rPr>
          <w:rFonts w:hint="eastAsia"/>
        </w:rPr>
        <w:t>“</w:t>
      </w:r>
      <w:r>
        <w:t>金融产品销售平台</w:t>
      </w:r>
      <w:r>
        <w:rPr>
          <w:rFonts w:hint="eastAsia"/>
        </w:rPr>
        <w:t>”</w:t>
      </w:r>
      <w:r>
        <w:t>基础上增加代销实物贵金属子系统，通过手机银行</w:t>
      </w:r>
      <w:r>
        <w:rPr>
          <w:rFonts w:hint="eastAsia"/>
        </w:rPr>
        <w:t>等渠道向客户销售合作公司的</w:t>
      </w:r>
      <w:r>
        <w:t>实物贵金属</w:t>
      </w:r>
      <w:r>
        <w:rPr>
          <w:rFonts w:hint="eastAsia"/>
        </w:rPr>
        <w:t>产品</w:t>
      </w:r>
      <w:r>
        <w:rPr>
          <w:rFonts w:hint="eastAsia" w:ascii="宋体"/>
        </w:rPr>
        <w:t>。</w:t>
      </w:r>
    </w:p>
    <w:p w14:paraId="4300ACFD">
      <w:pPr>
        <w:snapToGrid w:val="0"/>
        <w:rPr>
          <w:rFonts w:ascii="宋体"/>
          <w:i/>
        </w:rPr>
      </w:pPr>
      <w:r>
        <w:rPr>
          <w:rFonts w:hint="eastAsia" w:ascii="宋体"/>
        </w:rPr>
        <w:t>详细内容参考附件一《工作（需求）说明书》，最终以附件一中双方约定的内容为准。</w:t>
      </w:r>
    </w:p>
    <w:p w14:paraId="78B118A0">
      <w:pPr>
        <w:snapToGrid w:val="0"/>
        <w:rPr>
          <w:rFonts w:ascii="宋体"/>
        </w:rPr>
      </w:pPr>
      <w:bookmarkStart w:id="91" w:name="_Toc58337495"/>
      <w:r>
        <w:rPr>
          <w:rFonts w:hint="eastAsia" w:ascii="宋体"/>
        </w:rPr>
        <w:t>2.3技术指标和质量要求</w:t>
      </w:r>
      <w:bookmarkEnd w:id="91"/>
      <w:r>
        <w:rPr>
          <w:rFonts w:hint="eastAsia" w:ascii="宋体"/>
        </w:rPr>
        <w:t>。</w:t>
      </w:r>
    </w:p>
    <w:p w14:paraId="3DCFB06D">
      <w:pPr>
        <w:snapToGrid w:val="0"/>
        <w:rPr>
          <w:rFonts w:ascii="宋体"/>
        </w:rPr>
      </w:pPr>
      <w:r>
        <w:rPr>
          <w:rFonts w:hint="eastAsia" w:ascii="宋体"/>
        </w:rPr>
        <w:t>见附件一、附件四。</w:t>
      </w:r>
    </w:p>
    <w:p w14:paraId="6F5D6780">
      <w:pPr>
        <w:snapToGrid w:val="0"/>
        <w:rPr>
          <w:rFonts w:ascii="宋体"/>
        </w:rPr>
      </w:pPr>
      <w:bookmarkStart w:id="92" w:name="_Toc58337496"/>
      <w:r>
        <w:rPr>
          <w:rFonts w:hint="eastAsia" w:ascii="宋体"/>
        </w:rPr>
        <w:t>2.4应当遵循的标准和规范</w:t>
      </w:r>
      <w:bookmarkEnd w:id="92"/>
      <w:r>
        <w:rPr>
          <w:rFonts w:hint="eastAsia" w:ascii="宋体"/>
        </w:rPr>
        <w:t>。</w:t>
      </w:r>
    </w:p>
    <w:p w14:paraId="7FAE26E9">
      <w:pPr>
        <w:snapToGrid w:val="0"/>
        <w:ind w:firstLine="420" w:firstLineChars="0"/>
        <w:rPr>
          <w:rFonts w:ascii="宋体"/>
        </w:rPr>
      </w:pPr>
      <w:r>
        <w:rPr>
          <w:rFonts w:hint="eastAsia" w:ascii="宋体"/>
        </w:rPr>
        <w:t>乙方交付的</w:t>
      </w:r>
      <w:r>
        <w:rPr>
          <w:rFonts w:ascii="宋体"/>
        </w:rPr>
        <w:t>代销实物贵金属系统</w:t>
      </w:r>
      <w:r>
        <w:rPr>
          <w:rFonts w:hint="eastAsia" w:ascii="宋体"/>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0817D268">
      <w:pPr>
        <w:snapToGrid w:val="0"/>
        <w:ind w:firstLine="420" w:firstLineChars="0"/>
        <w:rPr>
          <w:rFonts w:ascii="宋体"/>
        </w:rPr>
      </w:pPr>
    </w:p>
    <w:p w14:paraId="54FB6BF5">
      <w:pPr>
        <w:ind w:firstLine="413" w:firstLineChars="196"/>
        <w:outlineLvl w:val="1"/>
        <w:rPr>
          <w:rFonts w:ascii="宋体"/>
          <w:b/>
        </w:rPr>
      </w:pPr>
      <w:bookmarkStart w:id="93" w:name="_Toc84948027"/>
      <w:r>
        <w:rPr>
          <w:rFonts w:hint="eastAsia" w:ascii="宋体"/>
          <w:b/>
        </w:rPr>
        <w:t>第三条 项目履行的进度、期限、地点、地域、方式</w:t>
      </w:r>
      <w:bookmarkEnd w:id="93"/>
    </w:p>
    <w:p w14:paraId="602EB897">
      <w:pPr>
        <w:rPr>
          <w:rFonts w:ascii="宋体"/>
        </w:rPr>
      </w:pPr>
      <w:r>
        <w:rPr>
          <w:rFonts w:hint="eastAsia" w:ascii="宋体"/>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kern w:val="0"/>
        </w:rPr>
        <w:t>替换人员技术水平或级别需不低于</w:t>
      </w:r>
      <w:r>
        <w:rPr>
          <w:rFonts w:hint="eastAsia" w:ascii="宋体"/>
        </w:rPr>
        <w:t>被替换的人员</w:t>
      </w:r>
      <w:r>
        <w:rPr>
          <w:rFonts w:hint="eastAsia" w:ascii="宋体"/>
          <w:kern w:val="0"/>
        </w:rPr>
        <w:t>水平或级别</w:t>
      </w:r>
      <w:r>
        <w:rPr>
          <w:rFonts w:hint="eastAsia" w:ascii="宋体"/>
        </w:rPr>
        <w:t>，并需通过甲方考察并取得甲方同意，否则甲方有权要求更换。</w:t>
      </w:r>
    </w:p>
    <w:p w14:paraId="5B4FE0A7">
      <w:pPr>
        <w:rPr>
          <w:rFonts w:ascii="宋体"/>
        </w:rPr>
      </w:pPr>
      <w:r>
        <w:rPr>
          <w:rFonts w:hint="eastAsia" w:ascii="宋体"/>
        </w:rPr>
        <w:t>3.2进度：乙方应严格按照3.3所列示的期限完成项目实施任务。</w:t>
      </w:r>
    </w:p>
    <w:p w14:paraId="49D5BAA4">
      <w:pPr>
        <w:rPr>
          <w:rFonts w:ascii="宋体"/>
        </w:rPr>
      </w:pPr>
      <w:r>
        <w:rPr>
          <w:rFonts w:hint="eastAsia" w:ascii="宋体"/>
        </w:rPr>
        <w:t>3.3期限：上线时间为    年    月     日</w:t>
      </w:r>
      <w:r>
        <w:rPr>
          <w:rFonts w:ascii="宋体"/>
        </w:rPr>
        <w:t>前</w:t>
      </w:r>
      <w:r>
        <w:rPr>
          <w:rFonts w:hint="eastAsia" w:ascii="宋体"/>
        </w:rPr>
        <w:t>。</w:t>
      </w:r>
    </w:p>
    <w:p w14:paraId="0A95B6CD">
      <w:pPr>
        <w:rPr>
          <w:rFonts w:ascii="宋体"/>
        </w:rPr>
      </w:pPr>
      <w:r>
        <w:rPr>
          <w:rFonts w:hint="eastAsia" w:ascii="宋体"/>
        </w:rPr>
        <w:t>3.4地点：乙方完成项目实施工作的地点为：</w:t>
      </w:r>
      <w:r>
        <w:rPr>
          <w:rFonts w:hint="eastAsia" w:ascii="宋体"/>
          <w:u w:val="single"/>
        </w:rPr>
        <w:t>重庆</w:t>
      </w:r>
      <w:r>
        <w:rPr>
          <w:rFonts w:hint="eastAsia" w:ascii="宋体"/>
        </w:rPr>
        <w:t>；【驻场/远程】实施。</w:t>
      </w:r>
    </w:p>
    <w:p w14:paraId="4EA79115">
      <w:pPr>
        <w:rPr>
          <w:rFonts w:ascii="宋体"/>
        </w:rPr>
      </w:pPr>
      <w:r>
        <w:rPr>
          <w:rFonts w:hint="eastAsia" w:ascii="宋体"/>
        </w:rPr>
        <w:t>3.5地域：本项目适用机构所在地域包括：</w:t>
      </w:r>
      <w:r>
        <w:rPr>
          <w:rFonts w:hint="eastAsia" w:ascii="宋体"/>
          <w:u w:val="single"/>
        </w:rPr>
        <w:t>重庆三峡银行总行各部门及辖内各经营机构</w:t>
      </w:r>
      <w:r>
        <w:rPr>
          <w:rFonts w:hint="eastAsia" w:ascii="宋体"/>
        </w:rPr>
        <w:t>。</w:t>
      </w:r>
    </w:p>
    <w:p w14:paraId="4D44467A">
      <w:pPr>
        <w:rPr>
          <w:rFonts w:ascii="宋体"/>
        </w:rPr>
      </w:pPr>
      <w:r>
        <w:rPr>
          <w:rFonts w:hint="eastAsia" w:ascii="宋体"/>
        </w:rPr>
        <w:t>3.6方式：</w:t>
      </w:r>
    </w:p>
    <w:p w14:paraId="613D3C4E">
      <w:pPr>
        <w:rPr>
          <w:rFonts w:ascii="宋体"/>
        </w:rPr>
      </w:pPr>
      <w:r>
        <w:rPr>
          <w:rFonts w:hint="eastAsia" w:ascii="宋体"/>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457BD662">
      <w:pPr>
        <w:rPr>
          <w:rFonts w:ascii="宋体"/>
        </w:rPr>
      </w:pPr>
      <w:r>
        <w:rPr>
          <w:rFonts w:hint="eastAsia" w:ascii="宋体"/>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423C9C7D">
      <w:pPr>
        <w:rPr>
          <w:rFonts w:ascii="宋体"/>
        </w:rPr>
      </w:pPr>
    </w:p>
    <w:p w14:paraId="63668E8E">
      <w:pPr>
        <w:ind w:firstLine="413" w:firstLineChars="196"/>
        <w:outlineLvl w:val="1"/>
      </w:pPr>
      <w:bookmarkStart w:id="94" w:name="_Toc84948028"/>
      <w:r>
        <w:rPr>
          <w:rFonts w:hint="eastAsia" w:ascii="宋体"/>
          <w:b/>
        </w:rPr>
        <w:t>第四条 方案调整</w:t>
      </w:r>
      <w:bookmarkEnd w:id="94"/>
    </w:p>
    <w:p w14:paraId="08979E73">
      <w:pPr>
        <w:rPr>
          <w:rFonts w:ascii="宋体"/>
        </w:rPr>
      </w:pPr>
      <w:r>
        <w:rPr>
          <w:rStyle w:val="47"/>
          <w:rFonts w:hint="eastAsia" w:ascii="宋体" w:hAnsi="宋体"/>
          <w:kern w:val="0"/>
        </w:rPr>
        <w:t>4.1因甲方原因提出导致增加【 】∕人∕月以上工作量的需求变更，</w:t>
      </w:r>
      <w:r>
        <w:rPr>
          <w:rFonts w:hint="eastAsia" w:ascii="宋体"/>
        </w:rPr>
        <w:t>须通知乙方并由乙方确认</w:t>
      </w:r>
      <w:r>
        <w:rPr>
          <w:rStyle w:val="47"/>
          <w:rFonts w:hint="eastAsia" w:ascii="宋体" w:hAnsi="宋体"/>
          <w:kern w:val="0"/>
        </w:rPr>
        <w:t>，对此</w:t>
      </w:r>
      <w:r>
        <w:rPr>
          <w:rFonts w:hint="eastAsia" w:ascii="宋体"/>
        </w:rPr>
        <w:t>变更给乙方带来的额外劳动部分甲乙双方协商解决，由此变更导致项目进度延期不构成违约。但4.2款确认的，由乙方原因引起的工作量，甲方无需承担任何费用。</w:t>
      </w:r>
    </w:p>
    <w:p w14:paraId="1E6DDA5D">
      <w:pPr>
        <w:rPr>
          <w:rFonts w:ascii="宋体"/>
        </w:rPr>
      </w:pPr>
      <w:r>
        <w:rPr>
          <w:rFonts w:hint="eastAsia" w:ascii="宋体"/>
        </w:rPr>
        <w:t>4.2 方案一经双方确认，任何一方有方案调整意见，均需与对方签字确认。</w:t>
      </w:r>
    </w:p>
    <w:p w14:paraId="2FEDDE5F">
      <w:pPr>
        <w:rPr>
          <w:rFonts w:ascii="宋体"/>
        </w:rPr>
      </w:pPr>
    </w:p>
    <w:p w14:paraId="64810976">
      <w:pPr>
        <w:ind w:firstLine="413" w:firstLineChars="196"/>
        <w:outlineLvl w:val="1"/>
        <w:rPr>
          <w:rFonts w:ascii="宋体"/>
          <w:b/>
        </w:rPr>
      </w:pPr>
      <w:bookmarkStart w:id="95" w:name="_Toc84948029"/>
      <w:r>
        <w:rPr>
          <w:rFonts w:hint="eastAsia" w:ascii="宋体"/>
          <w:b/>
        </w:rPr>
        <w:t>第五条 验收</w:t>
      </w:r>
      <w:bookmarkEnd w:id="95"/>
    </w:p>
    <w:p w14:paraId="102BC70E">
      <w:pPr>
        <w:pStyle w:val="12"/>
        <w:spacing w:before="50"/>
        <w:ind w:left="0" w:leftChars="0"/>
        <w:rPr>
          <w:rFonts w:ascii="宋体"/>
          <w:kern w:val="0"/>
        </w:rPr>
      </w:pPr>
      <w:r>
        <w:rPr>
          <w:rFonts w:hint="eastAsia" w:ascii="宋体"/>
          <w:kern w:val="0"/>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w:t>
      </w:r>
      <w:r>
        <w:rPr>
          <w:rFonts w:hint="eastAsia" w:ascii="宋体"/>
          <w:bCs/>
          <w:kern w:val="0"/>
        </w:rPr>
        <w:t>本合同中的系统出现的任何问题，乙方应及时解决，保证试运行期间的稳定运行；试运行期间若出现</w:t>
      </w:r>
      <w:r>
        <w:rPr>
          <w:rFonts w:hint="eastAsia" w:ascii="宋体" w:cs="宋体"/>
          <w:bCs/>
          <w:kern w:val="0"/>
        </w:rPr>
        <w:t>较大运营中断事件（III级）及以上，乙方应予以立即解决，从出现中断事件至排除故障或解决问题期间的时间不计入试运行期，系统验收时间向后顺延。</w:t>
      </w:r>
      <w:r>
        <w:rPr>
          <w:rFonts w:hint="eastAsia" w:ascii="宋体"/>
          <w:kern w:val="0"/>
        </w:rPr>
        <w:t>在符合甲方项目预期目标且试运行满</w:t>
      </w:r>
      <w:r>
        <w:rPr>
          <w:rFonts w:hint="eastAsia" w:ascii="宋体"/>
          <w:kern w:val="0"/>
          <w:u w:val="single"/>
        </w:rPr>
        <w:t>三个月</w:t>
      </w:r>
      <w:r>
        <w:rPr>
          <w:rFonts w:hint="eastAsia" w:ascii="宋体"/>
          <w:kern w:val="0"/>
        </w:rPr>
        <w:t>后，由甲方按照合同约定进行正式验收，验收通过后签署验收表或验收报告。</w:t>
      </w:r>
    </w:p>
    <w:p w14:paraId="73AF4FC4">
      <w:pPr>
        <w:pStyle w:val="12"/>
        <w:spacing w:before="50"/>
        <w:ind w:left="0" w:leftChars="0"/>
        <w:rPr>
          <w:rFonts w:ascii="宋体"/>
          <w:kern w:val="0"/>
        </w:rPr>
      </w:pPr>
      <w:r>
        <w:rPr>
          <w:rFonts w:hint="eastAsia" w:ascii="宋体"/>
          <w:kern w:val="0"/>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6CFCC2D8">
      <w:pPr>
        <w:pStyle w:val="12"/>
        <w:spacing w:before="50"/>
        <w:ind w:left="0" w:leftChars="0"/>
        <w:rPr>
          <w:rStyle w:val="47"/>
          <w:rFonts w:ascii="宋体" w:hAnsi="宋体"/>
          <w:kern w:val="0"/>
        </w:rPr>
      </w:pPr>
    </w:p>
    <w:p w14:paraId="07E41826">
      <w:pPr>
        <w:ind w:firstLine="413" w:firstLineChars="196"/>
        <w:outlineLvl w:val="1"/>
        <w:rPr>
          <w:rFonts w:ascii="宋体"/>
          <w:b/>
        </w:rPr>
      </w:pPr>
      <w:bookmarkStart w:id="96" w:name="_Toc84948030"/>
      <w:r>
        <w:rPr>
          <w:rFonts w:hint="eastAsia" w:ascii="宋体"/>
          <w:b/>
        </w:rPr>
        <w:t>第六条 交付使用后维护期、系统完善和保修维护服务</w:t>
      </w:r>
      <w:bookmarkEnd w:id="96"/>
    </w:p>
    <w:p w14:paraId="269704DA">
      <w:pPr>
        <w:tabs>
          <w:tab w:val="left" w:pos="851"/>
        </w:tabs>
        <w:rPr>
          <w:rFonts w:ascii="宋体"/>
        </w:rPr>
      </w:pPr>
      <w:r>
        <w:rPr>
          <w:rFonts w:hint="eastAsia" w:ascii="宋体"/>
        </w:rPr>
        <w:t>6.1本合同金额包含【</w:t>
      </w:r>
      <w:r>
        <w:rPr>
          <w:rFonts w:ascii="宋体"/>
        </w:rPr>
        <w:t>1</w:t>
      </w:r>
      <w:r>
        <w:rPr>
          <w:rFonts w:hint="eastAsia" w:ascii="宋体"/>
        </w:rPr>
        <w:t>】年维护，维护期为自本产品</w:t>
      </w:r>
      <w:r>
        <w:rPr>
          <w:rFonts w:hint="eastAsia" w:ascii="宋体"/>
          <w:kern w:val="0"/>
        </w:rPr>
        <w:t>正式</w:t>
      </w:r>
      <w:r>
        <w:rPr>
          <w:rFonts w:hint="eastAsia" w:ascii="宋体"/>
        </w:rPr>
        <w:t>验收合格后次日至次年并延期至6月30日或12月31日中较近日期（即维保延期最长不超过半年）。</w:t>
      </w:r>
    </w:p>
    <w:p w14:paraId="40B10E24">
      <w:pPr>
        <w:tabs>
          <w:tab w:val="left" w:pos="851"/>
        </w:tabs>
        <w:rPr>
          <w:rFonts w:ascii="宋体"/>
        </w:rPr>
      </w:pPr>
      <w:r>
        <w:rPr>
          <w:rFonts w:hint="eastAsia" w:ascii="宋体"/>
        </w:rPr>
        <w:t>6.2本合同产品的有偿技术服务期为本合同</w:t>
      </w:r>
      <w:r>
        <w:rPr>
          <w:rFonts w:ascii="宋体"/>
        </w:rPr>
        <w:t>第</w:t>
      </w:r>
      <w:r>
        <w:rPr>
          <w:rFonts w:hint="eastAsia" w:ascii="宋体"/>
        </w:rPr>
        <w:t>6.1条</w:t>
      </w:r>
      <w:r>
        <w:rPr>
          <w:rFonts w:ascii="宋体"/>
        </w:rPr>
        <w:t>约定的</w:t>
      </w:r>
      <w:r>
        <w:rPr>
          <w:rFonts w:hint="eastAsia" w:ascii="宋体"/>
        </w:rPr>
        <w:t>维护期到期之日起</w:t>
      </w:r>
      <w:r>
        <w:rPr>
          <w:rFonts w:hint="eastAsia" w:ascii="宋体"/>
          <w:u w:val="single"/>
        </w:rPr>
        <w:t>10</w:t>
      </w:r>
      <w:r>
        <w:rPr>
          <w:rFonts w:hint="eastAsia" w:ascii="宋体"/>
        </w:rPr>
        <w:t>年。本项目产品服务期内（包括本合同</w:t>
      </w:r>
      <w:r>
        <w:rPr>
          <w:rFonts w:ascii="宋体"/>
        </w:rPr>
        <w:t>第</w:t>
      </w:r>
      <w:r>
        <w:rPr>
          <w:rFonts w:hint="eastAsia" w:ascii="宋体"/>
        </w:rPr>
        <w:t>6.1条</w:t>
      </w:r>
      <w:r>
        <w:rPr>
          <w:rFonts w:ascii="宋体"/>
        </w:rPr>
        <w:t>约定的</w:t>
      </w:r>
      <w:r>
        <w:rPr>
          <w:rFonts w:hint="eastAsia" w:ascii="宋体"/>
        </w:rPr>
        <w:t>维护期与有偿技术服务期）如甲方对照附件一发现项目存在技术缺陷和隐蔽瑕疵，乙方应负责予以解决并应承担相应法律责任。</w:t>
      </w:r>
    </w:p>
    <w:p w14:paraId="6BA414F1">
      <w:pPr>
        <w:rPr>
          <w:rFonts w:ascii="宋体"/>
        </w:rPr>
      </w:pPr>
      <w:r>
        <w:rPr>
          <w:rFonts w:hint="eastAsia" w:ascii="宋体"/>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420F079B">
      <w:pPr>
        <w:rPr>
          <w:rFonts w:ascii="宋体"/>
        </w:rPr>
      </w:pPr>
      <w:r>
        <w:rPr>
          <w:rFonts w:hint="eastAsia" w:ascii="宋体"/>
        </w:rPr>
        <w:t>6.4 维护服务期内（包括本合同</w:t>
      </w:r>
      <w:r>
        <w:rPr>
          <w:rFonts w:ascii="宋体"/>
        </w:rPr>
        <w:t>第</w:t>
      </w:r>
      <w:r>
        <w:rPr>
          <w:rFonts w:hint="eastAsia" w:ascii="宋体"/>
        </w:rPr>
        <w:t>6.1条</w:t>
      </w:r>
      <w:r>
        <w:rPr>
          <w:rFonts w:ascii="宋体"/>
        </w:rPr>
        <w:t>约定的</w:t>
      </w:r>
      <w:r>
        <w:rPr>
          <w:rFonts w:hint="eastAsia" w:ascii="宋体"/>
        </w:rPr>
        <w:t>维护期与有偿技术服务期）的服务内容和服务方式详见附件四《维护服务条款》。</w:t>
      </w:r>
    </w:p>
    <w:p w14:paraId="28E31CEC">
      <w:pPr>
        <w:rPr>
          <w:rFonts w:ascii="宋体"/>
        </w:rPr>
      </w:pPr>
      <w:r>
        <w:rPr>
          <w:rFonts w:hint="eastAsia" w:ascii="宋体"/>
        </w:rPr>
        <w:t>6.5上述服务，不包括由下列事件引起的故障：</w:t>
      </w:r>
    </w:p>
    <w:p w14:paraId="04844DBB">
      <w:pPr>
        <w:rPr>
          <w:rFonts w:ascii="宋体"/>
        </w:rPr>
      </w:pPr>
      <w:r>
        <w:rPr>
          <w:rFonts w:hint="eastAsia" w:ascii="宋体"/>
        </w:rPr>
        <w:t>6.5.1 未能为系统提供适当的外部环境-如必要的系统环境、必要的管理体系、未能按照乙方要求配备资源等。</w:t>
      </w:r>
    </w:p>
    <w:p w14:paraId="2BE9D717">
      <w:pPr>
        <w:rPr>
          <w:rFonts w:ascii="宋体"/>
        </w:rPr>
      </w:pPr>
      <w:r>
        <w:rPr>
          <w:rFonts w:hint="eastAsia" w:ascii="宋体"/>
        </w:rPr>
        <w:t>6.5.2 使用并非由乙方提供的产品或服务。</w:t>
      </w:r>
    </w:p>
    <w:p w14:paraId="0A12AFC0">
      <w:pPr>
        <w:rPr>
          <w:rFonts w:ascii="宋体"/>
        </w:rPr>
      </w:pPr>
      <w:r>
        <w:rPr>
          <w:rFonts w:hint="eastAsia" w:ascii="宋体"/>
        </w:rPr>
        <w:t>6.6在本合同第6.1条约定的维护期内，如甲方发现交付的项目、产品与双方最终签字确认的需求不符，尽管已经验收，但乙方仍具有立即纠正不符之处的责任。如乙方在收到甲方不符通知后</w:t>
      </w:r>
      <w:r>
        <w:rPr>
          <w:rFonts w:hint="eastAsia" w:ascii="宋体"/>
          <w:u w:val="single"/>
        </w:rPr>
        <w:t xml:space="preserve"> 3 </w:t>
      </w:r>
      <w:r>
        <w:rPr>
          <w:rFonts w:hint="eastAsia" w:ascii="宋体"/>
        </w:rPr>
        <w:t>日内不到甲方现场进行检修，或在收到甲方通知后</w:t>
      </w:r>
      <w:r>
        <w:rPr>
          <w:rFonts w:hint="eastAsia" w:ascii="宋体"/>
          <w:u w:val="single"/>
        </w:rPr>
        <w:t xml:space="preserve"> 10 </w:t>
      </w:r>
      <w:r>
        <w:rPr>
          <w:rFonts w:hint="eastAsia" w:ascii="宋体"/>
        </w:rPr>
        <w:t>日内仍不能纠正不符之处的，甲方有权采取其他措施（包括聘请第三方替代履行）以减少损失，由此产生的费用及相关损失由乙方负责。乙方承</w:t>
      </w:r>
    </w:p>
    <w:p w14:paraId="48C7F959">
      <w:pPr>
        <w:rPr>
          <w:rFonts w:ascii="宋体"/>
        </w:rPr>
      </w:pPr>
      <w:r>
        <w:rPr>
          <w:rFonts w:hint="eastAsia" w:ascii="宋体"/>
        </w:rPr>
        <w:t>诺，甲方采取上述措施不必征得乙方事先同意，且不构成对乙方的任何侵权。</w:t>
      </w:r>
    </w:p>
    <w:p w14:paraId="55509864">
      <w:pPr>
        <w:rPr>
          <w:rFonts w:ascii="宋体"/>
        </w:rPr>
      </w:pPr>
      <w:r>
        <w:rPr>
          <w:rFonts w:hint="eastAsia" w:ascii="宋体"/>
        </w:rPr>
        <w:t>6</w:t>
      </w:r>
      <w:r>
        <w:rPr>
          <w:rStyle w:val="47"/>
          <w:rFonts w:hint="eastAsia" w:ascii="宋体" w:hAnsi="宋体"/>
          <w:kern w:val="0"/>
        </w:rPr>
        <w:t xml:space="preserve">.7 </w:t>
      </w:r>
      <w:r>
        <w:rPr>
          <w:rFonts w:hint="eastAsia" w:ascii="宋体"/>
        </w:rPr>
        <w:t>本合同</w:t>
      </w:r>
      <w:r>
        <w:rPr>
          <w:rFonts w:ascii="宋体"/>
        </w:rPr>
        <w:t>第</w:t>
      </w:r>
      <w:r>
        <w:rPr>
          <w:rFonts w:hint="eastAsia" w:ascii="宋体"/>
        </w:rPr>
        <w:t>6.1条</w:t>
      </w:r>
      <w:r>
        <w:rPr>
          <w:rFonts w:ascii="宋体"/>
        </w:rPr>
        <w:t>约定的</w:t>
      </w:r>
      <w:r>
        <w:rPr>
          <w:rFonts w:hint="eastAsia" w:ascii="宋体"/>
        </w:rPr>
        <w:t>维护期结束后的</w:t>
      </w:r>
      <w:r>
        <w:rPr>
          <w:rFonts w:hint="eastAsia" w:ascii="宋体"/>
          <w:u w:val="single"/>
        </w:rPr>
        <w:t>10年</w:t>
      </w:r>
      <w:r>
        <w:rPr>
          <w:rFonts w:hint="eastAsia" w:ascii="宋体"/>
        </w:rPr>
        <w:t>有偿技术服务期内，</w:t>
      </w:r>
      <w:r>
        <w:rPr>
          <w:rStyle w:val="47"/>
          <w:rFonts w:hint="eastAsia" w:ascii="宋体" w:hAnsi="宋体"/>
          <w:kern w:val="0"/>
        </w:rPr>
        <w:t>如</w:t>
      </w:r>
      <w:r>
        <w:rPr>
          <w:rFonts w:hint="eastAsia" w:ascii="宋体"/>
        </w:rPr>
        <w:t>甲方需要乙方提供维护服务,乙方应予提供。双方确认，甲方有权选择是否购买维护，乙方无权要求甲方对未使用维护服务的期间支付费用。</w:t>
      </w:r>
    </w:p>
    <w:p w14:paraId="5DF2E4C7">
      <w:pPr>
        <w:rPr>
          <w:rFonts w:ascii="宋体"/>
        </w:rPr>
      </w:pPr>
      <w:r>
        <w:rPr>
          <w:rFonts w:hint="eastAsia" w:ascii="宋体"/>
        </w:rPr>
        <w:t>6.</w:t>
      </w:r>
      <w:r>
        <w:rPr>
          <w:rFonts w:ascii="宋体"/>
        </w:rPr>
        <w:t xml:space="preserve">8 </w:t>
      </w:r>
      <w:r>
        <w:rPr>
          <w:rFonts w:hint="eastAsia" w:ascii="宋体"/>
        </w:rPr>
        <w:t>本合同并非维护期结束后的维护服务合同，有偿技术服务的合同由双方另行签订。</w:t>
      </w:r>
    </w:p>
    <w:p w14:paraId="6A6DAFD5">
      <w:pPr>
        <w:rPr>
          <w:rFonts w:ascii="宋体"/>
        </w:rPr>
      </w:pPr>
    </w:p>
    <w:p w14:paraId="2A8B3952">
      <w:pPr>
        <w:ind w:firstLine="413" w:firstLineChars="196"/>
        <w:outlineLvl w:val="1"/>
        <w:rPr>
          <w:rFonts w:ascii="宋体"/>
          <w:b/>
        </w:rPr>
      </w:pPr>
      <w:bookmarkStart w:id="97" w:name="_Toc84948031"/>
      <w:r>
        <w:rPr>
          <w:rFonts w:hint="eastAsia" w:ascii="宋体"/>
          <w:b/>
        </w:rPr>
        <w:t>第七条 技术辅导与培训</w:t>
      </w:r>
      <w:bookmarkEnd w:id="97"/>
    </w:p>
    <w:p w14:paraId="28A4B42E">
      <w:pPr>
        <w:pStyle w:val="15"/>
        <w:spacing w:before="50"/>
        <w:ind w:firstLine="560" w:firstLineChars="0"/>
        <w:rPr>
          <w:rFonts w:ascii="宋体"/>
        </w:rPr>
      </w:pPr>
      <w:r>
        <w:rPr>
          <w:rFonts w:hint="eastAsia" w:ascii="宋体"/>
        </w:rPr>
        <w:t>乙方应负责向甲方提供技术辅导与培训，以使甲方人员熟练掌握该项目产品的应用和日常维护。培训内容包括：XXXXXXX</w:t>
      </w:r>
    </w:p>
    <w:p w14:paraId="5B6B7BFD">
      <w:pPr>
        <w:pStyle w:val="15"/>
        <w:spacing w:before="50"/>
        <w:rPr>
          <w:rFonts w:ascii="宋体"/>
        </w:rPr>
      </w:pPr>
      <w:r>
        <w:rPr>
          <w:rFonts w:hint="eastAsia" w:ascii="宋体"/>
        </w:rPr>
        <w:t>具体培训内容由双方共同商定，并由甲方项目经理签字确认。</w:t>
      </w:r>
    </w:p>
    <w:p w14:paraId="638E301B">
      <w:pPr>
        <w:pStyle w:val="15"/>
        <w:spacing w:before="50"/>
        <w:rPr>
          <w:rFonts w:ascii="宋体"/>
        </w:rPr>
      </w:pPr>
    </w:p>
    <w:p w14:paraId="73038459">
      <w:pPr>
        <w:ind w:firstLine="413" w:firstLineChars="196"/>
        <w:outlineLvl w:val="1"/>
        <w:rPr>
          <w:rFonts w:ascii="宋体"/>
          <w:b/>
        </w:rPr>
      </w:pPr>
      <w:bookmarkStart w:id="98" w:name="_Toc84948032"/>
      <w:r>
        <w:rPr>
          <w:rFonts w:hint="eastAsia" w:ascii="宋体"/>
          <w:b/>
        </w:rPr>
        <w:t>第八条 双方的权利、义务</w:t>
      </w:r>
      <w:bookmarkEnd w:id="98"/>
    </w:p>
    <w:p w14:paraId="1CFA25BC">
      <w:pPr>
        <w:rPr>
          <w:rFonts w:ascii="宋体"/>
        </w:rPr>
      </w:pPr>
      <w:r>
        <w:rPr>
          <w:rFonts w:hint="eastAsia" w:ascii="宋体"/>
        </w:rPr>
        <w:t>8.1除本合同其他条款外，甲方应承担如下义务：</w:t>
      </w:r>
    </w:p>
    <w:p w14:paraId="23D80C6A">
      <w:pPr>
        <w:rPr>
          <w:rFonts w:ascii="宋体"/>
        </w:rPr>
      </w:pPr>
      <w:r>
        <w:rPr>
          <w:rFonts w:hint="eastAsia" w:ascii="宋体"/>
        </w:rPr>
        <w:t>8.1.1 按照本合同第十三条的规定向乙方支付报酬。</w:t>
      </w:r>
    </w:p>
    <w:p w14:paraId="3DA111A5">
      <w:pPr>
        <w:rPr>
          <w:rFonts w:ascii="宋体"/>
        </w:rPr>
      </w:pPr>
      <w:r>
        <w:rPr>
          <w:rFonts w:hint="eastAsia" w:ascii="宋体"/>
        </w:rPr>
        <w:t>8.1.2 向乙方提供本合同约定的业务协作：如参与各方的资源协调与进度管理、商务保障、项目环境保障等，确保参与各方按期、按质协同工作。</w:t>
      </w:r>
    </w:p>
    <w:p w14:paraId="2C574655">
      <w:pPr>
        <w:rPr>
          <w:rFonts w:ascii="宋体"/>
        </w:rPr>
      </w:pPr>
      <w:r>
        <w:rPr>
          <w:rFonts w:hint="eastAsia" w:ascii="宋体"/>
        </w:rPr>
        <w:t>8.1.3 指派一名项目主要负责人参加甲、乙双方为本项目召开的会议并协调相关工作和签署有关文件。</w:t>
      </w:r>
    </w:p>
    <w:p w14:paraId="3A5A1D0A">
      <w:pPr>
        <w:rPr>
          <w:rFonts w:ascii="宋体"/>
        </w:rPr>
      </w:pPr>
      <w:r>
        <w:rPr>
          <w:rFonts w:hint="eastAsia" w:ascii="宋体"/>
        </w:rPr>
        <w:t>8.1.4 甲方为乙方解决现场人员正常开展工作的开发测试系统环境和场地。</w:t>
      </w:r>
    </w:p>
    <w:p w14:paraId="259FCDD6">
      <w:pPr>
        <w:rPr>
          <w:rFonts w:ascii="宋体"/>
        </w:rPr>
      </w:pPr>
      <w:r>
        <w:rPr>
          <w:rFonts w:hint="eastAsia" w:ascii="宋体"/>
        </w:rPr>
        <w:t>8.2除本合同其他条款外，乙方应承担如下义务：</w:t>
      </w:r>
    </w:p>
    <w:p w14:paraId="06F6B955">
      <w:pPr>
        <w:pStyle w:val="13"/>
        <w:tabs>
          <w:tab w:val="left" w:pos="0"/>
        </w:tabs>
        <w:ind w:left="-2" w:leftChars="-1"/>
        <w:jc w:val="left"/>
        <w:rPr>
          <w:sz w:val="24"/>
        </w:rPr>
      </w:pPr>
      <w:r>
        <w:rPr>
          <w:sz w:val="24"/>
        </w:rPr>
        <w:t>8.2.1 遵守法律法规及银行业金融机构内部管理制度</w:t>
      </w:r>
      <w:r>
        <w:rPr>
          <w:rFonts w:hint="eastAsia"/>
          <w:sz w:val="24"/>
        </w:rPr>
        <w:t>及规定</w:t>
      </w:r>
      <w:r>
        <w:rPr>
          <w:sz w:val="24"/>
        </w:rPr>
        <w:t>，贯彻执行相关监管政策。</w:t>
      </w:r>
    </w:p>
    <w:p w14:paraId="09D6E42A">
      <w:pPr>
        <w:rPr>
          <w:rFonts w:ascii="宋体"/>
        </w:rPr>
      </w:pPr>
      <w:r>
        <w:rPr>
          <w:rFonts w:hint="eastAsia" w:ascii="宋体"/>
        </w:rPr>
        <w:t>8.2.2 按照本合同附件一的要求，采取一切必要的措施完成实施任务，保证项目的功能满足本项目需求，并确保在实施过程中严格执行版本过程化管理，配合甲方《软件研发项目实施细则》提供交付物</w:t>
      </w:r>
    </w:p>
    <w:p w14:paraId="321F4C74">
      <w:pPr>
        <w:rPr>
          <w:rFonts w:ascii="宋体"/>
        </w:rPr>
      </w:pPr>
      <w:r>
        <w:rPr>
          <w:rFonts w:hint="eastAsia" w:ascii="宋体"/>
        </w:rPr>
        <w:t>8.2.3 负责在甲方的环境内安装并调试实施项目。</w:t>
      </w:r>
    </w:p>
    <w:p w14:paraId="423B5B7D">
      <w:pPr>
        <w:rPr>
          <w:rFonts w:ascii="宋体"/>
        </w:rPr>
      </w:pPr>
      <w:r>
        <w:rPr>
          <w:rFonts w:hint="eastAsia" w:ascii="宋体"/>
        </w:rPr>
        <w:t>8.2.4 指派一名项目主要负责人参加甲、乙双方为本项目召开的会议并协调相关工作和签署有关文件。</w:t>
      </w:r>
    </w:p>
    <w:p w14:paraId="33734504">
      <w:pPr>
        <w:rPr>
          <w:rFonts w:ascii="宋体"/>
        </w:rPr>
      </w:pPr>
      <w:r>
        <w:rPr>
          <w:rFonts w:hint="eastAsia" w:ascii="宋体"/>
        </w:rPr>
        <w:t>8.2.5指派独立于开发团队的测试人员负责项目系统测试，并承诺按照甲方质量管理要求完成项目系统测试、性能测试等。</w:t>
      </w:r>
    </w:p>
    <w:p w14:paraId="74F818BF">
      <w:pPr>
        <w:rPr>
          <w:rFonts w:ascii="宋体"/>
        </w:rPr>
      </w:pPr>
      <w:r>
        <w:rPr>
          <w:rFonts w:hint="eastAsia" w:ascii="宋体"/>
        </w:rPr>
        <w:t>8.2.6 按照本合同的约定向甲方提供相关技术资料并提供技术指导。</w:t>
      </w:r>
    </w:p>
    <w:p w14:paraId="3057B2A7">
      <w:pPr>
        <w:rPr>
          <w:rFonts w:ascii="宋体"/>
        </w:rPr>
      </w:pPr>
      <w:r>
        <w:rPr>
          <w:rFonts w:hint="eastAsia" w:ascii="宋体"/>
        </w:rPr>
        <w:t>8.2.7乙方需为甲方提供持续的项目风险识别和控制措施，并按甲方要求提供公司财务分析报告、项目进度报告以及重大事项报告等。</w:t>
      </w:r>
    </w:p>
    <w:p w14:paraId="337C5D64">
      <w:pPr>
        <w:rPr>
          <w:rFonts w:ascii="宋体"/>
        </w:rPr>
      </w:pPr>
      <w:r>
        <w:rPr>
          <w:rFonts w:hint="eastAsia" w:ascii="宋体"/>
        </w:rPr>
        <w:t>8.2.8 乙方应该适时开展风险管理评估和第三方审计工作，应该接受甲方的审核、评估以及外包检查，并配合接受来自监管机构的各项检查，配合对监管意见做出相应的管理、服务、基础设施、软硬件等整改。</w:t>
      </w:r>
    </w:p>
    <w:p w14:paraId="04A195B7">
      <w:pPr>
        <w:rPr>
          <w:rFonts w:ascii="宋体"/>
        </w:rPr>
      </w:pPr>
      <w:r>
        <w:rPr>
          <w:rFonts w:hint="eastAsia" w:ascii="宋体"/>
        </w:rPr>
        <w:t>8.2</w:t>
      </w:r>
      <w:r>
        <w:rPr>
          <w:rFonts w:ascii="宋体"/>
        </w:rPr>
        <w:t>.</w:t>
      </w:r>
      <w:r>
        <w:rPr>
          <w:rFonts w:hint="eastAsia" w:ascii="宋体"/>
        </w:rPr>
        <w:t>9</w:t>
      </w:r>
      <w:r>
        <w:rPr>
          <w:rFonts w:ascii="宋体"/>
        </w:rPr>
        <w:t xml:space="preserve"> 乙方应针对服务内容为甲方制定业务连续性计划和应急计划并维护好相关资源</w:t>
      </w:r>
      <w:r>
        <w:rPr>
          <w:rFonts w:hint="eastAsia" w:ascii="宋体"/>
        </w:rPr>
        <w:t>，</w:t>
      </w:r>
      <w:r>
        <w:rPr>
          <w:rFonts w:ascii="宋体"/>
        </w:rPr>
        <w:t>在服务质量不能满足合同要求时</w:t>
      </w:r>
      <w:r>
        <w:rPr>
          <w:rFonts w:hint="eastAsia" w:ascii="宋体"/>
        </w:rPr>
        <w:t>，甲方具有</w:t>
      </w:r>
      <w:r>
        <w:rPr>
          <w:rFonts w:ascii="宋体"/>
        </w:rPr>
        <w:t>优先获取服务资源的权利</w:t>
      </w:r>
      <w:r>
        <w:rPr>
          <w:rFonts w:hint="eastAsia" w:ascii="宋体"/>
        </w:rPr>
        <w:t>。</w:t>
      </w:r>
    </w:p>
    <w:p w14:paraId="23A494F8">
      <w:pPr>
        <w:rPr>
          <w:rFonts w:ascii="宋体"/>
        </w:rPr>
      </w:pPr>
      <w:r>
        <w:rPr>
          <w:rFonts w:hint="eastAsia" w:ascii="宋体"/>
        </w:rPr>
        <w:t>8.2.10 乙方应当自己完成本合同项下的开发、测试或维护等工作，而不得分包给任何第三方，也不得进行转包或变相转包。</w:t>
      </w:r>
    </w:p>
    <w:p w14:paraId="0B5A2CEA">
      <w:pPr>
        <w:rPr>
          <w:rFonts w:ascii="宋体"/>
          <w:bCs/>
        </w:rPr>
      </w:pPr>
      <w:r>
        <w:rPr>
          <w:rFonts w:ascii="宋体"/>
        </w:rPr>
        <w:t xml:space="preserve">8.2.11 </w:t>
      </w:r>
      <w:r>
        <w:rPr>
          <w:rFonts w:ascii="宋体"/>
          <w:bCs/>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42E888A9">
      <w:pPr>
        <w:rPr>
          <w:rFonts w:ascii="宋体"/>
        </w:rPr>
      </w:pPr>
    </w:p>
    <w:p w14:paraId="580E2FF8">
      <w:pPr>
        <w:ind w:firstLine="413" w:firstLineChars="196"/>
        <w:outlineLvl w:val="1"/>
        <w:rPr>
          <w:rFonts w:ascii="宋体"/>
          <w:b/>
        </w:rPr>
      </w:pPr>
      <w:bookmarkStart w:id="99" w:name="_Toc84948033"/>
      <w:r>
        <w:rPr>
          <w:rFonts w:hint="eastAsia" w:ascii="宋体"/>
          <w:b/>
        </w:rPr>
        <w:t>第九条 乙方的声明与保证</w:t>
      </w:r>
      <w:bookmarkEnd w:id="99"/>
    </w:p>
    <w:p w14:paraId="0E72AC12">
      <w:pPr>
        <w:rPr>
          <w:rFonts w:ascii="宋体"/>
        </w:rPr>
      </w:pPr>
      <w:r>
        <w:rPr>
          <w:rFonts w:hint="eastAsia" w:ascii="宋体"/>
        </w:rPr>
        <w:t>乙方向甲方做出如下声明与保证：</w:t>
      </w:r>
    </w:p>
    <w:p w14:paraId="605DD938">
      <w:pPr>
        <w:rPr>
          <w:rFonts w:ascii="宋体"/>
        </w:rPr>
      </w:pPr>
      <w:r>
        <w:rPr>
          <w:rFonts w:hint="eastAsia" w:ascii="宋体"/>
        </w:rPr>
        <w:t>9.1乙方完全具有本合同项下项目实施的技术资质与实力，包括开发技术人员、硬件设施等。</w:t>
      </w:r>
    </w:p>
    <w:p w14:paraId="03ECEA73">
      <w:pPr>
        <w:rPr>
          <w:rFonts w:ascii="宋体"/>
        </w:rPr>
      </w:pPr>
      <w:r>
        <w:rPr>
          <w:rFonts w:hint="eastAsia" w:ascii="宋体"/>
        </w:rPr>
        <w:t>9.2乙方已对照本合同附件一中甲方确认的需求，确认乙方的设计方案已经涵盖了设计需求的各方面，并且乙方实施的产品是先进的、适用的、兼容的，能够满足甲方核心业务扩展的需求。</w:t>
      </w:r>
    </w:p>
    <w:p w14:paraId="208683F3">
      <w:pPr>
        <w:rPr>
          <w:rFonts w:ascii="宋体"/>
        </w:rPr>
      </w:pPr>
      <w:r>
        <w:rPr>
          <w:rStyle w:val="47"/>
          <w:rFonts w:hint="eastAsia" w:ascii="宋体" w:hAnsi="宋体"/>
          <w:kern w:val="0"/>
        </w:rPr>
        <w:t>9.3乙方在本项目中【使用/未使用】第三方</w:t>
      </w:r>
      <w:r>
        <w:rPr>
          <w:rStyle w:val="47"/>
          <w:rFonts w:ascii="宋体" w:hAnsi="宋体"/>
          <w:kern w:val="0"/>
        </w:rPr>
        <w:t>产品</w:t>
      </w:r>
      <w:r>
        <w:rPr>
          <w:rStyle w:val="47"/>
          <w:rFonts w:hint="eastAsia" w:ascii="宋体" w:hAnsi="宋体"/>
          <w:kern w:val="0"/>
        </w:rPr>
        <w:t>，</w:t>
      </w:r>
      <w:r>
        <w:rPr>
          <w:rStyle w:val="47"/>
          <w:rFonts w:ascii="宋体" w:hAnsi="宋体"/>
          <w:kern w:val="0"/>
        </w:rPr>
        <w:t>包括第三方</w:t>
      </w:r>
      <w:r>
        <w:rPr>
          <w:rStyle w:val="47"/>
          <w:rFonts w:hint="eastAsia" w:ascii="宋体" w:hAnsi="宋体"/>
          <w:kern w:val="0"/>
        </w:rPr>
        <w:t>SDK、小程序、软件、开源组件等，（若选择【使用】请列举）例：第三方SDK：XXXX、XXX；第三方小程序：XXX等。</w:t>
      </w:r>
      <w:r>
        <w:rPr>
          <w:rFonts w:hint="eastAsia" w:ascii="宋体"/>
        </w:rPr>
        <w:t>若乙方在项目中使用了第三方产品，乙方须按如下要求执行：</w:t>
      </w:r>
    </w:p>
    <w:p w14:paraId="6DFFC02B">
      <w:pPr>
        <w:rPr>
          <w:rFonts w:ascii="宋体"/>
        </w:rPr>
      </w:pPr>
      <w:r>
        <w:rPr>
          <w:rFonts w:hint="eastAsia" w:ascii="宋体"/>
        </w:rPr>
        <w:t>（1）针对第三方SDK：乙方应开展安全评估和个人信息保护评估，并提供无中高风险的评估报告；</w:t>
      </w:r>
    </w:p>
    <w:p w14:paraId="22DBF7EB">
      <w:pPr>
        <w:rPr>
          <w:rFonts w:ascii="宋体"/>
        </w:rPr>
      </w:pPr>
      <w:r>
        <w:rPr>
          <w:rFonts w:hint="eastAsia" w:ascii="宋体"/>
        </w:rPr>
        <w:t>（2）针对第三方小程序：乙方应开展安全评估，并提供无中高风险漏洞的安全评估报告。</w:t>
      </w:r>
    </w:p>
    <w:p w14:paraId="79350DCC">
      <w:pPr>
        <w:rPr>
          <w:rStyle w:val="47"/>
          <w:rFonts w:ascii="宋体" w:hAnsi="宋体"/>
          <w:kern w:val="0"/>
        </w:rPr>
      </w:pPr>
      <w:r>
        <w:rPr>
          <w:rFonts w:hint="eastAsia" w:ascii="宋体"/>
        </w:rPr>
        <w:t>（</w:t>
      </w:r>
      <w:r>
        <w:rPr>
          <w:rFonts w:ascii="宋体"/>
        </w:rPr>
        <w:t>3</w:t>
      </w:r>
      <w:r>
        <w:rPr>
          <w:rFonts w:hint="eastAsia" w:ascii="宋体"/>
        </w:rPr>
        <w:t>）若</w:t>
      </w:r>
      <w:r>
        <w:rPr>
          <w:rStyle w:val="47"/>
          <w:rFonts w:hint="eastAsia" w:ascii="宋体" w:hAnsi="宋体"/>
          <w:kern w:val="0"/>
        </w:rPr>
        <w:t>第三方产品出现安全漏洞</w:t>
      </w:r>
      <w:r>
        <w:rPr>
          <w:rFonts w:hint="eastAsia" w:ascii="宋体"/>
        </w:rPr>
        <w:t>或违反个人信息保护相关法规，</w:t>
      </w:r>
      <w:r>
        <w:rPr>
          <w:rStyle w:val="47"/>
          <w:rFonts w:hint="eastAsia" w:ascii="宋体" w:hAnsi="宋体"/>
          <w:kern w:val="0"/>
        </w:rPr>
        <w:t>甲方有权要求乙方进行修复，若因此给甲方造成损失的，甲方有权随时向乙方追偿。</w:t>
      </w:r>
    </w:p>
    <w:p w14:paraId="4C31E6A0">
      <w:pPr>
        <w:rPr>
          <w:rStyle w:val="47"/>
          <w:rFonts w:ascii="宋体" w:hAnsi="宋体"/>
          <w:kern w:val="0"/>
        </w:rPr>
      </w:pPr>
      <w:r>
        <w:rPr>
          <w:rStyle w:val="47"/>
          <w:rFonts w:hint="eastAsia" w:ascii="宋体" w:hAnsi="宋体"/>
          <w:kern w:val="0"/>
        </w:rPr>
        <w:t>9</w:t>
      </w:r>
      <w:r>
        <w:rPr>
          <w:rStyle w:val="47"/>
          <w:rFonts w:ascii="宋体" w:hAnsi="宋体"/>
          <w:kern w:val="0"/>
        </w:rPr>
        <w:t>.4</w:t>
      </w:r>
      <w:r>
        <w:rPr>
          <w:rStyle w:val="47"/>
          <w:rFonts w:hint="eastAsia" w:ascii="宋体" w:hAnsi="宋体"/>
          <w:kern w:val="0"/>
        </w:rPr>
        <w:t>乙方保证向甲方提供的项目产品（含第三方产品）的安全性、合规性，保证无恶意脚本、后门及恶意漏洞，不携带任何病毒，不越权收集、处理客户信息。</w:t>
      </w:r>
    </w:p>
    <w:p w14:paraId="3417C838">
      <w:pPr>
        <w:rPr>
          <w:rFonts w:ascii="宋体"/>
        </w:rPr>
      </w:pPr>
      <w:r>
        <w:rPr>
          <w:rFonts w:hint="eastAsia" w:ascii="宋体"/>
        </w:rPr>
        <w:t>9.5乙方向甲方提供的产品和服务不会有任何第三方主张权利，也不会侵害任何第三方的合法权益，包括知识产权。</w:t>
      </w:r>
    </w:p>
    <w:p w14:paraId="73EB6916">
      <w:pPr>
        <w:rPr>
          <w:rFonts w:ascii="宋体"/>
        </w:rPr>
      </w:pPr>
      <w:r>
        <w:rPr>
          <w:rFonts w:hint="eastAsia" w:ascii="宋体"/>
        </w:rPr>
        <w:t>9.</w:t>
      </w:r>
      <w:r>
        <w:rPr>
          <w:rFonts w:ascii="宋体"/>
        </w:rPr>
        <w:t>6</w:t>
      </w:r>
      <w:r>
        <w:rPr>
          <w:rFonts w:hint="eastAsia" w:ascii="宋体"/>
        </w:rPr>
        <w:t>乙方保证遵守甲方《重庆三峡银行员工回避管理办法》中招录回避、任职回避、公务回避的相关要求。若发现乙方人员与甲方内部人员存在亲属关系，乙方应主动报告，并采取相应回避措施。</w:t>
      </w:r>
    </w:p>
    <w:p w14:paraId="6F51E67B">
      <w:pPr>
        <w:rPr>
          <w:rFonts w:ascii="宋体"/>
        </w:rPr>
      </w:pPr>
      <w:r>
        <w:rPr>
          <w:rFonts w:hint="eastAsia" w:ascii="宋体"/>
        </w:rPr>
        <w:t>9.</w:t>
      </w:r>
      <w:r>
        <w:rPr>
          <w:rFonts w:ascii="宋体"/>
        </w:rPr>
        <w:t>7</w:t>
      </w:r>
      <w:r>
        <w:rPr>
          <w:rFonts w:hint="eastAsia" w:ascii="宋体"/>
        </w:rPr>
        <w:t xml:space="preserve"> 乙方保证其人员无不良记录，服务商与其建立合法的雇佣关系，依法履行用工管理职责。</w:t>
      </w:r>
    </w:p>
    <w:p w14:paraId="5F74D961">
      <w:pPr>
        <w:rPr>
          <w:rFonts w:ascii="宋体"/>
        </w:rPr>
      </w:pPr>
      <w:r>
        <w:rPr>
          <w:rFonts w:hint="eastAsia" w:ascii="宋体"/>
        </w:rPr>
        <w:t>9.</w:t>
      </w:r>
      <w:r>
        <w:rPr>
          <w:rFonts w:ascii="宋体"/>
        </w:rPr>
        <w:t>8</w:t>
      </w:r>
      <w:r>
        <w:rPr>
          <w:rFonts w:hint="eastAsia" w:ascii="宋体"/>
        </w:rPr>
        <w:t xml:space="preserve"> 乙方定期通报外包事项，及时通报外包突发性事件及解决情况。</w:t>
      </w:r>
    </w:p>
    <w:p w14:paraId="3785B8E8">
      <w:pPr>
        <w:rPr>
          <w:rFonts w:ascii="宋体"/>
        </w:rPr>
      </w:pPr>
    </w:p>
    <w:p w14:paraId="6357F6EA">
      <w:pPr>
        <w:ind w:firstLine="413" w:firstLineChars="196"/>
        <w:outlineLvl w:val="1"/>
        <w:rPr>
          <w:rFonts w:ascii="宋体"/>
          <w:b/>
        </w:rPr>
      </w:pPr>
      <w:bookmarkStart w:id="100" w:name="_Toc84948034"/>
      <w:r>
        <w:rPr>
          <w:rFonts w:hint="eastAsia" w:ascii="宋体"/>
          <w:b/>
        </w:rPr>
        <w:t>第十条 知识产权</w:t>
      </w:r>
      <w:bookmarkEnd w:id="100"/>
    </w:p>
    <w:p w14:paraId="2B515D9A">
      <w:pPr>
        <w:rPr>
          <w:rStyle w:val="47"/>
          <w:rFonts w:ascii="宋体" w:hAnsi="宋体"/>
          <w:kern w:val="0"/>
        </w:rPr>
      </w:pPr>
      <w:r>
        <w:rPr>
          <w:rStyle w:val="47"/>
          <w:rFonts w:hint="eastAsia" w:ascii="宋体" w:hAnsi="宋体"/>
          <w:kern w:val="0"/>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11D3430F">
      <w:pPr>
        <w:rPr>
          <w:rStyle w:val="47"/>
          <w:rFonts w:ascii="宋体" w:hAnsi="宋体"/>
        </w:rPr>
      </w:pPr>
      <w:bookmarkStart w:id="101" w:name="_Toc84948035"/>
      <w:r>
        <w:rPr>
          <w:rFonts w:ascii="宋体"/>
        </w:rPr>
        <w:t>10</w:t>
      </w:r>
      <w:r>
        <w:rPr>
          <w:rFonts w:hint="eastAsia" w:ascii="宋体"/>
        </w:rPr>
        <w:t>.</w:t>
      </w:r>
      <w:r>
        <w:rPr>
          <w:rFonts w:ascii="宋体"/>
        </w:rPr>
        <w:t xml:space="preserve">2 </w:t>
      </w:r>
      <w:r>
        <w:rPr>
          <w:rFonts w:hint="eastAsia" w:ascii="宋体"/>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7384B230">
      <w:pPr>
        <w:rPr>
          <w:rStyle w:val="47"/>
          <w:rFonts w:ascii="宋体" w:hAnsi="宋体"/>
        </w:rPr>
      </w:pPr>
      <w:r>
        <w:rPr>
          <w:rFonts w:hint="eastAsia" w:ascii="宋体"/>
        </w:rPr>
        <w:t>10.</w:t>
      </w:r>
      <w:r>
        <w:rPr>
          <w:rFonts w:ascii="宋体"/>
        </w:rPr>
        <w:t xml:space="preserve">3 </w:t>
      </w:r>
      <w:r>
        <w:rPr>
          <w:rFonts w:hint="eastAsia" w:ascii="宋体"/>
        </w:rPr>
        <w:t>乙方应将有关资料（数据库设计文件、技术文件和用户手册等全部资料）在甲方要求期限内，按国家有关项目开发标准以文字等载体的形式交给甲方，甲方拥有永久的使用权。</w:t>
      </w:r>
      <w:r>
        <w:rPr>
          <w:rStyle w:val="47"/>
          <w:rFonts w:hint="eastAsia" w:ascii="宋体" w:hAnsi="宋体"/>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43E028E0">
      <w:pPr>
        <w:rPr>
          <w:rStyle w:val="47"/>
          <w:rFonts w:ascii="宋体" w:hAnsi="宋体"/>
        </w:rPr>
      </w:pPr>
      <w:r>
        <w:rPr>
          <w:rStyle w:val="47"/>
          <w:rFonts w:hint="eastAsia" w:ascii="宋体" w:hAnsi="宋体"/>
        </w:rPr>
        <w:t>1</w:t>
      </w:r>
      <w:r>
        <w:rPr>
          <w:rStyle w:val="47"/>
          <w:rFonts w:ascii="宋体" w:hAnsi="宋体"/>
        </w:rPr>
        <w:t>0.4 本项目</w:t>
      </w:r>
      <w:r>
        <w:rPr>
          <w:rStyle w:val="47"/>
          <w:rFonts w:hint="eastAsia" w:ascii="宋体" w:hAnsi="宋体"/>
        </w:rPr>
        <w:t>客户化源代码的知识产权归甲方单独所有，其余部分归双方共有。</w:t>
      </w:r>
    </w:p>
    <w:p w14:paraId="5473E4C0">
      <w:pPr>
        <w:rPr>
          <w:rStyle w:val="47"/>
          <w:rFonts w:ascii="宋体" w:hAnsi="宋体"/>
          <w:kern w:val="0"/>
        </w:rPr>
      </w:pPr>
      <w:r>
        <w:rPr>
          <w:rStyle w:val="47"/>
          <w:rFonts w:hint="eastAsia" w:ascii="宋体" w:hAnsi="宋体"/>
        </w:rPr>
        <w:t>1</w:t>
      </w:r>
      <w:r>
        <w:rPr>
          <w:rStyle w:val="47"/>
          <w:rFonts w:ascii="宋体" w:hAnsi="宋体"/>
        </w:rPr>
        <w:t xml:space="preserve">0.4.1 </w:t>
      </w:r>
      <w:r>
        <w:rPr>
          <w:rStyle w:val="47"/>
          <w:rFonts w:hint="eastAsia" w:ascii="宋体" w:hAnsi="宋体"/>
          <w:kern w:val="0"/>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7A2BB82C">
      <w:pPr>
        <w:rPr>
          <w:rStyle w:val="47"/>
          <w:rFonts w:ascii="宋体" w:hAnsi="宋体"/>
        </w:rPr>
      </w:pPr>
      <w:r>
        <w:rPr>
          <w:rStyle w:val="47"/>
          <w:rFonts w:ascii="宋体" w:hAnsi="宋体"/>
        </w:rPr>
        <w:t xml:space="preserve">10.4.2 </w:t>
      </w:r>
      <w:r>
        <w:rPr>
          <w:rStyle w:val="47"/>
          <w:rFonts w:hint="eastAsia" w:ascii="宋体" w:hAnsi="宋体"/>
        </w:rPr>
        <w:t>针对共有部分，甲方拥有在甲方及其分支机构使用及后续开发的权利，</w:t>
      </w:r>
      <w:r>
        <w:rPr>
          <w:rFonts w:hint="eastAsia" w:ascii="宋体"/>
        </w:rPr>
        <w:t>甲方在乙方交付的系统版本上进行自主开发或交由第三方公司开发，开发成果的知识产权归甲方所有。</w:t>
      </w:r>
      <w:r>
        <w:rPr>
          <w:rStyle w:val="47"/>
          <w:rFonts w:hint="eastAsia" w:ascii="宋体" w:hAnsi="宋体"/>
        </w:rPr>
        <w:t>乙方拥有在其公司和其他组织范围内使用的权利，但乙方使用时不得侵犯甲方利益。</w:t>
      </w:r>
    </w:p>
    <w:p w14:paraId="7D578ECF">
      <w:pPr>
        <w:rPr>
          <w:rStyle w:val="47"/>
          <w:rFonts w:ascii="宋体" w:hAnsi="宋体"/>
        </w:rPr>
      </w:pPr>
      <w:r>
        <w:rPr>
          <w:rStyle w:val="47"/>
          <w:rFonts w:ascii="宋体" w:hAnsi="宋体"/>
        </w:rPr>
        <w:t>10.4.</w:t>
      </w:r>
      <w:r>
        <w:rPr>
          <w:rStyle w:val="47"/>
          <w:rFonts w:hint="eastAsia" w:ascii="宋体" w:hAnsi="宋体"/>
        </w:rPr>
        <w:t>3</w:t>
      </w:r>
      <w:r>
        <w:rPr>
          <w:rStyle w:val="47"/>
          <w:rFonts w:ascii="宋体" w:hAnsi="宋体"/>
        </w:rPr>
        <w:t xml:space="preserve"> </w:t>
      </w:r>
      <w:r>
        <w:rPr>
          <w:rStyle w:val="47"/>
          <w:rFonts w:hint="eastAsia"/>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056B591C">
      <w:pPr>
        <w:rPr>
          <w:rFonts w:ascii="宋体"/>
          <w:kern w:val="0"/>
        </w:rPr>
      </w:pPr>
    </w:p>
    <w:p w14:paraId="6D74159D">
      <w:pPr>
        <w:ind w:firstLine="413" w:firstLineChars="196"/>
        <w:outlineLvl w:val="1"/>
        <w:rPr>
          <w:rFonts w:ascii="宋体"/>
          <w:b/>
        </w:rPr>
      </w:pPr>
      <w:r>
        <w:rPr>
          <w:rFonts w:hint="eastAsia" w:ascii="宋体"/>
          <w:b/>
        </w:rPr>
        <w:t>第十一条 第三方索赔</w:t>
      </w:r>
      <w:bookmarkEnd w:id="101"/>
    </w:p>
    <w:p w14:paraId="43910597">
      <w:pPr>
        <w:rPr>
          <w:rFonts w:ascii="宋体"/>
        </w:rPr>
      </w:pPr>
      <w:r>
        <w:rPr>
          <w:rFonts w:hint="eastAsia" w:ascii="宋体"/>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2C6DF0F7">
      <w:pPr>
        <w:rPr>
          <w:rFonts w:ascii="宋体"/>
        </w:rPr>
      </w:pPr>
      <w:r>
        <w:rPr>
          <w:rFonts w:hint="eastAsia" w:ascii="宋体"/>
        </w:rPr>
        <w:t>11.2对于第11.1条涉及的侵权索赔，乙方将承担全部费用，包括</w:t>
      </w:r>
      <w:r>
        <w:rPr>
          <w:rStyle w:val="47"/>
          <w:rFonts w:hint="eastAsia" w:ascii="宋体" w:hAnsi="宋体"/>
          <w:kern w:val="0"/>
        </w:rPr>
        <w:t>诉讼费、仲裁费、甲方支付的律师费、差旅住宿费、公证费、鉴定费、调解费及仲裁裁决、法院判决或调解协议中由甲方承担的赔偿金。</w:t>
      </w:r>
    </w:p>
    <w:p w14:paraId="6C56426C">
      <w:pPr>
        <w:rPr>
          <w:rFonts w:ascii="宋体"/>
        </w:rPr>
      </w:pPr>
      <w:r>
        <w:rPr>
          <w:rFonts w:hint="eastAsia" w:ascii="宋体"/>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47"/>
          <w:rFonts w:hint="eastAsia" w:ascii="宋体" w:hAnsi="宋体"/>
          <w:kern w:val="0"/>
        </w:rPr>
        <w:t>部损失</w:t>
      </w:r>
      <w:r>
        <w:rPr>
          <w:rFonts w:hint="eastAsia" w:ascii="宋体"/>
        </w:rPr>
        <w:t>。</w:t>
      </w:r>
    </w:p>
    <w:p w14:paraId="715B6FD6">
      <w:pPr>
        <w:rPr>
          <w:rFonts w:ascii="宋体"/>
        </w:rPr>
      </w:pPr>
      <w:r>
        <w:rPr>
          <w:rFonts w:hint="eastAsia" w:ascii="宋体"/>
        </w:rPr>
        <w:t>11.4乙方对由以下非乙方的过错引起的侵权索赔不承担责任：</w:t>
      </w:r>
    </w:p>
    <w:p w14:paraId="09BD83EC">
      <w:pPr>
        <w:rPr>
          <w:rFonts w:ascii="宋体"/>
        </w:rPr>
      </w:pPr>
      <w:r>
        <w:rPr>
          <w:rStyle w:val="47"/>
          <w:rFonts w:hint="eastAsia" w:ascii="宋体" w:hAnsi="宋体"/>
          <w:kern w:val="0"/>
        </w:rPr>
        <w:t>11.4.1 甲方使用不当所造成的侵权。</w:t>
      </w:r>
    </w:p>
    <w:p w14:paraId="72BF6DF1">
      <w:pPr>
        <w:rPr>
          <w:rFonts w:ascii="宋体"/>
        </w:rPr>
      </w:pPr>
      <w:r>
        <w:rPr>
          <w:rFonts w:hint="eastAsia" w:ascii="宋体"/>
        </w:rPr>
        <w:t>11.4.2 因甲方或第三方对开发软件或资料进行修改所直接造成的侵权。</w:t>
      </w:r>
    </w:p>
    <w:p w14:paraId="0EC0EB1A">
      <w:pPr>
        <w:rPr>
          <w:rFonts w:ascii="宋体"/>
        </w:rPr>
      </w:pPr>
    </w:p>
    <w:p w14:paraId="04596EC5">
      <w:pPr>
        <w:ind w:firstLine="413" w:firstLineChars="196"/>
        <w:outlineLvl w:val="1"/>
        <w:rPr>
          <w:rFonts w:ascii="宋体"/>
          <w:b/>
        </w:rPr>
      </w:pPr>
      <w:bookmarkStart w:id="102" w:name="_Toc84948036"/>
      <w:r>
        <w:rPr>
          <w:rFonts w:hint="eastAsia" w:ascii="宋体"/>
          <w:b/>
        </w:rPr>
        <w:t>第十二条 保密</w:t>
      </w:r>
      <w:bookmarkEnd w:id="102"/>
    </w:p>
    <w:p w14:paraId="3632DEDF">
      <w:pPr>
        <w:rPr>
          <w:rFonts w:ascii="宋体"/>
          <w:bCs/>
          <w:kern w:val="0"/>
        </w:rPr>
      </w:pPr>
      <w:r>
        <w:rPr>
          <w:rFonts w:hint="eastAsia" w:ascii="宋体"/>
          <w:bCs/>
          <w:kern w:val="0"/>
        </w:rPr>
        <w:t>12.1乙方须对本合同项下的所有条款保密。乙方人员入场前须与甲方签订相应诚信安全承诺书。</w:t>
      </w:r>
    </w:p>
    <w:p w14:paraId="44BD1A85">
      <w:pPr>
        <w:tabs>
          <w:tab w:val="left" w:pos="1134"/>
        </w:tabs>
        <w:rPr>
          <w:rFonts w:ascii="宋体"/>
          <w:kern w:val="0"/>
        </w:rPr>
      </w:pPr>
      <w:r>
        <w:rPr>
          <w:rFonts w:hint="eastAsia" w:ascii="宋体"/>
          <w:kern w:val="0"/>
        </w:rPr>
        <w:t>12.</w:t>
      </w:r>
      <w:r>
        <w:rPr>
          <w:rFonts w:ascii="宋体"/>
          <w:kern w:val="0"/>
        </w:rPr>
        <w:t>2</w:t>
      </w:r>
      <w:r>
        <w:rPr>
          <w:rFonts w:hint="eastAsia" w:ascii="宋体"/>
          <w:kern w:val="0"/>
        </w:rPr>
        <w:t>乙方应对本合同所述的客户信息、</w:t>
      </w:r>
      <w:r>
        <w:rPr>
          <w:rFonts w:hint="eastAsia" w:ascii="宋体"/>
          <w:bCs/>
          <w:kern w:val="0"/>
        </w:rPr>
        <w:t>技术资料、业务流程、源代码</w:t>
      </w:r>
      <w:r>
        <w:rPr>
          <w:rFonts w:ascii="宋体"/>
          <w:bCs/>
          <w:kern w:val="0"/>
        </w:rPr>
        <w:t>、</w:t>
      </w:r>
      <w:r>
        <w:rPr>
          <w:rFonts w:hint="eastAsia" w:ascii="宋体"/>
          <w:bCs/>
          <w:kern w:val="0"/>
        </w:rPr>
        <w:t>数据等</w:t>
      </w:r>
      <w:r>
        <w:rPr>
          <w:rFonts w:ascii="宋体"/>
          <w:bCs/>
          <w:kern w:val="0"/>
        </w:rPr>
        <w:t>重要</w:t>
      </w:r>
      <w:r>
        <w:rPr>
          <w:rFonts w:hint="eastAsia" w:ascii="宋体"/>
          <w:bCs/>
          <w:kern w:val="0"/>
        </w:rPr>
        <w:t>信息</w:t>
      </w:r>
      <w:r>
        <w:rPr>
          <w:rFonts w:hint="eastAsia" w:ascii="宋体"/>
          <w:kern w:val="0"/>
        </w:rPr>
        <w:t>采取保密措施，未经甲方的书面同意，乙方不得在合同允许范围外使用、披露、存放于</w:t>
      </w:r>
      <w:r>
        <w:rPr>
          <w:rFonts w:ascii="宋体"/>
          <w:kern w:val="0"/>
        </w:rPr>
        <w:t>第三方托管平台</w:t>
      </w:r>
      <w:r>
        <w:rPr>
          <w:rFonts w:hint="eastAsia" w:ascii="宋体"/>
          <w:kern w:val="0"/>
        </w:rPr>
        <w:t>、向无关人员或第三方透露，也不能就有关合同内容的任何部分进行新闻的发布、公开的宣称、否认或承认。</w:t>
      </w:r>
    </w:p>
    <w:p w14:paraId="4AA20233">
      <w:pPr>
        <w:rPr>
          <w:rFonts w:ascii="宋体"/>
          <w:bCs/>
          <w:kern w:val="0"/>
        </w:rPr>
      </w:pPr>
      <w:r>
        <w:rPr>
          <w:rFonts w:hint="eastAsia" w:ascii="宋体"/>
          <w:bCs/>
          <w:kern w:val="0"/>
        </w:rPr>
        <w:t>12.</w:t>
      </w:r>
      <w:r>
        <w:rPr>
          <w:rFonts w:ascii="宋体"/>
          <w:bCs/>
          <w:kern w:val="0"/>
        </w:rPr>
        <w:t>3</w:t>
      </w:r>
      <w:r>
        <w:rPr>
          <w:rFonts w:hint="eastAsia" w:ascii="宋体"/>
          <w:bCs/>
          <w:kern w:val="0"/>
        </w:rPr>
        <w:t>乙方不得以甲方名义开展活动，不得将甲方数据、信息以任何形式转移、挪用或谋取合同约定以外的利益。</w:t>
      </w:r>
    </w:p>
    <w:p w14:paraId="4633CDA2">
      <w:pPr>
        <w:rPr>
          <w:rFonts w:ascii="宋体"/>
          <w:kern w:val="0"/>
        </w:rPr>
      </w:pPr>
      <w:r>
        <w:rPr>
          <w:rFonts w:hint="eastAsia" w:ascii="宋体"/>
          <w:kern w:val="0"/>
        </w:rPr>
        <w:t>12.4乙方知道违反本条规定将给甲方客户权利以及甲方造成难以弥补的损失，为此同意承担由此产生的经济上和法律上的责任和</w:t>
      </w:r>
      <w:r>
        <w:rPr>
          <w:rFonts w:ascii="宋体"/>
          <w:kern w:val="0"/>
        </w:rPr>
        <w:t>损失</w:t>
      </w:r>
      <w:r>
        <w:rPr>
          <w:rFonts w:hint="eastAsia" w:ascii="宋体"/>
          <w:kern w:val="0"/>
        </w:rPr>
        <w:t>。</w:t>
      </w:r>
    </w:p>
    <w:p w14:paraId="12D2ADC7">
      <w:pPr>
        <w:rPr>
          <w:rFonts w:ascii="宋体"/>
          <w:kern w:val="0"/>
        </w:rPr>
      </w:pPr>
      <w:r>
        <w:rPr>
          <w:rFonts w:hint="eastAsia" w:ascii="宋体"/>
          <w:kern w:val="0"/>
        </w:rPr>
        <w:t>12.5乙方承认本合同中的技术资料和技术秘密为甲方所专有，将其对乙方进行披露并不意味着任何所有权、专利权的转让。</w:t>
      </w:r>
    </w:p>
    <w:p w14:paraId="69E45B22">
      <w:pPr>
        <w:rPr>
          <w:rFonts w:ascii="宋体"/>
          <w:kern w:val="0"/>
        </w:rPr>
      </w:pPr>
      <w:r>
        <w:rPr>
          <w:rFonts w:hint="eastAsia" w:ascii="宋体"/>
          <w:kern w:val="0"/>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6581F108">
      <w:pPr>
        <w:rPr>
          <w:rFonts w:ascii="宋体"/>
          <w:kern w:val="0"/>
        </w:rPr>
      </w:pPr>
      <w:r>
        <w:rPr>
          <w:rFonts w:hint="eastAsia" w:ascii="宋体"/>
          <w:kern w:val="0"/>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2B4F3133">
      <w:pPr>
        <w:rPr>
          <w:rFonts w:ascii="宋体"/>
          <w:kern w:val="0"/>
        </w:rPr>
      </w:pPr>
      <w:r>
        <w:rPr>
          <w:rFonts w:hint="eastAsia" w:ascii="宋体"/>
          <w:kern w:val="0"/>
        </w:rPr>
        <w:t>12.8除非甲方特别声明，乙方对于保密信息的保密义务为无限期保密，直至甲方宣布解密或者保密信息实际上已经公开。</w:t>
      </w:r>
    </w:p>
    <w:p w14:paraId="2AC1A234">
      <w:pPr>
        <w:rPr>
          <w:rFonts w:ascii="宋体"/>
          <w:kern w:val="0"/>
        </w:rPr>
      </w:pPr>
      <w:r>
        <w:rPr>
          <w:rFonts w:hint="eastAsia" w:ascii="宋体"/>
          <w:kern w:val="0"/>
        </w:rPr>
        <w:t>12.9 本合同</w:t>
      </w:r>
      <w:r>
        <w:rPr>
          <w:rFonts w:ascii="宋体"/>
          <w:kern w:val="0"/>
        </w:rPr>
        <w:t>项下乙方</w:t>
      </w:r>
      <w:r>
        <w:rPr>
          <w:rFonts w:hint="eastAsia" w:ascii="宋体"/>
          <w:kern w:val="0"/>
        </w:rPr>
        <w:t>人员</w:t>
      </w:r>
      <w:r>
        <w:rPr>
          <w:rFonts w:ascii="宋体"/>
          <w:kern w:val="0"/>
        </w:rPr>
        <w:t>行为视为乙方行为，</w:t>
      </w:r>
      <w:r>
        <w:rPr>
          <w:rFonts w:hint="eastAsia" w:ascii="宋体"/>
          <w:kern w:val="0"/>
        </w:rPr>
        <w:t>乙方应承担全部责任及损失</w:t>
      </w:r>
      <w:r>
        <w:rPr>
          <w:rFonts w:ascii="宋体"/>
          <w:kern w:val="0"/>
        </w:rPr>
        <w:t>。</w:t>
      </w:r>
    </w:p>
    <w:p w14:paraId="576CFD75">
      <w:pPr>
        <w:rPr>
          <w:rFonts w:ascii="宋体"/>
        </w:rPr>
      </w:pPr>
    </w:p>
    <w:p w14:paraId="2E93CC4F">
      <w:pPr>
        <w:ind w:firstLine="413" w:firstLineChars="196"/>
        <w:outlineLvl w:val="1"/>
        <w:rPr>
          <w:rFonts w:ascii="宋体"/>
          <w:b/>
        </w:rPr>
      </w:pPr>
      <w:bookmarkStart w:id="103" w:name="_Toc84948037"/>
      <w:r>
        <w:rPr>
          <w:rFonts w:hint="eastAsia" w:ascii="宋体"/>
          <w:b/>
        </w:rPr>
        <w:t>第十三条 价格与支付</w:t>
      </w:r>
      <w:bookmarkEnd w:id="103"/>
    </w:p>
    <w:p w14:paraId="73A624BB">
      <w:pPr>
        <w:ind w:left="107" w:leftChars="51" w:firstLine="365" w:firstLineChars="174"/>
        <w:rPr>
          <w:rStyle w:val="47"/>
          <w:rFonts w:ascii="宋体" w:hAnsi="宋体"/>
          <w:kern w:val="0"/>
        </w:rPr>
      </w:pPr>
      <w:r>
        <w:rPr>
          <w:rStyle w:val="47"/>
          <w:rFonts w:hint="eastAsia" w:ascii="宋体" w:hAnsi="宋体"/>
          <w:kern w:val="0"/>
        </w:rPr>
        <w:t>13.1本项目合同总金额（价税合计）为</w:t>
      </w:r>
      <w:r>
        <w:rPr>
          <w:rStyle w:val="47"/>
          <w:rFonts w:hint="eastAsia" w:ascii="宋体" w:hAnsi="宋体"/>
          <w:szCs w:val="2"/>
        </w:rPr>
        <w:t>_______</w:t>
      </w:r>
      <w:r>
        <w:rPr>
          <w:rStyle w:val="47"/>
          <w:rFonts w:hint="eastAsia" w:ascii="宋体" w:hAnsi="宋体"/>
          <w:szCs w:val="2"/>
          <w:u w:val="single"/>
        </w:rPr>
        <w:t>元</w:t>
      </w:r>
      <w:r>
        <w:rPr>
          <w:rStyle w:val="47"/>
          <w:rFonts w:hint="eastAsia" w:ascii="宋体" w:hAnsi="宋体"/>
          <w:kern w:val="0"/>
          <w:u w:val="single"/>
        </w:rPr>
        <w:t>（大写：</w:t>
      </w:r>
      <w:r>
        <w:rPr>
          <w:rStyle w:val="47"/>
          <w:rFonts w:ascii="宋体" w:hAnsi="宋体"/>
          <w:szCs w:val="2"/>
          <w:u w:val="single"/>
        </w:rPr>
        <w:t>整</w:t>
      </w:r>
      <w:r>
        <w:rPr>
          <w:rStyle w:val="47"/>
          <w:rFonts w:hint="eastAsia" w:ascii="宋体" w:hAnsi="宋体"/>
          <w:kern w:val="0"/>
          <w:u w:val="single"/>
        </w:rPr>
        <w:t>）</w:t>
      </w:r>
      <w:r>
        <w:rPr>
          <w:rStyle w:val="47"/>
          <w:rFonts w:hint="eastAsia" w:ascii="宋体" w:hAnsi="宋体"/>
          <w:kern w:val="0"/>
        </w:rPr>
        <w:t>，</w:t>
      </w:r>
      <w:r>
        <w:rPr>
          <w:rStyle w:val="47"/>
          <w:rFonts w:ascii="宋体" w:hAnsi="宋体"/>
          <w:kern w:val="0"/>
        </w:rPr>
        <w:t>税率为13%，</w:t>
      </w:r>
      <w:r>
        <w:rPr>
          <w:rStyle w:val="47"/>
          <w:rFonts w:hint="eastAsia" w:ascii="宋体" w:hAnsi="宋体"/>
          <w:szCs w:val="2"/>
        </w:rPr>
        <w:t>不含税价为：_______</w:t>
      </w:r>
      <w:r>
        <w:rPr>
          <w:rStyle w:val="47"/>
          <w:rFonts w:hint="eastAsia" w:ascii="宋体" w:hAnsi="宋体"/>
          <w:szCs w:val="2"/>
          <w:u w:val="single"/>
        </w:rPr>
        <w:t>元（大写：</w:t>
      </w:r>
      <w:r>
        <w:rPr>
          <w:rStyle w:val="47"/>
          <w:rFonts w:ascii="宋体" w:hAnsi="宋体"/>
          <w:szCs w:val="2"/>
          <w:u w:val="single"/>
        </w:rPr>
        <w:t>整</w:t>
      </w:r>
      <w:r>
        <w:rPr>
          <w:rStyle w:val="47"/>
          <w:rFonts w:hint="eastAsia" w:ascii="宋体" w:hAnsi="宋体"/>
          <w:szCs w:val="2"/>
          <w:u w:val="single"/>
        </w:rPr>
        <w:t>）</w:t>
      </w:r>
      <w:r>
        <w:rPr>
          <w:rStyle w:val="47"/>
          <w:rFonts w:hint="eastAsia" w:ascii="宋体" w:hAnsi="宋体"/>
          <w:szCs w:val="2"/>
        </w:rPr>
        <w:t>,税额为：_______</w:t>
      </w:r>
      <w:r>
        <w:rPr>
          <w:rStyle w:val="47"/>
          <w:rFonts w:hint="eastAsia" w:ascii="宋体" w:hAnsi="宋体"/>
          <w:szCs w:val="2"/>
          <w:u w:val="single"/>
        </w:rPr>
        <w:t>元（大写：</w:t>
      </w:r>
      <w:r>
        <w:rPr>
          <w:rStyle w:val="47"/>
          <w:rFonts w:ascii="宋体" w:hAnsi="宋体"/>
          <w:szCs w:val="2"/>
          <w:u w:val="single"/>
        </w:rPr>
        <w:t>整</w:t>
      </w:r>
      <w:r>
        <w:rPr>
          <w:rStyle w:val="47"/>
          <w:rFonts w:hint="eastAsia" w:ascii="宋体" w:hAnsi="宋体"/>
          <w:szCs w:val="2"/>
          <w:u w:val="single"/>
        </w:rPr>
        <w:t>）</w:t>
      </w:r>
      <w:r>
        <w:rPr>
          <w:rStyle w:val="47"/>
          <w:rFonts w:hint="eastAsia" w:ascii="宋体" w:hAnsi="宋体"/>
          <w:szCs w:val="2"/>
        </w:rPr>
        <w:t>。</w:t>
      </w:r>
      <w:r>
        <w:rPr>
          <w:rStyle w:val="47"/>
          <w:rFonts w:ascii="宋体" w:hAnsi="宋体"/>
          <w:szCs w:val="2"/>
        </w:rPr>
        <w:t>其中产品金额（价税合计）为</w:t>
      </w:r>
      <w:r>
        <w:rPr>
          <w:rStyle w:val="47"/>
          <w:rFonts w:hint="eastAsia" w:ascii="宋体" w:hAnsi="宋体"/>
          <w:szCs w:val="2"/>
        </w:rPr>
        <w:t>_______</w:t>
      </w:r>
      <w:r>
        <w:rPr>
          <w:rStyle w:val="47"/>
          <w:rFonts w:hint="eastAsia" w:ascii="宋体" w:hAnsi="宋体"/>
          <w:szCs w:val="2"/>
          <w:u w:val="single"/>
        </w:rPr>
        <w:t>元（大写：</w:t>
      </w:r>
      <w:r>
        <w:rPr>
          <w:rStyle w:val="47"/>
          <w:rFonts w:ascii="宋体" w:hAnsi="宋体"/>
          <w:szCs w:val="2"/>
          <w:u w:val="single"/>
        </w:rPr>
        <w:t>整</w:t>
      </w:r>
      <w:r>
        <w:rPr>
          <w:rStyle w:val="47"/>
          <w:rFonts w:hint="eastAsia" w:ascii="宋体" w:hAnsi="宋体"/>
          <w:szCs w:val="2"/>
          <w:u w:val="single"/>
        </w:rPr>
        <w:t>）</w:t>
      </w:r>
      <w:r>
        <w:rPr>
          <w:rStyle w:val="47"/>
          <w:rFonts w:ascii="宋体" w:hAnsi="宋体"/>
          <w:szCs w:val="2"/>
          <w:u w:val="single"/>
        </w:rPr>
        <w:t>，实施金额（价税合计）为</w:t>
      </w:r>
      <w:r>
        <w:rPr>
          <w:rStyle w:val="47"/>
          <w:rFonts w:hint="eastAsia" w:ascii="宋体" w:hAnsi="宋体"/>
          <w:szCs w:val="2"/>
        </w:rPr>
        <w:t>_______</w:t>
      </w:r>
      <w:r>
        <w:rPr>
          <w:rStyle w:val="47"/>
          <w:rFonts w:hint="eastAsia" w:ascii="宋体" w:hAnsi="宋体"/>
          <w:szCs w:val="2"/>
          <w:u w:val="single"/>
        </w:rPr>
        <w:t>元（大写：</w:t>
      </w:r>
      <w:r>
        <w:rPr>
          <w:rStyle w:val="47"/>
          <w:rFonts w:ascii="宋体" w:hAnsi="宋体"/>
          <w:szCs w:val="2"/>
          <w:u w:val="single"/>
        </w:rPr>
        <w:t>整</w:t>
      </w:r>
      <w:r>
        <w:rPr>
          <w:rStyle w:val="47"/>
          <w:rFonts w:hint="eastAsia" w:ascii="宋体" w:hAnsi="宋体"/>
          <w:szCs w:val="2"/>
          <w:u w:val="single"/>
        </w:rPr>
        <w:t>）</w:t>
      </w:r>
      <w:r>
        <w:rPr>
          <w:rStyle w:val="47"/>
          <w:rFonts w:ascii="宋体" w:hAnsi="宋体"/>
          <w:szCs w:val="2"/>
        </w:rPr>
        <w:t>。</w:t>
      </w:r>
      <w:r>
        <w:rPr>
          <w:rStyle w:val="47"/>
          <w:rFonts w:hint="eastAsia" w:ascii="宋体" w:hAnsi="宋体"/>
          <w:szCs w:val="2"/>
        </w:rPr>
        <w:t>不含税价格不因国家税率变化而变化，若在合同履行期间，如遇国家的税率调整，则价税合计应相应调整，以开具发票的时间为准。</w:t>
      </w:r>
      <w:r>
        <w:rPr>
          <w:rStyle w:val="47"/>
          <w:rFonts w:hint="eastAsia" w:ascii="宋体" w:hAnsi="宋体"/>
          <w:kern w:val="0"/>
        </w:rPr>
        <w:t>该金额为本合同约定项目的全部费用，除双方另有约定外，甲方无须向乙方支付其他任何费用。</w:t>
      </w:r>
    </w:p>
    <w:p w14:paraId="21717AD2">
      <w:pPr>
        <w:rPr>
          <w:rStyle w:val="47"/>
          <w:rFonts w:ascii="宋体" w:hAnsi="宋体"/>
          <w:kern w:val="0"/>
        </w:rPr>
      </w:pPr>
      <w:r>
        <w:rPr>
          <w:rStyle w:val="47"/>
          <w:rFonts w:hint="eastAsia" w:ascii="宋体" w:hAnsi="宋体"/>
          <w:kern w:val="0"/>
        </w:rPr>
        <w:t>本项目产品价格（含实施</w:t>
      </w:r>
      <w:r>
        <w:rPr>
          <w:rStyle w:val="47"/>
          <w:rFonts w:ascii="宋体" w:hAnsi="宋体"/>
          <w:kern w:val="0"/>
        </w:rPr>
        <w:t>金额部分</w:t>
      </w:r>
      <w:r>
        <w:rPr>
          <w:rStyle w:val="47"/>
          <w:rFonts w:hint="eastAsia" w:ascii="宋体" w:hAnsi="宋体"/>
          <w:kern w:val="0"/>
        </w:rPr>
        <w:t>）如下表所示：</w:t>
      </w:r>
    </w:p>
    <w:tbl>
      <w:tblPr>
        <w:tblStyle w:val="22"/>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036E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14:paraId="47C4255B">
            <w:pPr>
              <w:jc w:val="center"/>
              <w:rPr>
                <w:b/>
                <w:szCs w:val="24"/>
              </w:rPr>
            </w:pPr>
            <w:r>
              <w:rPr>
                <w:b/>
                <w:szCs w:val="24"/>
              </w:rPr>
              <w:t>产品名称</w:t>
            </w:r>
          </w:p>
        </w:tc>
        <w:tc>
          <w:tcPr>
            <w:tcW w:w="1701" w:type="dxa"/>
            <w:tcBorders>
              <w:tl2br w:val="nil"/>
              <w:tr2bl w:val="nil"/>
            </w:tcBorders>
            <w:vAlign w:val="center"/>
          </w:tcPr>
          <w:p w14:paraId="7D6916D4">
            <w:pPr>
              <w:jc w:val="center"/>
              <w:rPr>
                <w:b/>
                <w:szCs w:val="24"/>
              </w:rPr>
            </w:pPr>
            <w:r>
              <w:rPr>
                <w:b/>
                <w:szCs w:val="24"/>
              </w:rPr>
              <w:t>模块</w:t>
            </w:r>
          </w:p>
        </w:tc>
        <w:tc>
          <w:tcPr>
            <w:tcW w:w="1134" w:type="dxa"/>
            <w:tcBorders>
              <w:tl2br w:val="nil"/>
              <w:tr2bl w:val="nil"/>
            </w:tcBorders>
            <w:vAlign w:val="center"/>
          </w:tcPr>
          <w:p w14:paraId="53B2C691">
            <w:pPr>
              <w:jc w:val="center"/>
              <w:rPr>
                <w:b/>
                <w:szCs w:val="24"/>
              </w:rPr>
            </w:pPr>
            <w:r>
              <w:rPr>
                <w:rFonts w:hint="eastAsia"/>
                <w:b/>
                <w:szCs w:val="24"/>
              </w:rPr>
              <w:t>单价（元）</w:t>
            </w:r>
          </w:p>
        </w:tc>
        <w:tc>
          <w:tcPr>
            <w:tcW w:w="1276" w:type="dxa"/>
            <w:tcBorders>
              <w:tl2br w:val="nil"/>
              <w:tr2bl w:val="nil"/>
            </w:tcBorders>
            <w:vAlign w:val="center"/>
          </w:tcPr>
          <w:p w14:paraId="271806F2">
            <w:pPr>
              <w:jc w:val="center"/>
              <w:rPr>
                <w:b/>
                <w:szCs w:val="24"/>
              </w:rPr>
            </w:pPr>
            <w:r>
              <w:rPr>
                <w:rFonts w:hint="eastAsia"/>
                <w:b/>
                <w:szCs w:val="24"/>
              </w:rPr>
              <w:t>数量（套）</w:t>
            </w:r>
          </w:p>
        </w:tc>
        <w:tc>
          <w:tcPr>
            <w:tcW w:w="1276" w:type="dxa"/>
            <w:tcBorders>
              <w:tl2br w:val="nil"/>
              <w:tr2bl w:val="nil"/>
            </w:tcBorders>
            <w:vAlign w:val="center"/>
          </w:tcPr>
          <w:p w14:paraId="01C60F91">
            <w:pPr>
              <w:jc w:val="center"/>
              <w:rPr>
                <w:b/>
                <w:szCs w:val="24"/>
              </w:rPr>
            </w:pPr>
            <w:r>
              <w:rPr>
                <w:rFonts w:hint="eastAsia"/>
                <w:b/>
                <w:szCs w:val="24"/>
              </w:rPr>
              <w:t>金额</w:t>
            </w:r>
            <w:r>
              <w:rPr>
                <w:b/>
                <w:szCs w:val="24"/>
              </w:rPr>
              <w:t>小计</w:t>
            </w:r>
            <w:r>
              <w:rPr>
                <w:rFonts w:hint="eastAsia"/>
                <w:b/>
                <w:szCs w:val="24"/>
              </w:rPr>
              <w:t>（元）</w:t>
            </w:r>
          </w:p>
        </w:tc>
      </w:tr>
      <w:tr w14:paraId="0521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14:paraId="5FBFB74A">
            <w:pPr>
              <w:jc w:val="center"/>
              <w:rPr>
                <w:rFonts w:ascii="宋体"/>
                <w:szCs w:val="24"/>
              </w:rPr>
            </w:pPr>
          </w:p>
        </w:tc>
        <w:tc>
          <w:tcPr>
            <w:tcW w:w="1701" w:type="dxa"/>
            <w:tcBorders>
              <w:tl2br w:val="nil"/>
              <w:tr2bl w:val="nil"/>
            </w:tcBorders>
            <w:vAlign w:val="center"/>
          </w:tcPr>
          <w:p w14:paraId="7EF88189">
            <w:pPr>
              <w:jc w:val="center"/>
              <w:rPr>
                <w:szCs w:val="24"/>
              </w:rPr>
            </w:pPr>
          </w:p>
        </w:tc>
        <w:tc>
          <w:tcPr>
            <w:tcW w:w="1134" w:type="dxa"/>
            <w:tcBorders>
              <w:tl2br w:val="nil"/>
              <w:tr2bl w:val="nil"/>
            </w:tcBorders>
            <w:vAlign w:val="center"/>
          </w:tcPr>
          <w:p w14:paraId="097B77C5">
            <w:pPr>
              <w:jc w:val="center"/>
              <w:rPr>
                <w:rFonts w:ascii="宋体"/>
                <w:szCs w:val="24"/>
              </w:rPr>
            </w:pPr>
          </w:p>
        </w:tc>
        <w:tc>
          <w:tcPr>
            <w:tcW w:w="1276" w:type="dxa"/>
            <w:tcBorders>
              <w:tl2br w:val="nil"/>
              <w:tr2bl w:val="nil"/>
            </w:tcBorders>
            <w:vAlign w:val="center"/>
          </w:tcPr>
          <w:p w14:paraId="2ED2F54E">
            <w:pPr>
              <w:jc w:val="center"/>
              <w:rPr>
                <w:rFonts w:ascii="宋体"/>
                <w:szCs w:val="24"/>
              </w:rPr>
            </w:pPr>
          </w:p>
        </w:tc>
        <w:tc>
          <w:tcPr>
            <w:tcW w:w="1276" w:type="dxa"/>
            <w:tcBorders>
              <w:tl2br w:val="nil"/>
              <w:tr2bl w:val="nil"/>
            </w:tcBorders>
            <w:vAlign w:val="center"/>
          </w:tcPr>
          <w:p w14:paraId="4C6F5DB1">
            <w:pPr>
              <w:jc w:val="center"/>
              <w:rPr>
                <w:rFonts w:ascii="宋体"/>
                <w:szCs w:val="24"/>
              </w:rPr>
            </w:pPr>
          </w:p>
        </w:tc>
      </w:tr>
      <w:tr w14:paraId="73B8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l2br w:val="nil"/>
              <w:tr2bl w:val="nil"/>
            </w:tcBorders>
            <w:vAlign w:val="center"/>
          </w:tcPr>
          <w:p w14:paraId="39389275"/>
        </w:tc>
        <w:tc>
          <w:tcPr>
            <w:tcW w:w="1701" w:type="dxa"/>
            <w:tcBorders>
              <w:tl2br w:val="nil"/>
              <w:tr2bl w:val="nil"/>
            </w:tcBorders>
            <w:vAlign w:val="center"/>
          </w:tcPr>
          <w:p w14:paraId="007B0BA6">
            <w:pPr>
              <w:jc w:val="center"/>
              <w:rPr>
                <w:szCs w:val="24"/>
              </w:rPr>
            </w:pPr>
          </w:p>
        </w:tc>
        <w:tc>
          <w:tcPr>
            <w:tcW w:w="1134" w:type="dxa"/>
            <w:tcBorders>
              <w:tl2br w:val="nil"/>
              <w:tr2bl w:val="nil"/>
            </w:tcBorders>
            <w:vAlign w:val="center"/>
          </w:tcPr>
          <w:p w14:paraId="0BF1EB7F">
            <w:pPr>
              <w:jc w:val="center"/>
              <w:rPr>
                <w:rFonts w:ascii="宋体"/>
                <w:szCs w:val="24"/>
              </w:rPr>
            </w:pPr>
          </w:p>
        </w:tc>
        <w:tc>
          <w:tcPr>
            <w:tcW w:w="1276" w:type="dxa"/>
            <w:tcBorders>
              <w:tl2br w:val="nil"/>
              <w:tr2bl w:val="nil"/>
            </w:tcBorders>
            <w:vAlign w:val="center"/>
          </w:tcPr>
          <w:p w14:paraId="1E4B0B3D">
            <w:pPr>
              <w:jc w:val="center"/>
              <w:rPr>
                <w:rFonts w:ascii="宋体"/>
                <w:szCs w:val="24"/>
              </w:rPr>
            </w:pPr>
          </w:p>
        </w:tc>
        <w:tc>
          <w:tcPr>
            <w:tcW w:w="1276" w:type="dxa"/>
            <w:tcBorders>
              <w:tl2br w:val="nil"/>
              <w:tr2bl w:val="nil"/>
            </w:tcBorders>
            <w:vAlign w:val="center"/>
          </w:tcPr>
          <w:p w14:paraId="75863D74">
            <w:pPr>
              <w:jc w:val="center"/>
              <w:rPr>
                <w:rFonts w:ascii="宋体"/>
                <w:szCs w:val="24"/>
              </w:rPr>
            </w:pPr>
          </w:p>
        </w:tc>
      </w:tr>
      <w:tr w14:paraId="2C13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l2br w:val="nil"/>
              <w:tr2bl w:val="nil"/>
            </w:tcBorders>
            <w:vAlign w:val="center"/>
          </w:tcPr>
          <w:p w14:paraId="7146E659">
            <w:pPr>
              <w:jc w:val="center"/>
              <w:rPr>
                <w:rStyle w:val="47"/>
                <w:rFonts w:ascii="宋体" w:hAnsi="宋体"/>
                <w:bCs/>
                <w:kern w:val="0"/>
                <w:szCs w:val="21"/>
              </w:rPr>
            </w:pPr>
            <w:r>
              <w:rPr>
                <w:rStyle w:val="47"/>
                <w:rFonts w:ascii="宋体" w:hAnsi="宋体"/>
                <w:bCs/>
                <w:kern w:val="0"/>
                <w:szCs w:val="21"/>
              </w:rPr>
              <w:t>合计</w:t>
            </w:r>
            <w:r>
              <w:rPr>
                <w:rFonts w:hint="eastAsia"/>
                <w:szCs w:val="24"/>
              </w:rPr>
              <w:t>（含税）</w:t>
            </w:r>
          </w:p>
        </w:tc>
        <w:tc>
          <w:tcPr>
            <w:tcW w:w="5387" w:type="dxa"/>
            <w:gridSpan w:val="4"/>
            <w:tcBorders>
              <w:tl2br w:val="nil"/>
              <w:tr2bl w:val="nil"/>
            </w:tcBorders>
            <w:vAlign w:val="center"/>
          </w:tcPr>
          <w:p w14:paraId="1334BBD1">
            <w:pPr>
              <w:jc w:val="center"/>
              <w:rPr>
                <w:rFonts w:ascii="宋体"/>
                <w:szCs w:val="24"/>
              </w:rPr>
            </w:pPr>
            <w:r>
              <w:rPr>
                <w:rFonts w:hint="eastAsia"/>
                <w:szCs w:val="24"/>
              </w:rPr>
              <w:t>大写（人民币）：元整</w:t>
            </w:r>
          </w:p>
        </w:tc>
      </w:tr>
    </w:tbl>
    <w:p w14:paraId="06CBB3C3">
      <w:pPr>
        <w:rPr>
          <w:rStyle w:val="47"/>
          <w:rFonts w:ascii="宋体" w:hAnsi="宋体"/>
          <w:kern w:val="0"/>
        </w:rPr>
      </w:pPr>
    </w:p>
    <w:p w14:paraId="21DCD07C">
      <w:pPr>
        <w:rPr>
          <w:rFonts w:ascii="宋体"/>
        </w:rPr>
      </w:pPr>
      <w:r>
        <w:rPr>
          <w:rFonts w:hint="eastAsia" w:ascii="宋体"/>
        </w:rPr>
        <w:t>13.2支付方式：</w:t>
      </w:r>
    </w:p>
    <w:p w14:paraId="207D0D89">
      <w:pPr>
        <w:rPr>
          <w:rFonts w:ascii="宋体"/>
        </w:rPr>
      </w:pPr>
      <w:r>
        <w:rPr>
          <w:rFonts w:hint="eastAsia" w:ascii="宋体"/>
        </w:rPr>
        <w:t>本合同款项采用分期付款：</w:t>
      </w:r>
    </w:p>
    <w:p w14:paraId="5ACF460D">
      <w:pPr>
        <w:rPr>
          <w:rFonts w:ascii="宋体"/>
        </w:rPr>
      </w:pPr>
      <w:r>
        <w:rPr>
          <w:rFonts w:hint="eastAsia" w:ascii="宋体"/>
        </w:rPr>
        <w:t>13.2.1项目安装、调试并投入试运行后30个工作日内,乙方向甲方提供合法足额的增值税专用发票，甲方向乙方支付合同总额的60％，即元（大写：</w:t>
      </w:r>
      <w:r>
        <w:rPr>
          <w:rFonts w:hint="eastAsia" w:ascii="宋体"/>
          <w:u w:val="single"/>
        </w:rPr>
        <w:t xml:space="preserve">      元整 </w:t>
      </w:r>
      <w:r>
        <w:rPr>
          <w:rFonts w:hint="eastAsia" w:ascii="宋体"/>
        </w:rPr>
        <w:t>）。</w:t>
      </w:r>
    </w:p>
    <w:p w14:paraId="6AA42E7B">
      <w:pPr>
        <w:rPr>
          <w:rFonts w:ascii="宋体"/>
        </w:rPr>
      </w:pPr>
      <w:r>
        <w:rPr>
          <w:rFonts w:hint="eastAsia" w:ascii="宋体"/>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kern w:val="0"/>
        </w:rPr>
        <w:t>，</w:t>
      </w:r>
      <w:r>
        <w:rPr>
          <w:rFonts w:hint="eastAsia" w:ascii="宋体"/>
        </w:rPr>
        <w:t>即元（大写：</w:t>
      </w:r>
      <w:r>
        <w:rPr>
          <w:rFonts w:hint="eastAsia" w:ascii="宋体"/>
          <w:u w:val="single"/>
        </w:rPr>
        <w:t xml:space="preserve">          元整 </w:t>
      </w:r>
      <w:r>
        <w:rPr>
          <w:rFonts w:hint="eastAsia" w:ascii="宋体"/>
        </w:rPr>
        <w:t>），否则按《服务水平协议（SLA）》进行相应金额扣除。</w:t>
      </w:r>
    </w:p>
    <w:p w14:paraId="151BA4BC">
      <w:pPr>
        <w:rPr>
          <w:rFonts w:ascii="宋体"/>
        </w:rPr>
      </w:pPr>
      <w:r>
        <w:rPr>
          <w:rFonts w:hint="eastAsia" w:ascii="宋体"/>
        </w:rPr>
        <w:t>13.2.3本合同</w:t>
      </w:r>
      <w:r>
        <w:rPr>
          <w:rFonts w:ascii="宋体"/>
        </w:rPr>
        <w:t>第</w:t>
      </w:r>
      <w:r>
        <w:rPr>
          <w:rFonts w:hint="eastAsia" w:ascii="宋体"/>
        </w:rPr>
        <w:t>6.1条</w:t>
      </w:r>
      <w:r>
        <w:rPr>
          <w:rFonts w:ascii="宋体"/>
        </w:rPr>
        <w:t>约定的</w:t>
      </w:r>
      <w:r>
        <w:rPr>
          <w:rFonts w:hint="eastAsia" w:ascii="宋体"/>
        </w:rPr>
        <w:t>维护到期后30个工作日内，甲方依据附件五《服务水平协议（SLA）》对乙方服务质量作出评价，评价合格后，乙方向甲方提供合法足额的增值税专用发票，甲方向乙方支付合同总额的全部余款，即元（大写：</w:t>
      </w:r>
      <w:r>
        <w:rPr>
          <w:rFonts w:hint="eastAsia" w:ascii="宋体"/>
          <w:u w:val="single"/>
        </w:rPr>
        <w:t xml:space="preserve">      元整 </w:t>
      </w:r>
      <w:r>
        <w:rPr>
          <w:rFonts w:hint="eastAsia" w:ascii="宋体"/>
        </w:rPr>
        <w:t>），否则按《服务水平协议（SLA）》进行相应金额扣除（13.2.2中已扣除部分，本条不重复扣减）。</w:t>
      </w:r>
    </w:p>
    <w:p w14:paraId="5E267666">
      <w:pPr>
        <w:rPr>
          <w:rFonts w:ascii="宋体"/>
        </w:rPr>
      </w:pPr>
      <w:r>
        <w:rPr>
          <w:rFonts w:hint="eastAsia" w:ascii="宋体"/>
        </w:rPr>
        <w:t>13.3发票要求：</w:t>
      </w:r>
    </w:p>
    <w:p w14:paraId="6D556740">
      <w:pPr>
        <w:rPr>
          <w:rFonts w:ascii="宋体"/>
        </w:rPr>
      </w:pPr>
      <w:r>
        <w:rPr>
          <w:rFonts w:hint="eastAsia" w:ascii="宋体"/>
        </w:rPr>
        <w:t>乙方须严格按照合同内容开具税率为</w:t>
      </w:r>
      <w:r>
        <w:rPr>
          <w:rFonts w:ascii="宋体"/>
          <w:u w:val="single"/>
        </w:rPr>
        <w:t>13%</w:t>
      </w:r>
      <w:r>
        <w:rPr>
          <w:rFonts w:hint="eastAsia" w:ascii="宋体"/>
        </w:rPr>
        <w:t>的增值税专用发票（若遇国家税率调整另议），乙方在甲方每次付款前</w:t>
      </w:r>
      <w:r>
        <w:rPr>
          <w:rFonts w:ascii="宋体"/>
        </w:rPr>
        <w:t>30</w:t>
      </w:r>
      <w:r>
        <w:rPr>
          <w:rFonts w:hint="eastAsia" w:ascii="宋体"/>
        </w:rPr>
        <w:t>个工作日需向甲方交付合法足额发票，否则甲方有权拒绝支付任何费用且不承担逾期付款违约责任。</w:t>
      </w:r>
    </w:p>
    <w:p w14:paraId="289609C0">
      <w:pPr>
        <w:rPr>
          <w:rFonts w:ascii="宋体"/>
        </w:rPr>
      </w:pPr>
    </w:p>
    <w:p w14:paraId="17E917D3">
      <w:pPr>
        <w:ind w:firstLine="413" w:firstLineChars="196"/>
        <w:outlineLvl w:val="1"/>
        <w:rPr>
          <w:rFonts w:ascii="宋体"/>
          <w:b/>
        </w:rPr>
      </w:pPr>
      <w:bookmarkStart w:id="104" w:name="_Toc84948038"/>
      <w:r>
        <w:rPr>
          <w:rFonts w:hint="eastAsia" w:ascii="宋体"/>
          <w:b/>
        </w:rPr>
        <w:t>第十四条 风险责任的承担</w:t>
      </w:r>
      <w:bookmarkEnd w:id="104"/>
    </w:p>
    <w:p w14:paraId="1967C80E">
      <w:pPr>
        <w:tabs>
          <w:tab w:val="left" w:pos="6020"/>
        </w:tabs>
        <w:rPr>
          <w:rFonts w:ascii="宋体"/>
        </w:rPr>
      </w:pPr>
      <w:r>
        <w:rPr>
          <w:rFonts w:hint="eastAsia" w:ascii="宋体"/>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67270868">
      <w:pPr>
        <w:tabs>
          <w:tab w:val="left" w:pos="6020"/>
        </w:tabs>
        <w:rPr>
          <w:rStyle w:val="47"/>
          <w:rFonts w:ascii="宋体" w:hAnsi="宋体"/>
          <w:kern w:val="0"/>
        </w:rPr>
      </w:pPr>
      <w:r>
        <w:rPr>
          <w:rStyle w:val="47"/>
          <w:rFonts w:hint="eastAsia" w:ascii="宋体" w:hAnsi="宋体"/>
          <w:kern w:val="0"/>
        </w:rPr>
        <w:t>14.2乙方发现可能导致实施项目失败或者部分失败的情况时，应当及时通知甲方并采取适当措施减少损失；乙方没有及时通知甲方并采取适当措施致使损失扩大的，应当就扩大的损失承担责任。</w:t>
      </w:r>
    </w:p>
    <w:p w14:paraId="746C7B86">
      <w:pPr>
        <w:tabs>
          <w:tab w:val="left" w:pos="6020"/>
        </w:tabs>
        <w:rPr>
          <w:rStyle w:val="47"/>
          <w:rFonts w:ascii="宋体" w:hAnsi="宋体"/>
          <w:kern w:val="0"/>
        </w:rPr>
      </w:pPr>
      <w:r>
        <w:rPr>
          <w:rStyle w:val="47"/>
          <w:rFonts w:hint="eastAsia" w:ascii="宋体" w:hAnsi="宋体"/>
          <w:kern w:val="0"/>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6FA2F06F">
      <w:pPr>
        <w:tabs>
          <w:tab w:val="left" w:pos="6020"/>
        </w:tabs>
        <w:rPr>
          <w:rFonts w:ascii="宋体"/>
        </w:rPr>
      </w:pPr>
    </w:p>
    <w:p w14:paraId="7681DC79">
      <w:pPr>
        <w:ind w:firstLine="413" w:firstLineChars="196"/>
        <w:outlineLvl w:val="1"/>
        <w:rPr>
          <w:rFonts w:ascii="宋体"/>
          <w:b/>
        </w:rPr>
      </w:pPr>
      <w:bookmarkStart w:id="105" w:name="_Toc84948039"/>
      <w:r>
        <w:rPr>
          <w:rFonts w:hint="eastAsia" w:ascii="宋体"/>
          <w:b/>
        </w:rPr>
        <w:t>第十五条</w:t>
      </w:r>
      <w:bookmarkStart w:id="106" w:name="_Toc58337511"/>
      <w:r>
        <w:rPr>
          <w:rFonts w:hint="eastAsia" w:ascii="宋体"/>
          <w:b/>
        </w:rPr>
        <w:t xml:space="preserve"> 违约与赔偿</w:t>
      </w:r>
      <w:bookmarkEnd w:id="105"/>
      <w:bookmarkEnd w:id="106"/>
    </w:p>
    <w:p w14:paraId="575FB5E9">
      <w:pPr>
        <w:rPr>
          <w:rFonts w:ascii="宋体"/>
        </w:rPr>
      </w:pPr>
      <w:r>
        <w:rPr>
          <w:rFonts w:hint="eastAsia" w:ascii="宋体"/>
        </w:rPr>
        <w:t>15.1因甲方原因未按本合同规定支付第一期款项</w:t>
      </w:r>
      <w:r>
        <w:rPr>
          <w:rFonts w:ascii="宋体"/>
        </w:rPr>
        <w:t>，且经乙方合理催告后，仍无正当理由并逾期支付达【</w:t>
      </w:r>
      <w:r>
        <w:rPr>
          <w:rFonts w:hint="eastAsia" w:ascii="宋体"/>
        </w:rPr>
        <w:t>30</w:t>
      </w:r>
      <w:r>
        <w:rPr>
          <w:rFonts w:ascii="宋体"/>
        </w:rPr>
        <w:t>】</w:t>
      </w:r>
      <w:r>
        <w:rPr>
          <w:rFonts w:hint="eastAsia" w:ascii="宋体"/>
        </w:rPr>
        <w:t>个工作</w:t>
      </w:r>
      <w:r>
        <w:rPr>
          <w:rFonts w:ascii="宋体"/>
        </w:rPr>
        <w:t>日以上的</w:t>
      </w:r>
      <w:r>
        <w:rPr>
          <w:rFonts w:hint="eastAsia" w:ascii="宋体"/>
        </w:rPr>
        <w:t>，乙方有权解除合同。</w:t>
      </w:r>
    </w:p>
    <w:p w14:paraId="52C68DA5">
      <w:pPr>
        <w:rPr>
          <w:rFonts w:ascii="宋体"/>
        </w:rPr>
      </w:pPr>
      <w:r>
        <w:rPr>
          <w:rFonts w:hint="eastAsia" w:ascii="宋体"/>
        </w:rPr>
        <w:t>15.2因甲方原因逾期支付第二期或第三期款项的，自逾期一个月后的第二天起，每逾期一天支付应付逾期付款金额的万分之五的违约金，违约金总额不超过应付款额的20%。</w:t>
      </w:r>
    </w:p>
    <w:p w14:paraId="06418396">
      <w:pPr>
        <w:rPr>
          <w:rFonts w:ascii="宋体"/>
        </w:rPr>
      </w:pPr>
      <w:r>
        <w:rPr>
          <w:rFonts w:hint="eastAsia" w:ascii="宋体"/>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76AB1CD2">
      <w:pPr>
        <w:rPr>
          <w:rFonts w:ascii="宋体"/>
        </w:rPr>
      </w:pPr>
      <w:r>
        <w:rPr>
          <w:rFonts w:hint="eastAsia" w:ascii="宋体"/>
        </w:rPr>
        <w:t>15.4乙方应按本合同规定的研究开发进程完成开发项目。若因乙方自身原因未按时完成开发项目，则按照附件五《服务水平协议（SLA）》扣除延期违约金。</w:t>
      </w:r>
    </w:p>
    <w:p w14:paraId="64A9B7CA">
      <w:pPr>
        <w:rPr>
          <w:rFonts w:ascii="宋体"/>
        </w:rPr>
      </w:pPr>
      <w:r>
        <w:rPr>
          <w:rFonts w:hint="eastAsia" w:ascii="宋体"/>
        </w:rPr>
        <w:t>15.5乙方未能完成甲方委托的开发项目或开发成果不符合本合同约定的要求，乙方承担本合同总额20%的违约金，并返还甲方已支付的费用。</w:t>
      </w:r>
    </w:p>
    <w:p w14:paraId="0700AAB8">
      <w:pPr>
        <w:rPr>
          <w:rFonts w:ascii="宋体"/>
        </w:rPr>
      </w:pPr>
      <w:r>
        <w:rPr>
          <w:rFonts w:hint="eastAsia" w:ascii="宋体"/>
        </w:rPr>
        <w:t>15.6乙方将甲方支付的费用于履行合同以外的目的，甲方有权制止并要求其纠正。如因此造成本合同项目停滞、延误或失败的，乙方应当承担给甲方造成的损失赔偿责任。</w:t>
      </w:r>
    </w:p>
    <w:p w14:paraId="366AE986">
      <w:pPr>
        <w:rPr>
          <w:rFonts w:ascii="宋体"/>
        </w:rPr>
      </w:pPr>
      <w:r>
        <w:rPr>
          <w:rFonts w:hint="eastAsia" w:ascii="宋体"/>
        </w:rPr>
        <w:t>15.7除本条、附件五《服务水平协议（SLA）》及</w:t>
      </w:r>
      <w:r>
        <w:rPr>
          <w:rFonts w:ascii="宋体"/>
        </w:rPr>
        <w:t>其他条款</w:t>
      </w:r>
      <w:r>
        <w:rPr>
          <w:rFonts w:hint="eastAsia" w:ascii="宋体"/>
        </w:rPr>
        <w:t>另有约定外，乙方违反本合同任一条款的，应向甲方支付合同总额</w:t>
      </w:r>
      <w:r>
        <w:rPr>
          <w:rFonts w:ascii="宋体"/>
        </w:rPr>
        <w:t>5</w:t>
      </w:r>
      <w:r>
        <w:rPr>
          <w:rFonts w:hint="eastAsia" w:ascii="宋体"/>
        </w:rPr>
        <w:t>%的违约金并赔偿甲方产生的损失。</w:t>
      </w:r>
    </w:p>
    <w:p w14:paraId="41FBA148">
      <w:pPr>
        <w:rPr>
          <w:rFonts w:ascii="宋体"/>
        </w:rPr>
      </w:pPr>
      <w:r>
        <w:rPr>
          <w:rFonts w:hint="eastAsia" w:ascii="宋体"/>
        </w:rPr>
        <w:t>15.8本合同项下乙方应支付的违约金、赔偿金等，甲方均有权从应支付给乙方的款项中优先扣除，若有不足，乙方应另行筹措资金补足。</w:t>
      </w:r>
    </w:p>
    <w:p w14:paraId="3E772F89">
      <w:pPr>
        <w:rPr>
          <w:rFonts w:ascii="宋体"/>
        </w:rPr>
      </w:pPr>
    </w:p>
    <w:p w14:paraId="241F8BC5">
      <w:pPr>
        <w:ind w:firstLine="413" w:firstLineChars="196"/>
        <w:outlineLvl w:val="1"/>
        <w:rPr>
          <w:rFonts w:ascii="宋体"/>
          <w:b/>
        </w:rPr>
      </w:pPr>
      <w:bookmarkStart w:id="107" w:name="_Toc84948040"/>
      <w:r>
        <w:rPr>
          <w:rFonts w:hint="eastAsia" w:ascii="宋体"/>
          <w:b/>
        </w:rPr>
        <w:t>第十六条 合同的解除</w:t>
      </w:r>
      <w:bookmarkEnd w:id="107"/>
    </w:p>
    <w:p w14:paraId="3ED5E150">
      <w:pPr>
        <w:rPr>
          <w:rFonts w:ascii="宋体"/>
        </w:rPr>
      </w:pPr>
      <w:r>
        <w:rPr>
          <w:rFonts w:hint="eastAsia" w:ascii="宋体"/>
        </w:rPr>
        <w:t>16.1如果满足以下条件，任一方在通知对方后，都可以解除本合同。</w:t>
      </w:r>
    </w:p>
    <w:p w14:paraId="09D94AE8">
      <w:pPr>
        <w:rPr>
          <w:rFonts w:ascii="宋体"/>
        </w:rPr>
      </w:pPr>
      <w:r>
        <w:rPr>
          <w:rFonts w:hint="eastAsia" w:ascii="宋体"/>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6164F0B4">
      <w:pPr>
        <w:rPr>
          <w:rFonts w:ascii="宋体"/>
        </w:rPr>
      </w:pPr>
      <w:r>
        <w:rPr>
          <w:rFonts w:hint="eastAsia" w:ascii="宋体"/>
        </w:rPr>
        <w:t>（2）当一方按正常程序停止经营业务、破产、处于付款拖欠、延期偿付、公司重组或倒闭状况，或全部转让利润与债权人、书面承认无力偿还到期债务、委派清算人清算其业务或财产。</w:t>
      </w:r>
    </w:p>
    <w:p w14:paraId="7A3E80FC">
      <w:pPr>
        <w:rPr>
          <w:rFonts w:ascii="宋体"/>
        </w:rPr>
      </w:pPr>
      <w:r>
        <w:rPr>
          <w:rFonts w:hint="eastAsia" w:ascii="宋体"/>
        </w:rPr>
        <w:t>16.2除本合同约定的情形外，甲方若认为乙方无法胜任本合同项下工作的，有权随时通知乙方后解除本合同。甲方除据实与乙方结算费用外，不承担其他违约责任。</w:t>
      </w:r>
    </w:p>
    <w:p w14:paraId="4F91C76B">
      <w:pPr>
        <w:rPr>
          <w:rFonts w:ascii="宋体"/>
        </w:rPr>
      </w:pPr>
      <w:r>
        <w:rPr>
          <w:rFonts w:hint="eastAsia" w:ascii="宋体"/>
        </w:rPr>
        <w:t>16.3当本合同以任何原因解除</w:t>
      </w:r>
      <w:r>
        <w:rPr>
          <w:rFonts w:ascii="宋体"/>
        </w:rPr>
        <w:t>或</w:t>
      </w:r>
      <w:r>
        <w:rPr>
          <w:rFonts w:hint="eastAsia" w:ascii="宋体"/>
        </w:rPr>
        <w:t>终止时，乙方应将本合同项下的过程文档、资料等全部交付给甲方，配合甲方完成知识转移，保证甲方能够继续开展工作；乙方应立即停止使用并删除</w:t>
      </w:r>
      <w:r>
        <w:rPr>
          <w:rFonts w:ascii="宋体"/>
        </w:rPr>
        <w:t>或</w:t>
      </w:r>
      <w:r>
        <w:rPr>
          <w:rFonts w:hint="eastAsia" w:ascii="宋体"/>
        </w:rPr>
        <w:t>销毁包含甲方机密信息的所有物件，并证明该销毁情况；或者将这些物件归还给甲方。</w:t>
      </w:r>
    </w:p>
    <w:p w14:paraId="7C9003CE">
      <w:pPr>
        <w:rPr>
          <w:rFonts w:ascii="宋体"/>
          <w:b/>
        </w:rPr>
      </w:pPr>
    </w:p>
    <w:p w14:paraId="73D1118B">
      <w:pPr>
        <w:ind w:firstLine="413" w:firstLineChars="196"/>
        <w:outlineLvl w:val="1"/>
        <w:rPr>
          <w:rFonts w:ascii="宋体"/>
          <w:b/>
        </w:rPr>
      </w:pPr>
      <w:bookmarkStart w:id="108" w:name="_Toc84948041"/>
      <w:r>
        <w:rPr>
          <w:rFonts w:hint="eastAsia" w:ascii="宋体"/>
          <w:b/>
        </w:rPr>
        <w:t>第十七条 合同变更及转让</w:t>
      </w:r>
      <w:bookmarkEnd w:id="108"/>
    </w:p>
    <w:p w14:paraId="7AA2BB84">
      <w:pPr>
        <w:rPr>
          <w:rFonts w:ascii="宋体"/>
        </w:rPr>
      </w:pPr>
      <w:r>
        <w:rPr>
          <w:rFonts w:hint="eastAsia" w:ascii="宋体"/>
        </w:rPr>
        <w:t>17.1对本合同及其附件的内容进行变更，必须经双方协商一致并签订补充协议，方能生效，本合同另有约定的除外。</w:t>
      </w:r>
    </w:p>
    <w:p w14:paraId="5F24591C">
      <w:pPr>
        <w:rPr>
          <w:rFonts w:ascii="宋体"/>
        </w:rPr>
      </w:pPr>
      <w:r>
        <w:rPr>
          <w:rFonts w:hint="eastAsia" w:ascii="宋体"/>
        </w:rPr>
        <w:t>17.2本合同双方在未取得对方事先书面同意的前提下，均不得将各自本合同项下的任何权利或义务转让给第三方。</w:t>
      </w:r>
    </w:p>
    <w:p w14:paraId="55C93B13">
      <w:pPr>
        <w:rPr>
          <w:rFonts w:ascii="宋体"/>
          <w:b/>
        </w:rPr>
      </w:pPr>
    </w:p>
    <w:p w14:paraId="1B369888">
      <w:pPr>
        <w:ind w:firstLine="413" w:firstLineChars="196"/>
        <w:outlineLvl w:val="1"/>
        <w:rPr>
          <w:rFonts w:ascii="宋体"/>
          <w:b/>
        </w:rPr>
      </w:pPr>
      <w:bookmarkStart w:id="109" w:name="_Toc84948042"/>
      <w:r>
        <w:rPr>
          <w:rFonts w:hint="eastAsia" w:ascii="宋体"/>
          <w:b/>
        </w:rPr>
        <w:t>第十八条 争议解决</w:t>
      </w:r>
      <w:bookmarkEnd w:id="109"/>
    </w:p>
    <w:p w14:paraId="24E55A69">
      <w:pPr>
        <w:rPr>
          <w:rFonts w:ascii="宋体"/>
        </w:rPr>
      </w:pPr>
      <w:r>
        <w:rPr>
          <w:rFonts w:hint="eastAsia" w:ascii="宋体"/>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rPr>
        <w:t>委员会按照该会届时有效的仲裁规则</w:t>
      </w:r>
      <w:r>
        <w:rPr>
          <w:rFonts w:hint="eastAsia" w:ascii="宋体"/>
        </w:rPr>
        <w:t>申请</w:t>
      </w:r>
      <w:r>
        <w:rPr>
          <w:rFonts w:ascii="宋体"/>
        </w:rPr>
        <w:t>仲裁，仲裁裁决是终局性的，对双方均有约束力</w:t>
      </w:r>
      <w:r>
        <w:rPr>
          <w:rFonts w:hint="eastAsia" w:ascii="宋体"/>
        </w:rPr>
        <w:t>。</w:t>
      </w:r>
    </w:p>
    <w:p w14:paraId="6ECA73A9">
      <w:pPr>
        <w:rPr>
          <w:rFonts w:ascii="宋体"/>
        </w:rPr>
      </w:pPr>
    </w:p>
    <w:p w14:paraId="15C4CC72">
      <w:pPr>
        <w:ind w:firstLine="413" w:firstLineChars="196"/>
        <w:outlineLvl w:val="1"/>
        <w:rPr>
          <w:rFonts w:ascii="宋体"/>
          <w:b/>
        </w:rPr>
      </w:pPr>
      <w:bookmarkStart w:id="110" w:name="_Toc84948043"/>
      <w:r>
        <w:rPr>
          <w:rFonts w:hint="eastAsia" w:ascii="宋体"/>
          <w:b/>
        </w:rPr>
        <w:t>第十九条 通知与送达</w:t>
      </w:r>
      <w:bookmarkEnd w:id="110"/>
    </w:p>
    <w:p w14:paraId="67813ECB">
      <w:pPr>
        <w:rPr>
          <w:rFonts w:ascii="宋体"/>
        </w:rPr>
      </w:pPr>
      <w:r>
        <w:rPr>
          <w:rFonts w:hint="eastAsia" w:ascii="宋体"/>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788640B1">
      <w:pPr>
        <w:adjustRightInd w:val="0"/>
        <w:spacing w:line="336" w:lineRule="auto"/>
        <w:ind w:firstLine="470" w:firstLineChars="224"/>
        <w:rPr>
          <w:rFonts w:ascii="宋体"/>
        </w:rPr>
      </w:pPr>
      <w:r>
        <w:rPr>
          <w:rFonts w:hint="eastAsia" w:ascii="宋体"/>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7C6B1D19">
      <w:pPr>
        <w:adjustRightInd w:val="0"/>
        <w:spacing w:line="336" w:lineRule="auto"/>
        <w:ind w:firstLine="470" w:firstLineChars="224"/>
        <w:rPr>
          <w:rFonts w:ascii="宋体"/>
        </w:rPr>
      </w:pPr>
    </w:p>
    <w:p w14:paraId="495B9E36">
      <w:pPr>
        <w:ind w:firstLine="413" w:firstLineChars="196"/>
        <w:outlineLvl w:val="1"/>
        <w:rPr>
          <w:rFonts w:ascii="宋体"/>
          <w:b/>
        </w:rPr>
      </w:pPr>
      <w:bookmarkStart w:id="111" w:name="_Toc84948044"/>
      <w:r>
        <w:rPr>
          <w:rFonts w:hint="eastAsia" w:ascii="宋体"/>
          <w:b/>
        </w:rPr>
        <w:t>第二十条 合同生效</w:t>
      </w:r>
      <w:bookmarkEnd w:id="111"/>
    </w:p>
    <w:p w14:paraId="744602DA">
      <w:pPr>
        <w:rPr>
          <w:rFonts w:ascii="宋体"/>
        </w:rPr>
      </w:pPr>
      <w:r>
        <w:rPr>
          <w:rFonts w:hint="eastAsia" w:ascii="宋体"/>
        </w:rPr>
        <w:t>本合同自下列条件全部满足之日起生效：</w:t>
      </w:r>
    </w:p>
    <w:p w14:paraId="19D16AE9">
      <w:pPr>
        <w:rPr>
          <w:rFonts w:ascii="宋体"/>
        </w:rPr>
      </w:pPr>
      <w:r>
        <w:rPr>
          <w:rFonts w:hint="eastAsia" w:ascii="宋体"/>
        </w:rPr>
        <w:t>双方对本合同及其全部附件内容达成一致并加盖公章。</w:t>
      </w:r>
    </w:p>
    <w:p w14:paraId="047DB2C6">
      <w:pPr>
        <w:rPr>
          <w:rFonts w:ascii="宋体"/>
          <w:b/>
        </w:rPr>
      </w:pPr>
    </w:p>
    <w:p w14:paraId="6F0AC372">
      <w:pPr>
        <w:ind w:firstLine="413" w:firstLineChars="196"/>
        <w:outlineLvl w:val="1"/>
        <w:rPr>
          <w:rFonts w:ascii="宋体"/>
          <w:b/>
        </w:rPr>
      </w:pPr>
      <w:bookmarkStart w:id="112" w:name="_Toc84948045"/>
      <w:r>
        <w:rPr>
          <w:rFonts w:hint="eastAsia" w:ascii="宋体"/>
          <w:b/>
        </w:rPr>
        <w:t>第二十一条 不可抗力</w:t>
      </w:r>
      <w:bookmarkEnd w:id="112"/>
    </w:p>
    <w:p w14:paraId="22EBAC28">
      <w:pPr>
        <w:rPr>
          <w:rFonts w:ascii="宋体"/>
          <w:kern w:val="0"/>
        </w:rPr>
      </w:pPr>
      <w:r>
        <w:rPr>
          <w:rFonts w:hint="eastAsia" w:ascii="宋体"/>
          <w:kern w:val="0"/>
        </w:rPr>
        <w:t>21.1不可抗力是指本合同生效后，发生不能预见并且对其发生和后果不能防止或避免的事件，如地震、台风、水灾、火灾、战争、传染病等，致使直接影响本合同的履行或不能按约定的条件履行。</w:t>
      </w:r>
    </w:p>
    <w:p w14:paraId="4C530DB2">
      <w:pPr>
        <w:rPr>
          <w:rFonts w:ascii="宋体"/>
          <w:kern w:val="0"/>
        </w:rPr>
      </w:pPr>
      <w:r>
        <w:rPr>
          <w:rFonts w:hint="eastAsia" w:ascii="宋体"/>
          <w:kern w:val="0"/>
        </w:rPr>
        <w:t>21.2发生不可抗力的一方应立即通知对方，并在十五天内提供不可抗力的详情及将有关证明文件送交对方。</w:t>
      </w:r>
    </w:p>
    <w:p w14:paraId="603E6F66">
      <w:pPr>
        <w:rPr>
          <w:rFonts w:ascii="宋体"/>
          <w:kern w:val="0"/>
        </w:rPr>
      </w:pPr>
      <w:r>
        <w:rPr>
          <w:rFonts w:hint="eastAsia" w:ascii="宋体"/>
          <w:kern w:val="0"/>
        </w:rPr>
        <w:t>21.3发生不可抗力事件时，甲乙双方应协商以寻找一个合理的解决方法，并尽一切努力减轻不可抗力产生的后果。</w:t>
      </w:r>
    </w:p>
    <w:p w14:paraId="15FFB014">
      <w:pPr>
        <w:rPr>
          <w:rFonts w:ascii="宋体"/>
          <w:kern w:val="0"/>
        </w:rPr>
      </w:pPr>
      <w:r>
        <w:rPr>
          <w:rFonts w:hint="eastAsia" w:ascii="宋体"/>
          <w:kern w:val="0"/>
        </w:rPr>
        <w:t>21.4如不可抗力事件持续三十天时，甲乙双方应友好协商解决本合同是否继续履行或终止的问题。</w:t>
      </w:r>
    </w:p>
    <w:p w14:paraId="1F91634F">
      <w:pPr>
        <w:rPr>
          <w:rFonts w:ascii="宋体"/>
          <w:b/>
        </w:rPr>
      </w:pPr>
    </w:p>
    <w:p w14:paraId="7E950C45">
      <w:pPr>
        <w:ind w:firstLine="413" w:firstLineChars="196"/>
        <w:outlineLvl w:val="1"/>
        <w:rPr>
          <w:rFonts w:ascii="宋体"/>
          <w:b/>
        </w:rPr>
      </w:pPr>
      <w:bookmarkStart w:id="113" w:name="_Toc84948046"/>
      <w:r>
        <w:rPr>
          <w:rFonts w:hint="eastAsia" w:ascii="宋体"/>
          <w:b/>
        </w:rPr>
        <w:t>第二十二条 反商业贿赂</w:t>
      </w:r>
      <w:bookmarkEnd w:id="113"/>
    </w:p>
    <w:p w14:paraId="5D2F76EC">
      <w:pPr>
        <w:rPr>
          <w:rFonts w:ascii="宋体"/>
        </w:rPr>
      </w:pPr>
      <w:r>
        <w:rPr>
          <w:rFonts w:hint="eastAsia" w:ascii="宋体"/>
        </w:rPr>
        <w:t>乙方不得对甲方或甲方任何员工有任何商业贿赂的行为，否则经查证属实后，乙方应对甲方赔付相当于合同总额50%的赔偿金。该条在法律允许的范围内，不受任何免责或限制责任的条款制约。</w:t>
      </w:r>
    </w:p>
    <w:p w14:paraId="3CC74CAC">
      <w:pPr>
        <w:rPr>
          <w:rFonts w:ascii="宋体"/>
          <w:b/>
        </w:rPr>
      </w:pPr>
    </w:p>
    <w:p w14:paraId="6455B2C4">
      <w:pPr>
        <w:ind w:firstLine="413" w:firstLineChars="196"/>
        <w:outlineLvl w:val="1"/>
        <w:rPr>
          <w:rFonts w:ascii="宋体"/>
          <w:b/>
        </w:rPr>
      </w:pPr>
      <w:bookmarkStart w:id="114" w:name="_Toc84948047"/>
      <w:r>
        <w:rPr>
          <w:rFonts w:hint="eastAsia" w:ascii="宋体"/>
          <w:b/>
        </w:rPr>
        <w:t>第二十三条 附件</w:t>
      </w:r>
      <w:bookmarkEnd w:id="114"/>
    </w:p>
    <w:p w14:paraId="0EBDA4AD">
      <w:pPr>
        <w:ind w:firstLine="489" w:firstLineChars="233"/>
        <w:rPr>
          <w:rFonts w:ascii="宋体"/>
        </w:rPr>
      </w:pPr>
      <w:r>
        <w:rPr>
          <w:rFonts w:hint="eastAsia" w:ascii="宋体"/>
        </w:rPr>
        <w:t>本合同的附件与合同正本具有同等法律效力，主合同与附件如有冲突，以主合同为准。本合同附件如下：</w:t>
      </w:r>
    </w:p>
    <w:p w14:paraId="1415570F">
      <w:pPr>
        <w:ind w:left="560"/>
        <w:rPr>
          <w:rFonts w:ascii="宋体"/>
        </w:rPr>
      </w:pPr>
      <w:r>
        <w:rPr>
          <w:rFonts w:hint="eastAsia" w:ascii="宋体"/>
        </w:rPr>
        <w:t>附件一：工作（需求）说明书</w:t>
      </w:r>
    </w:p>
    <w:p w14:paraId="0C160CEF">
      <w:pPr>
        <w:ind w:left="560"/>
        <w:rPr>
          <w:rFonts w:ascii="宋体"/>
        </w:rPr>
      </w:pPr>
      <w:r>
        <w:rPr>
          <w:rFonts w:hint="eastAsia" w:ascii="宋体"/>
        </w:rPr>
        <w:t>附件二：项目人员名单及人员应急退出机制</w:t>
      </w:r>
    </w:p>
    <w:p w14:paraId="466CD7A1">
      <w:pPr>
        <w:ind w:left="560"/>
        <w:rPr>
          <w:rFonts w:ascii="宋体"/>
        </w:rPr>
      </w:pPr>
      <w:r>
        <w:rPr>
          <w:rFonts w:hint="eastAsia" w:ascii="宋体"/>
        </w:rPr>
        <w:t>附件三：验收标准及流程</w:t>
      </w:r>
    </w:p>
    <w:p w14:paraId="391D9032">
      <w:pPr>
        <w:ind w:left="560"/>
        <w:rPr>
          <w:rFonts w:ascii="宋体"/>
        </w:rPr>
      </w:pPr>
      <w:r>
        <w:rPr>
          <w:rFonts w:hint="eastAsia" w:ascii="宋体"/>
        </w:rPr>
        <w:t>附件四：维护服务条款</w:t>
      </w:r>
    </w:p>
    <w:p w14:paraId="2288359C">
      <w:pPr>
        <w:ind w:left="560"/>
        <w:rPr>
          <w:rFonts w:ascii="宋体"/>
        </w:rPr>
      </w:pPr>
      <w:r>
        <w:rPr>
          <w:rFonts w:hint="eastAsia" w:ascii="宋体"/>
        </w:rPr>
        <w:t>附件五：服务水平协议（SLA）</w:t>
      </w:r>
    </w:p>
    <w:p w14:paraId="04EB7255">
      <w:pPr>
        <w:ind w:left="560"/>
        <w:rPr>
          <w:rFonts w:ascii="宋体"/>
        </w:rPr>
      </w:pPr>
      <w:r>
        <w:rPr>
          <w:rFonts w:hint="eastAsia" w:ascii="宋体"/>
        </w:rPr>
        <w:t>附件六：服务连续性预案</w:t>
      </w:r>
    </w:p>
    <w:p w14:paraId="5D0656D5">
      <w:pPr>
        <w:ind w:left="560"/>
        <w:rPr>
          <w:rFonts w:ascii="宋体"/>
        </w:rPr>
      </w:pPr>
    </w:p>
    <w:p w14:paraId="4FC34EEC">
      <w:pPr>
        <w:ind w:firstLine="413" w:firstLineChars="196"/>
        <w:outlineLvl w:val="1"/>
        <w:rPr>
          <w:rFonts w:ascii="宋体"/>
          <w:b/>
        </w:rPr>
      </w:pPr>
      <w:bookmarkStart w:id="115" w:name="_Toc84948048"/>
      <w:r>
        <w:rPr>
          <w:rFonts w:hint="eastAsia" w:ascii="宋体"/>
          <w:b/>
        </w:rPr>
        <w:t>第二十四条 其他</w:t>
      </w:r>
      <w:bookmarkEnd w:id="115"/>
    </w:p>
    <w:p w14:paraId="0FC3D0E6">
      <w:pPr>
        <w:rPr>
          <w:rFonts w:ascii="宋体"/>
        </w:rPr>
      </w:pPr>
      <w:r>
        <w:rPr>
          <w:rFonts w:hint="eastAsia" w:ascii="宋体"/>
        </w:rPr>
        <w:t>24.1除本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03D3218B">
      <w:pPr>
        <w:rPr>
          <w:rFonts w:ascii="宋体"/>
        </w:rPr>
      </w:pPr>
      <w:r>
        <w:rPr>
          <w:rFonts w:hint="eastAsia" w:ascii="宋体"/>
        </w:rPr>
        <w:t>24.2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14:paraId="086E1C2E">
      <w:pPr>
        <w:rPr>
          <w:rFonts w:ascii="宋体"/>
        </w:rPr>
      </w:pPr>
      <w:r>
        <w:rPr>
          <w:rFonts w:hint="eastAsia" w:ascii="宋体"/>
        </w:rPr>
        <w:t>24.3本合同签订后，如需要就与合同执行有关的事项签订补充合同，应由双方加盖公章后，补充合同即生效。本合同附件为本合同的组成部分，本合同与附件如有冲突，以本合同为准。</w:t>
      </w:r>
    </w:p>
    <w:p w14:paraId="3B1E313E">
      <w:pPr>
        <w:rPr>
          <w:rFonts w:ascii="宋体"/>
        </w:rPr>
      </w:pPr>
      <w:r>
        <w:rPr>
          <w:rFonts w:hint="eastAsia" w:ascii="宋体"/>
        </w:rPr>
        <w:t>24.4本合同以中文版本为准，除非本合同明确规定或双方另有约定，为履行本合同的所有文件及信函均以中文书写。</w:t>
      </w:r>
    </w:p>
    <w:p w14:paraId="00595008">
      <w:pPr>
        <w:rPr>
          <w:rFonts w:ascii="宋体"/>
          <w:b/>
          <w:i/>
        </w:rPr>
      </w:pPr>
      <w:r>
        <w:rPr>
          <w:rFonts w:hint="eastAsia" w:ascii="宋体"/>
        </w:rPr>
        <w:t>24.5本合同一式肆份，甲方执贰份，乙方执贰份，每份具有同等法律效力。</w:t>
      </w:r>
    </w:p>
    <w:p w14:paraId="61D6B131">
      <w:pPr>
        <w:rPr>
          <w:rFonts w:ascii="宋体"/>
          <w:b/>
          <w:iCs/>
        </w:rPr>
      </w:pPr>
      <w:r>
        <w:rPr>
          <w:rFonts w:hint="eastAsia" w:ascii="宋体"/>
          <w:b/>
          <w:iCs/>
        </w:rPr>
        <w:t>（以下无正文）</w:t>
      </w:r>
    </w:p>
    <w:p w14:paraId="4774685D">
      <w:pPr>
        <w:rPr>
          <w:rFonts w:ascii="宋体"/>
          <w:b/>
          <w:iCs/>
        </w:rPr>
      </w:pPr>
    </w:p>
    <w:p w14:paraId="35F557D0">
      <w:pPr>
        <w:rPr>
          <w:rFonts w:ascii="宋体"/>
          <w:b/>
          <w:i/>
        </w:rPr>
      </w:pPr>
    </w:p>
    <w:p w14:paraId="44577278">
      <w:pPr>
        <w:rPr>
          <w:rFonts w:ascii="宋体"/>
          <w:b/>
          <w:i/>
        </w:rPr>
      </w:pPr>
    </w:p>
    <w:p w14:paraId="2654CF2B">
      <w:pPr>
        <w:tabs>
          <w:tab w:val="left" w:pos="851"/>
        </w:tabs>
        <w:adjustRightInd w:val="0"/>
        <w:textAlignment w:val="baseline"/>
        <w:rPr>
          <w:rFonts w:ascii="宋体"/>
          <w:kern w:val="0"/>
        </w:rPr>
      </w:pPr>
      <w:r>
        <w:rPr>
          <w:rFonts w:hint="eastAsia" w:ascii="宋体"/>
          <w:kern w:val="0"/>
        </w:rPr>
        <w:t>甲方：</w:t>
      </w:r>
      <w:r>
        <w:rPr>
          <w:rFonts w:hint="eastAsia" w:ascii="宋体"/>
          <w:b/>
        </w:rPr>
        <w:t>重庆三峡银行股份有限公司</w:t>
      </w:r>
      <w:r>
        <w:rPr>
          <w:rFonts w:hint="eastAsia" w:ascii="宋体"/>
          <w:kern w:val="0"/>
        </w:rPr>
        <w:t>（公章）</w:t>
      </w:r>
    </w:p>
    <w:p w14:paraId="7A82F91D">
      <w:pPr>
        <w:rPr>
          <w:rFonts w:ascii="宋体"/>
        </w:rPr>
      </w:pPr>
    </w:p>
    <w:p w14:paraId="33B89C83">
      <w:pPr>
        <w:tabs>
          <w:tab w:val="left" w:pos="851"/>
        </w:tabs>
        <w:adjustRightInd w:val="0"/>
        <w:ind w:firstLine="630" w:firstLineChars="300"/>
        <w:textAlignment w:val="baseline"/>
        <w:rPr>
          <w:rFonts w:ascii="宋体"/>
          <w:kern w:val="0"/>
        </w:rPr>
      </w:pPr>
    </w:p>
    <w:p w14:paraId="3C5EFA1D">
      <w:pPr>
        <w:rPr>
          <w:rFonts w:ascii="宋体"/>
        </w:rPr>
      </w:pPr>
    </w:p>
    <w:p w14:paraId="7333BFCB">
      <w:pPr>
        <w:rPr>
          <w:rFonts w:ascii="宋体"/>
        </w:rPr>
      </w:pPr>
      <w:r>
        <w:rPr>
          <w:rFonts w:hint="eastAsia" w:ascii="宋体"/>
        </w:rPr>
        <w:t>乙方：</w:t>
      </w:r>
      <w:r>
        <w:rPr>
          <w:rFonts w:hint="eastAsia" w:ascii="宋体"/>
          <w:b/>
        </w:rPr>
        <w:t>X</w:t>
      </w:r>
      <w:r>
        <w:rPr>
          <w:rFonts w:ascii="宋体"/>
          <w:b/>
        </w:rPr>
        <w:t>XXXXXXXXXXXXXXX</w:t>
      </w:r>
      <w:r>
        <w:rPr>
          <w:rFonts w:hint="eastAsia" w:ascii="宋体"/>
          <w:b/>
        </w:rPr>
        <w:t>公司</w:t>
      </w:r>
      <w:r>
        <w:rPr>
          <w:rFonts w:hint="eastAsia" w:ascii="宋体"/>
        </w:rPr>
        <w:t>（公章）</w:t>
      </w:r>
    </w:p>
    <w:p w14:paraId="60AAEE93">
      <w:pPr>
        <w:rPr>
          <w:rFonts w:ascii="宋体"/>
        </w:rPr>
      </w:pPr>
    </w:p>
    <w:p w14:paraId="7BB24562">
      <w:pPr>
        <w:ind w:firstLine="4620" w:firstLineChars="2200"/>
        <w:rPr>
          <w:rFonts w:ascii="宋体"/>
        </w:rPr>
      </w:pPr>
      <w:r>
        <w:rPr>
          <w:rFonts w:hint="eastAsia" w:ascii="宋体"/>
        </w:rPr>
        <w:t>日期：  年  月  日</w:t>
      </w:r>
    </w:p>
    <w:p w14:paraId="15428E86">
      <w:pPr>
        <w:pStyle w:val="3"/>
        <w:rPr>
          <w:rStyle w:val="47"/>
          <w:rFonts w:ascii="宋体" w:hAnsi="宋体"/>
          <w:kern w:val="0"/>
          <w:sz w:val="30"/>
        </w:rPr>
      </w:pPr>
      <w:r>
        <w:br w:type="page"/>
      </w:r>
      <w:bookmarkStart w:id="116" w:name="_Toc84948049"/>
      <w:bookmarkStart w:id="117" w:name="_Toc63757481"/>
      <w:r>
        <w:rPr>
          <w:rStyle w:val="47"/>
          <w:rFonts w:hint="eastAsia" w:ascii="宋体" w:hAnsi="宋体"/>
          <w:kern w:val="0"/>
          <w:sz w:val="30"/>
        </w:rPr>
        <w:t>附件一：工作（需求）说明书</w:t>
      </w:r>
      <w:bookmarkEnd w:id="116"/>
      <w:bookmarkEnd w:id="117"/>
    </w:p>
    <w:p w14:paraId="7956E1CA">
      <w:pPr>
        <w:rPr>
          <w:rStyle w:val="47"/>
          <w:rFonts w:ascii="宋体" w:hAnsi="宋体"/>
          <w:kern w:val="0"/>
          <w:sz w:val="30"/>
        </w:rPr>
      </w:pPr>
      <w:bookmarkStart w:id="118" w:name="_Toc84948050"/>
      <w:bookmarkStart w:id="119" w:name="_Toc63757482"/>
    </w:p>
    <w:p w14:paraId="2B8692B2">
      <w:pPr>
        <w:pStyle w:val="3"/>
        <w:rPr>
          <w:rStyle w:val="47"/>
          <w:rFonts w:ascii="宋体" w:hAnsi="宋体"/>
          <w:kern w:val="0"/>
          <w:sz w:val="30"/>
        </w:rPr>
      </w:pPr>
      <w:r>
        <w:rPr>
          <w:rStyle w:val="47"/>
          <w:rFonts w:ascii="宋体" w:hAnsi="宋体"/>
          <w:kern w:val="0"/>
          <w:sz w:val="30"/>
        </w:rPr>
        <w:br w:type="page"/>
      </w:r>
      <w:r>
        <w:rPr>
          <w:rStyle w:val="47"/>
          <w:rFonts w:hint="eastAsia" w:ascii="宋体" w:hAnsi="宋体"/>
          <w:kern w:val="0"/>
          <w:sz w:val="30"/>
        </w:rPr>
        <w:t>附件二：项目人员名单及人员应急退出机制</w:t>
      </w:r>
      <w:bookmarkEnd w:id="118"/>
      <w:bookmarkEnd w:id="119"/>
    </w:p>
    <w:p w14:paraId="240E796E">
      <w:pPr>
        <w:rPr>
          <w:rStyle w:val="47"/>
          <w:rFonts w:ascii="宋体" w:hAnsi="宋体"/>
          <w:kern w:val="0"/>
        </w:rPr>
      </w:pPr>
    </w:p>
    <w:p w14:paraId="17A99851">
      <w:pPr>
        <w:rPr>
          <w:rStyle w:val="47"/>
          <w:rFonts w:ascii="宋体" w:hAnsi="宋体"/>
          <w:b/>
          <w:kern w:val="0"/>
        </w:rPr>
      </w:pPr>
      <w:r>
        <w:rPr>
          <w:rStyle w:val="47"/>
          <w:rFonts w:hint="eastAsia" w:ascii="宋体" w:hAnsi="宋体"/>
          <w:b/>
          <w:kern w:val="0"/>
        </w:rPr>
        <w:t>一、项目人员名单</w:t>
      </w:r>
    </w:p>
    <w:p w14:paraId="46F2F39F">
      <w:pPr>
        <w:rPr>
          <w:rStyle w:val="47"/>
          <w:rFonts w:ascii="宋体" w:hAnsi="宋体"/>
          <w:kern w:val="0"/>
        </w:rPr>
      </w:pPr>
      <w:r>
        <w:rPr>
          <w:rStyle w:val="47"/>
          <w:rFonts w:hint="eastAsia" w:ascii="宋体" w:hAnsi="宋体"/>
          <w:kern w:val="0"/>
        </w:rPr>
        <w:t xml:space="preserve">项目经理： </w:t>
      </w:r>
    </w:p>
    <w:p w14:paraId="1E1AF398">
      <w:pPr>
        <w:rPr>
          <w:rStyle w:val="47"/>
          <w:rFonts w:ascii="宋体" w:hAnsi="宋体"/>
          <w:kern w:val="0"/>
        </w:rPr>
      </w:pPr>
      <w:r>
        <w:rPr>
          <w:rStyle w:val="47"/>
          <w:rFonts w:hint="eastAsia" w:ascii="宋体" w:hAnsi="宋体"/>
          <w:kern w:val="0"/>
        </w:rPr>
        <w:t>技术骨干：</w:t>
      </w:r>
    </w:p>
    <w:p w14:paraId="039095FF">
      <w:pPr>
        <w:rPr>
          <w:rStyle w:val="47"/>
          <w:rFonts w:ascii="宋体" w:hAnsi="宋体"/>
          <w:kern w:val="0"/>
        </w:rPr>
      </w:pPr>
      <w:r>
        <w:rPr>
          <w:rStyle w:val="47"/>
          <w:rFonts w:hint="eastAsia" w:ascii="宋体" w:hAnsi="宋体"/>
          <w:kern w:val="0"/>
        </w:rPr>
        <w:t xml:space="preserve">项目组成员： </w:t>
      </w:r>
    </w:p>
    <w:p w14:paraId="61FA94CE">
      <w:pPr>
        <w:rPr>
          <w:rStyle w:val="47"/>
          <w:rFonts w:ascii="宋体" w:hAnsi="宋体"/>
          <w:kern w:val="0"/>
        </w:rPr>
      </w:pPr>
    </w:p>
    <w:p w14:paraId="23EE7CCD">
      <w:pPr>
        <w:rPr>
          <w:rStyle w:val="47"/>
          <w:rFonts w:ascii="宋体" w:hAnsi="宋体"/>
          <w:b/>
          <w:kern w:val="0"/>
        </w:rPr>
      </w:pPr>
      <w:r>
        <w:rPr>
          <w:rStyle w:val="47"/>
          <w:rFonts w:hint="eastAsia" w:ascii="宋体" w:hAnsi="宋体"/>
          <w:b/>
          <w:kern w:val="0"/>
        </w:rPr>
        <w:t>二、人员应急退出机制</w:t>
      </w:r>
    </w:p>
    <w:p w14:paraId="2192CF78">
      <w:pPr>
        <w:rPr>
          <w:rStyle w:val="47"/>
          <w:rFonts w:ascii="宋体" w:hAnsi="宋体"/>
          <w:kern w:val="0"/>
        </w:rPr>
      </w:pPr>
      <w:r>
        <w:rPr>
          <w:rStyle w:val="47"/>
          <w:rFonts w:hint="eastAsia" w:ascii="宋体" w:hAnsi="宋体"/>
          <w:kern w:val="0"/>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75403943">
      <w:pPr>
        <w:ind w:firstLine="465" w:firstLineChars="0"/>
        <w:rPr>
          <w:rStyle w:val="47"/>
          <w:rFonts w:ascii="宋体" w:hAnsi="宋体"/>
          <w:kern w:val="0"/>
        </w:rPr>
      </w:pPr>
      <w:r>
        <w:rPr>
          <w:rStyle w:val="47"/>
          <w:rFonts w:hint="eastAsia" w:ascii="宋体" w:hAnsi="宋体"/>
          <w:kern w:val="0"/>
        </w:rPr>
        <w:t>备用项目经理：</w:t>
      </w:r>
    </w:p>
    <w:p w14:paraId="564254ED">
      <w:pPr>
        <w:ind w:firstLine="465" w:firstLineChars="0"/>
        <w:rPr>
          <w:rStyle w:val="47"/>
          <w:rFonts w:ascii="宋体" w:hAnsi="宋体"/>
          <w:kern w:val="0"/>
        </w:rPr>
      </w:pPr>
      <w:r>
        <w:rPr>
          <w:rStyle w:val="47"/>
          <w:rFonts w:hint="eastAsia" w:ascii="宋体" w:hAnsi="宋体"/>
          <w:kern w:val="0"/>
        </w:rPr>
        <w:t>备用技术骨干：</w:t>
      </w:r>
    </w:p>
    <w:p w14:paraId="3EC47291">
      <w:pPr>
        <w:pStyle w:val="3"/>
        <w:rPr>
          <w:rStyle w:val="47"/>
          <w:rFonts w:ascii="宋体" w:hAnsi="宋体"/>
          <w:kern w:val="0"/>
          <w:sz w:val="30"/>
        </w:rPr>
      </w:pPr>
      <w:r>
        <w:rPr>
          <w:rStyle w:val="47"/>
          <w:rFonts w:hint="eastAsia" w:ascii="宋体" w:hAnsi="宋体"/>
          <w:b w:val="0"/>
          <w:kern w:val="0"/>
          <w:sz w:val="30"/>
        </w:rPr>
        <w:br w:type="page"/>
      </w:r>
      <w:bookmarkStart w:id="120" w:name="_Toc84948051"/>
      <w:bookmarkStart w:id="121" w:name="_Toc63757483"/>
      <w:r>
        <w:rPr>
          <w:rStyle w:val="47"/>
          <w:rFonts w:hint="eastAsia" w:ascii="宋体" w:hAnsi="宋体"/>
          <w:kern w:val="0"/>
          <w:sz w:val="30"/>
        </w:rPr>
        <w:t>附件三：验收标准及流程</w:t>
      </w:r>
      <w:bookmarkEnd w:id="120"/>
      <w:bookmarkEnd w:id="121"/>
    </w:p>
    <w:p w14:paraId="7AC62B98">
      <w:pPr>
        <w:rPr>
          <w:rStyle w:val="47"/>
          <w:rFonts w:ascii="宋体" w:hAnsi="宋体"/>
          <w:kern w:val="0"/>
        </w:rPr>
      </w:pPr>
      <w:r>
        <w:rPr>
          <w:rStyle w:val="47"/>
          <w:rFonts w:hint="eastAsia" w:ascii="宋体" w:hAnsi="宋体"/>
          <w:b/>
          <w:kern w:val="0"/>
        </w:rPr>
        <w:t>一、验收标准</w:t>
      </w:r>
    </w:p>
    <w:p w14:paraId="0EA650D5">
      <w:pPr>
        <w:numPr>
          <w:ilvl w:val="0"/>
          <w:numId w:val="1"/>
        </w:numPr>
        <w:ind w:firstLineChars="0"/>
        <w:rPr>
          <w:rStyle w:val="47"/>
          <w:rFonts w:ascii="宋体" w:hAnsi="宋体"/>
          <w:kern w:val="0"/>
        </w:rPr>
      </w:pPr>
      <w:r>
        <w:rPr>
          <w:rStyle w:val="47"/>
          <w:rFonts w:hint="eastAsia" w:ascii="宋体" w:hAnsi="宋体"/>
          <w:kern w:val="0"/>
        </w:rPr>
        <w:t>验收系统须满足试运行期内项目产品运行稳定、无遗留问题。</w:t>
      </w:r>
    </w:p>
    <w:p w14:paraId="7BF37247">
      <w:pPr>
        <w:numPr>
          <w:ilvl w:val="0"/>
          <w:numId w:val="1"/>
        </w:numPr>
        <w:ind w:firstLineChars="0"/>
        <w:rPr>
          <w:rStyle w:val="47"/>
          <w:rFonts w:ascii="宋体" w:hAnsi="宋体"/>
          <w:kern w:val="0"/>
        </w:rPr>
      </w:pPr>
      <w:r>
        <w:rPr>
          <w:rStyle w:val="47"/>
          <w:rFonts w:hint="eastAsia" w:ascii="宋体" w:hAnsi="宋体"/>
          <w:kern w:val="0"/>
        </w:rPr>
        <w:t>项目知识及文档已全部完成转移。</w:t>
      </w:r>
    </w:p>
    <w:p w14:paraId="619AEA5C">
      <w:pPr>
        <w:ind w:firstLine="315" w:firstLineChars="150"/>
        <w:rPr>
          <w:rStyle w:val="47"/>
          <w:rFonts w:ascii="宋体" w:hAnsi="宋体"/>
          <w:kern w:val="0"/>
        </w:rPr>
      </w:pPr>
      <w:r>
        <w:rPr>
          <w:rStyle w:val="47"/>
          <w:rFonts w:hint="eastAsia" w:ascii="宋体" w:hAnsi="宋体"/>
          <w:kern w:val="0"/>
        </w:rPr>
        <w:t>3、验收交付物包括：</w:t>
      </w:r>
    </w:p>
    <w:p w14:paraId="508DC250">
      <w:pPr>
        <w:rPr>
          <w:rStyle w:val="47"/>
          <w:rFonts w:ascii="宋体" w:hAnsi="宋体"/>
          <w:iCs/>
          <w:kern w:val="0"/>
        </w:rPr>
      </w:pPr>
      <w:r>
        <w:rPr>
          <w:rStyle w:val="47"/>
          <w:rFonts w:hint="eastAsia" w:ascii="宋体" w:hAnsi="宋体"/>
          <w:iCs/>
          <w:kern w:val="0"/>
        </w:rPr>
        <w:t>《项目需求分析说明书》、《概要设计说明书》、《详细设计说明书》、《数据库设计说明书》、《系统安装部署手册》、《系统运行维护手册》、《用户操作手册》、《试运行报告》、《验收报告》</w:t>
      </w:r>
      <w:r>
        <w:rPr>
          <w:rStyle w:val="47"/>
          <w:rFonts w:ascii="宋体" w:hAnsi="宋体"/>
          <w:kern w:val="0"/>
        </w:rPr>
        <w:t>、</w:t>
      </w:r>
      <w:r>
        <w:rPr>
          <w:rStyle w:val="47"/>
          <w:rFonts w:hint="eastAsia" w:ascii="宋体" w:hAnsi="宋体"/>
          <w:kern w:val="0"/>
        </w:rPr>
        <w:t>《系统测试计划》、《系统测试报告》、《性能测试报告》</w:t>
      </w:r>
      <w:r>
        <w:rPr>
          <w:rStyle w:val="47"/>
          <w:rFonts w:ascii="宋体" w:hAnsi="宋体"/>
          <w:kern w:val="0"/>
        </w:rPr>
        <w:t>、全部源代码（10.3条款注明的）。</w:t>
      </w:r>
    </w:p>
    <w:p w14:paraId="125DA169">
      <w:pPr>
        <w:rPr>
          <w:rStyle w:val="47"/>
          <w:rFonts w:ascii="宋体" w:hAnsi="宋体"/>
          <w:iCs/>
          <w:kern w:val="0"/>
        </w:rPr>
      </w:pPr>
    </w:p>
    <w:p w14:paraId="60D05321">
      <w:pPr>
        <w:rPr>
          <w:rStyle w:val="47"/>
          <w:rFonts w:ascii="宋体" w:hAnsi="宋体"/>
          <w:b/>
          <w:kern w:val="0"/>
        </w:rPr>
      </w:pPr>
      <w:r>
        <w:rPr>
          <w:rStyle w:val="47"/>
          <w:rFonts w:hint="eastAsia" w:ascii="宋体" w:hAnsi="宋体"/>
          <w:b/>
          <w:kern w:val="0"/>
        </w:rPr>
        <w:t>二、验收流程</w:t>
      </w:r>
    </w:p>
    <w:p w14:paraId="6C603E43">
      <w:pPr>
        <w:ind w:left="2" w:leftChars="1" w:firstLine="315" w:firstLineChars="150"/>
        <w:rPr>
          <w:rStyle w:val="47"/>
          <w:rFonts w:ascii="宋体" w:hAnsi="宋体"/>
          <w:kern w:val="0"/>
        </w:rPr>
      </w:pPr>
      <w:r>
        <w:rPr>
          <w:rStyle w:val="47"/>
          <w:rFonts w:hint="eastAsia" w:ascii="宋体" w:hAnsi="宋体"/>
          <w:kern w:val="0"/>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1BBDF2FA">
      <w:pPr>
        <w:ind w:left="-358"/>
        <w:rPr>
          <w:rStyle w:val="47"/>
          <w:rFonts w:ascii="宋体" w:hAnsi="宋体"/>
          <w:kern w:val="0"/>
        </w:rPr>
      </w:pPr>
    </w:p>
    <w:p w14:paraId="54757141">
      <w:pPr>
        <w:pStyle w:val="3"/>
        <w:rPr>
          <w:rStyle w:val="47"/>
          <w:rFonts w:ascii="宋体" w:hAnsi="宋体"/>
          <w:kern w:val="0"/>
          <w:sz w:val="30"/>
        </w:rPr>
      </w:pPr>
      <w:r>
        <w:rPr>
          <w:rStyle w:val="47"/>
          <w:rFonts w:hint="eastAsia" w:ascii="宋体" w:hAnsi="宋体"/>
          <w:b w:val="0"/>
          <w:kern w:val="0"/>
          <w:sz w:val="30"/>
        </w:rPr>
        <w:br w:type="page"/>
      </w:r>
      <w:bookmarkStart w:id="122" w:name="_Toc63757484"/>
      <w:bookmarkStart w:id="123" w:name="_Toc84948052"/>
      <w:r>
        <w:rPr>
          <w:rStyle w:val="47"/>
          <w:rFonts w:hint="eastAsia" w:ascii="宋体" w:hAnsi="宋体"/>
          <w:kern w:val="0"/>
          <w:sz w:val="30"/>
        </w:rPr>
        <w:t>附件四：维护服务条款</w:t>
      </w:r>
      <w:bookmarkEnd w:id="122"/>
      <w:bookmarkEnd w:id="123"/>
    </w:p>
    <w:p w14:paraId="5C7A7D3D">
      <w:pPr>
        <w:ind w:firstLine="480" w:firstLineChars="0"/>
        <w:rPr>
          <w:rStyle w:val="47"/>
          <w:rFonts w:ascii="宋体" w:hAnsi="宋体"/>
          <w:kern w:val="0"/>
        </w:rPr>
      </w:pPr>
      <w:r>
        <w:rPr>
          <w:rStyle w:val="47"/>
          <w:rFonts w:hint="eastAsia" w:ascii="宋体" w:hAnsi="宋体"/>
          <w:kern w:val="0"/>
        </w:rPr>
        <w:t>乙方业务代表</w:t>
      </w:r>
      <w:r>
        <w:rPr>
          <w:rStyle w:val="47"/>
          <w:rFonts w:ascii="宋体" w:hAnsi="宋体"/>
          <w:kern w:val="0"/>
        </w:rPr>
        <w:t>（姓名：XXX，身份证号码：XXXXXXXXXXXX）</w:t>
      </w:r>
      <w:r>
        <w:rPr>
          <w:rStyle w:val="47"/>
          <w:rFonts w:hint="eastAsia" w:ascii="宋体" w:hAnsi="宋体"/>
          <w:kern w:val="0"/>
        </w:rPr>
        <w:t>作为技术服务的第一联系人，项目经理作为该项目的技术服务第二联系人，随时接受客户的电话服务支持，并申请调配相关资源为客户提供及时服务。</w:t>
      </w:r>
    </w:p>
    <w:p w14:paraId="767C0ABD">
      <w:pPr>
        <w:numPr>
          <w:ilvl w:val="0"/>
          <w:numId w:val="2"/>
        </w:numPr>
        <w:tabs>
          <w:tab w:val="left" w:pos="420"/>
          <w:tab w:val="clear" w:pos="0"/>
        </w:tabs>
        <w:ind w:firstLineChars="0"/>
        <w:rPr>
          <w:rStyle w:val="47"/>
          <w:rFonts w:ascii="宋体" w:hAnsi="宋体"/>
        </w:rPr>
      </w:pPr>
      <w:r>
        <w:rPr>
          <w:rStyle w:val="47"/>
          <w:rFonts w:hint="eastAsia" w:ascii="宋体" w:hAnsi="宋体"/>
        </w:rPr>
        <w:t>系统正式验收通过，上线后提供三个月免费人员现场驻场维护，</w:t>
      </w:r>
      <w:r>
        <w:rPr>
          <w:rFonts w:hint="eastAsia" w:ascii="宋体"/>
          <w:kern w:val="0"/>
        </w:rPr>
        <w:t>正式</w:t>
      </w:r>
      <w:r>
        <w:rPr>
          <w:rFonts w:hint="eastAsia" w:ascii="宋体"/>
        </w:rPr>
        <w:t>验收合格次日</w:t>
      </w:r>
      <w:r>
        <w:rPr>
          <w:rStyle w:val="47"/>
          <w:rFonts w:hint="eastAsia" w:ascii="宋体" w:hAnsi="宋体"/>
        </w:rPr>
        <w:t>至次年</w:t>
      </w:r>
      <w:r>
        <w:rPr>
          <w:rFonts w:hint="eastAsia" w:ascii="宋体"/>
        </w:rPr>
        <w:t>并延期至6月30日或12月31日中较近日期（即维保延期最长不超过半年）</w:t>
      </w:r>
      <w:r>
        <w:rPr>
          <w:rStyle w:val="47"/>
          <w:rFonts w:hint="eastAsia" w:ascii="宋体" w:hAnsi="宋体"/>
        </w:rPr>
        <w:t>提供支持和服务。</w:t>
      </w:r>
    </w:p>
    <w:p w14:paraId="5815512F">
      <w:pPr>
        <w:numPr>
          <w:ilvl w:val="0"/>
          <w:numId w:val="2"/>
        </w:numPr>
        <w:tabs>
          <w:tab w:val="left" w:pos="420"/>
          <w:tab w:val="clear" w:pos="0"/>
        </w:tabs>
        <w:ind w:firstLineChars="0"/>
        <w:rPr>
          <w:rStyle w:val="47"/>
          <w:rFonts w:ascii="宋体" w:hAnsi="宋体"/>
        </w:rPr>
      </w:pPr>
      <w:r>
        <w:rPr>
          <w:rStyle w:val="47"/>
          <w:rFonts w:hint="eastAsia" w:ascii="宋体" w:hAnsi="宋体"/>
        </w:rPr>
        <w:t>维护期内，提供平台升级及优化服务。</w:t>
      </w:r>
    </w:p>
    <w:p w14:paraId="6A7193EB">
      <w:pPr>
        <w:numPr>
          <w:ilvl w:val="0"/>
          <w:numId w:val="2"/>
        </w:numPr>
        <w:tabs>
          <w:tab w:val="left" w:pos="420"/>
          <w:tab w:val="clear" w:pos="0"/>
        </w:tabs>
        <w:ind w:firstLineChars="0"/>
        <w:rPr>
          <w:rStyle w:val="47"/>
          <w:rFonts w:ascii="宋体" w:hAnsi="宋体"/>
        </w:rPr>
      </w:pPr>
      <w:r>
        <w:rPr>
          <w:rStyle w:val="47"/>
          <w:rFonts w:hint="eastAsia" w:ascii="宋体" w:hAnsi="宋体"/>
        </w:rPr>
        <w:t>系统上线后，提供二次系统和产品的培训，时间为每次1天。在维护期内，也可以根据用户需求，随时到客户现场进行系统和产品的培训。</w:t>
      </w:r>
    </w:p>
    <w:p w14:paraId="36AD97FC">
      <w:pPr>
        <w:numPr>
          <w:ilvl w:val="0"/>
          <w:numId w:val="2"/>
        </w:numPr>
        <w:tabs>
          <w:tab w:val="left" w:pos="420"/>
          <w:tab w:val="clear" w:pos="0"/>
        </w:tabs>
        <w:ind w:firstLineChars="0"/>
        <w:rPr>
          <w:rFonts w:ascii="宋体"/>
        </w:rPr>
      </w:pPr>
      <w:r>
        <w:rPr>
          <w:rStyle w:val="47"/>
          <w:rFonts w:hint="eastAsia" w:ascii="宋体" w:hAnsi="宋体"/>
        </w:rPr>
        <w:t>维护期内，每季度派工程师现场巡检一次，并在巡检后提交巡检报告，针对巡检中发现的问题立即组织整改。</w:t>
      </w:r>
    </w:p>
    <w:p w14:paraId="6A93F6BE">
      <w:pPr>
        <w:numPr>
          <w:ilvl w:val="0"/>
          <w:numId w:val="2"/>
        </w:numPr>
        <w:tabs>
          <w:tab w:val="left" w:pos="420"/>
          <w:tab w:val="clear" w:pos="0"/>
        </w:tabs>
        <w:ind w:firstLineChars="0"/>
        <w:rPr>
          <w:rFonts w:ascii="宋体"/>
        </w:rPr>
      </w:pPr>
      <w:r>
        <w:rPr>
          <w:rFonts w:hint="eastAsia"/>
        </w:rPr>
        <w:t>维保</w:t>
      </w:r>
      <w:r>
        <w:t>范围包括</w:t>
      </w:r>
      <w:r>
        <w:rPr>
          <w:rFonts w:hint="eastAsia"/>
        </w:rPr>
        <w:t>原</w:t>
      </w:r>
      <w:r>
        <w:t>系统（金融产品销售平台）的原有</w:t>
      </w:r>
      <w:r>
        <w:rPr>
          <w:rFonts w:hint="eastAsia"/>
        </w:rPr>
        <w:t>部分</w:t>
      </w:r>
      <w:r>
        <w:t>和本项目新增部分的内容，即整个</w:t>
      </w:r>
      <w:r>
        <w:rPr>
          <w:rFonts w:hint="eastAsia"/>
        </w:rPr>
        <w:t>“</w:t>
      </w:r>
      <w:r>
        <w:t>金融产品销售平台</w:t>
      </w:r>
      <w:r>
        <w:rPr>
          <w:rFonts w:hint="eastAsia"/>
        </w:rPr>
        <w:t>”</w:t>
      </w:r>
      <w:r>
        <w:t>所有内容。</w:t>
      </w:r>
    </w:p>
    <w:p w14:paraId="57800780">
      <w:pPr>
        <w:rPr>
          <w:rFonts w:ascii="宋体"/>
        </w:rPr>
      </w:pPr>
      <w:r>
        <w:rPr>
          <w:rFonts w:hint="eastAsia" w:ascii="宋体"/>
        </w:rPr>
        <w:t>支持方式和手段</w:t>
      </w:r>
    </w:p>
    <w:p w14:paraId="5A24C140">
      <w:pPr>
        <w:numPr>
          <w:ilvl w:val="0"/>
          <w:numId w:val="3"/>
        </w:numPr>
        <w:tabs>
          <w:tab w:val="left" w:pos="420"/>
          <w:tab w:val="clear" w:pos="0"/>
        </w:tabs>
        <w:ind w:firstLineChars="0"/>
        <w:rPr>
          <w:rFonts w:ascii="宋体"/>
        </w:rPr>
      </w:pPr>
      <w:r>
        <w:rPr>
          <w:rFonts w:hint="eastAsia" w:ascii="宋体"/>
        </w:rPr>
        <w:t>热线电话</w:t>
      </w:r>
      <w:r>
        <w:rPr>
          <w:rFonts w:hint="eastAsia" w:ascii="宋体"/>
        </w:rPr>
        <w:br w:type="textWrapping"/>
      </w:r>
      <w:r>
        <w:rPr>
          <w:rFonts w:hint="eastAsia" w:ascii="宋体"/>
        </w:rPr>
        <w:t>针对具体业务过程中产生的各种技术咨询，开设专线，提供7*24小时的技术服务支持。</w:t>
      </w:r>
    </w:p>
    <w:p w14:paraId="2466F232">
      <w:pPr>
        <w:numPr>
          <w:ilvl w:val="0"/>
          <w:numId w:val="3"/>
        </w:numPr>
        <w:tabs>
          <w:tab w:val="left" w:pos="420"/>
          <w:tab w:val="clear" w:pos="0"/>
        </w:tabs>
        <w:ind w:firstLineChars="0"/>
        <w:rPr>
          <w:rFonts w:ascii="宋体"/>
        </w:rPr>
      </w:pPr>
      <w:r>
        <w:rPr>
          <w:rFonts w:hint="eastAsia" w:ascii="宋体"/>
        </w:rPr>
        <w:t>E-mail</w:t>
      </w:r>
      <w:r>
        <w:rPr>
          <w:rFonts w:hint="eastAsia" w:ascii="宋体"/>
        </w:rPr>
        <w:br w:type="textWrapping"/>
      </w:r>
      <w:r>
        <w:rPr>
          <w:rFonts w:hint="eastAsia" w:ascii="宋体"/>
        </w:rPr>
        <w:t>客户建议、意见及技术支持同样可以通过</w:t>
      </w:r>
      <w:r>
        <w:rPr>
          <w:rFonts w:hint="eastAsia" w:ascii="宋体"/>
          <w:u w:val="single"/>
        </w:rPr>
        <w:t xml:space="preserve">    XXXXX公司（乙方）  </w:t>
      </w:r>
      <w:r>
        <w:rPr>
          <w:rFonts w:hint="eastAsia" w:ascii="宋体"/>
        </w:rPr>
        <w:t>提供的服务支持电子信箱获得响应，我们将做出详细、全面的服务解答，在半天内给予E-mail回复。</w:t>
      </w:r>
    </w:p>
    <w:p w14:paraId="7D3AA47D">
      <w:pPr>
        <w:numPr>
          <w:ilvl w:val="0"/>
          <w:numId w:val="3"/>
        </w:numPr>
        <w:tabs>
          <w:tab w:val="left" w:pos="420"/>
          <w:tab w:val="clear" w:pos="0"/>
        </w:tabs>
        <w:ind w:firstLineChars="0"/>
        <w:rPr>
          <w:rFonts w:ascii="宋体"/>
        </w:rPr>
      </w:pPr>
      <w:r>
        <w:rPr>
          <w:rFonts w:hint="eastAsia" w:ascii="宋体"/>
        </w:rPr>
        <w:t>远程登录</w:t>
      </w:r>
      <w:r>
        <w:rPr>
          <w:rFonts w:hint="eastAsia" w:ascii="宋体"/>
        </w:rPr>
        <w:br w:type="textWrapping"/>
      </w:r>
      <w:r>
        <w:rPr>
          <w:rFonts w:hint="eastAsia" w:ascii="宋体"/>
        </w:rPr>
        <w:t>对客户所遇到技术问题可以在客户条件许可的情况下进行远程访问排除故障，以方便客户能够及时解决疑难杂症。</w:t>
      </w:r>
    </w:p>
    <w:p w14:paraId="1FA40318">
      <w:pPr>
        <w:numPr>
          <w:ilvl w:val="0"/>
          <w:numId w:val="3"/>
        </w:numPr>
        <w:tabs>
          <w:tab w:val="left" w:pos="420"/>
          <w:tab w:val="clear" w:pos="0"/>
        </w:tabs>
        <w:ind w:firstLineChars="0"/>
        <w:rPr>
          <w:rFonts w:ascii="宋体"/>
        </w:rPr>
      </w:pPr>
      <w:r>
        <w:rPr>
          <w:rFonts w:hint="eastAsia" w:ascii="宋体"/>
        </w:rPr>
        <w:t>现场支持</w:t>
      </w:r>
      <w:r>
        <w:rPr>
          <w:rFonts w:hint="eastAsia" w:ascii="宋体"/>
        </w:rPr>
        <w:br w:type="textWrapping"/>
      </w:r>
      <w:r>
        <w:rPr>
          <w:rFonts w:hint="eastAsia" w:ascii="宋体"/>
        </w:rPr>
        <w:t>对于重大故障或者无法通过远程登录排除的故障，将安排工程师前往现场进行处理，使客户在最短的时间内解决故障，减少故障历时，从而最大限度地减少客户损失，保证在2小时内到现场。</w:t>
      </w:r>
    </w:p>
    <w:p w14:paraId="177E9D89">
      <w:pPr>
        <w:numPr>
          <w:ilvl w:val="0"/>
          <w:numId w:val="3"/>
        </w:numPr>
        <w:tabs>
          <w:tab w:val="left" w:pos="420"/>
          <w:tab w:val="clear" w:pos="0"/>
        </w:tabs>
        <w:ind w:firstLineChars="0"/>
        <w:rPr>
          <w:rFonts w:ascii="宋体"/>
        </w:rPr>
      </w:pPr>
      <w:r>
        <w:rPr>
          <w:rFonts w:hint="eastAsia" w:ascii="宋体"/>
        </w:rPr>
        <w:t>运行日志定期检查</w:t>
      </w:r>
      <w:r>
        <w:rPr>
          <w:rFonts w:hint="eastAsia" w:ascii="宋体"/>
        </w:rPr>
        <w:br w:type="textWrapping"/>
      </w:r>
      <w:r>
        <w:rPr>
          <w:rFonts w:hint="eastAsia" w:ascii="宋体"/>
        </w:rPr>
        <w:t>最好的服务方式是提前发现问题，将问题解决于发生前，在</w:t>
      </w:r>
      <w:r>
        <w:rPr>
          <w:rStyle w:val="47"/>
          <w:rFonts w:hint="eastAsia" w:ascii="宋体" w:hAnsi="宋体"/>
          <w:kern w:val="0"/>
        </w:rPr>
        <w:t>乙方</w:t>
      </w:r>
      <w:r>
        <w:rPr>
          <w:rFonts w:hint="eastAsia" w:ascii="宋体"/>
        </w:rPr>
        <w:t>实施的系统中，提供了相关的运行日志，通过和客户的协商，通过客户定期提供的运行日志，可实现定期的日志检查，可以提前发现系统的运行问题，以起到防患于未然的效果。</w:t>
      </w:r>
    </w:p>
    <w:p w14:paraId="603FFAD1">
      <w:pPr>
        <w:numPr>
          <w:ilvl w:val="0"/>
          <w:numId w:val="3"/>
        </w:numPr>
        <w:tabs>
          <w:tab w:val="left" w:pos="420"/>
          <w:tab w:val="clear" w:pos="0"/>
        </w:tabs>
        <w:ind w:firstLineChars="0"/>
        <w:rPr>
          <w:rFonts w:ascii="宋体"/>
        </w:rPr>
      </w:pPr>
      <w:r>
        <w:rPr>
          <w:rFonts w:hint="eastAsia" w:ascii="宋体"/>
        </w:rPr>
        <w:t>故障处理流程</w:t>
      </w:r>
    </w:p>
    <w:p w14:paraId="305AF456">
      <w:pPr>
        <w:ind w:left="420"/>
        <w:rPr>
          <w:rFonts w:ascii="宋体"/>
        </w:rPr>
        <w:sectPr>
          <w:headerReference r:id="rId7" w:type="first"/>
          <w:footerReference r:id="rId10" w:type="first"/>
          <w:headerReference r:id="rId6" w:type="default"/>
          <w:footerReference r:id="rId8" w:type="default"/>
          <w:footerReference r:id="rId9" w:type="even"/>
          <w:pgSz w:w="11906" w:h="16838"/>
          <w:pgMar w:top="1440" w:right="1800" w:bottom="1440" w:left="1800" w:header="851" w:footer="992" w:gutter="0"/>
          <w:cols w:space="720" w:num="1"/>
          <w:formProt w:val="0"/>
          <w:docGrid w:type="lines" w:linePitch="312" w:charSpace="0"/>
        </w:sectPr>
      </w:pPr>
      <w:r>
        <w:rPr>
          <w:rFonts w:hint="eastAsia" w:ascii="宋体"/>
        </w:rPr>
        <w:t>通过现象定位错误原因，编写处理说明书（包含处理完成时间）。</w:t>
      </w:r>
    </w:p>
    <w:p w14:paraId="41599AE0">
      <w:pPr>
        <w:pStyle w:val="3"/>
      </w:pPr>
      <w:bookmarkStart w:id="124" w:name="_Toc63757485"/>
      <w:bookmarkStart w:id="125" w:name="_Toc84948053"/>
      <w:r>
        <w:rPr>
          <w:rStyle w:val="47"/>
          <w:rFonts w:hint="eastAsia" w:ascii="宋体" w:hAnsi="宋体"/>
          <w:kern w:val="0"/>
          <w:sz w:val="30"/>
        </w:rPr>
        <w:t>附件五：服务水平协议（SLA）</w:t>
      </w:r>
      <w:bookmarkEnd w:id="124"/>
      <w:bookmarkEnd w:id="125"/>
    </w:p>
    <w:p w14:paraId="6DD55314">
      <w:pPr>
        <w:rPr>
          <w:rFonts w:ascii="宋体"/>
          <w:b/>
          <w:bCs/>
          <w:szCs w:val="24"/>
        </w:rPr>
      </w:pPr>
      <w:bookmarkStart w:id="126" w:name="_Toc254884639"/>
      <w:r>
        <w:rPr>
          <w:rFonts w:hint="eastAsia" w:ascii="宋体"/>
          <w:b/>
          <w:bCs/>
          <w:kern w:val="32"/>
          <w:szCs w:val="24"/>
        </w:rPr>
        <w:t>1. 目标</w:t>
      </w:r>
      <w:bookmarkEnd w:id="126"/>
    </w:p>
    <w:p w14:paraId="5ABE3238">
      <w:pPr>
        <w:rPr>
          <w:rFonts w:ascii="宋体"/>
          <w:szCs w:val="24"/>
        </w:rPr>
      </w:pPr>
      <w:r>
        <w:rPr>
          <w:rFonts w:hint="eastAsia" w:ascii="宋体"/>
          <w:szCs w:val="24"/>
        </w:rPr>
        <w:t>本服务水平协议（SLA）的目标是为了清晰地定义由X</w:t>
      </w:r>
      <w:r>
        <w:rPr>
          <w:rFonts w:ascii="宋体"/>
          <w:szCs w:val="24"/>
        </w:rPr>
        <w:t>XXXXXXXXXXXXXXXXXX</w:t>
      </w:r>
      <w:r>
        <w:rPr>
          <w:rFonts w:hint="eastAsia" w:ascii="宋体"/>
          <w:szCs w:val="24"/>
        </w:rPr>
        <w:t>公司（乙方）在本项目中为重庆三峡银行（甲方）提供的服务水平，本SLA主要：</w:t>
      </w:r>
    </w:p>
    <w:p w14:paraId="197A1127">
      <w:pPr>
        <w:widowControl/>
        <w:numPr>
          <w:ilvl w:val="0"/>
          <w:numId w:val="4"/>
        </w:numPr>
        <w:ind w:firstLineChars="0"/>
        <w:rPr>
          <w:rFonts w:ascii="宋体"/>
          <w:szCs w:val="24"/>
        </w:rPr>
      </w:pPr>
      <w:r>
        <w:rPr>
          <w:rFonts w:hint="eastAsia" w:ascii="宋体"/>
          <w:szCs w:val="24"/>
        </w:rPr>
        <w:t>明确甲方对外包乙方所提供服务水平的期望</w:t>
      </w:r>
    </w:p>
    <w:p w14:paraId="595F5CED">
      <w:pPr>
        <w:widowControl/>
        <w:numPr>
          <w:ilvl w:val="0"/>
          <w:numId w:val="4"/>
        </w:numPr>
        <w:ind w:firstLineChars="0"/>
        <w:rPr>
          <w:rFonts w:ascii="宋体"/>
          <w:szCs w:val="24"/>
        </w:rPr>
      </w:pPr>
      <w:r>
        <w:rPr>
          <w:rFonts w:hint="eastAsia" w:ascii="宋体"/>
          <w:szCs w:val="24"/>
        </w:rPr>
        <w:t>规范和加强甲方对乙方所提供服务水平的控制</w:t>
      </w:r>
    </w:p>
    <w:p w14:paraId="15343C4D">
      <w:pPr>
        <w:rPr>
          <w:rFonts w:ascii="宋体"/>
          <w:szCs w:val="24"/>
        </w:rPr>
      </w:pPr>
      <w:r>
        <w:rPr>
          <w:rFonts w:hint="eastAsia" w:ascii="宋体"/>
          <w:szCs w:val="24"/>
        </w:rPr>
        <w:t>双方将针对本项目制定明确的职责分工表用来确定计划和管理服务水平协议的角色和职责。</w:t>
      </w:r>
    </w:p>
    <w:p w14:paraId="64B338AA">
      <w:pPr>
        <w:rPr>
          <w:rFonts w:ascii="宋体"/>
          <w:b/>
          <w:bCs/>
          <w:kern w:val="32"/>
          <w:szCs w:val="24"/>
        </w:rPr>
      </w:pPr>
      <w:bookmarkStart w:id="127" w:name="_Toc254884640"/>
      <w:r>
        <w:rPr>
          <w:rFonts w:hint="eastAsia" w:ascii="宋体"/>
          <w:b/>
          <w:bCs/>
          <w:kern w:val="32"/>
          <w:szCs w:val="24"/>
        </w:rPr>
        <w:t>2. 协议期限</w:t>
      </w:r>
      <w:bookmarkEnd w:id="127"/>
    </w:p>
    <w:p w14:paraId="11C04944">
      <w:pPr>
        <w:ind w:firstLine="371" w:firstLineChars="177"/>
        <w:rPr>
          <w:rFonts w:ascii="宋体"/>
          <w:szCs w:val="24"/>
        </w:rPr>
      </w:pPr>
      <w:r>
        <w:rPr>
          <w:rFonts w:hint="eastAsia" w:ascii="宋体"/>
          <w:szCs w:val="24"/>
        </w:rPr>
        <w:t>根据双方达成的一致要求，本协议的有效期从本项目实施之日起到合同正文</w:t>
      </w:r>
      <w:r>
        <w:rPr>
          <w:rFonts w:hint="eastAsia" w:ascii="宋体"/>
        </w:rPr>
        <w:t>6.1承诺的</w:t>
      </w:r>
      <w:r>
        <w:rPr>
          <w:rFonts w:hint="eastAsia" w:ascii="宋体"/>
          <w:szCs w:val="24"/>
        </w:rPr>
        <w:t>维护期结束。</w:t>
      </w:r>
    </w:p>
    <w:p w14:paraId="59C0497B">
      <w:pPr>
        <w:rPr>
          <w:rFonts w:ascii="宋体"/>
          <w:b/>
          <w:bCs/>
          <w:kern w:val="32"/>
          <w:szCs w:val="24"/>
        </w:rPr>
      </w:pPr>
      <w:bookmarkStart w:id="128" w:name="_Toc254884641"/>
      <w:r>
        <w:rPr>
          <w:rFonts w:hint="eastAsia" w:ascii="宋体"/>
          <w:b/>
          <w:bCs/>
          <w:kern w:val="32"/>
          <w:szCs w:val="24"/>
        </w:rPr>
        <w:t>3. 双方职责</w:t>
      </w:r>
      <w:bookmarkEnd w:id="128"/>
    </w:p>
    <w:p w14:paraId="44593C7A">
      <w:pPr>
        <w:rPr>
          <w:rFonts w:ascii="宋体"/>
          <w:b/>
          <w:bCs/>
          <w:kern w:val="32"/>
          <w:szCs w:val="24"/>
        </w:rPr>
      </w:pPr>
      <w:bookmarkStart w:id="129" w:name="_Toc254884642"/>
      <w:r>
        <w:rPr>
          <w:rFonts w:hint="eastAsia" w:ascii="宋体"/>
          <w:b/>
          <w:bCs/>
          <w:kern w:val="32"/>
          <w:szCs w:val="24"/>
        </w:rPr>
        <w:t>3.1乙方</w:t>
      </w:r>
      <w:bookmarkEnd w:id="129"/>
    </w:p>
    <w:p w14:paraId="4D093902">
      <w:pPr>
        <w:rPr>
          <w:rFonts w:ascii="宋体"/>
          <w:szCs w:val="24"/>
        </w:rPr>
      </w:pPr>
      <w:r>
        <w:rPr>
          <w:rFonts w:hint="eastAsia" w:ascii="宋体"/>
          <w:szCs w:val="24"/>
        </w:rPr>
        <w:t>除本协议描述的服务水平衡量和目标外，乙方还应：</w:t>
      </w:r>
    </w:p>
    <w:p w14:paraId="65FC959C">
      <w:pPr>
        <w:widowControl/>
        <w:numPr>
          <w:ilvl w:val="0"/>
          <w:numId w:val="4"/>
        </w:numPr>
        <w:ind w:firstLineChars="0"/>
        <w:rPr>
          <w:rFonts w:ascii="宋体"/>
          <w:szCs w:val="24"/>
        </w:rPr>
      </w:pPr>
      <w:r>
        <w:rPr>
          <w:rFonts w:hint="eastAsia" w:ascii="宋体"/>
          <w:szCs w:val="24"/>
        </w:rPr>
        <w:t>尽快向甲方管理层汇报发现的问题；</w:t>
      </w:r>
    </w:p>
    <w:p w14:paraId="4FB329E4">
      <w:pPr>
        <w:widowControl/>
        <w:numPr>
          <w:ilvl w:val="0"/>
          <w:numId w:val="4"/>
        </w:numPr>
        <w:ind w:firstLineChars="0"/>
        <w:rPr>
          <w:rFonts w:ascii="宋体"/>
          <w:szCs w:val="24"/>
        </w:rPr>
      </w:pPr>
      <w:r>
        <w:rPr>
          <w:rFonts w:hint="eastAsia" w:ascii="宋体"/>
          <w:szCs w:val="24"/>
        </w:rPr>
        <w:t>任何可能影响SLA中规定服务的服务能力的事件，乙方应尽早向甲方提供预警信息，以及可能的影响和处置措施。事件包括：</w:t>
      </w:r>
    </w:p>
    <w:p w14:paraId="610241F5">
      <w:pPr>
        <w:widowControl/>
        <w:numPr>
          <w:ilvl w:val="0"/>
          <w:numId w:val="5"/>
        </w:numPr>
        <w:ind w:firstLineChars="0"/>
        <w:rPr>
          <w:rFonts w:ascii="宋体"/>
          <w:szCs w:val="24"/>
        </w:rPr>
      </w:pPr>
      <w:r>
        <w:rPr>
          <w:rFonts w:hint="eastAsia" w:ascii="宋体"/>
          <w:szCs w:val="24"/>
        </w:rPr>
        <w:t>组织架构变更</w:t>
      </w:r>
    </w:p>
    <w:p w14:paraId="003EA6ED">
      <w:pPr>
        <w:widowControl/>
        <w:numPr>
          <w:ilvl w:val="0"/>
          <w:numId w:val="5"/>
        </w:numPr>
        <w:ind w:firstLineChars="0"/>
        <w:rPr>
          <w:rFonts w:ascii="宋体"/>
          <w:szCs w:val="24"/>
        </w:rPr>
      </w:pPr>
      <w:r>
        <w:rPr>
          <w:rFonts w:hint="eastAsia" w:ascii="宋体"/>
          <w:szCs w:val="24"/>
        </w:rPr>
        <w:t>技术变更</w:t>
      </w:r>
    </w:p>
    <w:p w14:paraId="62086924">
      <w:pPr>
        <w:widowControl/>
        <w:numPr>
          <w:ilvl w:val="0"/>
          <w:numId w:val="5"/>
        </w:numPr>
        <w:ind w:firstLineChars="0"/>
        <w:rPr>
          <w:rFonts w:ascii="宋体"/>
          <w:szCs w:val="24"/>
        </w:rPr>
      </w:pPr>
      <w:r>
        <w:rPr>
          <w:rFonts w:hint="eastAsia" w:ascii="宋体"/>
          <w:szCs w:val="24"/>
        </w:rPr>
        <w:t>职能变更</w:t>
      </w:r>
    </w:p>
    <w:p w14:paraId="60177E80">
      <w:pPr>
        <w:widowControl/>
        <w:numPr>
          <w:ilvl w:val="0"/>
          <w:numId w:val="5"/>
        </w:numPr>
        <w:ind w:firstLineChars="0"/>
        <w:rPr>
          <w:rFonts w:ascii="宋体"/>
          <w:szCs w:val="24"/>
        </w:rPr>
      </w:pPr>
      <w:r>
        <w:rPr>
          <w:rFonts w:ascii="宋体"/>
          <w:szCs w:val="24"/>
        </w:rPr>
        <w:t>其他可能影响对甲方服务的突发事件</w:t>
      </w:r>
    </w:p>
    <w:p w14:paraId="28F41415">
      <w:pPr>
        <w:widowControl/>
        <w:numPr>
          <w:ilvl w:val="0"/>
          <w:numId w:val="4"/>
        </w:numPr>
        <w:ind w:left="709" w:hanging="229" w:firstLineChars="0"/>
        <w:rPr>
          <w:rFonts w:ascii="宋体"/>
          <w:szCs w:val="24"/>
        </w:rPr>
      </w:pPr>
      <w:r>
        <w:rPr>
          <w:rFonts w:hint="eastAsia" w:ascii="宋体"/>
          <w:szCs w:val="24"/>
        </w:rPr>
        <w:t>协助甲方及时解决生产事件。当问题产生时，应尽快采取适当的措施识别并修复问题。</w:t>
      </w:r>
    </w:p>
    <w:p w14:paraId="3AAC2C3C">
      <w:pPr>
        <w:rPr>
          <w:rFonts w:ascii="宋体"/>
          <w:szCs w:val="24"/>
        </w:rPr>
      </w:pPr>
    </w:p>
    <w:p w14:paraId="21C06B99">
      <w:pPr>
        <w:rPr>
          <w:rFonts w:ascii="宋体"/>
          <w:b/>
          <w:bCs/>
          <w:kern w:val="32"/>
          <w:szCs w:val="24"/>
        </w:rPr>
      </w:pPr>
      <w:r>
        <w:rPr>
          <w:rFonts w:hint="eastAsia" w:ascii="宋体"/>
          <w:b/>
          <w:bCs/>
          <w:kern w:val="32"/>
          <w:szCs w:val="24"/>
        </w:rPr>
        <w:t>3.2甲方</w:t>
      </w:r>
    </w:p>
    <w:p w14:paraId="1037D821">
      <w:pPr>
        <w:widowControl/>
        <w:numPr>
          <w:ilvl w:val="0"/>
          <w:numId w:val="4"/>
        </w:numPr>
        <w:ind w:left="709" w:hanging="229" w:firstLineChars="0"/>
        <w:rPr>
          <w:rFonts w:ascii="宋体"/>
          <w:szCs w:val="24"/>
        </w:rPr>
      </w:pPr>
      <w:r>
        <w:rPr>
          <w:rFonts w:hint="eastAsia" w:ascii="宋体"/>
          <w:szCs w:val="24"/>
        </w:rPr>
        <w:t>甲方将尽快将问题汇报给乙方管理层；</w:t>
      </w:r>
    </w:p>
    <w:p w14:paraId="4F4E4358">
      <w:pPr>
        <w:widowControl/>
        <w:numPr>
          <w:ilvl w:val="0"/>
          <w:numId w:val="4"/>
        </w:numPr>
        <w:ind w:left="709" w:hanging="229" w:firstLineChars="0"/>
        <w:rPr>
          <w:rFonts w:ascii="宋体"/>
          <w:szCs w:val="24"/>
        </w:rPr>
      </w:pPr>
      <w:r>
        <w:rPr>
          <w:rFonts w:hint="eastAsia" w:ascii="宋体"/>
          <w:szCs w:val="24"/>
        </w:rPr>
        <w:t>提供任何可能影响乙方向甲方提供SLA中规定服务的服务能力的事件信息，包括：</w:t>
      </w:r>
    </w:p>
    <w:p w14:paraId="23B3B52A">
      <w:pPr>
        <w:widowControl/>
        <w:numPr>
          <w:ilvl w:val="0"/>
          <w:numId w:val="5"/>
        </w:numPr>
        <w:ind w:firstLineChars="0"/>
        <w:rPr>
          <w:rFonts w:ascii="宋体"/>
          <w:szCs w:val="24"/>
        </w:rPr>
      </w:pPr>
      <w:r>
        <w:rPr>
          <w:rFonts w:hint="eastAsia" w:ascii="宋体"/>
          <w:szCs w:val="24"/>
        </w:rPr>
        <w:t>组织架构变更</w:t>
      </w:r>
    </w:p>
    <w:p w14:paraId="324390C9">
      <w:pPr>
        <w:widowControl/>
        <w:numPr>
          <w:ilvl w:val="0"/>
          <w:numId w:val="5"/>
        </w:numPr>
        <w:ind w:firstLineChars="0"/>
        <w:rPr>
          <w:rFonts w:ascii="宋体"/>
          <w:szCs w:val="24"/>
        </w:rPr>
      </w:pPr>
      <w:r>
        <w:rPr>
          <w:rFonts w:hint="eastAsia" w:ascii="宋体"/>
          <w:szCs w:val="24"/>
        </w:rPr>
        <w:t>技术变更</w:t>
      </w:r>
    </w:p>
    <w:p w14:paraId="37449B7D">
      <w:pPr>
        <w:widowControl/>
        <w:numPr>
          <w:ilvl w:val="0"/>
          <w:numId w:val="5"/>
        </w:numPr>
        <w:ind w:firstLineChars="0"/>
        <w:rPr>
          <w:rFonts w:ascii="宋体"/>
          <w:szCs w:val="24"/>
        </w:rPr>
      </w:pPr>
      <w:r>
        <w:rPr>
          <w:rFonts w:hint="eastAsia" w:ascii="宋体"/>
          <w:szCs w:val="24"/>
        </w:rPr>
        <w:t>职能变更</w:t>
      </w:r>
    </w:p>
    <w:p w14:paraId="1179968E">
      <w:pPr>
        <w:rPr>
          <w:rFonts w:ascii="宋体"/>
          <w:b/>
          <w:bCs/>
          <w:kern w:val="32"/>
          <w:szCs w:val="24"/>
        </w:rPr>
      </w:pPr>
      <w:bookmarkStart w:id="130" w:name="_Toc254884644"/>
      <w:r>
        <w:rPr>
          <w:rFonts w:hint="eastAsia" w:ascii="宋体"/>
          <w:b/>
          <w:bCs/>
          <w:kern w:val="32"/>
          <w:szCs w:val="24"/>
        </w:rPr>
        <w:t>4. 服务内容</w:t>
      </w:r>
      <w:bookmarkEnd w:id="130"/>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1"/>
        <w:gridCol w:w="1958"/>
        <w:gridCol w:w="5778"/>
      </w:tblGrid>
      <w:tr w14:paraId="0F0CF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897" w:type="dxa"/>
            <w:gridSpan w:val="3"/>
            <w:tcBorders>
              <w:tl2br w:val="nil"/>
              <w:tr2bl w:val="nil"/>
            </w:tcBorders>
            <w:vAlign w:val="center"/>
          </w:tcPr>
          <w:p w14:paraId="5E5624F3">
            <w:pPr>
              <w:rPr>
                <w:rFonts w:ascii="宋体"/>
                <w:szCs w:val="24"/>
              </w:rPr>
            </w:pPr>
            <w:r>
              <w:rPr>
                <w:rFonts w:hint="eastAsia" w:ascii="宋体"/>
                <w:b/>
                <w:bCs/>
                <w:kern w:val="32"/>
                <w:szCs w:val="24"/>
              </w:rPr>
              <w:t>4.1技术管理</w:t>
            </w:r>
          </w:p>
        </w:tc>
      </w:tr>
      <w:tr w14:paraId="075C8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816" w:type="dxa"/>
            <w:tcBorders>
              <w:tl2br w:val="nil"/>
              <w:tr2bl w:val="nil"/>
            </w:tcBorders>
            <w:vAlign w:val="center"/>
          </w:tcPr>
          <w:p w14:paraId="5BD16D00">
            <w:pPr>
              <w:rPr>
                <w:rFonts w:ascii="宋体"/>
                <w:szCs w:val="24"/>
              </w:rPr>
            </w:pPr>
            <w:r>
              <w:rPr>
                <w:rFonts w:hint="eastAsia" w:ascii="宋体"/>
                <w:szCs w:val="24"/>
              </w:rPr>
              <w:t>4.1.1</w:t>
            </w:r>
          </w:p>
        </w:tc>
        <w:tc>
          <w:tcPr>
            <w:tcW w:w="2022" w:type="dxa"/>
            <w:tcBorders>
              <w:tl2br w:val="nil"/>
              <w:tr2bl w:val="nil"/>
            </w:tcBorders>
            <w:vAlign w:val="center"/>
          </w:tcPr>
          <w:p w14:paraId="488A86E6">
            <w:pPr>
              <w:rPr>
                <w:rFonts w:ascii="宋体"/>
                <w:szCs w:val="24"/>
              </w:rPr>
            </w:pPr>
            <w:r>
              <w:rPr>
                <w:rFonts w:hint="eastAsia" w:ascii="宋体"/>
                <w:szCs w:val="24"/>
              </w:rPr>
              <w:t>项目执行控制</w:t>
            </w:r>
          </w:p>
        </w:tc>
        <w:tc>
          <w:tcPr>
            <w:tcW w:w="6059" w:type="dxa"/>
            <w:tcBorders>
              <w:tl2br w:val="nil"/>
              <w:tr2bl w:val="nil"/>
            </w:tcBorders>
            <w:vAlign w:val="center"/>
          </w:tcPr>
          <w:p w14:paraId="160C9A77">
            <w:pPr>
              <w:rPr>
                <w:rFonts w:ascii="宋体"/>
                <w:szCs w:val="24"/>
              </w:rPr>
            </w:pPr>
            <w:r>
              <w:rPr>
                <w:rFonts w:hint="eastAsia" w:ascii="宋体"/>
                <w:szCs w:val="24"/>
              </w:rPr>
              <w:t>管理目标、沟通和范围</w:t>
            </w:r>
          </w:p>
        </w:tc>
      </w:tr>
      <w:tr w14:paraId="34C1F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l2br w:val="nil"/>
              <w:tr2bl w:val="nil"/>
            </w:tcBorders>
            <w:vAlign w:val="center"/>
          </w:tcPr>
          <w:p w14:paraId="60025F74">
            <w:pPr>
              <w:rPr>
                <w:rFonts w:ascii="宋体"/>
                <w:szCs w:val="24"/>
              </w:rPr>
            </w:pPr>
            <w:r>
              <w:rPr>
                <w:rFonts w:hint="eastAsia" w:ascii="宋体"/>
                <w:szCs w:val="24"/>
              </w:rPr>
              <w:t>4.1.2</w:t>
            </w:r>
          </w:p>
        </w:tc>
        <w:tc>
          <w:tcPr>
            <w:tcW w:w="2022" w:type="dxa"/>
            <w:tcBorders>
              <w:tl2br w:val="nil"/>
              <w:tr2bl w:val="nil"/>
            </w:tcBorders>
            <w:vAlign w:val="center"/>
          </w:tcPr>
          <w:p w14:paraId="708E0D7B">
            <w:pPr>
              <w:rPr>
                <w:rFonts w:ascii="宋体"/>
                <w:szCs w:val="24"/>
              </w:rPr>
            </w:pPr>
            <w:r>
              <w:rPr>
                <w:rFonts w:hint="eastAsia" w:ascii="宋体"/>
                <w:szCs w:val="24"/>
              </w:rPr>
              <w:t>系统部署</w:t>
            </w:r>
          </w:p>
        </w:tc>
        <w:tc>
          <w:tcPr>
            <w:tcW w:w="6059" w:type="dxa"/>
            <w:tcBorders>
              <w:tl2br w:val="nil"/>
              <w:tr2bl w:val="nil"/>
            </w:tcBorders>
            <w:vAlign w:val="center"/>
          </w:tcPr>
          <w:p w14:paraId="392CCF22">
            <w:pPr>
              <w:rPr>
                <w:rFonts w:ascii="宋体"/>
                <w:szCs w:val="24"/>
              </w:rPr>
            </w:pPr>
            <w:r>
              <w:rPr>
                <w:rFonts w:hint="eastAsia" w:ascii="宋体"/>
                <w:szCs w:val="24"/>
              </w:rPr>
              <w:t>在甲方所提供的技术环境内配置和部署系统接入所需的资源</w:t>
            </w:r>
          </w:p>
        </w:tc>
      </w:tr>
      <w:tr w14:paraId="69C54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l2br w:val="nil"/>
              <w:tr2bl w:val="nil"/>
            </w:tcBorders>
            <w:vAlign w:val="center"/>
          </w:tcPr>
          <w:p w14:paraId="5E7BE1D2">
            <w:pPr>
              <w:rPr>
                <w:rFonts w:ascii="宋体"/>
                <w:szCs w:val="24"/>
              </w:rPr>
            </w:pPr>
            <w:r>
              <w:rPr>
                <w:rFonts w:hint="eastAsia" w:ascii="宋体"/>
                <w:szCs w:val="24"/>
              </w:rPr>
              <w:t>4.1.3</w:t>
            </w:r>
          </w:p>
        </w:tc>
        <w:tc>
          <w:tcPr>
            <w:tcW w:w="2022" w:type="dxa"/>
            <w:tcBorders>
              <w:tl2br w:val="nil"/>
              <w:tr2bl w:val="nil"/>
            </w:tcBorders>
            <w:vAlign w:val="center"/>
          </w:tcPr>
          <w:p w14:paraId="7DD8DDAB">
            <w:pPr>
              <w:rPr>
                <w:rFonts w:ascii="宋体"/>
                <w:szCs w:val="24"/>
              </w:rPr>
            </w:pPr>
            <w:r>
              <w:rPr>
                <w:rFonts w:hint="eastAsia" w:ascii="宋体"/>
                <w:szCs w:val="24"/>
              </w:rPr>
              <w:t>管理系统</w:t>
            </w:r>
          </w:p>
        </w:tc>
        <w:tc>
          <w:tcPr>
            <w:tcW w:w="6059" w:type="dxa"/>
            <w:tcBorders>
              <w:tl2br w:val="nil"/>
              <w:tr2bl w:val="nil"/>
            </w:tcBorders>
            <w:vAlign w:val="center"/>
          </w:tcPr>
          <w:p w14:paraId="7AAE899F">
            <w:pPr>
              <w:rPr>
                <w:rFonts w:ascii="宋体"/>
                <w:szCs w:val="24"/>
              </w:rPr>
            </w:pPr>
            <w:r>
              <w:rPr>
                <w:rFonts w:hint="eastAsia" w:ascii="宋体"/>
                <w:szCs w:val="24"/>
              </w:rPr>
              <w:t>管理运行过程中的各个环节和环境（如测试、培训、维护等）</w:t>
            </w:r>
          </w:p>
        </w:tc>
      </w:tr>
      <w:tr w14:paraId="75018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58C9FE7A">
            <w:pPr>
              <w:rPr>
                <w:rFonts w:ascii="宋体"/>
                <w:b/>
                <w:szCs w:val="24"/>
              </w:rPr>
            </w:pPr>
            <w:r>
              <w:rPr>
                <w:rFonts w:hint="eastAsia" w:ascii="宋体"/>
                <w:b/>
                <w:szCs w:val="24"/>
              </w:rPr>
              <w:t>4.2系统处理</w:t>
            </w:r>
          </w:p>
        </w:tc>
      </w:tr>
      <w:tr w14:paraId="08126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l2br w:val="nil"/>
              <w:tr2bl w:val="nil"/>
            </w:tcBorders>
            <w:vAlign w:val="center"/>
          </w:tcPr>
          <w:p w14:paraId="719CC1B4">
            <w:pPr>
              <w:rPr>
                <w:rFonts w:ascii="宋体"/>
                <w:szCs w:val="24"/>
              </w:rPr>
            </w:pPr>
            <w:r>
              <w:rPr>
                <w:rFonts w:hint="eastAsia" w:ascii="宋体"/>
                <w:szCs w:val="24"/>
              </w:rPr>
              <w:t>4.2.1</w:t>
            </w:r>
          </w:p>
        </w:tc>
        <w:tc>
          <w:tcPr>
            <w:tcW w:w="2022" w:type="dxa"/>
            <w:tcBorders>
              <w:tl2br w:val="nil"/>
              <w:tr2bl w:val="nil"/>
            </w:tcBorders>
            <w:vAlign w:val="center"/>
          </w:tcPr>
          <w:p w14:paraId="0084A29A">
            <w:pPr>
              <w:rPr>
                <w:rFonts w:ascii="宋体"/>
                <w:szCs w:val="24"/>
              </w:rPr>
            </w:pPr>
            <w:r>
              <w:rPr>
                <w:rFonts w:hint="eastAsia" w:ascii="宋体"/>
                <w:szCs w:val="24"/>
              </w:rPr>
              <w:t>备份</w:t>
            </w:r>
          </w:p>
        </w:tc>
        <w:tc>
          <w:tcPr>
            <w:tcW w:w="6059" w:type="dxa"/>
            <w:tcBorders>
              <w:tl2br w:val="nil"/>
              <w:tr2bl w:val="nil"/>
            </w:tcBorders>
            <w:vAlign w:val="center"/>
          </w:tcPr>
          <w:p w14:paraId="5FEC6181">
            <w:pPr>
              <w:rPr>
                <w:rFonts w:ascii="宋体"/>
                <w:szCs w:val="24"/>
              </w:rPr>
            </w:pPr>
            <w:r>
              <w:rPr>
                <w:rFonts w:hint="eastAsia" w:ascii="宋体"/>
                <w:szCs w:val="24"/>
              </w:rPr>
              <w:t>提供数据容量规划咨询，设计系统的备份策略，完成其有效性验证</w:t>
            </w:r>
          </w:p>
        </w:tc>
      </w:tr>
      <w:tr w14:paraId="2FE41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l2br w:val="nil"/>
              <w:tr2bl w:val="nil"/>
            </w:tcBorders>
            <w:vAlign w:val="center"/>
          </w:tcPr>
          <w:p w14:paraId="0422E9C8">
            <w:pPr>
              <w:rPr>
                <w:rFonts w:ascii="宋体"/>
                <w:szCs w:val="24"/>
              </w:rPr>
            </w:pPr>
            <w:r>
              <w:rPr>
                <w:rFonts w:hint="eastAsia" w:ascii="宋体"/>
                <w:szCs w:val="24"/>
              </w:rPr>
              <w:t>4.2.2</w:t>
            </w:r>
          </w:p>
        </w:tc>
        <w:tc>
          <w:tcPr>
            <w:tcW w:w="2022" w:type="dxa"/>
            <w:tcBorders>
              <w:tl2br w:val="nil"/>
              <w:tr2bl w:val="nil"/>
            </w:tcBorders>
            <w:vAlign w:val="center"/>
          </w:tcPr>
          <w:p w14:paraId="229EB067">
            <w:pPr>
              <w:rPr>
                <w:rFonts w:ascii="宋体"/>
                <w:szCs w:val="24"/>
              </w:rPr>
            </w:pPr>
            <w:r>
              <w:rPr>
                <w:rFonts w:hint="eastAsia" w:ascii="宋体"/>
                <w:szCs w:val="24"/>
              </w:rPr>
              <w:t>恢复</w:t>
            </w:r>
          </w:p>
        </w:tc>
        <w:tc>
          <w:tcPr>
            <w:tcW w:w="6059" w:type="dxa"/>
            <w:tcBorders>
              <w:tl2br w:val="nil"/>
              <w:tr2bl w:val="nil"/>
            </w:tcBorders>
            <w:vAlign w:val="center"/>
          </w:tcPr>
          <w:p w14:paraId="3FFADBEE">
            <w:pPr>
              <w:rPr>
                <w:rFonts w:ascii="宋体"/>
                <w:szCs w:val="24"/>
              </w:rPr>
            </w:pPr>
            <w:r>
              <w:rPr>
                <w:rFonts w:hint="eastAsia" w:ascii="宋体"/>
                <w:szCs w:val="24"/>
              </w:rPr>
              <w:t>设计系统的恢复策略，完成其有效性验证</w:t>
            </w:r>
          </w:p>
        </w:tc>
      </w:tr>
      <w:tr w14:paraId="3A792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1E4DCB6B">
            <w:pPr>
              <w:rPr>
                <w:rFonts w:ascii="宋体"/>
                <w:b/>
                <w:szCs w:val="24"/>
              </w:rPr>
            </w:pPr>
            <w:r>
              <w:rPr>
                <w:rFonts w:hint="eastAsia" w:ascii="宋体"/>
                <w:b/>
                <w:szCs w:val="24"/>
              </w:rPr>
              <w:t>4.3软件开发及测试</w:t>
            </w:r>
          </w:p>
        </w:tc>
      </w:tr>
      <w:tr w14:paraId="334A8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l2br w:val="nil"/>
              <w:tr2bl w:val="nil"/>
            </w:tcBorders>
            <w:vAlign w:val="center"/>
          </w:tcPr>
          <w:p w14:paraId="4CF358F3">
            <w:pPr>
              <w:rPr>
                <w:rFonts w:ascii="宋体"/>
                <w:szCs w:val="24"/>
              </w:rPr>
            </w:pPr>
            <w:r>
              <w:rPr>
                <w:rFonts w:hint="eastAsia" w:ascii="宋体"/>
                <w:szCs w:val="24"/>
              </w:rPr>
              <w:t>4.3.1</w:t>
            </w:r>
          </w:p>
        </w:tc>
        <w:tc>
          <w:tcPr>
            <w:tcW w:w="2022" w:type="dxa"/>
            <w:tcBorders>
              <w:tl2br w:val="nil"/>
              <w:tr2bl w:val="nil"/>
            </w:tcBorders>
            <w:vAlign w:val="center"/>
          </w:tcPr>
          <w:p w14:paraId="2D7E4B75">
            <w:pPr>
              <w:rPr>
                <w:rFonts w:ascii="宋体"/>
                <w:szCs w:val="24"/>
              </w:rPr>
            </w:pPr>
            <w:r>
              <w:rPr>
                <w:rFonts w:hint="eastAsia" w:ascii="宋体"/>
                <w:szCs w:val="24"/>
              </w:rPr>
              <w:t>软件管理</w:t>
            </w:r>
          </w:p>
        </w:tc>
        <w:tc>
          <w:tcPr>
            <w:tcW w:w="6059" w:type="dxa"/>
            <w:tcBorders>
              <w:tl2br w:val="nil"/>
              <w:tr2bl w:val="nil"/>
            </w:tcBorders>
            <w:vAlign w:val="center"/>
          </w:tcPr>
          <w:p w14:paraId="2A696417">
            <w:pPr>
              <w:rPr>
                <w:rFonts w:ascii="宋体"/>
                <w:szCs w:val="24"/>
              </w:rPr>
            </w:pPr>
            <w:r>
              <w:rPr>
                <w:rFonts w:hint="eastAsia" w:ascii="宋体"/>
                <w:szCs w:val="24"/>
              </w:rPr>
              <w:t>负责管理和设计应用软件，配合进行软件过程开发管理</w:t>
            </w:r>
          </w:p>
        </w:tc>
      </w:tr>
      <w:tr w14:paraId="71FEC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7DCC7258">
            <w:pPr>
              <w:rPr>
                <w:rFonts w:ascii="宋体"/>
                <w:szCs w:val="24"/>
              </w:rPr>
            </w:pPr>
            <w:r>
              <w:rPr>
                <w:rFonts w:hint="eastAsia" w:ascii="宋体"/>
                <w:szCs w:val="24"/>
              </w:rPr>
              <w:t>4.3.2</w:t>
            </w:r>
          </w:p>
        </w:tc>
        <w:tc>
          <w:tcPr>
            <w:tcW w:w="2022" w:type="dxa"/>
            <w:tcBorders>
              <w:tl2br w:val="nil"/>
              <w:tr2bl w:val="nil"/>
            </w:tcBorders>
            <w:vAlign w:val="center"/>
          </w:tcPr>
          <w:p w14:paraId="08C662AF">
            <w:pPr>
              <w:rPr>
                <w:rFonts w:ascii="宋体"/>
                <w:szCs w:val="24"/>
              </w:rPr>
            </w:pPr>
            <w:r>
              <w:rPr>
                <w:rFonts w:hint="eastAsia" w:ascii="宋体"/>
                <w:szCs w:val="24"/>
              </w:rPr>
              <w:t>系统接口开发</w:t>
            </w:r>
          </w:p>
        </w:tc>
        <w:tc>
          <w:tcPr>
            <w:tcW w:w="6059" w:type="dxa"/>
            <w:tcBorders>
              <w:tl2br w:val="nil"/>
              <w:tr2bl w:val="nil"/>
            </w:tcBorders>
            <w:vAlign w:val="center"/>
          </w:tcPr>
          <w:p w14:paraId="6B073782">
            <w:pPr>
              <w:rPr>
                <w:rFonts w:ascii="宋体"/>
                <w:szCs w:val="24"/>
              </w:rPr>
            </w:pPr>
            <w:r>
              <w:rPr>
                <w:rFonts w:hint="eastAsia" w:ascii="宋体"/>
                <w:szCs w:val="24"/>
              </w:rPr>
              <w:t>设计和开发系统内部各模块的接口以及与外部系统进行数据交互的接口</w:t>
            </w:r>
          </w:p>
        </w:tc>
      </w:tr>
      <w:tr w14:paraId="4DE54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tcBorders>
              <w:tl2br w:val="nil"/>
              <w:tr2bl w:val="nil"/>
            </w:tcBorders>
            <w:vAlign w:val="center"/>
          </w:tcPr>
          <w:p w14:paraId="6831D7A4">
            <w:pPr>
              <w:rPr>
                <w:rFonts w:ascii="宋体"/>
                <w:szCs w:val="24"/>
              </w:rPr>
            </w:pPr>
            <w:r>
              <w:rPr>
                <w:rFonts w:hint="eastAsia" w:ascii="宋体"/>
                <w:szCs w:val="24"/>
              </w:rPr>
              <w:t>4.3.3</w:t>
            </w:r>
          </w:p>
        </w:tc>
        <w:tc>
          <w:tcPr>
            <w:tcW w:w="2022" w:type="dxa"/>
            <w:tcBorders>
              <w:tl2br w:val="nil"/>
              <w:tr2bl w:val="nil"/>
            </w:tcBorders>
            <w:vAlign w:val="center"/>
          </w:tcPr>
          <w:p w14:paraId="30373F03">
            <w:pPr>
              <w:rPr>
                <w:rFonts w:ascii="宋体"/>
                <w:szCs w:val="24"/>
              </w:rPr>
            </w:pPr>
            <w:r>
              <w:rPr>
                <w:rFonts w:hint="eastAsia" w:ascii="宋体"/>
                <w:szCs w:val="24"/>
              </w:rPr>
              <w:t>代码开发和测试</w:t>
            </w:r>
          </w:p>
        </w:tc>
        <w:tc>
          <w:tcPr>
            <w:tcW w:w="6059" w:type="dxa"/>
            <w:tcBorders>
              <w:tl2br w:val="nil"/>
              <w:tr2bl w:val="nil"/>
            </w:tcBorders>
            <w:vAlign w:val="center"/>
          </w:tcPr>
          <w:p w14:paraId="490943A0">
            <w:pPr>
              <w:rPr>
                <w:rFonts w:ascii="宋体"/>
                <w:szCs w:val="24"/>
              </w:rPr>
            </w:pPr>
            <w:r>
              <w:rPr>
                <w:rFonts w:hint="eastAsia" w:ascii="宋体"/>
                <w:szCs w:val="24"/>
              </w:rPr>
              <w:t>编写代码并且完成开发自测与系统测试</w:t>
            </w:r>
          </w:p>
        </w:tc>
      </w:tr>
      <w:tr w14:paraId="7E196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l2br w:val="nil"/>
              <w:tr2bl w:val="nil"/>
            </w:tcBorders>
            <w:vAlign w:val="center"/>
          </w:tcPr>
          <w:p w14:paraId="1773AB67">
            <w:pPr>
              <w:rPr>
                <w:rFonts w:ascii="宋体"/>
                <w:szCs w:val="24"/>
              </w:rPr>
            </w:pPr>
            <w:r>
              <w:rPr>
                <w:rFonts w:hint="eastAsia" w:ascii="宋体"/>
                <w:szCs w:val="24"/>
              </w:rPr>
              <w:t>4.3.4</w:t>
            </w:r>
          </w:p>
        </w:tc>
        <w:tc>
          <w:tcPr>
            <w:tcW w:w="2022" w:type="dxa"/>
            <w:tcBorders>
              <w:tl2br w:val="nil"/>
              <w:tr2bl w:val="nil"/>
            </w:tcBorders>
            <w:vAlign w:val="center"/>
          </w:tcPr>
          <w:p w14:paraId="5B33A996">
            <w:pPr>
              <w:rPr>
                <w:rFonts w:ascii="宋体"/>
                <w:szCs w:val="24"/>
              </w:rPr>
            </w:pPr>
            <w:r>
              <w:rPr>
                <w:rFonts w:hint="eastAsia" w:ascii="宋体"/>
                <w:szCs w:val="24"/>
              </w:rPr>
              <w:t>知识转移</w:t>
            </w:r>
          </w:p>
        </w:tc>
        <w:tc>
          <w:tcPr>
            <w:tcW w:w="6059" w:type="dxa"/>
            <w:tcBorders>
              <w:tl2br w:val="nil"/>
              <w:tr2bl w:val="nil"/>
            </w:tcBorders>
            <w:vAlign w:val="center"/>
          </w:tcPr>
          <w:p w14:paraId="306573DF">
            <w:pPr>
              <w:rPr>
                <w:rFonts w:ascii="宋体"/>
                <w:szCs w:val="24"/>
              </w:rPr>
            </w:pPr>
            <w:r>
              <w:rPr>
                <w:rFonts w:hint="eastAsia" w:ascii="宋体"/>
                <w:szCs w:val="24"/>
              </w:rPr>
              <w:t>负责现场培训</w:t>
            </w:r>
          </w:p>
        </w:tc>
      </w:tr>
      <w:tr w14:paraId="78183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58621000">
            <w:pPr>
              <w:rPr>
                <w:rFonts w:ascii="宋体"/>
                <w:b/>
                <w:szCs w:val="24"/>
              </w:rPr>
            </w:pPr>
            <w:r>
              <w:rPr>
                <w:rFonts w:hint="eastAsia" w:ascii="宋体"/>
                <w:b/>
                <w:szCs w:val="24"/>
              </w:rPr>
              <w:t>4.4 支持和维护</w:t>
            </w:r>
          </w:p>
        </w:tc>
      </w:tr>
      <w:tr w14:paraId="33269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l2br w:val="nil"/>
              <w:tr2bl w:val="nil"/>
            </w:tcBorders>
            <w:vAlign w:val="center"/>
          </w:tcPr>
          <w:p w14:paraId="63DEED2D">
            <w:pPr>
              <w:rPr>
                <w:rFonts w:ascii="宋体"/>
                <w:szCs w:val="24"/>
              </w:rPr>
            </w:pPr>
            <w:r>
              <w:rPr>
                <w:rFonts w:hint="eastAsia" w:ascii="宋体"/>
                <w:szCs w:val="24"/>
              </w:rPr>
              <w:t>4.4.1</w:t>
            </w:r>
          </w:p>
        </w:tc>
        <w:tc>
          <w:tcPr>
            <w:tcW w:w="2022" w:type="dxa"/>
            <w:tcBorders>
              <w:tl2br w:val="nil"/>
              <w:tr2bl w:val="nil"/>
            </w:tcBorders>
            <w:vAlign w:val="center"/>
          </w:tcPr>
          <w:p w14:paraId="29B490ED">
            <w:pPr>
              <w:rPr>
                <w:rFonts w:ascii="宋体"/>
                <w:szCs w:val="24"/>
              </w:rPr>
            </w:pPr>
            <w:r>
              <w:rPr>
                <w:rFonts w:hint="eastAsia" w:ascii="宋体"/>
                <w:szCs w:val="24"/>
              </w:rPr>
              <w:t>变更管理</w:t>
            </w:r>
          </w:p>
        </w:tc>
        <w:tc>
          <w:tcPr>
            <w:tcW w:w="6059" w:type="dxa"/>
            <w:tcBorders>
              <w:tl2br w:val="nil"/>
              <w:tr2bl w:val="nil"/>
            </w:tcBorders>
            <w:vAlign w:val="center"/>
          </w:tcPr>
          <w:p w14:paraId="57971C9E">
            <w:pPr>
              <w:rPr>
                <w:rFonts w:ascii="宋体"/>
                <w:szCs w:val="24"/>
              </w:rPr>
            </w:pPr>
            <w:r>
              <w:rPr>
                <w:rFonts w:hint="eastAsia" w:ascii="宋体"/>
                <w:szCs w:val="24"/>
              </w:rPr>
              <w:t>根据变更需求在甲方的技术环境内设计并且执行所有平台和应用软件变更程序</w:t>
            </w:r>
          </w:p>
        </w:tc>
      </w:tr>
      <w:tr w14:paraId="42EC6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2A04D468">
            <w:pPr>
              <w:rPr>
                <w:rFonts w:ascii="宋体"/>
                <w:szCs w:val="24"/>
              </w:rPr>
            </w:pPr>
            <w:r>
              <w:rPr>
                <w:rFonts w:hint="eastAsia" w:ascii="宋体"/>
                <w:szCs w:val="24"/>
              </w:rPr>
              <w:t>4.4.2</w:t>
            </w:r>
          </w:p>
        </w:tc>
        <w:tc>
          <w:tcPr>
            <w:tcW w:w="2022" w:type="dxa"/>
            <w:tcBorders>
              <w:tl2br w:val="nil"/>
              <w:tr2bl w:val="nil"/>
            </w:tcBorders>
            <w:vAlign w:val="center"/>
          </w:tcPr>
          <w:p w14:paraId="539BE820">
            <w:pPr>
              <w:rPr>
                <w:rFonts w:ascii="宋体"/>
                <w:szCs w:val="24"/>
              </w:rPr>
            </w:pPr>
            <w:r>
              <w:rPr>
                <w:rFonts w:hint="eastAsia" w:ascii="宋体"/>
                <w:szCs w:val="24"/>
              </w:rPr>
              <w:t>系统监控</w:t>
            </w:r>
          </w:p>
        </w:tc>
        <w:tc>
          <w:tcPr>
            <w:tcW w:w="6059" w:type="dxa"/>
            <w:tcBorders>
              <w:tl2br w:val="nil"/>
              <w:tr2bl w:val="nil"/>
            </w:tcBorders>
            <w:vAlign w:val="center"/>
          </w:tcPr>
          <w:p w14:paraId="1CE915F8">
            <w:pPr>
              <w:rPr>
                <w:rFonts w:ascii="宋体"/>
                <w:szCs w:val="24"/>
              </w:rPr>
            </w:pPr>
            <w:r>
              <w:rPr>
                <w:rFonts w:hint="eastAsia" w:ascii="宋体"/>
                <w:szCs w:val="24"/>
              </w:rPr>
              <w:t>提供对系统监控的支持，包括专有硬件设备（如有）、应用系统进程、日志、连接等</w:t>
            </w:r>
          </w:p>
        </w:tc>
      </w:tr>
      <w:tr w14:paraId="0EF0D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352112B4">
            <w:pPr>
              <w:rPr>
                <w:rFonts w:ascii="宋体"/>
                <w:szCs w:val="24"/>
              </w:rPr>
            </w:pPr>
            <w:r>
              <w:rPr>
                <w:rFonts w:hint="eastAsia" w:ascii="宋体"/>
                <w:szCs w:val="24"/>
              </w:rPr>
              <w:t>4.4.3</w:t>
            </w:r>
          </w:p>
        </w:tc>
        <w:tc>
          <w:tcPr>
            <w:tcW w:w="2022" w:type="dxa"/>
            <w:tcBorders>
              <w:tl2br w:val="nil"/>
              <w:tr2bl w:val="nil"/>
            </w:tcBorders>
            <w:vAlign w:val="center"/>
          </w:tcPr>
          <w:p w14:paraId="24E3607F">
            <w:pPr>
              <w:rPr>
                <w:rFonts w:ascii="宋体"/>
                <w:szCs w:val="24"/>
              </w:rPr>
            </w:pPr>
            <w:r>
              <w:rPr>
                <w:rFonts w:hint="eastAsia" w:ascii="宋体"/>
                <w:szCs w:val="24"/>
              </w:rPr>
              <w:t>发布管理</w:t>
            </w:r>
          </w:p>
        </w:tc>
        <w:tc>
          <w:tcPr>
            <w:tcW w:w="6059" w:type="dxa"/>
            <w:tcBorders>
              <w:tl2br w:val="nil"/>
              <w:tr2bl w:val="nil"/>
            </w:tcBorders>
            <w:vAlign w:val="center"/>
          </w:tcPr>
          <w:p w14:paraId="420B68D1">
            <w:pPr>
              <w:rPr>
                <w:rFonts w:ascii="宋体"/>
                <w:szCs w:val="24"/>
              </w:rPr>
            </w:pPr>
            <w:r>
              <w:rPr>
                <w:rFonts w:hint="eastAsia" w:ascii="宋体"/>
                <w:szCs w:val="24"/>
              </w:rPr>
              <w:t>制定测试环境发布方案，协助将具体的目标系统从测试环境移植到生产的上线方案</w:t>
            </w:r>
          </w:p>
        </w:tc>
      </w:tr>
      <w:tr w14:paraId="5CAAE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1017C189">
            <w:pPr>
              <w:rPr>
                <w:rFonts w:ascii="宋体"/>
                <w:szCs w:val="24"/>
              </w:rPr>
            </w:pPr>
            <w:r>
              <w:rPr>
                <w:rFonts w:hint="eastAsia" w:ascii="宋体"/>
                <w:szCs w:val="24"/>
              </w:rPr>
              <w:t>4.4.4</w:t>
            </w:r>
          </w:p>
        </w:tc>
        <w:tc>
          <w:tcPr>
            <w:tcW w:w="2022" w:type="dxa"/>
            <w:tcBorders>
              <w:tl2br w:val="nil"/>
              <w:tr2bl w:val="nil"/>
            </w:tcBorders>
            <w:vAlign w:val="center"/>
          </w:tcPr>
          <w:p w14:paraId="25217AD4">
            <w:pPr>
              <w:rPr>
                <w:rFonts w:ascii="宋体"/>
                <w:szCs w:val="24"/>
              </w:rPr>
            </w:pPr>
            <w:r>
              <w:rPr>
                <w:rFonts w:hint="eastAsia" w:ascii="宋体"/>
                <w:szCs w:val="24"/>
              </w:rPr>
              <w:t>安全管理</w:t>
            </w:r>
          </w:p>
        </w:tc>
        <w:tc>
          <w:tcPr>
            <w:tcW w:w="6059" w:type="dxa"/>
            <w:tcBorders>
              <w:tl2br w:val="nil"/>
              <w:tr2bl w:val="nil"/>
            </w:tcBorders>
            <w:vAlign w:val="center"/>
          </w:tcPr>
          <w:p w14:paraId="0164D355">
            <w:pPr>
              <w:rPr>
                <w:rFonts w:ascii="宋体"/>
                <w:szCs w:val="24"/>
              </w:rPr>
            </w:pPr>
            <w:r>
              <w:rPr>
                <w:rFonts w:hint="eastAsia" w:ascii="宋体"/>
                <w:szCs w:val="24"/>
              </w:rPr>
              <w:t>配合甲方完成上线前的漏洞扫描、渗透测试等安全评估工作，根据甲方要求完成发现漏洞的整改工作</w:t>
            </w:r>
          </w:p>
        </w:tc>
      </w:tr>
      <w:tr w14:paraId="72E28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897" w:type="dxa"/>
            <w:gridSpan w:val="3"/>
            <w:tcBorders>
              <w:tl2br w:val="nil"/>
              <w:tr2bl w:val="nil"/>
            </w:tcBorders>
            <w:vAlign w:val="center"/>
          </w:tcPr>
          <w:p w14:paraId="575D4405">
            <w:pPr>
              <w:rPr>
                <w:rFonts w:ascii="宋体"/>
                <w:b/>
                <w:szCs w:val="24"/>
              </w:rPr>
            </w:pPr>
            <w:r>
              <w:rPr>
                <w:rFonts w:hint="eastAsia" w:ascii="宋体"/>
                <w:b/>
                <w:szCs w:val="24"/>
              </w:rPr>
              <w:t>4.5 后续支持</w:t>
            </w:r>
          </w:p>
        </w:tc>
      </w:tr>
      <w:tr w14:paraId="6764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2E305BD0">
            <w:pPr>
              <w:rPr>
                <w:rFonts w:ascii="宋体"/>
                <w:szCs w:val="24"/>
              </w:rPr>
            </w:pPr>
            <w:r>
              <w:rPr>
                <w:rFonts w:hint="eastAsia" w:ascii="宋体"/>
                <w:szCs w:val="24"/>
              </w:rPr>
              <w:t>4.5.1</w:t>
            </w:r>
          </w:p>
        </w:tc>
        <w:tc>
          <w:tcPr>
            <w:tcW w:w="2022" w:type="dxa"/>
            <w:tcBorders>
              <w:tl2br w:val="nil"/>
              <w:tr2bl w:val="nil"/>
            </w:tcBorders>
            <w:vAlign w:val="center"/>
          </w:tcPr>
          <w:p w14:paraId="56C6A89C">
            <w:pPr>
              <w:rPr>
                <w:rFonts w:ascii="宋体"/>
                <w:szCs w:val="24"/>
              </w:rPr>
            </w:pPr>
            <w:r>
              <w:rPr>
                <w:rFonts w:hint="eastAsia" w:ascii="宋体"/>
                <w:szCs w:val="24"/>
              </w:rPr>
              <w:t>版本安装、更新和升级</w:t>
            </w:r>
          </w:p>
        </w:tc>
        <w:tc>
          <w:tcPr>
            <w:tcW w:w="6059" w:type="dxa"/>
            <w:tcBorders>
              <w:tl2br w:val="nil"/>
              <w:tr2bl w:val="nil"/>
            </w:tcBorders>
            <w:vAlign w:val="center"/>
          </w:tcPr>
          <w:p w14:paraId="3194EC5E">
            <w:pPr>
              <w:rPr>
                <w:rFonts w:ascii="宋体"/>
                <w:szCs w:val="24"/>
              </w:rPr>
            </w:pPr>
            <w:r>
              <w:rPr>
                <w:rFonts w:hint="eastAsia" w:ascii="宋体"/>
                <w:szCs w:val="24"/>
              </w:rPr>
              <w:t>提供系统版本安装和升级支持，包括响应甲方对生产、测试、开发、培训环境的安装和升级要求；提供硬件更换服务</w:t>
            </w:r>
          </w:p>
        </w:tc>
      </w:tr>
      <w:tr w14:paraId="6C607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48C2E933">
            <w:pPr>
              <w:rPr>
                <w:rFonts w:ascii="宋体"/>
                <w:szCs w:val="24"/>
              </w:rPr>
            </w:pPr>
            <w:r>
              <w:rPr>
                <w:rFonts w:hint="eastAsia" w:ascii="宋体"/>
                <w:szCs w:val="24"/>
              </w:rPr>
              <w:t>4.5.2</w:t>
            </w:r>
          </w:p>
        </w:tc>
        <w:tc>
          <w:tcPr>
            <w:tcW w:w="2022" w:type="dxa"/>
            <w:tcBorders>
              <w:tl2br w:val="nil"/>
              <w:tr2bl w:val="nil"/>
            </w:tcBorders>
            <w:vAlign w:val="center"/>
          </w:tcPr>
          <w:p w14:paraId="02FC08E6">
            <w:pPr>
              <w:rPr>
                <w:rFonts w:ascii="宋体"/>
                <w:szCs w:val="24"/>
              </w:rPr>
            </w:pPr>
            <w:r>
              <w:rPr>
                <w:rFonts w:hint="eastAsia" w:ascii="宋体"/>
                <w:szCs w:val="24"/>
              </w:rPr>
              <w:t>安全漏洞整改</w:t>
            </w:r>
          </w:p>
        </w:tc>
        <w:tc>
          <w:tcPr>
            <w:tcW w:w="6059" w:type="dxa"/>
            <w:tcBorders>
              <w:tl2br w:val="nil"/>
              <w:tr2bl w:val="nil"/>
            </w:tcBorders>
            <w:vAlign w:val="center"/>
          </w:tcPr>
          <w:p w14:paraId="3D54EE7B">
            <w:pPr>
              <w:rPr>
                <w:rFonts w:ascii="宋体"/>
                <w:szCs w:val="24"/>
              </w:rPr>
            </w:pPr>
            <w:r>
              <w:rPr>
                <w:rFonts w:hint="eastAsia" w:ascii="宋体"/>
                <w:szCs w:val="24"/>
              </w:rPr>
              <w:t>针对系统运行过程中发现的安全漏洞，根据甲方要求完成整改工作</w:t>
            </w:r>
          </w:p>
        </w:tc>
      </w:tr>
      <w:tr w14:paraId="68F24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816" w:type="dxa"/>
            <w:tcBorders>
              <w:tl2br w:val="nil"/>
              <w:tr2bl w:val="nil"/>
            </w:tcBorders>
            <w:vAlign w:val="center"/>
          </w:tcPr>
          <w:p w14:paraId="29879591">
            <w:pPr>
              <w:rPr>
                <w:rFonts w:ascii="宋体"/>
                <w:szCs w:val="24"/>
              </w:rPr>
            </w:pPr>
            <w:r>
              <w:rPr>
                <w:rFonts w:hint="eastAsia" w:ascii="宋体"/>
                <w:szCs w:val="24"/>
              </w:rPr>
              <w:t>4.5.3</w:t>
            </w:r>
          </w:p>
        </w:tc>
        <w:tc>
          <w:tcPr>
            <w:tcW w:w="2022" w:type="dxa"/>
            <w:tcBorders>
              <w:tl2br w:val="nil"/>
              <w:tr2bl w:val="nil"/>
            </w:tcBorders>
            <w:vAlign w:val="center"/>
          </w:tcPr>
          <w:p w14:paraId="3C636518">
            <w:pPr>
              <w:rPr>
                <w:rFonts w:ascii="宋体"/>
                <w:szCs w:val="24"/>
              </w:rPr>
            </w:pPr>
            <w:r>
              <w:rPr>
                <w:rFonts w:hint="eastAsia" w:ascii="宋体"/>
                <w:szCs w:val="24"/>
              </w:rPr>
              <w:t>服务台支持</w:t>
            </w:r>
          </w:p>
        </w:tc>
        <w:tc>
          <w:tcPr>
            <w:tcW w:w="6059" w:type="dxa"/>
            <w:tcBorders>
              <w:tl2br w:val="nil"/>
              <w:tr2bl w:val="nil"/>
            </w:tcBorders>
            <w:vAlign w:val="center"/>
          </w:tcPr>
          <w:p w14:paraId="20F59D5E">
            <w:pPr>
              <w:rPr>
                <w:rFonts w:ascii="宋体"/>
                <w:szCs w:val="24"/>
              </w:rPr>
            </w:pPr>
            <w:r>
              <w:rPr>
                <w:rFonts w:hint="eastAsia" w:ascii="宋体"/>
                <w:szCs w:val="24"/>
              </w:rPr>
              <w:t>提供7×24小时的技术支持服务</w:t>
            </w:r>
          </w:p>
        </w:tc>
      </w:tr>
      <w:tr w14:paraId="468E8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816" w:type="dxa"/>
            <w:tcBorders>
              <w:tl2br w:val="nil"/>
              <w:tr2bl w:val="nil"/>
            </w:tcBorders>
            <w:vAlign w:val="center"/>
          </w:tcPr>
          <w:p w14:paraId="4630D975">
            <w:pPr>
              <w:rPr>
                <w:rFonts w:ascii="宋体"/>
                <w:szCs w:val="24"/>
              </w:rPr>
            </w:pPr>
            <w:r>
              <w:rPr>
                <w:rFonts w:hint="eastAsia" w:ascii="宋体"/>
                <w:szCs w:val="24"/>
              </w:rPr>
              <w:t>4.5.4</w:t>
            </w:r>
          </w:p>
        </w:tc>
        <w:tc>
          <w:tcPr>
            <w:tcW w:w="2022" w:type="dxa"/>
            <w:tcBorders>
              <w:tl2br w:val="nil"/>
              <w:tr2bl w:val="nil"/>
            </w:tcBorders>
            <w:vAlign w:val="center"/>
          </w:tcPr>
          <w:p w14:paraId="26F4A783">
            <w:pPr>
              <w:rPr>
                <w:rFonts w:ascii="宋体"/>
                <w:szCs w:val="24"/>
              </w:rPr>
            </w:pPr>
            <w:r>
              <w:rPr>
                <w:rFonts w:hint="eastAsia" w:ascii="宋体"/>
                <w:szCs w:val="24"/>
              </w:rPr>
              <w:t>巡检服务</w:t>
            </w:r>
          </w:p>
        </w:tc>
        <w:tc>
          <w:tcPr>
            <w:tcW w:w="6059" w:type="dxa"/>
            <w:tcBorders>
              <w:tl2br w:val="nil"/>
              <w:tr2bl w:val="nil"/>
            </w:tcBorders>
            <w:vAlign w:val="center"/>
          </w:tcPr>
          <w:p w14:paraId="4A755FCE">
            <w:pPr>
              <w:rPr>
                <w:rFonts w:ascii="宋体"/>
                <w:szCs w:val="24"/>
              </w:rPr>
            </w:pPr>
            <w:r>
              <w:rPr>
                <w:rFonts w:hint="eastAsia" w:ascii="宋体"/>
                <w:szCs w:val="24"/>
              </w:rPr>
              <w:t>提供系统运行状况报告</w:t>
            </w:r>
          </w:p>
        </w:tc>
      </w:tr>
      <w:tr w14:paraId="1390C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l2br w:val="nil"/>
              <w:tr2bl w:val="nil"/>
            </w:tcBorders>
            <w:vAlign w:val="center"/>
          </w:tcPr>
          <w:p w14:paraId="36A56CC0">
            <w:pPr>
              <w:rPr>
                <w:rFonts w:ascii="宋体"/>
                <w:szCs w:val="24"/>
              </w:rPr>
            </w:pPr>
            <w:r>
              <w:rPr>
                <w:rFonts w:hint="eastAsia" w:ascii="宋体"/>
                <w:szCs w:val="24"/>
              </w:rPr>
              <w:t>4.5.5</w:t>
            </w:r>
          </w:p>
        </w:tc>
        <w:tc>
          <w:tcPr>
            <w:tcW w:w="2022" w:type="dxa"/>
            <w:tcBorders>
              <w:tl2br w:val="nil"/>
              <w:tr2bl w:val="nil"/>
            </w:tcBorders>
            <w:vAlign w:val="center"/>
          </w:tcPr>
          <w:p w14:paraId="544209E4">
            <w:pPr>
              <w:rPr>
                <w:rFonts w:ascii="宋体"/>
                <w:szCs w:val="24"/>
              </w:rPr>
            </w:pPr>
            <w:r>
              <w:rPr>
                <w:rFonts w:hint="eastAsia" w:ascii="宋体"/>
                <w:szCs w:val="24"/>
              </w:rPr>
              <w:t>现场问题解决</w:t>
            </w:r>
          </w:p>
        </w:tc>
        <w:tc>
          <w:tcPr>
            <w:tcW w:w="6059" w:type="dxa"/>
            <w:tcBorders>
              <w:tl2br w:val="nil"/>
              <w:tr2bl w:val="nil"/>
            </w:tcBorders>
            <w:vAlign w:val="center"/>
          </w:tcPr>
          <w:p w14:paraId="1A6F99B4">
            <w:pPr>
              <w:rPr>
                <w:rFonts w:ascii="宋体"/>
                <w:szCs w:val="24"/>
              </w:rPr>
            </w:pPr>
            <w:r>
              <w:rPr>
                <w:rFonts w:hint="eastAsia" w:ascii="宋体"/>
                <w:szCs w:val="24"/>
              </w:rPr>
              <w:t>提供重大问题现场解决，提供系统性能、容量、问题报告</w:t>
            </w:r>
          </w:p>
        </w:tc>
      </w:tr>
      <w:tr w14:paraId="6BF80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l2br w:val="nil"/>
              <w:tr2bl w:val="nil"/>
            </w:tcBorders>
            <w:vAlign w:val="center"/>
          </w:tcPr>
          <w:p w14:paraId="43E593DC">
            <w:pPr>
              <w:rPr>
                <w:rFonts w:ascii="宋体"/>
                <w:szCs w:val="24"/>
              </w:rPr>
            </w:pPr>
            <w:r>
              <w:rPr>
                <w:rFonts w:hint="eastAsia" w:ascii="宋体"/>
                <w:szCs w:val="24"/>
              </w:rPr>
              <w:t>4.5.6</w:t>
            </w:r>
          </w:p>
        </w:tc>
        <w:tc>
          <w:tcPr>
            <w:tcW w:w="2022" w:type="dxa"/>
            <w:tcBorders>
              <w:tl2br w:val="nil"/>
              <w:tr2bl w:val="nil"/>
            </w:tcBorders>
            <w:vAlign w:val="center"/>
          </w:tcPr>
          <w:p w14:paraId="4DEEEE81">
            <w:pPr>
              <w:rPr>
                <w:rFonts w:ascii="宋体"/>
                <w:szCs w:val="24"/>
              </w:rPr>
            </w:pPr>
            <w:r>
              <w:rPr>
                <w:rFonts w:hint="eastAsia" w:ascii="宋体"/>
                <w:szCs w:val="24"/>
              </w:rPr>
              <w:t>响应要求</w:t>
            </w:r>
          </w:p>
        </w:tc>
        <w:tc>
          <w:tcPr>
            <w:tcW w:w="6059" w:type="dxa"/>
            <w:tcBorders>
              <w:tl2br w:val="nil"/>
              <w:tr2bl w:val="nil"/>
            </w:tcBorders>
            <w:vAlign w:val="center"/>
          </w:tcPr>
          <w:p w14:paraId="4A0F58B1">
            <w:pPr>
              <w:rPr>
                <w:rFonts w:ascii="宋体"/>
                <w:szCs w:val="24"/>
              </w:rPr>
            </w:pPr>
            <w:r>
              <w:rPr>
                <w:rFonts w:hint="eastAsia" w:ascii="宋体"/>
                <w:szCs w:val="24"/>
              </w:rPr>
              <w:t>要求按服务水平和指标及时响应：</w:t>
            </w:r>
          </w:p>
          <w:p w14:paraId="011A2FAF">
            <w:pPr>
              <w:rPr>
                <w:rFonts w:ascii="宋体"/>
                <w:szCs w:val="24"/>
              </w:rPr>
            </w:pPr>
            <w:r>
              <w:rPr>
                <w:rFonts w:hint="eastAsia" w:ascii="宋体"/>
                <w:szCs w:val="24"/>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40FDF3D7">
            <w:pPr>
              <w:rPr>
                <w:rFonts w:ascii="宋体"/>
                <w:szCs w:val="24"/>
              </w:rPr>
            </w:pPr>
            <w:r>
              <w:rPr>
                <w:rFonts w:hint="eastAsia" w:ascii="宋体"/>
                <w:szCs w:val="24"/>
              </w:rPr>
              <w:t>二级响应：系统的运行性能严重下降，或性能明显下降，对业务运作产生明显影响。响应时间1小时内，必要时4小时到达，8小时内排除问题；</w:t>
            </w:r>
          </w:p>
          <w:p w14:paraId="3B1858C8">
            <w:pPr>
              <w:rPr>
                <w:rFonts w:ascii="宋体"/>
                <w:szCs w:val="24"/>
              </w:rPr>
            </w:pPr>
            <w:r>
              <w:rPr>
                <w:rFonts w:hint="eastAsia" w:ascii="宋体"/>
                <w:szCs w:val="24"/>
              </w:rPr>
              <w:t>三级响应：系统的运作性能受损，但业务仍可正常运行，响应时间12小时内，必要时24小时到达，1周内排除问题；</w:t>
            </w:r>
          </w:p>
          <w:p w14:paraId="0DEF5CA7">
            <w:pPr>
              <w:rPr>
                <w:rFonts w:ascii="宋体"/>
                <w:szCs w:val="24"/>
              </w:rPr>
            </w:pPr>
            <w:r>
              <w:rPr>
                <w:rFonts w:hint="eastAsia" w:ascii="宋体"/>
                <w:szCs w:val="24"/>
              </w:rPr>
              <w:t>四级响应：对系统安装或配置方面需要咨询或支援，很显然对业务运作几乎无影响，或根本没有影响。响应时间24小时内，必要时48小时到达，2周内排除问题。</w:t>
            </w:r>
          </w:p>
        </w:tc>
      </w:tr>
    </w:tbl>
    <w:p w14:paraId="19857D9F">
      <w:pPr>
        <w:rPr>
          <w:rFonts w:ascii="宋体"/>
          <w:b/>
          <w:bCs/>
          <w:kern w:val="32"/>
          <w:szCs w:val="24"/>
        </w:rPr>
      </w:pPr>
      <w:bookmarkStart w:id="131" w:name="_Toc254884645"/>
      <w:r>
        <w:rPr>
          <w:rFonts w:hint="eastAsia" w:ascii="宋体"/>
          <w:b/>
          <w:bCs/>
          <w:kern w:val="32"/>
          <w:szCs w:val="24"/>
        </w:rPr>
        <w:t>5. 问题管理流程</w:t>
      </w:r>
      <w:bookmarkEnd w:id="131"/>
    </w:p>
    <w:p w14:paraId="7DC078B1">
      <w:pPr>
        <w:rPr>
          <w:rFonts w:ascii="宋体"/>
          <w:b/>
          <w:bCs/>
          <w:kern w:val="32"/>
          <w:szCs w:val="24"/>
        </w:rPr>
      </w:pPr>
      <w:bookmarkStart w:id="132" w:name="_Toc254884646"/>
      <w:r>
        <w:rPr>
          <w:rFonts w:hint="eastAsia" w:ascii="宋体"/>
          <w:b/>
          <w:bCs/>
          <w:kern w:val="32"/>
          <w:szCs w:val="24"/>
        </w:rPr>
        <w:t>5.1问题处理流程</w:t>
      </w:r>
      <w:bookmarkEnd w:id="132"/>
    </w:p>
    <w:p w14:paraId="1AFE7BD8">
      <w:pPr>
        <w:widowControl/>
        <w:numPr>
          <w:ilvl w:val="0"/>
          <w:numId w:val="6"/>
        </w:numPr>
        <w:ind w:left="0" w:firstLine="567" w:firstLineChars="270"/>
        <w:rPr>
          <w:rFonts w:ascii="宋体"/>
          <w:szCs w:val="24"/>
        </w:rPr>
      </w:pPr>
      <w:r>
        <w:rPr>
          <w:rFonts w:hint="eastAsia" w:ascii="宋体"/>
          <w:szCs w:val="24"/>
        </w:rPr>
        <w:t>甲方或乙方均可以首先提出对问题解决方案有不同意见的看法；</w:t>
      </w:r>
    </w:p>
    <w:p w14:paraId="49D6DAC2">
      <w:pPr>
        <w:widowControl/>
        <w:numPr>
          <w:ilvl w:val="0"/>
          <w:numId w:val="6"/>
        </w:numPr>
        <w:ind w:left="0" w:firstLine="567" w:firstLineChars="270"/>
        <w:rPr>
          <w:rFonts w:ascii="宋体"/>
          <w:szCs w:val="24"/>
        </w:rPr>
      </w:pPr>
      <w:r>
        <w:rPr>
          <w:rFonts w:hint="eastAsia" w:ascii="宋体"/>
          <w:szCs w:val="24"/>
        </w:rPr>
        <w:t>甲方管理层和乙方管理层将决定问题是否需要提升到更高的管理层；</w:t>
      </w:r>
    </w:p>
    <w:p w14:paraId="3CE63C77">
      <w:pPr>
        <w:widowControl/>
        <w:numPr>
          <w:ilvl w:val="0"/>
          <w:numId w:val="6"/>
        </w:numPr>
        <w:ind w:left="0" w:firstLine="567" w:firstLineChars="270"/>
        <w:rPr>
          <w:rFonts w:ascii="宋体"/>
          <w:szCs w:val="24"/>
        </w:rPr>
      </w:pPr>
      <w:r>
        <w:rPr>
          <w:rFonts w:hint="eastAsia" w:ascii="宋体"/>
          <w:szCs w:val="24"/>
        </w:rPr>
        <w:t>及时召开相关的会议讨论和解决问题，问题的相关文档应提前一天发送到与会者；</w:t>
      </w:r>
    </w:p>
    <w:p w14:paraId="2658AB91">
      <w:pPr>
        <w:widowControl/>
        <w:numPr>
          <w:ilvl w:val="0"/>
          <w:numId w:val="6"/>
        </w:numPr>
        <w:ind w:left="0" w:firstLine="567" w:firstLineChars="270"/>
        <w:rPr>
          <w:rFonts w:ascii="宋体"/>
          <w:szCs w:val="24"/>
        </w:rPr>
      </w:pPr>
      <w:r>
        <w:rPr>
          <w:rFonts w:hint="eastAsia" w:ascii="宋体"/>
          <w:szCs w:val="24"/>
        </w:rPr>
        <w:t>如有必要，甲方和乙方管理层在永久性解决方案出台之前可以先共同达成一套临时性的解决方案。乙方可以在会后与各利益相关方沟通并达成永久性的解决方案；</w:t>
      </w:r>
    </w:p>
    <w:p w14:paraId="4414419A">
      <w:pPr>
        <w:widowControl/>
        <w:numPr>
          <w:ilvl w:val="0"/>
          <w:numId w:val="6"/>
        </w:numPr>
        <w:ind w:left="0" w:firstLine="567" w:firstLineChars="270"/>
        <w:rPr>
          <w:rFonts w:ascii="宋体"/>
          <w:szCs w:val="24"/>
        </w:rPr>
      </w:pPr>
      <w:r>
        <w:rPr>
          <w:rFonts w:hint="eastAsia" w:ascii="宋体"/>
          <w:szCs w:val="24"/>
        </w:rPr>
        <w:t>如果问题最终仍没解决，甲方和乙方双方可以申请仲裁来达成最终的一致方案。</w:t>
      </w:r>
    </w:p>
    <w:p w14:paraId="6753BD31">
      <w:pPr>
        <w:rPr>
          <w:rFonts w:ascii="宋体"/>
          <w:b/>
          <w:bCs/>
          <w:kern w:val="32"/>
          <w:szCs w:val="24"/>
        </w:rPr>
      </w:pPr>
      <w:bookmarkStart w:id="133" w:name="_Toc254884647"/>
      <w:r>
        <w:rPr>
          <w:rFonts w:hint="eastAsia" w:ascii="宋体"/>
          <w:b/>
          <w:bCs/>
          <w:kern w:val="32"/>
          <w:szCs w:val="24"/>
        </w:rPr>
        <w:t>5.2问题升级流程</w:t>
      </w:r>
      <w:bookmarkEnd w:id="133"/>
    </w:p>
    <w:p w14:paraId="3750D11A">
      <w:pPr>
        <w:widowControl/>
        <w:numPr>
          <w:ilvl w:val="0"/>
          <w:numId w:val="7"/>
        </w:numPr>
        <w:ind w:firstLineChars="0"/>
        <w:rPr>
          <w:rFonts w:ascii="宋体"/>
          <w:szCs w:val="24"/>
        </w:rPr>
      </w:pPr>
      <w:r>
        <w:rPr>
          <w:rFonts w:hint="eastAsia" w:ascii="宋体"/>
          <w:szCs w:val="24"/>
        </w:rPr>
        <w:t>甲方或者乙方都有可能首先提出该流程；</w:t>
      </w:r>
    </w:p>
    <w:p w14:paraId="7DCEE559">
      <w:pPr>
        <w:widowControl/>
        <w:numPr>
          <w:ilvl w:val="0"/>
          <w:numId w:val="7"/>
        </w:numPr>
        <w:ind w:firstLineChars="0"/>
        <w:rPr>
          <w:rFonts w:ascii="宋体"/>
          <w:szCs w:val="24"/>
        </w:rPr>
      </w:pPr>
      <w:r>
        <w:rPr>
          <w:rFonts w:hint="eastAsia" w:ascii="宋体"/>
          <w:szCs w:val="24"/>
        </w:rPr>
        <w:t>首先提出的一方应及时通知对方问题升级流程已经启动；</w:t>
      </w:r>
    </w:p>
    <w:p w14:paraId="0F82264E">
      <w:pPr>
        <w:widowControl/>
        <w:numPr>
          <w:ilvl w:val="0"/>
          <w:numId w:val="7"/>
        </w:numPr>
        <w:ind w:firstLineChars="0"/>
        <w:rPr>
          <w:rFonts w:ascii="宋体"/>
          <w:szCs w:val="24"/>
        </w:rPr>
      </w:pPr>
      <w:r>
        <w:rPr>
          <w:rFonts w:hint="eastAsia" w:ascii="宋体"/>
          <w:szCs w:val="24"/>
        </w:rPr>
        <w:t>问题升级到的管理层应当事先定义在联络人表中；</w:t>
      </w:r>
    </w:p>
    <w:p w14:paraId="57F7624E">
      <w:pPr>
        <w:widowControl/>
        <w:numPr>
          <w:ilvl w:val="0"/>
          <w:numId w:val="7"/>
        </w:numPr>
        <w:ind w:firstLineChars="0"/>
        <w:rPr>
          <w:rFonts w:ascii="宋体"/>
          <w:szCs w:val="24"/>
        </w:rPr>
      </w:pPr>
      <w:r>
        <w:rPr>
          <w:rFonts w:hint="eastAsia" w:ascii="宋体"/>
          <w:szCs w:val="24"/>
        </w:rPr>
        <w:t>问题升级的层次在甲方和乙方之间应当保持一致，直至解决该问题。</w:t>
      </w:r>
    </w:p>
    <w:p w14:paraId="62E3BD41">
      <w:pPr>
        <w:rPr>
          <w:rFonts w:ascii="宋体"/>
          <w:b/>
          <w:bCs/>
          <w:kern w:val="32"/>
          <w:szCs w:val="24"/>
        </w:rPr>
      </w:pPr>
      <w:bookmarkStart w:id="134" w:name="_Toc254884648"/>
      <w:r>
        <w:rPr>
          <w:rFonts w:hint="eastAsia" w:ascii="宋体"/>
          <w:b/>
          <w:bCs/>
          <w:kern w:val="32"/>
          <w:szCs w:val="24"/>
        </w:rPr>
        <w:t>5.3联络表</w:t>
      </w:r>
      <w:bookmarkEnd w:id="134"/>
    </w:p>
    <w:tbl>
      <w:tblPr>
        <w:tblStyle w:val="22"/>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7B52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4ED402D8">
            <w:pPr>
              <w:jc w:val="center"/>
              <w:rPr>
                <w:rFonts w:ascii="宋体"/>
                <w:szCs w:val="24"/>
              </w:rPr>
            </w:pPr>
            <w:r>
              <w:rPr>
                <w:rFonts w:hint="eastAsia" w:ascii="宋体"/>
                <w:b/>
                <w:szCs w:val="24"/>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3438B0F5">
            <w:pPr>
              <w:jc w:val="center"/>
              <w:rPr>
                <w:rFonts w:ascii="宋体"/>
                <w:b/>
                <w:szCs w:val="24"/>
              </w:rPr>
            </w:pPr>
            <w:r>
              <w:rPr>
                <w:rFonts w:hint="eastAsia" w:ascii="宋体"/>
                <w:b/>
                <w:szCs w:val="24"/>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077D922">
            <w:pPr>
              <w:jc w:val="center"/>
              <w:rPr>
                <w:rFonts w:ascii="宋体"/>
                <w:b/>
                <w:szCs w:val="24"/>
              </w:rPr>
            </w:pPr>
            <w:r>
              <w:rPr>
                <w:rFonts w:hint="eastAsia" w:ascii="宋体"/>
                <w:b/>
                <w:szCs w:val="24"/>
              </w:rPr>
              <w:t>电话</w:t>
            </w:r>
          </w:p>
        </w:tc>
      </w:tr>
      <w:tr w14:paraId="127A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CF257F1">
            <w:pPr>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527BA067">
            <w:pPr>
              <w:jc w:val="center"/>
              <w:rPr>
                <w:rFonts w:ascii="宋体"/>
                <w:szCs w:val="24"/>
              </w:rPr>
            </w:pPr>
            <w:r>
              <w:rPr>
                <w:rFonts w:hint="eastAsia" w:ascii="宋体"/>
                <w:szCs w:val="24"/>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34CCCA3A">
            <w:pPr>
              <w:jc w:val="center"/>
              <w:rPr>
                <w:rFonts w:ascii="宋体"/>
                <w:szCs w:val="24"/>
              </w:rPr>
            </w:pPr>
          </w:p>
        </w:tc>
      </w:tr>
      <w:tr w14:paraId="497C5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677671B4">
            <w:pPr>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6152942C">
            <w:pPr>
              <w:jc w:val="center"/>
              <w:rPr>
                <w:rFonts w:ascii="宋体"/>
                <w:szCs w:val="24"/>
              </w:rPr>
            </w:pPr>
            <w:r>
              <w:rPr>
                <w:rFonts w:hint="eastAsia" w:ascii="宋体"/>
                <w:szCs w:val="24"/>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4E8597E2">
            <w:pPr>
              <w:jc w:val="center"/>
              <w:rPr>
                <w:rFonts w:ascii="宋体"/>
                <w:szCs w:val="24"/>
              </w:rPr>
            </w:pPr>
          </w:p>
        </w:tc>
      </w:tr>
      <w:tr w14:paraId="78A4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17CBF4B5">
            <w:pPr>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4A3D78DC">
            <w:pPr>
              <w:jc w:val="center"/>
              <w:rPr>
                <w:rFonts w:ascii="宋体"/>
                <w:szCs w:val="24"/>
              </w:rPr>
            </w:pPr>
            <w:r>
              <w:rPr>
                <w:rFonts w:hint="eastAsia" w:ascii="宋体"/>
                <w:szCs w:val="24"/>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BA95F25">
            <w:pPr>
              <w:jc w:val="center"/>
              <w:rPr>
                <w:rFonts w:ascii="宋体"/>
                <w:szCs w:val="24"/>
              </w:rPr>
            </w:pPr>
          </w:p>
        </w:tc>
      </w:tr>
      <w:tr w14:paraId="3EBC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145ABF84">
            <w:pPr>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B152F3A">
            <w:pPr>
              <w:jc w:val="center"/>
              <w:rPr>
                <w:rFonts w:ascii="宋体"/>
                <w:szCs w:val="24"/>
              </w:rPr>
            </w:pPr>
            <w:r>
              <w:rPr>
                <w:rFonts w:hint="eastAsia" w:ascii="宋体"/>
                <w:szCs w:val="24"/>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9753011">
            <w:pPr>
              <w:jc w:val="center"/>
              <w:rPr>
                <w:rFonts w:ascii="宋体"/>
                <w:szCs w:val="24"/>
              </w:rPr>
            </w:pPr>
          </w:p>
        </w:tc>
      </w:tr>
    </w:tbl>
    <w:p w14:paraId="33D1B187">
      <w:pPr>
        <w:rPr>
          <w:rFonts w:ascii="宋体"/>
          <w:b/>
          <w:bCs/>
          <w:kern w:val="32"/>
          <w:szCs w:val="24"/>
        </w:rPr>
      </w:pPr>
      <w:bookmarkStart w:id="135" w:name="_Toc254884649"/>
      <w:r>
        <w:rPr>
          <w:rFonts w:hint="eastAsia" w:ascii="宋体"/>
          <w:b/>
          <w:bCs/>
          <w:kern w:val="32"/>
          <w:szCs w:val="24"/>
        </w:rPr>
        <w:t>6. 汇报</w:t>
      </w:r>
      <w:r>
        <w:rPr>
          <w:rFonts w:ascii="宋体"/>
          <w:b/>
          <w:bCs/>
          <w:kern w:val="32"/>
          <w:szCs w:val="24"/>
        </w:rPr>
        <w:t>内容及</w:t>
      </w:r>
      <w:r>
        <w:rPr>
          <w:rFonts w:hint="eastAsia" w:ascii="宋体"/>
          <w:b/>
          <w:bCs/>
          <w:kern w:val="32"/>
          <w:szCs w:val="24"/>
        </w:rPr>
        <w:t>流程</w:t>
      </w:r>
      <w:bookmarkEnd w:id="135"/>
    </w:p>
    <w:p w14:paraId="2D0C2366">
      <w:pPr>
        <w:rPr>
          <w:rFonts w:ascii="宋体"/>
          <w:szCs w:val="24"/>
        </w:rPr>
      </w:pPr>
      <w:r>
        <w:rPr>
          <w:rFonts w:hint="eastAsia" w:ascii="宋体"/>
          <w:szCs w:val="24"/>
        </w:rPr>
        <w:t>乙方应当在每星期五向甲方提交工作周报，包括项目情况跟踪及问题报告等，附带的性能报告（如有）也将递交给甲方项目经理。如发生突发事件，乙方也应第一时间向甲方项目经理报告。</w:t>
      </w:r>
    </w:p>
    <w:p w14:paraId="60E68327">
      <w:pPr>
        <w:rPr>
          <w:rFonts w:ascii="宋体"/>
          <w:b/>
          <w:bCs/>
          <w:kern w:val="32"/>
          <w:szCs w:val="24"/>
        </w:rPr>
      </w:pPr>
      <w:bookmarkStart w:id="136" w:name="_Toc254884650"/>
      <w:r>
        <w:rPr>
          <w:rFonts w:hint="eastAsia" w:ascii="宋体"/>
          <w:b/>
          <w:bCs/>
          <w:kern w:val="32"/>
          <w:szCs w:val="24"/>
        </w:rPr>
        <w:t>7. 服务水平和指标</w:t>
      </w:r>
      <w:bookmarkEnd w:id="136"/>
    </w:p>
    <w:p w14:paraId="49B7B98F">
      <w:pPr>
        <w:widowControl/>
        <w:numPr>
          <w:ilvl w:val="0"/>
          <w:numId w:val="8"/>
        </w:numPr>
        <w:ind w:left="0" w:hanging="2" w:firstLineChars="0"/>
        <w:rPr>
          <w:rFonts w:ascii="宋体"/>
          <w:szCs w:val="24"/>
        </w:rPr>
      </w:pPr>
      <w:r>
        <w:rPr>
          <w:rFonts w:hint="eastAsia" w:ascii="宋体"/>
          <w:szCs w:val="24"/>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22"/>
        <w:tblW w:w="6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061"/>
        <w:gridCol w:w="1274"/>
        <w:gridCol w:w="1753"/>
        <w:gridCol w:w="2416"/>
        <w:gridCol w:w="1353"/>
        <w:gridCol w:w="1067"/>
        <w:gridCol w:w="1069"/>
      </w:tblGrid>
      <w:tr w14:paraId="32B2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6838EB78">
            <w:pPr>
              <w:ind w:left="0" w:firstLine="0" w:firstLineChars="0"/>
              <w:rPr>
                <w:rFonts w:ascii="宋体" w:hAnsi="宋体" w:eastAsia="宋体"/>
                <w:b/>
                <w:szCs w:val="24"/>
              </w:rPr>
            </w:pPr>
            <w:r>
              <w:rPr>
                <w:rFonts w:ascii="宋体" w:hAnsi="宋体" w:eastAsia="宋体"/>
                <w:b/>
                <w:szCs w:val="24"/>
              </w:rPr>
              <w:t>序号</w:t>
            </w:r>
          </w:p>
        </w:tc>
        <w:tc>
          <w:tcPr>
            <w:tcW w:w="498" w:type="pct"/>
            <w:vAlign w:val="center"/>
          </w:tcPr>
          <w:p w14:paraId="12F17D14">
            <w:pPr>
              <w:ind w:left="0" w:firstLine="0" w:firstLineChars="0"/>
              <w:rPr>
                <w:rFonts w:ascii="宋体" w:hAnsi="宋体" w:eastAsia="宋体"/>
                <w:b/>
                <w:szCs w:val="24"/>
              </w:rPr>
            </w:pPr>
            <w:r>
              <w:rPr>
                <w:rFonts w:ascii="宋体" w:hAnsi="宋体" w:eastAsia="宋体"/>
                <w:b/>
                <w:szCs w:val="24"/>
              </w:rPr>
              <w:t>评价维度</w:t>
            </w:r>
          </w:p>
        </w:tc>
        <w:tc>
          <w:tcPr>
            <w:tcW w:w="598" w:type="pct"/>
            <w:vAlign w:val="center"/>
          </w:tcPr>
          <w:p w14:paraId="73171363">
            <w:pPr>
              <w:ind w:left="0" w:firstLine="0" w:firstLineChars="0"/>
              <w:rPr>
                <w:rFonts w:ascii="宋体" w:hAnsi="宋体" w:eastAsia="宋体"/>
                <w:b/>
                <w:szCs w:val="24"/>
              </w:rPr>
            </w:pPr>
            <w:r>
              <w:rPr>
                <w:rFonts w:ascii="宋体" w:hAnsi="宋体" w:eastAsia="宋体"/>
                <w:b/>
                <w:szCs w:val="24"/>
              </w:rPr>
              <w:t>评价指标</w:t>
            </w:r>
          </w:p>
        </w:tc>
        <w:tc>
          <w:tcPr>
            <w:tcW w:w="823" w:type="pct"/>
            <w:vAlign w:val="center"/>
          </w:tcPr>
          <w:p w14:paraId="6BEBA643">
            <w:pPr>
              <w:ind w:left="0" w:firstLine="0" w:firstLineChars="0"/>
              <w:rPr>
                <w:rFonts w:ascii="宋体" w:hAnsi="宋体" w:eastAsia="宋体"/>
                <w:b/>
                <w:szCs w:val="24"/>
              </w:rPr>
            </w:pPr>
            <w:r>
              <w:rPr>
                <w:rFonts w:ascii="宋体" w:hAnsi="宋体" w:eastAsia="宋体"/>
                <w:b/>
                <w:szCs w:val="24"/>
              </w:rPr>
              <w:t>指标定义</w:t>
            </w:r>
          </w:p>
        </w:tc>
        <w:tc>
          <w:tcPr>
            <w:tcW w:w="1134" w:type="pct"/>
            <w:vAlign w:val="center"/>
          </w:tcPr>
          <w:p w14:paraId="2F387E5B">
            <w:pPr>
              <w:ind w:left="0" w:firstLine="0" w:firstLineChars="0"/>
              <w:rPr>
                <w:rFonts w:ascii="宋体" w:hAnsi="宋体" w:eastAsia="宋体"/>
                <w:b/>
                <w:szCs w:val="24"/>
              </w:rPr>
            </w:pPr>
            <w:r>
              <w:rPr>
                <w:rFonts w:ascii="宋体" w:hAnsi="宋体" w:eastAsia="宋体"/>
                <w:b/>
                <w:szCs w:val="24"/>
              </w:rPr>
              <w:t>评分</w:t>
            </w:r>
            <w:r>
              <w:rPr>
                <w:rFonts w:hint="eastAsia" w:ascii="宋体" w:hAnsi="宋体" w:eastAsia="宋体"/>
                <w:b/>
                <w:szCs w:val="24"/>
              </w:rPr>
              <w:t>/价</w:t>
            </w:r>
            <w:r>
              <w:rPr>
                <w:rFonts w:ascii="宋体" w:hAnsi="宋体" w:eastAsia="宋体"/>
                <w:b/>
                <w:szCs w:val="24"/>
              </w:rPr>
              <w:t>标准</w:t>
            </w:r>
          </w:p>
        </w:tc>
        <w:tc>
          <w:tcPr>
            <w:tcW w:w="635" w:type="pct"/>
            <w:vAlign w:val="center"/>
          </w:tcPr>
          <w:p w14:paraId="6F2D60F9">
            <w:pPr>
              <w:ind w:left="0" w:firstLine="0" w:firstLineChars="0"/>
              <w:rPr>
                <w:rFonts w:ascii="宋体" w:hAnsi="宋体" w:eastAsia="宋体"/>
                <w:b/>
                <w:szCs w:val="24"/>
              </w:rPr>
            </w:pPr>
            <w:r>
              <w:rPr>
                <w:rFonts w:hint="eastAsia" w:ascii="宋体" w:hAnsi="宋体" w:eastAsia="宋体"/>
                <w:b/>
                <w:szCs w:val="24"/>
              </w:rPr>
              <w:t>违约金标准</w:t>
            </w:r>
          </w:p>
        </w:tc>
        <w:tc>
          <w:tcPr>
            <w:tcW w:w="501" w:type="pct"/>
          </w:tcPr>
          <w:p w14:paraId="3DEE1C20">
            <w:pPr>
              <w:ind w:firstLine="0" w:firstLineChars="0"/>
              <w:rPr>
                <w:rFonts w:ascii="宋体" w:hAnsi="宋体" w:eastAsia="宋体"/>
                <w:b/>
                <w:szCs w:val="24"/>
              </w:rPr>
            </w:pPr>
            <w:r>
              <w:rPr>
                <w:rFonts w:ascii="宋体" w:hAnsi="宋体" w:eastAsia="宋体"/>
                <w:b/>
                <w:szCs w:val="24"/>
              </w:rPr>
              <w:t>评价结果</w:t>
            </w:r>
          </w:p>
        </w:tc>
        <w:tc>
          <w:tcPr>
            <w:tcW w:w="502" w:type="pct"/>
          </w:tcPr>
          <w:p w14:paraId="790583C5">
            <w:pPr>
              <w:ind w:firstLine="0" w:firstLineChars="0"/>
              <w:rPr>
                <w:rFonts w:ascii="宋体" w:hAnsi="宋体" w:eastAsia="宋体"/>
                <w:b/>
                <w:szCs w:val="24"/>
              </w:rPr>
            </w:pPr>
            <w:r>
              <w:rPr>
                <w:rFonts w:ascii="宋体" w:hAnsi="宋体" w:eastAsia="宋体"/>
                <w:b/>
                <w:szCs w:val="24"/>
              </w:rPr>
              <w:t>评价得分</w:t>
            </w:r>
          </w:p>
        </w:tc>
      </w:tr>
      <w:tr w14:paraId="42EA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1A5C1F32">
            <w:pPr>
              <w:ind w:left="0" w:firstLine="0" w:firstLineChars="0"/>
              <w:rPr>
                <w:rFonts w:ascii="宋体" w:hAnsi="宋体" w:eastAsia="宋体"/>
                <w:szCs w:val="24"/>
              </w:rPr>
            </w:pPr>
            <w:r>
              <w:rPr>
                <w:rFonts w:hint="eastAsia" w:ascii="宋体" w:hAnsi="宋体" w:eastAsia="宋体"/>
                <w:szCs w:val="24"/>
              </w:rPr>
              <w:t>1</w:t>
            </w:r>
          </w:p>
        </w:tc>
        <w:tc>
          <w:tcPr>
            <w:tcW w:w="498" w:type="pct"/>
            <w:vMerge w:val="restart"/>
            <w:tcBorders>
              <w:left w:val="single" w:color="auto" w:sz="4" w:space="0"/>
            </w:tcBorders>
            <w:vAlign w:val="center"/>
          </w:tcPr>
          <w:p w14:paraId="622449C5">
            <w:pPr>
              <w:ind w:left="0" w:firstLine="0" w:firstLineChars="0"/>
              <w:jc w:val="left"/>
              <w:rPr>
                <w:rFonts w:ascii="宋体" w:hAnsi="宋体" w:eastAsia="宋体"/>
                <w:szCs w:val="24"/>
              </w:rPr>
            </w:pPr>
            <w:r>
              <w:rPr>
                <w:rFonts w:hint="eastAsia" w:ascii="宋体" w:hAnsi="宋体" w:eastAsia="宋体"/>
                <w:szCs w:val="24"/>
              </w:rPr>
              <w:t>服务质量</w:t>
            </w:r>
          </w:p>
        </w:tc>
        <w:tc>
          <w:tcPr>
            <w:tcW w:w="598" w:type="pct"/>
            <w:tcBorders>
              <w:left w:val="single" w:color="auto" w:sz="4" w:space="0"/>
            </w:tcBorders>
            <w:vAlign w:val="center"/>
          </w:tcPr>
          <w:p w14:paraId="10E580AC">
            <w:pPr>
              <w:ind w:left="0" w:firstLine="0" w:firstLineChars="0"/>
              <w:rPr>
                <w:rFonts w:ascii="宋体" w:hAnsi="宋体" w:eastAsia="宋体"/>
                <w:szCs w:val="24"/>
              </w:rPr>
            </w:pPr>
            <w:r>
              <w:rPr>
                <w:rFonts w:ascii="宋体" w:hAnsi="宋体" w:eastAsia="宋体"/>
                <w:szCs w:val="24"/>
              </w:rPr>
              <w:t>交付成果质量</w:t>
            </w:r>
          </w:p>
        </w:tc>
        <w:tc>
          <w:tcPr>
            <w:tcW w:w="823" w:type="pct"/>
            <w:tcBorders>
              <w:left w:val="single" w:color="auto" w:sz="4" w:space="0"/>
            </w:tcBorders>
            <w:vAlign w:val="center"/>
          </w:tcPr>
          <w:p w14:paraId="5003034E">
            <w:pPr>
              <w:ind w:left="0" w:firstLine="0" w:firstLineChars="0"/>
              <w:rPr>
                <w:rFonts w:ascii="宋体" w:hAnsi="宋体" w:eastAsia="宋体"/>
                <w:szCs w:val="24"/>
              </w:rPr>
            </w:pPr>
            <w:r>
              <w:rPr>
                <w:rFonts w:ascii="宋体" w:hAnsi="宋体" w:eastAsia="宋体"/>
                <w:szCs w:val="24"/>
              </w:rPr>
              <w:t>用于记录</w:t>
            </w:r>
            <w:r>
              <w:rPr>
                <w:rFonts w:hint="eastAsia" w:ascii="宋体" w:hAnsi="宋体" w:eastAsia="宋体"/>
                <w:szCs w:val="24"/>
              </w:rPr>
              <w:t>乙方</w:t>
            </w:r>
            <w:r>
              <w:rPr>
                <w:rFonts w:ascii="宋体" w:hAnsi="宋体" w:eastAsia="宋体"/>
                <w:szCs w:val="24"/>
              </w:rPr>
              <w:t>所提交的项目交付成果与</w:t>
            </w:r>
            <w:r>
              <w:rPr>
                <w:rFonts w:hint="eastAsia" w:ascii="宋体" w:hAnsi="宋体" w:eastAsia="宋体"/>
                <w:szCs w:val="24"/>
              </w:rPr>
              <w:t>甲方</w:t>
            </w:r>
            <w:r>
              <w:rPr>
                <w:rFonts w:ascii="宋体" w:hAnsi="宋体" w:eastAsia="宋体"/>
                <w:szCs w:val="24"/>
              </w:rPr>
              <w:t>要求的项目交付成果的契合度或交付成果质量与合同所约定要求的项目交付成果质量的满足程度</w:t>
            </w:r>
          </w:p>
        </w:tc>
        <w:tc>
          <w:tcPr>
            <w:tcW w:w="1134" w:type="pct"/>
            <w:tcBorders>
              <w:left w:val="single" w:color="auto" w:sz="4" w:space="0"/>
            </w:tcBorders>
            <w:vAlign w:val="center"/>
          </w:tcPr>
          <w:p w14:paraId="40695D32">
            <w:pPr>
              <w:ind w:left="0" w:firstLine="0" w:firstLineChars="0"/>
              <w:rPr>
                <w:rFonts w:ascii="宋体" w:hAnsi="宋体" w:eastAsia="宋体"/>
                <w:szCs w:val="24"/>
              </w:rPr>
            </w:pPr>
            <w:r>
              <w:rPr>
                <w:rFonts w:hint="eastAsia" w:ascii="宋体" w:hAnsi="宋体" w:eastAsia="宋体"/>
                <w:b/>
                <w:bCs/>
                <w:szCs w:val="24"/>
              </w:rPr>
              <w:t>优秀：</w:t>
            </w:r>
            <w:r>
              <w:rPr>
                <w:rFonts w:hint="eastAsia" w:ascii="宋体" w:hAnsi="宋体" w:eastAsia="宋体"/>
                <w:szCs w:val="24"/>
              </w:rPr>
              <w:t>5分，</w:t>
            </w:r>
            <w:r>
              <w:rPr>
                <w:rFonts w:ascii="宋体" w:hAnsi="宋体" w:eastAsia="宋体"/>
                <w:szCs w:val="24"/>
              </w:rPr>
              <w:t>指</w:t>
            </w:r>
            <w:r>
              <w:rPr>
                <w:rFonts w:hint="eastAsia" w:ascii="宋体" w:hAnsi="宋体" w:eastAsia="宋体"/>
                <w:szCs w:val="24"/>
              </w:rPr>
              <w:t>乙方</w:t>
            </w:r>
            <w:r>
              <w:rPr>
                <w:rFonts w:ascii="宋体" w:hAnsi="宋体" w:eastAsia="宋体"/>
                <w:szCs w:val="24"/>
              </w:rPr>
              <w:t>能够主动快速与</w:t>
            </w:r>
            <w:r>
              <w:rPr>
                <w:rFonts w:hint="eastAsia" w:ascii="宋体" w:hAnsi="宋体" w:eastAsia="宋体"/>
                <w:szCs w:val="24"/>
              </w:rPr>
              <w:t>甲方</w:t>
            </w:r>
            <w:r>
              <w:rPr>
                <w:rFonts w:ascii="宋体" w:hAnsi="宋体" w:eastAsia="宋体"/>
                <w:szCs w:val="24"/>
              </w:rPr>
              <w:t>进行有效的沟通，交付成果高度契合需求，完全满足并超出合同约定的预期目标，给</w:t>
            </w:r>
            <w:r>
              <w:rPr>
                <w:rFonts w:hint="eastAsia" w:ascii="宋体" w:hAnsi="宋体" w:eastAsia="宋体"/>
                <w:szCs w:val="24"/>
              </w:rPr>
              <w:t>甲方</w:t>
            </w:r>
            <w:r>
              <w:rPr>
                <w:rFonts w:ascii="宋体" w:hAnsi="宋体" w:eastAsia="宋体"/>
                <w:szCs w:val="24"/>
              </w:rPr>
              <w:t>带来显著的附加价值</w:t>
            </w:r>
            <w:r>
              <w:rPr>
                <w:rFonts w:hint="eastAsia" w:ascii="宋体" w:hAnsi="宋体" w:eastAsia="宋体"/>
                <w:szCs w:val="24"/>
              </w:rPr>
              <w:t>；</w:t>
            </w:r>
          </w:p>
          <w:p w14:paraId="394A4598">
            <w:pPr>
              <w:ind w:left="0" w:firstLine="0" w:firstLineChars="0"/>
              <w:rPr>
                <w:rFonts w:ascii="宋体" w:hAnsi="宋体" w:eastAsia="宋体"/>
                <w:szCs w:val="24"/>
              </w:rPr>
            </w:pPr>
            <w:r>
              <w:rPr>
                <w:rFonts w:hint="eastAsia" w:ascii="宋体" w:hAnsi="宋体" w:eastAsia="宋体"/>
                <w:b/>
                <w:bCs/>
                <w:szCs w:val="24"/>
              </w:rPr>
              <w:t>良好：</w:t>
            </w:r>
            <w:r>
              <w:rPr>
                <w:rFonts w:hint="eastAsia" w:ascii="宋体" w:hAnsi="宋体" w:eastAsia="宋体"/>
                <w:szCs w:val="24"/>
              </w:rPr>
              <w:t>4分，</w:t>
            </w:r>
            <w:r>
              <w:rPr>
                <w:rFonts w:ascii="宋体" w:hAnsi="宋体" w:eastAsia="宋体"/>
                <w:szCs w:val="24"/>
              </w:rPr>
              <w:t>指</w:t>
            </w:r>
            <w:r>
              <w:rPr>
                <w:rFonts w:hint="eastAsia" w:ascii="宋体" w:hAnsi="宋体" w:eastAsia="宋体"/>
                <w:szCs w:val="24"/>
              </w:rPr>
              <w:t>乙方</w:t>
            </w:r>
            <w:r>
              <w:rPr>
                <w:rFonts w:ascii="宋体" w:hAnsi="宋体" w:eastAsia="宋体"/>
                <w:szCs w:val="24"/>
              </w:rPr>
              <w:t>能够快速响应需求，交付成果达到合同约定的预期目标，基本契合需求，满足合同约定的预期目标</w:t>
            </w:r>
            <w:r>
              <w:rPr>
                <w:rFonts w:hint="eastAsia" w:ascii="宋体" w:hAnsi="宋体" w:eastAsia="宋体"/>
                <w:szCs w:val="24"/>
              </w:rPr>
              <w:t>；</w:t>
            </w:r>
          </w:p>
          <w:p w14:paraId="6796814A">
            <w:pPr>
              <w:ind w:left="0" w:firstLine="0" w:firstLineChars="0"/>
              <w:rPr>
                <w:rFonts w:ascii="宋体" w:hAnsi="宋体" w:eastAsia="宋体"/>
                <w:szCs w:val="24"/>
              </w:rPr>
            </w:pPr>
            <w:r>
              <w:rPr>
                <w:rFonts w:hint="eastAsia" w:ascii="宋体" w:hAnsi="宋体" w:eastAsia="宋体"/>
                <w:b/>
                <w:bCs/>
                <w:szCs w:val="24"/>
              </w:rPr>
              <w:t>合格：</w:t>
            </w:r>
            <w:r>
              <w:rPr>
                <w:rFonts w:hint="eastAsia" w:ascii="宋体" w:hAnsi="宋体" w:eastAsia="宋体"/>
                <w:szCs w:val="24"/>
              </w:rPr>
              <w:t>3分，</w:t>
            </w:r>
            <w:r>
              <w:rPr>
                <w:rFonts w:ascii="宋体" w:hAnsi="宋体" w:eastAsia="宋体"/>
                <w:szCs w:val="24"/>
              </w:rPr>
              <w:t>指</w:t>
            </w:r>
            <w:r>
              <w:rPr>
                <w:rFonts w:hint="eastAsia" w:ascii="宋体" w:hAnsi="宋体" w:eastAsia="宋体"/>
                <w:szCs w:val="24"/>
              </w:rPr>
              <w:t>乙方</w:t>
            </w:r>
            <w:r>
              <w:rPr>
                <w:rFonts w:ascii="宋体" w:hAnsi="宋体" w:eastAsia="宋体"/>
                <w:szCs w:val="24"/>
              </w:rPr>
              <w:t>能够按要求响应需求，交付成果</w:t>
            </w:r>
            <w:r>
              <w:rPr>
                <w:rFonts w:hint="eastAsia" w:ascii="宋体" w:hAnsi="宋体" w:eastAsia="宋体"/>
                <w:szCs w:val="24"/>
              </w:rPr>
              <w:t>基本满足</w:t>
            </w:r>
            <w:r>
              <w:rPr>
                <w:rFonts w:ascii="宋体" w:hAnsi="宋体" w:eastAsia="宋体"/>
                <w:szCs w:val="24"/>
              </w:rPr>
              <w:t>需求，但是总体可满足合同约定的预期目标</w:t>
            </w:r>
            <w:r>
              <w:rPr>
                <w:rFonts w:hint="eastAsia" w:ascii="宋体" w:hAnsi="宋体" w:eastAsia="宋体"/>
                <w:szCs w:val="24"/>
              </w:rPr>
              <w:t>；</w:t>
            </w:r>
          </w:p>
          <w:p w14:paraId="1BCD1F70">
            <w:pPr>
              <w:ind w:left="0" w:firstLine="0" w:firstLineChars="0"/>
              <w:rPr>
                <w:rFonts w:ascii="宋体" w:hAnsi="宋体" w:eastAsia="宋体"/>
                <w:szCs w:val="24"/>
              </w:rPr>
            </w:pPr>
            <w:r>
              <w:rPr>
                <w:rFonts w:hint="eastAsia" w:ascii="宋体" w:hAnsi="宋体" w:eastAsia="宋体"/>
                <w:b/>
                <w:bCs/>
                <w:szCs w:val="24"/>
              </w:rPr>
              <w:t>较差/差：</w:t>
            </w:r>
            <w:r>
              <w:rPr>
                <w:rFonts w:hint="eastAsia" w:ascii="宋体" w:hAnsi="宋体" w:eastAsia="宋体"/>
                <w:szCs w:val="24"/>
              </w:rPr>
              <w:t>0分，</w:t>
            </w:r>
            <w:r>
              <w:rPr>
                <w:rFonts w:ascii="宋体" w:hAnsi="宋体" w:eastAsia="宋体"/>
                <w:szCs w:val="24"/>
              </w:rPr>
              <w:t>指</w:t>
            </w:r>
            <w:r>
              <w:rPr>
                <w:rFonts w:hint="eastAsia" w:ascii="宋体" w:hAnsi="宋体" w:eastAsia="宋体"/>
                <w:szCs w:val="24"/>
              </w:rPr>
              <w:t>乙方未</w:t>
            </w:r>
            <w:r>
              <w:rPr>
                <w:rFonts w:ascii="宋体" w:hAnsi="宋体" w:eastAsia="宋体"/>
                <w:szCs w:val="24"/>
              </w:rPr>
              <w:t>能够按要求响应需求，</w:t>
            </w:r>
            <w:r>
              <w:rPr>
                <w:rFonts w:hint="eastAsia" w:ascii="宋体" w:hAnsi="宋体" w:eastAsia="宋体"/>
                <w:szCs w:val="24"/>
              </w:rPr>
              <w:t>或</w:t>
            </w:r>
            <w:r>
              <w:rPr>
                <w:rFonts w:ascii="宋体" w:hAnsi="宋体" w:eastAsia="宋体"/>
                <w:szCs w:val="24"/>
              </w:rPr>
              <w:t>交付成果与需求</w:t>
            </w:r>
            <w:r>
              <w:rPr>
                <w:rFonts w:hint="eastAsia" w:ascii="宋体" w:hAnsi="宋体" w:eastAsia="宋体"/>
                <w:szCs w:val="24"/>
              </w:rPr>
              <w:t>契合度</w:t>
            </w:r>
            <w:r>
              <w:rPr>
                <w:rFonts w:ascii="宋体" w:hAnsi="宋体" w:eastAsia="宋体"/>
                <w:szCs w:val="24"/>
              </w:rPr>
              <w:t>差距较大，无法达到合同约定的预期目标</w:t>
            </w:r>
            <w:r>
              <w:rPr>
                <w:rFonts w:hint="eastAsia" w:ascii="宋体" w:hAnsi="宋体" w:eastAsia="宋体"/>
                <w:szCs w:val="24"/>
              </w:rPr>
              <w:t>。</w:t>
            </w:r>
          </w:p>
        </w:tc>
        <w:tc>
          <w:tcPr>
            <w:tcW w:w="635" w:type="pct"/>
            <w:tcBorders>
              <w:left w:val="single" w:color="auto" w:sz="4" w:space="0"/>
            </w:tcBorders>
            <w:vAlign w:val="center"/>
          </w:tcPr>
          <w:p w14:paraId="6642A3F0">
            <w:pPr>
              <w:ind w:left="0" w:firstLine="0" w:firstLineChars="0"/>
              <w:rPr>
                <w:rFonts w:ascii="宋体" w:hAnsi="宋体" w:eastAsia="宋体"/>
                <w:szCs w:val="24"/>
              </w:rPr>
            </w:pPr>
            <w:r>
              <w:rPr>
                <w:rFonts w:hint="eastAsia" w:ascii="宋体" w:hAnsi="宋体" w:eastAsia="宋体"/>
                <w:szCs w:val="24"/>
              </w:rPr>
              <w:t>交付成果每缺少一项扣除乙方金额人民币2</w:t>
            </w:r>
            <w:r>
              <w:rPr>
                <w:rFonts w:ascii="宋体" w:hAnsi="宋体" w:eastAsia="宋体"/>
                <w:szCs w:val="24"/>
              </w:rPr>
              <w:t>000</w:t>
            </w:r>
            <w:r>
              <w:rPr>
                <w:rFonts w:hint="eastAsia" w:ascii="宋体" w:hAnsi="宋体" w:eastAsia="宋体"/>
                <w:szCs w:val="24"/>
              </w:rPr>
              <w:t>元；每有一项交付成果质量不合格扣除乙方金额人民币2</w:t>
            </w:r>
            <w:r>
              <w:rPr>
                <w:rFonts w:ascii="宋体" w:hAnsi="宋体" w:eastAsia="宋体"/>
                <w:szCs w:val="24"/>
              </w:rPr>
              <w:t>000</w:t>
            </w:r>
            <w:r>
              <w:rPr>
                <w:rFonts w:hint="eastAsia" w:ascii="宋体" w:hAnsi="宋体" w:eastAsia="宋体"/>
                <w:szCs w:val="24"/>
              </w:rPr>
              <w:t>元。</w:t>
            </w:r>
          </w:p>
        </w:tc>
        <w:tc>
          <w:tcPr>
            <w:tcW w:w="501" w:type="pct"/>
            <w:tcBorders>
              <w:left w:val="single" w:color="auto" w:sz="4" w:space="0"/>
            </w:tcBorders>
          </w:tcPr>
          <w:p w14:paraId="2F5C8951">
            <w:pPr>
              <w:ind w:firstLine="0" w:firstLineChars="0"/>
              <w:rPr>
                <w:rFonts w:ascii="宋体" w:hAnsi="宋体" w:eastAsia="宋体"/>
                <w:szCs w:val="24"/>
              </w:rPr>
            </w:pPr>
          </w:p>
        </w:tc>
        <w:tc>
          <w:tcPr>
            <w:tcW w:w="502" w:type="pct"/>
            <w:tcBorders>
              <w:left w:val="single" w:color="auto" w:sz="4" w:space="0"/>
            </w:tcBorders>
          </w:tcPr>
          <w:p w14:paraId="238F6A26">
            <w:pPr>
              <w:ind w:firstLine="0" w:firstLineChars="0"/>
              <w:rPr>
                <w:rFonts w:ascii="宋体" w:hAnsi="宋体" w:eastAsia="宋体"/>
                <w:szCs w:val="24"/>
              </w:rPr>
            </w:pPr>
          </w:p>
        </w:tc>
      </w:tr>
      <w:tr w14:paraId="2452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523C21F5">
            <w:pPr>
              <w:ind w:left="0" w:firstLine="0" w:firstLineChars="0"/>
              <w:rPr>
                <w:rFonts w:ascii="宋体" w:hAnsi="宋体" w:eastAsia="宋体"/>
                <w:szCs w:val="24"/>
              </w:rPr>
            </w:pPr>
            <w:r>
              <w:rPr>
                <w:rFonts w:hint="eastAsia" w:ascii="宋体" w:hAnsi="宋体" w:eastAsia="宋体"/>
                <w:szCs w:val="24"/>
              </w:rPr>
              <w:t>2</w:t>
            </w:r>
          </w:p>
        </w:tc>
        <w:tc>
          <w:tcPr>
            <w:tcW w:w="904" w:type="pct"/>
            <w:vMerge w:val="continue"/>
            <w:tcBorders>
              <w:left w:val="single" w:color="auto" w:sz="4" w:space="0"/>
            </w:tcBorders>
          </w:tcPr>
          <w:p w14:paraId="7A3AD8BB"/>
        </w:tc>
        <w:tc>
          <w:tcPr>
            <w:tcW w:w="598" w:type="pct"/>
            <w:tcBorders>
              <w:left w:val="single" w:color="auto" w:sz="4" w:space="0"/>
            </w:tcBorders>
            <w:vAlign w:val="center"/>
          </w:tcPr>
          <w:p w14:paraId="1E9A1B1E">
            <w:pPr>
              <w:ind w:left="0" w:firstLine="0" w:firstLineChars="0"/>
              <w:rPr>
                <w:rFonts w:ascii="宋体" w:hAnsi="宋体" w:eastAsia="宋体"/>
                <w:szCs w:val="24"/>
              </w:rPr>
            </w:pPr>
            <w:r>
              <w:rPr>
                <w:rFonts w:ascii="宋体" w:hAnsi="宋体" w:eastAsia="宋体"/>
                <w:szCs w:val="24"/>
              </w:rPr>
              <w:t>成果交付延期情况</w:t>
            </w:r>
          </w:p>
        </w:tc>
        <w:tc>
          <w:tcPr>
            <w:tcW w:w="823" w:type="pct"/>
            <w:tcBorders>
              <w:left w:val="single" w:color="auto" w:sz="4" w:space="0"/>
            </w:tcBorders>
            <w:vAlign w:val="center"/>
          </w:tcPr>
          <w:p w14:paraId="1DA4C089">
            <w:pPr>
              <w:ind w:left="0" w:firstLine="0" w:firstLineChars="0"/>
              <w:rPr>
                <w:rFonts w:ascii="宋体" w:hAnsi="宋体" w:eastAsia="宋体"/>
                <w:szCs w:val="24"/>
              </w:rPr>
            </w:pPr>
            <w:r>
              <w:rPr>
                <w:rFonts w:ascii="宋体" w:hAnsi="宋体" w:eastAsia="宋体"/>
                <w:szCs w:val="24"/>
              </w:rPr>
              <w:t>用于记录</w:t>
            </w:r>
            <w:r>
              <w:rPr>
                <w:rFonts w:hint="eastAsia" w:ascii="宋体" w:hAnsi="宋体" w:eastAsia="宋体"/>
                <w:szCs w:val="24"/>
              </w:rPr>
              <w:t>因乙方原因导致</w:t>
            </w:r>
            <w:r>
              <w:rPr>
                <w:rFonts w:ascii="宋体" w:hAnsi="宋体" w:eastAsia="宋体"/>
                <w:szCs w:val="24"/>
              </w:rPr>
              <w:t>项目交付成果时间与合同规定时间之间的差距</w:t>
            </w:r>
          </w:p>
        </w:tc>
        <w:tc>
          <w:tcPr>
            <w:tcW w:w="1134" w:type="pct"/>
            <w:tcBorders>
              <w:left w:val="single" w:color="auto" w:sz="4" w:space="0"/>
            </w:tcBorders>
            <w:vAlign w:val="center"/>
          </w:tcPr>
          <w:p w14:paraId="1E9AD25A">
            <w:pPr>
              <w:ind w:left="0" w:firstLine="0" w:firstLineChars="0"/>
              <w:rPr>
                <w:rFonts w:ascii="宋体" w:hAnsi="宋体" w:eastAsia="宋体"/>
                <w:szCs w:val="24"/>
              </w:rPr>
            </w:pPr>
            <w:r>
              <w:rPr>
                <w:rFonts w:hint="eastAsia" w:ascii="宋体" w:hAnsi="宋体" w:eastAsia="宋体"/>
                <w:szCs w:val="24"/>
              </w:rPr>
              <w:t>实</w:t>
            </w:r>
            <w:r>
              <w:rPr>
                <w:rFonts w:ascii="宋体" w:hAnsi="宋体" w:eastAsia="宋体"/>
                <w:szCs w:val="24"/>
              </w:rPr>
              <w:t>际交付成果日期与合同约定交付日期之差</w:t>
            </w:r>
            <w:r>
              <w:rPr>
                <w:rFonts w:hint="eastAsia" w:ascii="宋体" w:hAnsi="宋体" w:eastAsia="宋体"/>
                <w:b/>
                <w:bCs/>
                <w:szCs w:val="24"/>
              </w:rPr>
              <w:t>【得分上限5分】</w:t>
            </w:r>
          </w:p>
          <w:p w14:paraId="3CFDE414">
            <w:pPr>
              <w:ind w:left="0" w:firstLine="0" w:firstLineChars="0"/>
              <w:rPr>
                <w:rFonts w:ascii="宋体" w:hAnsi="宋体" w:eastAsia="宋体"/>
                <w:szCs w:val="24"/>
              </w:rPr>
            </w:pPr>
            <w:r>
              <w:rPr>
                <w:rFonts w:hint="eastAsia" w:ascii="宋体" w:hAnsi="宋体" w:eastAsia="宋体"/>
                <w:b/>
                <w:bCs/>
                <w:szCs w:val="24"/>
              </w:rPr>
              <w:t>无延期：</w:t>
            </w:r>
            <w:r>
              <w:rPr>
                <w:rFonts w:hint="eastAsia" w:ascii="宋体" w:hAnsi="宋体" w:eastAsia="宋体"/>
                <w:szCs w:val="24"/>
              </w:rPr>
              <w:t>指未出现延期，该项指标满分；</w:t>
            </w:r>
          </w:p>
          <w:p w14:paraId="6FD1BEC1">
            <w:pPr>
              <w:ind w:left="0" w:firstLine="0" w:firstLineChars="0"/>
              <w:rPr>
                <w:rFonts w:ascii="宋体" w:hAnsi="宋体" w:eastAsia="宋体"/>
                <w:szCs w:val="24"/>
              </w:rPr>
            </w:pPr>
            <w:r>
              <w:rPr>
                <w:rFonts w:hint="eastAsia" w:ascii="宋体" w:hAnsi="宋体" w:eastAsia="宋体"/>
                <w:b/>
                <w:bCs/>
                <w:szCs w:val="24"/>
              </w:rPr>
              <w:t>0＜延期≤3个月：</w:t>
            </w:r>
            <w:r>
              <w:rPr>
                <w:rFonts w:hint="eastAsia" w:ascii="宋体" w:hAnsi="宋体" w:eastAsia="宋体"/>
                <w:szCs w:val="24"/>
              </w:rPr>
              <w:t>扣2分，指出现延期3个月</w:t>
            </w:r>
            <w:r>
              <w:rPr>
                <w:rFonts w:ascii="宋体" w:hAnsi="宋体" w:eastAsia="宋体"/>
                <w:szCs w:val="24"/>
              </w:rPr>
              <w:t>（含）</w:t>
            </w:r>
            <w:r>
              <w:rPr>
                <w:rFonts w:hint="eastAsia" w:ascii="宋体" w:hAnsi="宋体" w:eastAsia="宋体"/>
                <w:szCs w:val="24"/>
              </w:rPr>
              <w:t>以内；</w:t>
            </w:r>
          </w:p>
          <w:p w14:paraId="5B799250">
            <w:pPr>
              <w:ind w:left="0" w:firstLine="0" w:firstLineChars="0"/>
              <w:rPr>
                <w:rFonts w:ascii="宋体" w:hAnsi="宋体" w:eastAsia="宋体"/>
                <w:szCs w:val="24"/>
              </w:rPr>
            </w:pPr>
            <w:r>
              <w:rPr>
                <w:rFonts w:hint="eastAsia" w:ascii="宋体" w:hAnsi="宋体" w:eastAsia="宋体"/>
                <w:b/>
                <w:bCs/>
                <w:szCs w:val="24"/>
              </w:rPr>
              <w:t>3＜延期≤6个月：</w:t>
            </w:r>
            <w:r>
              <w:rPr>
                <w:rFonts w:hint="eastAsia" w:ascii="宋体" w:hAnsi="宋体" w:eastAsia="宋体"/>
                <w:szCs w:val="24"/>
              </w:rPr>
              <w:t>扣3分，指出现延期大于3个月且小于等于6个月；</w:t>
            </w:r>
          </w:p>
          <w:p w14:paraId="210B89DB">
            <w:pPr>
              <w:ind w:left="0" w:firstLine="0" w:firstLineChars="0"/>
              <w:rPr>
                <w:rFonts w:ascii="宋体" w:hAnsi="宋体" w:eastAsia="宋体"/>
                <w:b/>
                <w:bCs/>
                <w:szCs w:val="24"/>
              </w:rPr>
            </w:pPr>
            <w:r>
              <w:rPr>
                <w:rFonts w:hint="eastAsia" w:ascii="宋体" w:hAnsi="宋体" w:eastAsia="宋体"/>
                <w:b/>
                <w:bCs/>
                <w:szCs w:val="24"/>
              </w:rPr>
              <w:t>延期6个月以上：</w:t>
            </w:r>
            <w:r>
              <w:rPr>
                <w:rFonts w:hint="eastAsia" w:ascii="宋体" w:hAnsi="宋体" w:eastAsia="宋体"/>
                <w:szCs w:val="24"/>
              </w:rPr>
              <w:t>扣5分，指出现延期6个月以上。</w:t>
            </w:r>
          </w:p>
        </w:tc>
        <w:tc>
          <w:tcPr>
            <w:tcW w:w="635" w:type="pct"/>
            <w:tcBorders>
              <w:left w:val="single" w:color="auto" w:sz="4" w:space="0"/>
            </w:tcBorders>
            <w:vAlign w:val="center"/>
          </w:tcPr>
          <w:p w14:paraId="56FB799C">
            <w:pPr>
              <w:ind w:left="0" w:firstLine="0" w:firstLineChars="0"/>
              <w:rPr>
                <w:rFonts w:ascii="宋体" w:hAnsi="宋体" w:eastAsia="宋体"/>
                <w:b/>
                <w:bCs/>
                <w:szCs w:val="24"/>
              </w:rPr>
            </w:pPr>
            <w:r>
              <w:rPr>
                <w:rFonts w:hint="eastAsia" w:ascii="宋体" w:hAnsi="宋体" w:eastAsia="宋体"/>
                <w:szCs w:val="24"/>
              </w:rPr>
              <w:t>若延期超过1个月，每延期增加一天扣除合同总金额的0.1%（注：最多扣除不超过合同总金额的10%）</w:t>
            </w:r>
          </w:p>
        </w:tc>
        <w:tc>
          <w:tcPr>
            <w:tcW w:w="501" w:type="pct"/>
            <w:tcBorders>
              <w:left w:val="single" w:color="auto" w:sz="4" w:space="0"/>
            </w:tcBorders>
          </w:tcPr>
          <w:p w14:paraId="13578D53">
            <w:pPr>
              <w:ind w:firstLine="0" w:firstLineChars="0"/>
              <w:rPr>
                <w:rFonts w:ascii="宋体" w:hAnsi="宋体" w:eastAsia="宋体"/>
                <w:szCs w:val="24"/>
              </w:rPr>
            </w:pPr>
          </w:p>
        </w:tc>
        <w:tc>
          <w:tcPr>
            <w:tcW w:w="502" w:type="pct"/>
            <w:tcBorders>
              <w:left w:val="single" w:color="auto" w:sz="4" w:space="0"/>
            </w:tcBorders>
          </w:tcPr>
          <w:p w14:paraId="121A9A12">
            <w:pPr>
              <w:ind w:firstLine="0" w:firstLineChars="0"/>
              <w:rPr>
                <w:rFonts w:ascii="宋体" w:hAnsi="宋体" w:eastAsia="宋体"/>
                <w:szCs w:val="24"/>
              </w:rPr>
            </w:pPr>
          </w:p>
        </w:tc>
      </w:tr>
      <w:tr w14:paraId="6FF9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52E93A41">
            <w:pPr>
              <w:ind w:left="0" w:firstLine="0" w:firstLineChars="0"/>
              <w:rPr>
                <w:rFonts w:ascii="宋体" w:hAnsi="宋体" w:eastAsia="宋体"/>
                <w:szCs w:val="24"/>
              </w:rPr>
            </w:pPr>
            <w:r>
              <w:rPr>
                <w:rFonts w:hint="eastAsia" w:ascii="宋体" w:hAnsi="宋体" w:eastAsia="宋体"/>
                <w:szCs w:val="24"/>
              </w:rPr>
              <w:t>3</w:t>
            </w:r>
          </w:p>
        </w:tc>
        <w:tc>
          <w:tcPr>
            <w:tcW w:w="904" w:type="pct"/>
            <w:vMerge w:val="continue"/>
            <w:tcBorders>
              <w:left w:val="single" w:color="auto" w:sz="4" w:space="0"/>
            </w:tcBorders>
          </w:tcPr>
          <w:p w14:paraId="177819A4"/>
        </w:tc>
        <w:tc>
          <w:tcPr>
            <w:tcW w:w="598" w:type="pct"/>
            <w:tcBorders>
              <w:left w:val="single" w:color="auto" w:sz="4" w:space="0"/>
            </w:tcBorders>
            <w:vAlign w:val="center"/>
          </w:tcPr>
          <w:p w14:paraId="7C064EC4">
            <w:pPr>
              <w:ind w:left="0" w:firstLine="0" w:firstLineChars="0"/>
              <w:rPr>
                <w:rFonts w:ascii="宋体" w:hAnsi="宋体" w:eastAsia="宋体"/>
                <w:szCs w:val="24"/>
              </w:rPr>
            </w:pPr>
            <w:r>
              <w:rPr>
                <w:rFonts w:ascii="宋体" w:hAnsi="宋体" w:eastAsia="宋体"/>
                <w:szCs w:val="24"/>
              </w:rPr>
              <w:t>产品缺陷密度</w:t>
            </w:r>
          </w:p>
        </w:tc>
        <w:tc>
          <w:tcPr>
            <w:tcW w:w="823" w:type="pct"/>
            <w:tcBorders>
              <w:left w:val="single" w:color="auto" w:sz="4" w:space="0"/>
            </w:tcBorders>
            <w:vAlign w:val="center"/>
          </w:tcPr>
          <w:p w14:paraId="335FE09A">
            <w:pPr>
              <w:ind w:left="0" w:firstLine="0" w:firstLineChars="0"/>
              <w:rPr>
                <w:rFonts w:ascii="宋体" w:hAnsi="宋体" w:eastAsia="宋体"/>
                <w:szCs w:val="24"/>
              </w:rPr>
            </w:pPr>
            <w:r>
              <w:rPr>
                <w:rFonts w:ascii="宋体" w:hAnsi="宋体" w:eastAsia="宋体"/>
                <w:szCs w:val="24"/>
              </w:rPr>
              <w:t>用于记录统计周期内单位功能</w:t>
            </w:r>
            <w:r>
              <w:rPr>
                <w:rFonts w:hint="eastAsia" w:ascii="宋体" w:hAnsi="宋体" w:eastAsia="宋体"/>
                <w:szCs w:val="24"/>
              </w:rPr>
              <w:t>（案例）</w:t>
            </w:r>
            <w:r>
              <w:rPr>
                <w:rFonts w:ascii="宋体" w:hAnsi="宋体" w:eastAsia="宋体"/>
                <w:szCs w:val="24"/>
              </w:rPr>
              <w:t>点发现的缺陷数量</w:t>
            </w:r>
          </w:p>
        </w:tc>
        <w:tc>
          <w:tcPr>
            <w:tcW w:w="1134" w:type="pct"/>
            <w:tcBorders>
              <w:left w:val="single" w:color="auto" w:sz="4" w:space="0"/>
            </w:tcBorders>
            <w:vAlign w:val="center"/>
          </w:tcPr>
          <w:p w14:paraId="29D42085">
            <w:pPr>
              <w:ind w:left="0" w:firstLine="0" w:firstLineChars="0"/>
              <w:rPr>
                <w:rFonts w:ascii="宋体" w:hAnsi="宋体" w:eastAsia="宋体"/>
                <w:szCs w:val="24"/>
              </w:rPr>
            </w:pPr>
            <w:r>
              <w:rPr>
                <w:rFonts w:hint="eastAsia" w:ascii="宋体" w:hAnsi="宋体" w:eastAsia="宋体"/>
                <w:szCs w:val="24"/>
              </w:rPr>
              <w:t>产</w:t>
            </w:r>
            <w:r>
              <w:rPr>
                <w:rFonts w:ascii="宋体" w:hAnsi="宋体" w:eastAsia="宋体"/>
                <w:szCs w:val="24"/>
              </w:rPr>
              <w:t>品缺陷密度=统计周期内发现的该系统有效缺陷数/统计周期内该系统功能点总数</w:t>
            </w:r>
            <w:r>
              <w:rPr>
                <w:rFonts w:hint="eastAsia" w:ascii="宋体" w:hAnsi="宋体" w:eastAsia="宋体"/>
                <w:szCs w:val="24"/>
              </w:rPr>
              <w:t>（案例数）</w:t>
            </w:r>
          </w:p>
          <w:p w14:paraId="1116EAE2">
            <w:pPr>
              <w:ind w:left="0" w:firstLine="0" w:firstLineChars="0"/>
              <w:rPr>
                <w:rFonts w:ascii="宋体" w:hAnsi="宋体" w:eastAsia="宋体"/>
                <w:b/>
                <w:szCs w:val="24"/>
              </w:rPr>
            </w:pPr>
            <w:r>
              <w:rPr>
                <w:rFonts w:hint="eastAsia" w:ascii="宋体" w:hAnsi="宋体" w:eastAsia="宋体"/>
                <w:b/>
                <w:szCs w:val="24"/>
              </w:rPr>
              <w:t>10分【0-5%】</w:t>
            </w:r>
          </w:p>
          <w:p w14:paraId="10ECCFC2">
            <w:pPr>
              <w:ind w:left="0" w:firstLine="0" w:firstLineChars="0"/>
              <w:rPr>
                <w:rFonts w:ascii="宋体" w:hAnsi="宋体" w:eastAsia="宋体"/>
                <w:b/>
                <w:szCs w:val="24"/>
              </w:rPr>
            </w:pPr>
            <w:r>
              <w:rPr>
                <w:rFonts w:hint="eastAsia" w:ascii="宋体" w:hAnsi="宋体" w:eastAsia="宋体"/>
                <w:b/>
                <w:szCs w:val="24"/>
              </w:rPr>
              <w:t>5分【5%-20%】</w:t>
            </w:r>
          </w:p>
          <w:p w14:paraId="1BEBFB72">
            <w:pPr>
              <w:ind w:left="0" w:firstLine="0" w:firstLineChars="0"/>
              <w:rPr>
                <w:rFonts w:ascii="宋体" w:hAnsi="宋体" w:eastAsia="宋体"/>
                <w:b/>
                <w:szCs w:val="24"/>
              </w:rPr>
            </w:pPr>
            <w:r>
              <w:rPr>
                <w:rFonts w:hint="eastAsia" w:ascii="宋体" w:hAnsi="宋体" w:eastAsia="宋体"/>
                <w:b/>
                <w:szCs w:val="24"/>
              </w:rPr>
              <w:t>0分【超过20%】</w:t>
            </w:r>
          </w:p>
        </w:tc>
        <w:tc>
          <w:tcPr>
            <w:tcW w:w="635" w:type="pct"/>
            <w:tcBorders>
              <w:left w:val="single" w:color="auto" w:sz="4" w:space="0"/>
            </w:tcBorders>
            <w:vAlign w:val="center"/>
          </w:tcPr>
          <w:p w14:paraId="1376779F">
            <w:pPr>
              <w:ind w:left="0" w:firstLine="0" w:firstLineChars="0"/>
              <w:rPr>
                <w:rFonts w:ascii="宋体" w:hAnsi="宋体" w:eastAsia="宋体"/>
                <w:szCs w:val="24"/>
              </w:rPr>
            </w:pPr>
            <w:r>
              <w:rPr>
                <w:rFonts w:hint="eastAsia" w:ascii="宋体" w:hAnsi="宋体" w:eastAsia="宋体"/>
                <w:szCs w:val="24"/>
              </w:rPr>
              <w:t>产</w:t>
            </w:r>
            <w:r>
              <w:rPr>
                <w:rFonts w:ascii="宋体" w:hAnsi="宋体" w:eastAsia="宋体"/>
                <w:szCs w:val="24"/>
              </w:rPr>
              <w:t>品缺</w:t>
            </w:r>
            <w:r>
              <w:rPr>
                <w:rFonts w:hint="eastAsia" w:ascii="宋体" w:hAnsi="宋体" w:eastAsia="宋体"/>
                <w:szCs w:val="24"/>
              </w:rPr>
              <w:t>陷</w:t>
            </w:r>
            <w:r>
              <w:rPr>
                <w:rFonts w:ascii="宋体" w:hAnsi="宋体" w:eastAsia="宋体"/>
                <w:szCs w:val="24"/>
              </w:rPr>
              <w:t>密度</w:t>
            </w:r>
            <w:r>
              <w:rPr>
                <w:rFonts w:hint="eastAsia" w:ascii="宋体" w:hAnsi="宋体" w:eastAsia="宋体"/>
                <w:szCs w:val="24"/>
              </w:rPr>
              <w:t>超过20%，缺陷密度每增加1%扣除合同总金额的0.1%。</w:t>
            </w:r>
          </w:p>
        </w:tc>
        <w:tc>
          <w:tcPr>
            <w:tcW w:w="501" w:type="pct"/>
            <w:tcBorders>
              <w:left w:val="single" w:color="auto" w:sz="4" w:space="0"/>
            </w:tcBorders>
          </w:tcPr>
          <w:p w14:paraId="6286F141">
            <w:pPr>
              <w:ind w:firstLine="0" w:firstLineChars="0"/>
              <w:rPr>
                <w:rFonts w:ascii="宋体" w:hAnsi="宋体" w:eastAsia="宋体"/>
                <w:szCs w:val="24"/>
              </w:rPr>
            </w:pPr>
          </w:p>
        </w:tc>
        <w:tc>
          <w:tcPr>
            <w:tcW w:w="502" w:type="pct"/>
            <w:tcBorders>
              <w:left w:val="single" w:color="auto" w:sz="4" w:space="0"/>
            </w:tcBorders>
          </w:tcPr>
          <w:p w14:paraId="56F36815">
            <w:pPr>
              <w:ind w:firstLine="0" w:firstLineChars="0"/>
              <w:rPr>
                <w:rFonts w:ascii="宋体" w:hAnsi="宋体" w:eastAsia="宋体"/>
                <w:szCs w:val="24"/>
              </w:rPr>
            </w:pPr>
          </w:p>
        </w:tc>
      </w:tr>
      <w:tr w14:paraId="603B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2CB29CE2">
            <w:pPr>
              <w:ind w:left="0" w:firstLine="0" w:firstLineChars="0"/>
              <w:rPr>
                <w:rFonts w:ascii="宋体" w:hAnsi="宋体" w:eastAsia="宋体"/>
                <w:szCs w:val="24"/>
              </w:rPr>
            </w:pPr>
            <w:r>
              <w:rPr>
                <w:rFonts w:hint="eastAsia" w:ascii="宋体" w:hAnsi="宋体" w:eastAsia="宋体"/>
                <w:szCs w:val="24"/>
              </w:rPr>
              <w:t>4</w:t>
            </w:r>
          </w:p>
        </w:tc>
        <w:tc>
          <w:tcPr>
            <w:tcW w:w="904" w:type="pct"/>
            <w:vMerge w:val="continue"/>
            <w:tcBorders>
              <w:left w:val="single" w:color="auto" w:sz="4" w:space="0"/>
            </w:tcBorders>
          </w:tcPr>
          <w:p w14:paraId="3EF47930"/>
        </w:tc>
        <w:tc>
          <w:tcPr>
            <w:tcW w:w="598" w:type="pct"/>
            <w:tcBorders>
              <w:left w:val="single" w:color="auto" w:sz="4" w:space="0"/>
            </w:tcBorders>
            <w:vAlign w:val="center"/>
          </w:tcPr>
          <w:p w14:paraId="281942C7">
            <w:pPr>
              <w:ind w:left="0" w:firstLine="0" w:firstLineChars="0"/>
              <w:rPr>
                <w:rFonts w:ascii="宋体" w:hAnsi="宋体" w:eastAsia="宋体"/>
                <w:szCs w:val="24"/>
              </w:rPr>
            </w:pPr>
            <w:r>
              <w:rPr>
                <w:rFonts w:ascii="宋体" w:hAnsi="宋体" w:eastAsia="宋体"/>
                <w:szCs w:val="24"/>
              </w:rPr>
              <w:t>缺陷</w:t>
            </w:r>
            <w:r>
              <w:rPr>
                <w:rFonts w:hint="eastAsia" w:ascii="宋体" w:hAnsi="宋体" w:eastAsia="宋体"/>
                <w:szCs w:val="24"/>
              </w:rPr>
              <w:t>解决率</w:t>
            </w:r>
          </w:p>
        </w:tc>
        <w:tc>
          <w:tcPr>
            <w:tcW w:w="823" w:type="pct"/>
            <w:tcBorders>
              <w:left w:val="single" w:color="auto" w:sz="4" w:space="0"/>
            </w:tcBorders>
            <w:vAlign w:val="center"/>
          </w:tcPr>
          <w:p w14:paraId="63509E1B">
            <w:pPr>
              <w:ind w:left="0" w:firstLine="0" w:firstLineChars="0"/>
              <w:rPr>
                <w:rFonts w:ascii="宋体" w:hAnsi="宋体" w:eastAsia="宋体"/>
                <w:szCs w:val="24"/>
              </w:rPr>
            </w:pPr>
            <w:r>
              <w:rPr>
                <w:rFonts w:ascii="宋体" w:hAnsi="宋体" w:eastAsia="宋体"/>
                <w:szCs w:val="24"/>
              </w:rPr>
              <w:t>用于记录统计周期内测试发现的缺陷中已解决缺陷的比例</w:t>
            </w:r>
          </w:p>
        </w:tc>
        <w:tc>
          <w:tcPr>
            <w:tcW w:w="1134" w:type="pct"/>
            <w:tcBorders>
              <w:left w:val="single" w:color="auto" w:sz="4" w:space="0"/>
            </w:tcBorders>
            <w:vAlign w:val="center"/>
          </w:tcPr>
          <w:p w14:paraId="313F579E">
            <w:pPr>
              <w:ind w:left="0" w:firstLine="0" w:firstLineChars="0"/>
              <w:rPr>
                <w:rFonts w:ascii="宋体" w:hAnsi="宋体" w:eastAsia="宋体"/>
                <w:szCs w:val="24"/>
              </w:rPr>
            </w:pPr>
            <w:r>
              <w:rPr>
                <w:rFonts w:ascii="宋体" w:hAnsi="宋体" w:eastAsia="宋体"/>
                <w:szCs w:val="24"/>
              </w:rPr>
              <w:t>缺陷解决率=统计周期内测试发现的有效缺陷中已解决的数量/统计周期内测试发现的有效缺陷总数量</w:t>
            </w:r>
          </w:p>
          <w:p w14:paraId="379DEC18">
            <w:pPr>
              <w:ind w:left="0" w:firstLine="0" w:firstLineChars="0"/>
              <w:rPr>
                <w:rFonts w:ascii="宋体" w:hAnsi="宋体" w:eastAsia="宋体"/>
                <w:b/>
                <w:szCs w:val="24"/>
              </w:rPr>
            </w:pPr>
            <w:r>
              <w:rPr>
                <w:rFonts w:hint="eastAsia" w:ascii="宋体" w:hAnsi="宋体" w:eastAsia="宋体"/>
                <w:b/>
                <w:szCs w:val="24"/>
              </w:rPr>
              <w:t>10分【98%-100%】</w:t>
            </w:r>
          </w:p>
          <w:p w14:paraId="446690E1">
            <w:pPr>
              <w:ind w:left="0" w:firstLine="0" w:firstLineChars="0"/>
              <w:rPr>
                <w:rFonts w:ascii="宋体" w:hAnsi="宋体" w:eastAsia="宋体"/>
                <w:b/>
                <w:szCs w:val="24"/>
              </w:rPr>
            </w:pPr>
            <w:r>
              <w:rPr>
                <w:rFonts w:hint="eastAsia" w:ascii="宋体" w:hAnsi="宋体" w:eastAsia="宋体"/>
                <w:b/>
                <w:szCs w:val="24"/>
              </w:rPr>
              <w:t>5分【95%-97%】</w:t>
            </w:r>
          </w:p>
          <w:p w14:paraId="1B4931D9">
            <w:pPr>
              <w:ind w:left="0" w:firstLine="0" w:firstLineChars="0"/>
              <w:rPr>
                <w:rFonts w:ascii="宋体" w:hAnsi="宋体" w:eastAsia="宋体"/>
                <w:b/>
                <w:szCs w:val="24"/>
              </w:rPr>
            </w:pPr>
            <w:r>
              <w:rPr>
                <w:rFonts w:hint="eastAsia" w:ascii="宋体" w:hAnsi="宋体" w:eastAsia="宋体"/>
                <w:b/>
                <w:szCs w:val="24"/>
              </w:rPr>
              <w:t>0分【低于95%】</w:t>
            </w:r>
          </w:p>
        </w:tc>
        <w:tc>
          <w:tcPr>
            <w:tcW w:w="635" w:type="pct"/>
            <w:tcBorders>
              <w:left w:val="single" w:color="auto" w:sz="4" w:space="0"/>
            </w:tcBorders>
            <w:vAlign w:val="center"/>
          </w:tcPr>
          <w:p w14:paraId="4E7797E0">
            <w:pPr>
              <w:ind w:left="0" w:firstLine="0" w:firstLineChars="0"/>
              <w:rPr>
                <w:rFonts w:ascii="宋体" w:hAnsi="宋体" w:eastAsia="宋体"/>
                <w:szCs w:val="24"/>
              </w:rPr>
            </w:pPr>
            <w:r>
              <w:rPr>
                <w:rFonts w:hint="eastAsia" w:ascii="宋体" w:hAnsi="宋体" w:eastAsia="宋体"/>
                <w:szCs w:val="24"/>
              </w:rPr>
              <w:t>若</w:t>
            </w:r>
            <w:r>
              <w:rPr>
                <w:rFonts w:ascii="宋体" w:hAnsi="宋体" w:eastAsia="宋体"/>
                <w:szCs w:val="24"/>
              </w:rPr>
              <w:t>缺陷解决率</w:t>
            </w:r>
            <w:r>
              <w:rPr>
                <w:rFonts w:hint="eastAsia" w:ascii="宋体" w:hAnsi="宋体" w:eastAsia="宋体"/>
                <w:bCs/>
                <w:szCs w:val="24"/>
              </w:rPr>
              <w:t>低于95</w:t>
            </w:r>
            <w:r>
              <w:rPr>
                <w:rFonts w:hint="eastAsia" w:ascii="宋体" w:hAnsi="宋体" w:eastAsia="宋体"/>
                <w:szCs w:val="24"/>
              </w:rPr>
              <w:t>%，</w:t>
            </w:r>
            <w:r>
              <w:rPr>
                <w:rFonts w:ascii="宋体" w:hAnsi="宋体" w:eastAsia="宋体"/>
                <w:szCs w:val="24"/>
              </w:rPr>
              <w:t>缺陷</w:t>
            </w:r>
            <w:r>
              <w:rPr>
                <w:rFonts w:hint="eastAsia" w:ascii="宋体" w:hAnsi="宋体" w:eastAsia="宋体"/>
                <w:szCs w:val="24"/>
              </w:rPr>
              <w:t>解决率每低1%扣除合同总金额的0.1%。</w:t>
            </w:r>
          </w:p>
        </w:tc>
        <w:tc>
          <w:tcPr>
            <w:tcW w:w="501" w:type="pct"/>
            <w:tcBorders>
              <w:left w:val="single" w:color="auto" w:sz="4" w:space="0"/>
            </w:tcBorders>
          </w:tcPr>
          <w:p w14:paraId="6D706B22">
            <w:pPr>
              <w:ind w:firstLine="0" w:firstLineChars="0"/>
              <w:rPr>
                <w:rFonts w:ascii="宋体" w:hAnsi="宋体" w:eastAsia="宋体"/>
                <w:szCs w:val="24"/>
              </w:rPr>
            </w:pPr>
          </w:p>
        </w:tc>
        <w:tc>
          <w:tcPr>
            <w:tcW w:w="502" w:type="pct"/>
            <w:tcBorders>
              <w:left w:val="single" w:color="auto" w:sz="4" w:space="0"/>
            </w:tcBorders>
          </w:tcPr>
          <w:p w14:paraId="0A1D7C83">
            <w:pPr>
              <w:ind w:firstLine="0" w:firstLineChars="0"/>
              <w:rPr>
                <w:rFonts w:ascii="宋体" w:hAnsi="宋体" w:eastAsia="宋体"/>
                <w:szCs w:val="24"/>
              </w:rPr>
            </w:pPr>
          </w:p>
        </w:tc>
      </w:tr>
      <w:tr w14:paraId="0E7F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2BAE2A98">
            <w:pPr>
              <w:ind w:left="0" w:firstLine="0" w:firstLineChars="0"/>
              <w:rPr>
                <w:rFonts w:ascii="宋体" w:hAnsi="宋体" w:eastAsia="宋体"/>
                <w:szCs w:val="24"/>
              </w:rPr>
            </w:pPr>
            <w:r>
              <w:rPr>
                <w:rFonts w:hint="eastAsia" w:ascii="宋体" w:hAnsi="宋体" w:eastAsia="宋体"/>
                <w:szCs w:val="24"/>
              </w:rPr>
              <w:t>5</w:t>
            </w:r>
          </w:p>
        </w:tc>
        <w:tc>
          <w:tcPr>
            <w:tcW w:w="498" w:type="pct"/>
            <w:vMerge w:val="restart"/>
            <w:tcBorders>
              <w:left w:val="single" w:color="auto" w:sz="4" w:space="0"/>
            </w:tcBorders>
            <w:vAlign w:val="center"/>
          </w:tcPr>
          <w:p w14:paraId="5F03F713">
            <w:pPr>
              <w:ind w:left="0" w:firstLine="0" w:firstLineChars="0"/>
              <w:jc w:val="left"/>
              <w:rPr>
                <w:rFonts w:ascii="宋体" w:hAnsi="宋体" w:eastAsia="宋体"/>
                <w:szCs w:val="24"/>
              </w:rPr>
            </w:pPr>
            <w:r>
              <w:rPr>
                <w:rFonts w:hint="eastAsia" w:ascii="宋体" w:hAnsi="宋体" w:eastAsia="宋体"/>
                <w:szCs w:val="24"/>
              </w:rPr>
              <w:t>协议履行</w:t>
            </w:r>
          </w:p>
        </w:tc>
        <w:tc>
          <w:tcPr>
            <w:tcW w:w="598" w:type="pct"/>
            <w:tcBorders>
              <w:left w:val="single" w:color="auto" w:sz="4" w:space="0"/>
            </w:tcBorders>
            <w:vAlign w:val="center"/>
          </w:tcPr>
          <w:p w14:paraId="6B85E6F1">
            <w:pPr>
              <w:ind w:left="0" w:firstLine="0" w:firstLineChars="0"/>
              <w:rPr>
                <w:rFonts w:ascii="宋体" w:hAnsi="宋体" w:eastAsia="宋体"/>
                <w:szCs w:val="24"/>
              </w:rPr>
            </w:pPr>
            <w:r>
              <w:rPr>
                <w:rFonts w:ascii="宋体" w:hAnsi="宋体" w:eastAsia="宋体"/>
                <w:szCs w:val="24"/>
              </w:rPr>
              <w:t>重大事项报告</w:t>
            </w:r>
          </w:p>
        </w:tc>
        <w:tc>
          <w:tcPr>
            <w:tcW w:w="823" w:type="pct"/>
            <w:tcBorders>
              <w:left w:val="single" w:color="auto" w:sz="4" w:space="0"/>
            </w:tcBorders>
            <w:vAlign w:val="center"/>
          </w:tcPr>
          <w:p w14:paraId="4341F20E">
            <w:pPr>
              <w:ind w:left="0" w:firstLine="0" w:firstLineChars="0"/>
              <w:rPr>
                <w:rFonts w:ascii="宋体" w:hAnsi="宋体" w:eastAsia="宋体"/>
                <w:szCs w:val="24"/>
              </w:rPr>
            </w:pPr>
            <w:r>
              <w:rPr>
                <w:rFonts w:hint="eastAsia" w:ascii="宋体" w:hAnsi="宋体" w:eastAsia="宋体"/>
                <w:szCs w:val="24"/>
              </w:rPr>
              <w:t>用于记录乙方应对自身的财务、内控及安全管理进行持续监控，将自身因破产、兼并、关键人员流失、投入不足和管理不善等引发的财务状况恶化及内部管理混乱等情况告知甲方的评价</w:t>
            </w:r>
          </w:p>
        </w:tc>
        <w:tc>
          <w:tcPr>
            <w:tcW w:w="1134" w:type="pct"/>
            <w:tcBorders>
              <w:left w:val="single" w:color="auto" w:sz="4" w:space="0"/>
            </w:tcBorders>
            <w:vAlign w:val="center"/>
          </w:tcPr>
          <w:p w14:paraId="7B59AF27">
            <w:pPr>
              <w:ind w:left="0" w:firstLine="0" w:firstLineChars="0"/>
              <w:rPr>
                <w:rFonts w:ascii="宋体" w:hAnsi="宋体" w:eastAsia="宋体"/>
                <w:szCs w:val="24"/>
              </w:rPr>
            </w:pPr>
            <w:r>
              <w:rPr>
                <w:rFonts w:hint="eastAsia" w:ascii="宋体" w:hAnsi="宋体" w:eastAsia="宋体"/>
                <w:b/>
                <w:bCs/>
                <w:szCs w:val="24"/>
              </w:rPr>
              <w:t>优秀：</w:t>
            </w:r>
            <w:r>
              <w:rPr>
                <w:rFonts w:hint="eastAsia" w:ascii="宋体" w:hAnsi="宋体" w:eastAsia="宋体"/>
                <w:szCs w:val="24"/>
              </w:rPr>
              <w:t>5分，</w:t>
            </w:r>
            <w:r>
              <w:rPr>
                <w:rFonts w:ascii="宋体" w:hAnsi="宋体" w:eastAsia="宋体"/>
                <w:szCs w:val="24"/>
              </w:rPr>
              <w:t>指无重大事项或当发生重大事项时，能够于24小时内</w:t>
            </w:r>
            <w:r>
              <w:rPr>
                <w:rFonts w:hint="eastAsia" w:ascii="宋体" w:hAnsi="宋体" w:eastAsia="宋体"/>
                <w:szCs w:val="24"/>
              </w:rPr>
              <w:t>告知甲方；</w:t>
            </w:r>
          </w:p>
          <w:p w14:paraId="44495D56">
            <w:pPr>
              <w:ind w:left="0" w:firstLine="0" w:firstLineChars="0"/>
              <w:rPr>
                <w:rFonts w:ascii="宋体" w:hAnsi="宋体" w:eastAsia="宋体"/>
                <w:szCs w:val="24"/>
              </w:rPr>
            </w:pPr>
            <w:r>
              <w:rPr>
                <w:rFonts w:hint="eastAsia" w:ascii="宋体" w:hAnsi="宋体" w:eastAsia="宋体"/>
                <w:b/>
                <w:bCs/>
                <w:szCs w:val="24"/>
              </w:rPr>
              <w:t>良好：</w:t>
            </w:r>
            <w:r>
              <w:rPr>
                <w:rFonts w:hint="eastAsia" w:ascii="宋体" w:hAnsi="宋体" w:eastAsia="宋体"/>
                <w:szCs w:val="24"/>
              </w:rPr>
              <w:t>4分，</w:t>
            </w:r>
            <w:r>
              <w:rPr>
                <w:rFonts w:ascii="宋体" w:hAnsi="宋体" w:eastAsia="宋体"/>
                <w:szCs w:val="24"/>
              </w:rPr>
              <w:t>指当发生重大事项时，能够于一周内告知</w:t>
            </w:r>
            <w:r>
              <w:rPr>
                <w:rFonts w:hint="eastAsia" w:ascii="宋体" w:hAnsi="宋体" w:eastAsia="宋体"/>
                <w:szCs w:val="24"/>
              </w:rPr>
              <w:t>甲方；</w:t>
            </w:r>
          </w:p>
          <w:p w14:paraId="7E186450">
            <w:pPr>
              <w:ind w:left="0" w:firstLine="0" w:firstLineChars="0"/>
              <w:rPr>
                <w:rFonts w:ascii="宋体" w:hAnsi="宋体" w:eastAsia="宋体"/>
                <w:szCs w:val="24"/>
              </w:rPr>
            </w:pPr>
            <w:r>
              <w:rPr>
                <w:rFonts w:hint="eastAsia" w:ascii="宋体" w:hAnsi="宋体" w:eastAsia="宋体"/>
                <w:b/>
                <w:bCs/>
                <w:szCs w:val="24"/>
              </w:rPr>
              <w:t>合格：</w:t>
            </w:r>
            <w:r>
              <w:rPr>
                <w:rFonts w:hint="eastAsia" w:ascii="宋体" w:hAnsi="宋体" w:eastAsia="宋体"/>
                <w:szCs w:val="24"/>
              </w:rPr>
              <w:t>3分，</w:t>
            </w:r>
            <w:r>
              <w:rPr>
                <w:rFonts w:ascii="宋体" w:hAnsi="宋体" w:eastAsia="宋体"/>
                <w:szCs w:val="24"/>
              </w:rPr>
              <w:t>指当发生重大事项时，能够于一</w:t>
            </w:r>
            <w:r>
              <w:rPr>
                <w:rFonts w:hint="eastAsia" w:ascii="宋体" w:hAnsi="宋体" w:eastAsia="宋体"/>
                <w:szCs w:val="24"/>
              </w:rPr>
              <w:t>月</w:t>
            </w:r>
            <w:r>
              <w:rPr>
                <w:rFonts w:ascii="宋体" w:hAnsi="宋体" w:eastAsia="宋体"/>
                <w:szCs w:val="24"/>
              </w:rPr>
              <w:t>内告知</w:t>
            </w:r>
            <w:r>
              <w:rPr>
                <w:rFonts w:hint="eastAsia" w:ascii="宋体" w:hAnsi="宋体" w:eastAsia="宋体"/>
                <w:szCs w:val="24"/>
              </w:rPr>
              <w:t>甲方；</w:t>
            </w:r>
          </w:p>
          <w:p w14:paraId="1F3E0DFF">
            <w:pPr>
              <w:ind w:left="0" w:firstLine="0" w:firstLineChars="0"/>
              <w:rPr>
                <w:rFonts w:ascii="宋体" w:hAnsi="宋体" w:eastAsia="宋体"/>
                <w:szCs w:val="24"/>
              </w:rPr>
            </w:pPr>
            <w:r>
              <w:rPr>
                <w:rFonts w:hint="eastAsia" w:ascii="宋体" w:hAnsi="宋体" w:eastAsia="宋体"/>
                <w:b/>
                <w:bCs/>
                <w:szCs w:val="24"/>
              </w:rPr>
              <w:t>较差/差</w:t>
            </w:r>
            <w:r>
              <w:rPr>
                <w:rFonts w:hint="eastAsia" w:ascii="宋体" w:hAnsi="宋体" w:eastAsia="宋体"/>
                <w:szCs w:val="24"/>
              </w:rPr>
              <w:t>：0分，</w:t>
            </w:r>
            <w:r>
              <w:rPr>
                <w:rFonts w:ascii="宋体" w:hAnsi="宋体" w:eastAsia="宋体"/>
                <w:szCs w:val="24"/>
              </w:rPr>
              <w:t>指当发生重大事项时，</w:t>
            </w:r>
            <w:r>
              <w:rPr>
                <w:rFonts w:hint="eastAsia" w:ascii="宋体" w:hAnsi="宋体" w:eastAsia="宋体"/>
                <w:szCs w:val="24"/>
              </w:rPr>
              <w:t>未</w:t>
            </w:r>
            <w:r>
              <w:rPr>
                <w:rFonts w:ascii="宋体" w:hAnsi="宋体" w:eastAsia="宋体"/>
                <w:szCs w:val="24"/>
              </w:rPr>
              <w:t>告知</w:t>
            </w:r>
            <w:r>
              <w:rPr>
                <w:rFonts w:hint="eastAsia" w:ascii="宋体" w:hAnsi="宋体" w:eastAsia="宋体"/>
                <w:szCs w:val="24"/>
              </w:rPr>
              <w:t>甲方。</w:t>
            </w:r>
          </w:p>
        </w:tc>
        <w:tc>
          <w:tcPr>
            <w:tcW w:w="635" w:type="pct"/>
            <w:tcBorders>
              <w:left w:val="single" w:color="auto" w:sz="4" w:space="0"/>
            </w:tcBorders>
            <w:vAlign w:val="center"/>
          </w:tcPr>
          <w:p w14:paraId="5130389F">
            <w:pPr>
              <w:ind w:left="0" w:firstLine="0" w:firstLineChars="0"/>
              <w:rPr>
                <w:rFonts w:ascii="宋体" w:hAnsi="宋体" w:eastAsia="宋体"/>
                <w:szCs w:val="24"/>
              </w:rPr>
            </w:pPr>
            <w:r>
              <w:rPr>
                <w:rFonts w:hint="eastAsia" w:ascii="宋体" w:hAnsi="宋体" w:eastAsia="宋体"/>
                <w:szCs w:val="24"/>
              </w:rPr>
              <w:t>评价为较差/差时，甲方根据实际情况有权终止合同，并要求乙方赔偿实际损失。</w:t>
            </w:r>
          </w:p>
        </w:tc>
        <w:tc>
          <w:tcPr>
            <w:tcW w:w="501" w:type="pct"/>
            <w:tcBorders>
              <w:left w:val="single" w:color="auto" w:sz="4" w:space="0"/>
            </w:tcBorders>
          </w:tcPr>
          <w:p w14:paraId="2295723D">
            <w:pPr>
              <w:ind w:firstLine="0" w:firstLineChars="0"/>
              <w:rPr>
                <w:rFonts w:ascii="宋体" w:hAnsi="宋体" w:eastAsia="宋体"/>
                <w:szCs w:val="24"/>
              </w:rPr>
            </w:pPr>
          </w:p>
        </w:tc>
        <w:tc>
          <w:tcPr>
            <w:tcW w:w="502" w:type="pct"/>
            <w:tcBorders>
              <w:left w:val="single" w:color="auto" w:sz="4" w:space="0"/>
            </w:tcBorders>
          </w:tcPr>
          <w:p w14:paraId="3AC142B4">
            <w:pPr>
              <w:ind w:firstLine="0" w:firstLineChars="0"/>
              <w:rPr>
                <w:rFonts w:ascii="宋体" w:hAnsi="宋体" w:eastAsia="宋体"/>
                <w:szCs w:val="24"/>
              </w:rPr>
            </w:pPr>
          </w:p>
        </w:tc>
      </w:tr>
      <w:tr w14:paraId="21B1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2A588583">
            <w:pPr>
              <w:ind w:left="0" w:firstLine="0" w:firstLineChars="0"/>
              <w:rPr>
                <w:rFonts w:ascii="宋体" w:hAnsi="宋体" w:eastAsia="宋体"/>
                <w:szCs w:val="24"/>
              </w:rPr>
            </w:pPr>
            <w:r>
              <w:rPr>
                <w:rFonts w:hint="eastAsia" w:ascii="宋体" w:hAnsi="宋体" w:eastAsia="宋体"/>
                <w:szCs w:val="24"/>
              </w:rPr>
              <w:t>6</w:t>
            </w:r>
          </w:p>
        </w:tc>
        <w:tc>
          <w:tcPr>
            <w:tcW w:w="904" w:type="pct"/>
            <w:vMerge w:val="continue"/>
            <w:tcBorders>
              <w:left w:val="single" w:color="auto" w:sz="4" w:space="0"/>
            </w:tcBorders>
          </w:tcPr>
          <w:p w14:paraId="3CC704A7"/>
        </w:tc>
        <w:tc>
          <w:tcPr>
            <w:tcW w:w="598" w:type="pct"/>
            <w:tcBorders>
              <w:left w:val="single" w:color="auto" w:sz="4" w:space="0"/>
            </w:tcBorders>
            <w:vAlign w:val="center"/>
          </w:tcPr>
          <w:p w14:paraId="7F482BAB">
            <w:pPr>
              <w:ind w:left="0" w:firstLine="0" w:firstLineChars="0"/>
              <w:rPr>
                <w:rFonts w:ascii="宋体" w:hAnsi="宋体" w:eastAsia="宋体"/>
                <w:szCs w:val="24"/>
              </w:rPr>
            </w:pPr>
            <w:r>
              <w:rPr>
                <w:rFonts w:ascii="宋体" w:hAnsi="宋体" w:eastAsia="宋体"/>
                <w:szCs w:val="24"/>
              </w:rPr>
              <w:t>重大</w:t>
            </w:r>
            <w:r>
              <w:rPr>
                <w:rFonts w:hint="eastAsia" w:ascii="宋体" w:hAnsi="宋体" w:eastAsia="宋体"/>
                <w:szCs w:val="24"/>
              </w:rPr>
              <w:t>事件及质量缺陷</w:t>
            </w:r>
          </w:p>
        </w:tc>
        <w:tc>
          <w:tcPr>
            <w:tcW w:w="823" w:type="pct"/>
            <w:tcBorders>
              <w:left w:val="single" w:color="auto" w:sz="4" w:space="0"/>
            </w:tcBorders>
            <w:vAlign w:val="center"/>
          </w:tcPr>
          <w:p w14:paraId="67F023F2">
            <w:pPr>
              <w:ind w:left="0" w:firstLine="0" w:firstLineChars="0"/>
              <w:rPr>
                <w:rFonts w:ascii="宋体" w:hAnsi="宋体" w:eastAsia="宋体"/>
                <w:szCs w:val="24"/>
              </w:rPr>
            </w:pPr>
            <w:r>
              <w:rPr>
                <w:rFonts w:hint="eastAsia" w:ascii="宋体" w:hAnsi="宋体" w:eastAsia="宋体"/>
                <w:szCs w:val="24"/>
              </w:rPr>
              <w:t>用</w:t>
            </w:r>
            <w:r>
              <w:rPr>
                <w:rFonts w:ascii="宋体" w:hAnsi="宋体" w:eastAsia="宋体"/>
                <w:szCs w:val="24"/>
              </w:rPr>
              <w:t>于记录</w:t>
            </w:r>
            <w:r>
              <w:rPr>
                <w:rFonts w:hint="eastAsia" w:ascii="宋体" w:hAnsi="宋体" w:eastAsia="宋体"/>
                <w:szCs w:val="24"/>
              </w:rPr>
              <w:t>乙方在服务</w:t>
            </w:r>
            <w:r>
              <w:rPr>
                <w:rFonts w:ascii="宋体" w:hAnsi="宋体" w:eastAsia="宋体"/>
                <w:szCs w:val="24"/>
              </w:rPr>
              <w:t>期内出现</w:t>
            </w:r>
            <w:r>
              <w:rPr>
                <w:rFonts w:hint="eastAsia" w:ascii="宋体" w:hAnsi="宋体" w:eastAsia="宋体"/>
                <w:szCs w:val="24"/>
              </w:rPr>
              <w:t>以下重大事件及质量缺陷次数：</w:t>
            </w:r>
          </w:p>
          <w:p w14:paraId="6EE6AA4E">
            <w:pPr>
              <w:ind w:left="0" w:firstLine="0" w:firstLineChars="0"/>
              <w:rPr>
                <w:rFonts w:ascii="宋体" w:hAnsi="宋体" w:eastAsia="宋体"/>
                <w:szCs w:val="24"/>
              </w:rPr>
            </w:pPr>
            <w:r>
              <w:rPr>
                <w:rFonts w:hint="eastAsia" w:ascii="宋体" w:hAnsi="宋体" w:eastAsia="宋体"/>
                <w:szCs w:val="24"/>
              </w:rPr>
              <w:t>a.应用软件出现I</w:t>
            </w:r>
            <w:r>
              <w:rPr>
                <w:rFonts w:ascii="宋体" w:hAnsi="宋体" w:eastAsia="宋体"/>
                <w:szCs w:val="24"/>
              </w:rPr>
              <w:t>II</w:t>
            </w:r>
            <w:r>
              <w:rPr>
                <w:rFonts w:hint="eastAsia" w:ascii="宋体" w:hAnsi="宋体" w:eastAsia="宋体"/>
                <w:szCs w:val="24"/>
              </w:rPr>
              <w:t>级（含）以上的运营中断事件；</w:t>
            </w:r>
          </w:p>
          <w:p w14:paraId="12151D4B">
            <w:pPr>
              <w:ind w:left="0" w:firstLine="0" w:firstLineChars="0"/>
              <w:rPr>
                <w:rFonts w:ascii="宋体" w:hAnsi="宋体" w:eastAsia="宋体"/>
                <w:szCs w:val="24"/>
              </w:rPr>
            </w:pPr>
            <w:r>
              <w:rPr>
                <w:rFonts w:hint="eastAsia" w:ascii="宋体" w:hAnsi="宋体" w:eastAsia="宋体"/>
                <w:szCs w:val="24"/>
              </w:rPr>
              <w:t>b.因乙方原因（含乙方合作的第三方）导致甲方发生网络安全事件；</w:t>
            </w:r>
          </w:p>
          <w:p w14:paraId="68E9EA35">
            <w:pPr>
              <w:ind w:left="0" w:firstLine="0" w:firstLineChars="0"/>
              <w:rPr>
                <w:rFonts w:ascii="宋体" w:hAnsi="宋体" w:eastAsia="宋体"/>
                <w:szCs w:val="24"/>
              </w:rPr>
            </w:pPr>
            <w:r>
              <w:rPr>
                <w:rFonts w:hint="eastAsia" w:ascii="宋体" w:hAnsi="宋体" w:eastAsia="宋体"/>
                <w:szCs w:val="24"/>
              </w:rPr>
              <w:t>c.应用软件出现严重缺陷和致命缺陷。</w:t>
            </w:r>
          </w:p>
        </w:tc>
        <w:tc>
          <w:tcPr>
            <w:tcW w:w="1134" w:type="pct"/>
            <w:tcBorders>
              <w:left w:val="single" w:color="auto" w:sz="4" w:space="0"/>
            </w:tcBorders>
            <w:vAlign w:val="center"/>
          </w:tcPr>
          <w:p w14:paraId="3F1C1D04">
            <w:pPr>
              <w:ind w:left="0" w:firstLine="0" w:firstLineChars="0"/>
              <w:rPr>
                <w:rFonts w:ascii="宋体" w:hAnsi="宋体" w:eastAsia="宋体"/>
                <w:b/>
                <w:bCs/>
                <w:szCs w:val="24"/>
              </w:rPr>
            </w:pPr>
            <w:r>
              <w:rPr>
                <w:rFonts w:hint="eastAsia" w:ascii="宋体" w:hAnsi="宋体" w:eastAsia="宋体"/>
                <w:b/>
                <w:bCs/>
                <w:szCs w:val="24"/>
              </w:rPr>
              <w:t>【得分上限10分】</w:t>
            </w:r>
          </w:p>
          <w:p w14:paraId="1B9A9CDA">
            <w:pPr>
              <w:ind w:left="0" w:firstLine="0" w:firstLineChars="0"/>
              <w:rPr>
                <w:rFonts w:ascii="宋体" w:hAnsi="宋体" w:eastAsia="宋体"/>
                <w:szCs w:val="24"/>
              </w:rPr>
            </w:pPr>
            <w:r>
              <w:rPr>
                <w:rFonts w:hint="eastAsia" w:ascii="宋体" w:hAnsi="宋体" w:eastAsia="宋体"/>
                <w:b/>
                <w:bCs/>
                <w:szCs w:val="24"/>
              </w:rPr>
              <w:t>0次：</w:t>
            </w:r>
            <w:r>
              <w:rPr>
                <w:rFonts w:hint="eastAsia" w:ascii="宋体" w:hAnsi="宋体" w:eastAsia="宋体"/>
                <w:szCs w:val="24"/>
              </w:rPr>
              <w:t>指未出现</w:t>
            </w:r>
            <w:r>
              <w:rPr>
                <w:rFonts w:ascii="宋体" w:hAnsi="宋体" w:eastAsia="宋体"/>
                <w:szCs w:val="24"/>
              </w:rPr>
              <w:t>重大事件</w:t>
            </w:r>
            <w:r>
              <w:rPr>
                <w:rFonts w:hint="eastAsia" w:ascii="宋体" w:hAnsi="宋体" w:eastAsia="宋体"/>
                <w:szCs w:val="24"/>
              </w:rPr>
              <w:t>及质量缺陷，该项指标满分；</w:t>
            </w:r>
          </w:p>
          <w:p w14:paraId="78148F86">
            <w:pPr>
              <w:ind w:left="0" w:firstLine="0" w:firstLineChars="0"/>
              <w:rPr>
                <w:rFonts w:ascii="宋体" w:hAnsi="宋体" w:eastAsia="宋体"/>
                <w:szCs w:val="24"/>
              </w:rPr>
            </w:pPr>
            <w:r>
              <w:rPr>
                <w:rFonts w:hint="eastAsia" w:ascii="宋体" w:hAnsi="宋体" w:eastAsia="宋体"/>
                <w:b/>
                <w:bCs/>
                <w:szCs w:val="24"/>
              </w:rPr>
              <w:t>1次及以上：</w:t>
            </w:r>
            <w:r>
              <w:rPr>
                <w:rFonts w:hint="eastAsia" w:ascii="宋体" w:hAnsi="宋体" w:eastAsia="宋体"/>
                <w:szCs w:val="24"/>
              </w:rPr>
              <w:t>0分，指出现1次及以上任意一项</w:t>
            </w:r>
            <w:r>
              <w:rPr>
                <w:rFonts w:ascii="宋体" w:hAnsi="宋体" w:eastAsia="宋体"/>
                <w:szCs w:val="24"/>
              </w:rPr>
              <w:t>重大事件</w:t>
            </w:r>
            <w:r>
              <w:rPr>
                <w:rFonts w:hint="eastAsia" w:ascii="宋体" w:hAnsi="宋体" w:eastAsia="宋体"/>
                <w:szCs w:val="24"/>
              </w:rPr>
              <w:t>或质量缺陷。</w:t>
            </w:r>
          </w:p>
        </w:tc>
        <w:tc>
          <w:tcPr>
            <w:tcW w:w="635" w:type="pct"/>
            <w:tcBorders>
              <w:left w:val="single" w:color="auto" w:sz="4" w:space="0"/>
            </w:tcBorders>
            <w:vAlign w:val="center"/>
          </w:tcPr>
          <w:p w14:paraId="7D4E3945">
            <w:pPr>
              <w:ind w:left="0" w:firstLine="0" w:firstLineChars="0"/>
              <w:rPr>
                <w:rFonts w:ascii="宋体" w:hAnsi="宋体" w:eastAsia="宋体"/>
                <w:szCs w:val="24"/>
              </w:rPr>
            </w:pPr>
            <w:r>
              <w:rPr>
                <w:rFonts w:hint="eastAsia" w:ascii="宋体" w:hAnsi="宋体" w:eastAsia="宋体"/>
                <w:szCs w:val="24"/>
              </w:rPr>
              <w:t>每出现一次</w:t>
            </w:r>
            <w:r>
              <w:rPr>
                <w:rFonts w:ascii="宋体" w:hAnsi="宋体" w:eastAsia="宋体"/>
                <w:szCs w:val="24"/>
              </w:rPr>
              <w:t>重大事件</w:t>
            </w:r>
            <w:r>
              <w:rPr>
                <w:rFonts w:hint="eastAsia" w:ascii="宋体" w:hAnsi="宋体" w:eastAsia="宋体"/>
                <w:szCs w:val="24"/>
              </w:rPr>
              <w:t>或质量缺陷，扣除乙方合同总金额不低于5%（不低于2万元），并要求乙方赔偿实际损失。</w:t>
            </w:r>
          </w:p>
        </w:tc>
        <w:tc>
          <w:tcPr>
            <w:tcW w:w="501" w:type="pct"/>
            <w:tcBorders>
              <w:left w:val="single" w:color="auto" w:sz="4" w:space="0"/>
            </w:tcBorders>
          </w:tcPr>
          <w:p w14:paraId="0CB15A7D">
            <w:pPr>
              <w:ind w:firstLine="0" w:firstLineChars="0"/>
              <w:rPr>
                <w:rFonts w:ascii="宋体" w:hAnsi="宋体" w:eastAsia="宋体"/>
                <w:szCs w:val="24"/>
              </w:rPr>
            </w:pPr>
          </w:p>
        </w:tc>
        <w:tc>
          <w:tcPr>
            <w:tcW w:w="502" w:type="pct"/>
            <w:tcBorders>
              <w:left w:val="single" w:color="auto" w:sz="4" w:space="0"/>
            </w:tcBorders>
          </w:tcPr>
          <w:p w14:paraId="2A37F103">
            <w:pPr>
              <w:ind w:firstLine="0" w:firstLineChars="0"/>
              <w:rPr>
                <w:rFonts w:ascii="宋体" w:hAnsi="宋体" w:eastAsia="宋体"/>
                <w:szCs w:val="24"/>
              </w:rPr>
            </w:pPr>
          </w:p>
        </w:tc>
      </w:tr>
      <w:tr w14:paraId="773D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5112C6BE">
            <w:pPr>
              <w:ind w:left="0" w:firstLine="0" w:firstLineChars="0"/>
              <w:rPr>
                <w:rFonts w:ascii="宋体" w:hAnsi="宋体" w:eastAsia="宋体"/>
                <w:szCs w:val="24"/>
              </w:rPr>
            </w:pPr>
            <w:r>
              <w:rPr>
                <w:rFonts w:hint="eastAsia" w:ascii="宋体" w:hAnsi="宋体" w:eastAsia="宋体"/>
                <w:szCs w:val="24"/>
              </w:rPr>
              <w:t>7</w:t>
            </w:r>
          </w:p>
        </w:tc>
        <w:tc>
          <w:tcPr>
            <w:tcW w:w="904" w:type="pct"/>
            <w:vMerge w:val="continue"/>
            <w:tcBorders>
              <w:left w:val="single" w:color="auto" w:sz="4" w:space="0"/>
            </w:tcBorders>
          </w:tcPr>
          <w:p w14:paraId="13273473"/>
        </w:tc>
        <w:tc>
          <w:tcPr>
            <w:tcW w:w="598" w:type="pct"/>
            <w:tcBorders>
              <w:left w:val="single" w:color="auto" w:sz="4" w:space="0"/>
            </w:tcBorders>
            <w:vAlign w:val="center"/>
          </w:tcPr>
          <w:p w14:paraId="446DF535">
            <w:pPr>
              <w:ind w:left="0" w:firstLine="0" w:firstLineChars="0"/>
              <w:rPr>
                <w:rFonts w:ascii="宋体" w:hAnsi="宋体" w:eastAsia="宋体"/>
                <w:szCs w:val="24"/>
              </w:rPr>
            </w:pPr>
            <w:r>
              <w:rPr>
                <w:rFonts w:hint="eastAsia" w:ascii="宋体" w:hAnsi="宋体" w:eastAsia="宋体"/>
                <w:szCs w:val="24"/>
              </w:rPr>
              <w:t>信息安全管理</w:t>
            </w:r>
          </w:p>
        </w:tc>
        <w:tc>
          <w:tcPr>
            <w:tcW w:w="823" w:type="pct"/>
            <w:tcBorders>
              <w:left w:val="single" w:color="auto" w:sz="4" w:space="0"/>
            </w:tcBorders>
            <w:vAlign w:val="center"/>
          </w:tcPr>
          <w:p w14:paraId="1FD25236">
            <w:pPr>
              <w:ind w:left="0" w:firstLine="0" w:firstLineChars="0"/>
              <w:rPr>
                <w:rFonts w:ascii="宋体" w:hAnsi="宋体" w:eastAsia="宋体"/>
                <w:szCs w:val="24"/>
              </w:rPr>
            </w:pPr>
            <w:r>
              <w:rPr>
                <w:rFonts w:hint="eastAsia" w:ascii="宋体" w:hAnsi="宋体" w:eastAsia="宋体"/>
                <w:szCs w:val="24"/>
              </w:rPr>
              <w:t>用</w:t>
            </w:r>
            <w:r>
              <w:rPr>
                <w:rFonts w:ascii="宋体" w:hAnsi="宋体" w:eastAsia="宋体"/>
                <w:szCs w:val="24"/>
              </w:rPr>
              <w:t>于记录</w:t>
            </w:r>
            <w:r>
              <w:rPr>
                <w:rFonts w:hint="eastAsia" w:ascii="宋体" w:hAnsi="宋体" w:eastAsia="宋体"/>
                <w:szCs w:val="24"/>
              </w:rPr>
              <w:t>乙方在服务</w:t>
            </w:r>
            <w:r>
              <w:rPr>
                <w:rFonts w:ascii="宋体" w:hAnsi="宋体" w:eastAsia="宋体"/>
                <w:szCs w:val="24"/>
              </w:rPr>
              <w:t>期内</w:t>
            </w:r>
            <w:r>
              <w:rPr>
                <w:rFonts w:hint="eastAsia" w:ascii="宋体" w:hAnsi="宋体" w:eastAsia="宋体"/>
                <w:szCs w:val="24"/>
              </w:rPr>
              <w:t>网络和信息安全服务的管理能力，针对发现的安全漏洞及安全缺陷（包括源代码、第三方SDK或第三方小程序、第三方软件产品及开源组件等），须按甲方要求完成整改</w:t>
            </w:r>
          </w:p>
        </w:tc>
        <w:tc>
          <w:tcPr>
            <w:tcW w:w="1134" w:type="pct"/>
            <w:tcBorders>
              <w:left w:val="single" w:color="auto" w:sz="4" w:space="0"/>
            </w:tcBorders>
            <w:vAlign w:val="center"/>
          </w:tcPr>
          <w:p w14:paraId="34777857">
            <w:pPr>
              <w:ind w:left="0" w:firstLine="0" w:firstLineChars="0"/>
              <w:rPr>
                <w:rFonts w:ascii="宋体" w:hAnsi="宋体" w:eastAsia="宋体"/>
                <w:szCs w:val="24"/>
              </w:rPr>
            </w:pPr>
            <w:r>
              <w:rPr>
                <w:rFonts w:hint="eastAsia" w:ascii="宋体" w:hAnsi="宋体" w:eastAsia="宋体"/>
                <w:szCs w:val="24"/>
              </w:rPr>
              <w:t>互联网或电子银行类系统：</w:t>
            </w:r>
          </w:p>
          <w:p w14:paraId="37DC19C1">
            <w:pPr>
              <w:ind w:left="0" w:firstLine="0" w:firstLineChars="0"/>
              <w:rPr>
                <w:rFonts w:ascii="宋体" w:hAnsi="宋体" w:eastAsia="宋体"/>
                <w:szCs w:val="24"/>
              </w:rPr>
            </w:pPr>
            <w:r>
              <w:rPr>
                <w:rFonts w:hint="eastAsia" w:ascii="宋体" w:hAnsi="宋体" w:eastAsia="宋体"/>
                <w:szCs w:val="24"/>
              </w:rPr>
              <w:t>1.安全漏洞及安全缺陷整改及时率=100%</w:t>
            </w:r>
          </w:p>
          <w:p w14:paraId="12EE4282">
            <w:pPr>
              <w:ind w:left="0" w:firstLine="0" w:firstLineChars="0"/>
              <w:rPr>
                <w:rFonts w:ascii="宋体" w:hAnsi="宋体" w:eastAsia="宋体"/>
                <w:szCs w:val="24"/>
              </w:rPr>
            </w:pPr>
            <w:r>
              <w:rPr>
                <w:rFonts w:hint="eastAsia" w:ascii="宋体" w:hAnsi="宋体" w:eastAsia="宋体"/>
                <w:szCs w:val="24"/>
              </w:rPr>
              <w:t>2.安全漏洞及安全缺陷整改通过率=100%</w:t>
            </w:r>
          </w:p>
          <w:p w14:paraId="2E5E79B6">
            <w:pPr>
              <w:ind w:left="0" w:firstLine="0" w:firstLineChars="0"/>
              <w:rPr>
                <w:rFonts w:ascii="宋体" w:hAnsi="宋体" w:eastAsia="宋体"/>
                <w:szCs w:val="24"/>
              </w:rPr>
            </w:pPr>
            <w:r>
              <w:rPr>
                <w:rFonts w:hint="eastAsia" w:ascii="宋体" w:hAnsi="宋体" w:eastAsia="宋体"/>
                <w:szCs w:val="24"/>
              </w:rPr>
              <w:t>非互联网或电子银行类系统：</w:t>
            </w:r>
          </w:p>
          <w:p w14:paraId="3D4F95F1">
            <w:pPr>
              <w:ind w:left="0" w:firstLine="0" w:firstLineChars="0"/>
              <w:rPr>
                <w:rFonts w:ascii="宋体" w:hAnsi="宋体" w:eastAsia="宋体"/>
                <w:szCs w:val="24"/>
              </w:rPr>
            </w:pPr>
            <w:r>
              <w:rPr>
                <w:rFonts w:hint="eastAsia" w:ascii="宋体" w:hAnsi="宋体" w:eastAsia="宋体"/>
                <w:szCs w:val="24"/>
              </w:rPr>
              <w:t>1.中高危安全漏洞及安全缺陷整改及时率=100%</w:t>
            </w:r>
          </w:p>
          <w:p w14:paraId="0C9319FA">
            <w:pPr>
              <w:ind w:left="0" w:firstLine="0" w:firstLineChars="0"/>
              <w:rPr>
                <w:rFonts w:ascii="宋体" w:hAnsi="宋体" w:eastAsia="宋体"/>
                <w:szCs w:val="24"/>
              </w:rPr>
            </w:pPr>
            <w:r>
              <w:rPr>
                <w:rFonts w:hint="eastAsia" w:ascii="宋体" w:hAnsi="宋体" w:eastAsia="宋体"/>
                <w:szCs w:val="24"/>
              </w:rPr>
              <w:t>2.中高危安全漏洞及安全缺陷整改通过率=100%</w:t>
            </w:r>
          </w:p>
          <w:p w14:paraId="54D9A2A4">
            <w:pPr>
              <w:ind w:left="0" w:firstLine="0" w:firstLineChars="0"/>
              <w:rPr>
                <w:rFonts w:ascii="宋体" w:hAnsi="宋体" w:eastAsia="宋体"/>
                <w:szCs w:val="24"/>
              </w:rPr>
            </w:pPr>
            <w:r>
              <w:rPr>
                <w:rFonts w:hint="eastAsia" w:ascii="宋体" w:hAnsi="宋体" w:eastAsia="宋体"/>
                <w:b/>
                <w:bCs/>
                <w:szCs w:val="24"/>
              </w:rPr>
              <w:t>优秀：</w:t>
            </w:r>
            <w:r>
              <w:rPr>
                <w:rFonts w:hint="eastAsia" w:ascii="宋体" w:hAnsi="宋体" w:eastAsia="宋体"/>
                <w:szCs w:val="24"/>
              </w:rPr>
              <w:t>5分，指未出现安全漏洞及安全缺陷，该项指标满分；</w:t>
            </w:r>
          </w:p>
          <w:p w14:paraId="639C1DE3">
            <w:pPr>
              <w:ind w:left="0" w:firstLine="0" w:firstLineChars="0"/>
              <w:rPr>
                <w:rFonts w:ascii="宋体" w:hAnsi="宋体" w:eastAsia="宋体"/>
                <w:szCs w:val="24"/>
              </w:rPr>
            </w:pPr>
            <w:r>
              <w:rPr>
                <w:rFonts w:hint="eastAsia" w:ascii="宋体" w:hAnsi="宋体" w:eastAsia="宋体"/>
                <w:b/>
                <w:bCs/>
                <w:szCs w:val="24"/>
              </w:rPr>
              <w:t>合格：</w:t>
            </w:r>
            <w:r>
              <w:rPr>
                <w:rFonts w:hint="eastAsia" w:ascii="宋体" w:hAnsi="宋体" w:eastAsia="宋体"/>
                <w:szCs w:val="24"/>
              </w:rPr>
              <w:t>3分，指出现安全漏洞或安全缺陷，但整改及时率、通过率均为100%；</w:t>
            </w:r>
          </w:p>
          <w:p w14:paraId="514EB3D5">
            <w:pPr>
              <w:ind w:left="0" w:firstLine="0" w:firstLineChars="0"/>
              <w:rPr>
                <w:rFonts w:ascii="宋体" w:hAnsi="宋体" w:eastAsia="宋体"/>
                <w:szCs w:val="24"/>
              </w:rPr>
            </w:pPr>
            <w:r>
              <w:rPr>
                <w:rFonts w:hint="eastAsia" w:ascii="宋体" w:hAnsi="宋体" w:eastAsia="宋体"/>
                <w:b/>
                <w:bCs/>
                <w:szCs w:val="24"/>
              </w:rPr>
              <w:t>较差/差：</w:t>
            </w:r>
            <w:r>
              <w:rPr>
                <w:rFonts w:hint="eastAsia" w:ascii="宋体" w:hAnsi="宋体" w:eastAsia="宋体"/>
                <w:szCs w:val="24"/>
              </w:rPr>
              <w:t>0分，指出现安全漏洞及安全缺陷，但整改及时率或通过率未达到100%。</w:t>
            </w:r>
          </w:p>
        </w:tc>
        <w:tc>
          <w:tcPr>
            <w:tcW w:w="635" w:type="pct"/>
            <w:tcBorders>
              <w:left w:val="single" w:color="auto" w:sz="4" w:space="0"/>
            </w:tcBorders>
            <w:vAlign w:val="center"/>
          </w:tcPr>
          <w:p w14:paraId="19FB467A">
            <w:pPr>
              <w:ind w:left="0" w:firstLine="0" w:firstLineChars="0"/>
              <w:rPr>
                <w:rFonts w:ascii="宋体" w:hAnsi="宋体" w:eastAsia="宋体"/>
                <w:szCs w:val="24"/>
              </w:rPr>
            </w:pPr>
            <w:r>
              <w:rPr>
                <w:rFonts w:hint="eastAsia" w:ascii="宋体" w:hAnsi="宋体" w:eastAsia="宋体"/>
                <w:szCs w:val="24"/>
              </w:rPr>
              <w:t>若出现的安全漏洞或安全缺陷被上级或监管单位通报的，扣除乙方金额人民币不低于2万元；</w:t>
            </w:r>
          </w:p>
          <w:p w14:paraId="5EA5C8DC">
            <w:pPr>
              <w:ind w:left="0" w:firstLine="0" w:firstLineChars="0"/>
              <w:rPr>
                <w:rFonts w:ascii="宋体" w:hAnsi="宋体" w:eastAsia="宋体"/>
                <w:szCs w:val="24"/>
              </w:rPr>
            </w:pPr>
            <w:r>
              <w:rPr>
                <w:rFonts w:hint="eastAsia" w:ascii="宋体" w:hAnsi="宋体" w:eastAsia="宋体"/>
                <w:szCs w:val="24"/>
              </w:rPr>
              <w:t>若评价为较差/差时，扣除乙方金额人民币不低于2万元，并要求乙方赔偿实际损失。</w:t>
            </w:r>
          </w:p>
        </w:tc>
        <w:tc>
          <w:tcPr>
            <w:tcW w:w="501" w:type="pct"/>
            <w:tcBorders>
              <w:left w:val="single" w:color="auto" w:sz="4" w:space="0"/>
            </w:tcBorders>
          </w:tcPr>
          <w:p w14:paraId="2B44C94B">
            <w:pPr>
              <w:ind w:firstLine="0" w:firstLineChars="0"/>
              <w:rPr>
                <w:rFonts w:ascii="宋体" w:hAnsi="宋体" w:eastAsia="宋体"/>
                <w:szCs w:val="24"/>
              </w:rPr>
            </w:pPr>
          </w:p>
        </w:tc>
        <w:tc>
          <w:tcPr>
            <w:tcW w:w="502" w:type="pct"/>
            <w:tcBorders>
              <w:left w:val="single" w:color="auto" w:sz="4" w:space="0"/>
            </w:tcBorders>
          </w:tcPr>
          <w:p w14:paraId="61BAFE41">
            <w:pPr>
              <w:ind w:firstLine="0" w:firstLineChars="0"/>
              <w:rPr>
                <w:rFonts w:ascii="宋体" w:hAnsi="宋体" w:eastAsia="宋体"/>
                <w:szCs w:val="24"/>
              </w:rPr>
            </w:pPr>
          </w:p>
        </w:tc>
      </w:tr>
      <w:tr w14:paraId="2F28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702B6168">
            <w:pPr>
              <w:ind w:left="0" w:firstLine="0" w:firstLineChars="0"/>
              <w:rPr>
                <w:rFonts w:ascii="宋体" w:hAnsi="宋体" w:eastAsia="宋体"/>
                <w:szCs w:val="24"/>
              </w:rPr>
            </w:pPr>
            <w:r>
              <w:rPr>
                <w:rFonts w:hint="eastAsia" w:ascii="宋体" w:hAnsi="宋体" w:eastAsia="宋体"/>
                <w:szCs w:val="24"/>
              </w:rPr>
              <w:t>8</w:t>
            </w:r>
          </w:p>
        </w:tc>
        <w:tc>
          <w:tcPr>
            <w:tcW w:w="904" w:type="pct"/>
            <w:vMerge w:val="continue"/>
            <w:tcBorders>
              <w:left w:val="single" w:color="auto" w:sz="4" w:space="0"/>
            </w:tcBorders>
          </w:tcPr>
          <w:p w14:paraId="7BA341F2"/>
        </w:tc>
        <w:tc>
          <w:tcPr>
            <w:tcW w:w="598" w:type="pct"/>
            <w:tcBorders>
              <w:left w:val="single" w:color="auto" w:sz="4" w:space="0"/>
            </w:tcBorders>
            <w:vAlign w:val="center"/>
          </w:tcPr>
          <w:p w14:paraId="7D495076">
            <w:pPr>
              <w:ind w:left="0" w:firstLine="0" w:firstLineChars="0"/>
              <w:rPr>
                <w:rFonts w:ascii="宋体" w:hAnsi="宋体" w:eastAsia="宋体"/>
                <w:szCs w:val="24"/>
              </w:rPr>
            </w:pPr>
            <w:r>
              <w:rPr>
                <w:rFonts w:hint="eastAsia" w:ascii="宋体" w:hAnsi="宋体" w:eastAsia="宋体"/>
                <w:szCs w:val="24"/>
              </w:rPr>
              <w:t>外包安全行为</w:t>
            </w:r>
          </w:p>
        </w:tc>
        <w:tc>
          <w:tcPr>
            <w:tcW w:w="823" w:type="pct"/>
            <w:tcBorders>
              <w:left w:val="single" w:color="auto" w:sz="4" w:space="0"/>
            </w:tcBorders>
            <w:vAlign w:val="center"/>
          </w:tcPr>
          <w:p w14:paraId="5ED79EC3">
            <w:pPr>
              <w:ind w:left="0" w:firstLine="0" w:firstLineChars="0"/>
              <w:rPr>
                <w:rFonts w:ascii="宋体" w:hAnsi="宋体" w:eastAsia="宋体"/>
                <w:szCs w:val="24"/>
              </w:rPr>
            </w:pPr>
            <w:r>
              <w:rPr>
                <w:rFonts w:hint="eastAsia" w:ascii="宋体" w:hAnsi="宋体" w:eastAsia="宋体"/>
                <w:szCs w:val="24"/>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1134" w:type="pct"/>
            <w:tcBorders>
              <w:left w:val="single" w:color="auto" w:sz="4" w:space="0"/>
            </w:tcBorders>
            <w:vAlign w:val="center"/>
          </w:tcPr>
          <w:p w14:paraId="5C1A6F92">
            <w:pPr>
              <w:ind w:left="0" w:firstLine="0" w:firstLineChars="0"/>
              <w:rPr>
                <w:rFonts w:ascii="宋体" w:hAnsi="宋体" w:eastAsia="宋体"/>
                <w:b/>
                <w:bCs/>
                <w:szCs w:val="24"/>
              </w:rPr>
            </w:pPr>
            <w:r>
              <w:rPr>
                <w:rFonts w:hint="eastAsia" w:ascii="宋体" w:hAnsi="宋体" w:eastAsia="宋体"/>
                <w:b/>
                <w:bCs/>
                <w:szCs w:val="24"/>
              </w:rPr>
              <w:t>【得分上限10分】</w:t>
            </w:r>
          </w:p>
          <w:p w14:paraId="63E064AA">
            <w:pPr>
              <w:ind w:left="0" w:firstLine="0" w:firstLineChars="0"/>
              <w:rPr>
                <w:rFonts w:ascii="宋体" w:hAnsi="宋体" w:eastAsia="宋体"/>
                <w:szCs w:val="24"/>
              </w:rPr>
            </w:pPr>
            <w:r>
              <w:rPr>
                <w:rFonts w:hint="eastAsia" w:ascii="宋体" w:hAnsi="宋体" w:eastAsia="宋体"/>
                <w:b/>
                <w:bCs/>
                <w:szCs w:val="24"/>
              </w:rPr>
              <w:t>0次：</w:t>
            </w:r>
            <w:r>
              <w:rPr>
                <w:rFonts w:hint="eastAsia" w:ascii="宋体" w:hAnsi="宋体" w:eastAsia="宋体"/>
                <w:szCs w:val="24"/>
              </w:rPr>
              <w:t>指乙方服务未出现外包安全行为风险，该项指标满分；</w:t>
            </w:r>
          </w:p>
          <w:p w14:paraId="5317AABB">
            <w:pPr>
              <w:ind w:left="0" w:firstLine="0" w:firstLineChars="0"/>
              <w:rPr>
                <w:rFonts w:ascii="宋体" w:hAnsi="宋体" w:eastAsia="宋体"/>
                <w:szCs w:val="24"/>
              </w:rPr>
            </w:pPr>
            <w:r>
              <w:rPr>
                <w:rFonts w:hint="eastAsia" w:ascii="宋体" w:hAnsi="宋体" w:eastAsia="宋体"/>
                <w:b/>
                <w:bCs/>
                <w:szCs w:val="24"/>
              </w:rPr>
              <w:t>1次及以上：</w:t>
            </w:r>
            <w:r>
              <w:rPr>
                <w:rFonts w:hint="eastAsia" w:ascii="宋体" w:hAnsi="宋体" w:eastAsia="宋体"/>
                <w:szCs w:val="24"/>
              </w:rPr>
              <w:t>指乙方出现1次及以上外包安全行为风险（每次扣5分，最高扣除10分）。</w:t>
            </w:r>
          </w:p>
        </w:tc>
        <w:tc>
          <w:tcPr>
            <w:tcW w:w="635" w:type="pct"/>
            <w:tcBorders>
              <w:left w:val="single" w:color="auto" w:sz="4" w:space="0"/>
            </w:tcBorders>
            <w:vAlign w:val="center"/>
          </w:tcPr>
          <w:p w14:paraId="4E61309B">
            <w:pPr>
              <w:ind w:left="0" w:firstLine="0" w:firstLineChars="0"/>
              <w:rPr>
                <w:rFonts w:ascii="宋体" w:hAnsi="宋体" w:eastAsia="宋体"/>
                <w:szCs w:val="24"/>
              </w:rPr>
            </w:pPr>
            <w:r>
              <w:rPr>
                <w:rFonts w:hint="eastAsia" w:ascii="宋体" w:hAnsi="宋体" w:eastAsia="宋体"/>
                <w:szCs w:val="24"/>
              </w:rPr>
              <w:t>每发生一次外包</w:t>
            </w:r>
            <w:r>
              <w:rPr>
                <w:rFonts w:ascii="宋体" w:hAnsi="宋体" w:eastAsia="宋体"/>
                <w:szCs w:val="24"/>
              </w:rPr>
              <w:t>安全</w:t>
            </w:r>
            <w:r>
              <w:rPr>
                <w:rFonts w:hint="eastAsia" w:ascii="宋体" w:hAnsi="宋体" w:eastAsia="宋体"/>
                <w:szCs w:val="24"/>
              </w:rPr>
              <w:t>行为风险，扣除乙方金额人民币不低于</w:t>
            </w:r>
            <w:r>
              <w:rPr>
                <w:rFonts w:ascii="宋体" w:hAnsi="宋体" w:eastAsia="宋体"/>
                <w:szCs w:val="24"/>
              </w:rPr>
              <w:t>1000</w:t>
            </w:r>
            <w:r>
              <w:rPr>
                <w:rFonts w:hint="eastAsia" w:ascii="宋体" w:hAnsi="宋体" w:eastAsia="宋体"/>
                <w:szCs w:val="24"/>
              </w:rPr>
              <w:t>元，并要求乙方赔偿实际损失。</w:t>
            </w:r>
          </w:p>
        </w:tc>
        <w:tc>
          <w:tcPr>
            <w:tcW w:w="501" w:type="pct"/>
            <w:tcBorders>
              <w:left w:val="single" w:color="auto" w:sz="4" w:space="0"/>
            </w:tcBorders>
          </w:tcPr>
          <w:p w14:paraId="6AFF5ADE">
            <w:pPr>
              <w:ind w:firstLine="0" w:firstLineChars="0"/>
              <w:rPr>
                <w:rFonts w:ascii="宋体" w:hAnsi="宋体" w:eastAsia="宋体"/>
                <w:szCs w:val="24"/>
              </w:rPr>
            </w:pPr>
          </w:p>
        </w:tc>
        <w:tc>
          <w:tcPr>
            <w:tcW w:w="502" w:type="pct"/>
            <w:tcBorders>
              <w:left w:val="single" w:color="auto" w:sz="4" w:space="0"/>
            </w:tcBorders>
          </w:tcPr>
          <w:p w14:paraId="5D1FCBDA">
            <w:pPr>
              <w:ind w:firstLine="0" w:firstLineChars="0"/>
              <w:rPr>
                <w:rFonts w:ascii="宋体" w:hAnsi="宋体" w:eastAsia="宋体"/>
                <w:szCs w:val="24"/>
              </w:rPr>
            </w:pPr>
          </w:p>
        </w:tc>
      </w:tr>
      <w:tr w14:paraId="0B36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2675B3D2">
            <w:pPr>
              <w:ind w:left="0" w:firstLine="0" w:firstLineChars="0"/>
              <w:rPr>
                <w:rFonts w:ascii="宋体" w:hAnsi="宋体" w:eastAsia="宋体"/>
                <w:szCs w:val="24"/>
              </w:rPr>
            </w:pPr>
            <w:r>
              <w:rPr>
                <w:rFonts w:hint="eastAsia" w:ascii="宋体" w:hAnsi="宋体" w:eastAsia="宋体"/>
                <w:szCs w:val="24"/>
              </w:rPr>
              <w:t>9</w:t>
            </w:r>
          </w:p>
        </w:tc>
        <w:tc>
          <w:tcPr>
            <w:tcW w:w="904" w:type="pct"/>
            <w:vMerge w:val="continue"/>
            <w:tcBorders>
              <w:left w:val="single" w:color="auto" w:sz="4" w:space="0"/>
            </w:tcBorders>
          </w:tcPr>
          <w:p w14:paraId="553288BF"/>
        </w:tc>
        <w:tc>
          <w:tcPr>
            <w:tcW w:w="598" w:type="pct"/>
            <w:tcBorders>
              <w:left w:val="single" w:color="auto" w:sz="4" w:space="0"/>
            </w:tcBorders>
            <w:vAlign w:val="center"/>
          </w:tcPr>
          <w:p w14:paraId="556B68D9">
            <w:pPr>
              <w:ind w:left="0" w:firstLine="0" w:firstLineChars="0"/>
              <w:rPr>
                <w:rFonts w:ascii="宋体" w:hAnsi="宋体" w:eastAsia="宋体"/>
                <w:szCs w:val="24"/>
              </w:rPr>
            </w:pPr>
            <w:r>
              <w:rPr>
                <w:rFonts w:hint="eastAsia" w:ascii="宋体" w:hAnsi="宋体" w:eastAsia="宋体"/>
                <w:szCs w:val="24"/>
              </w:rPr>
              <w:t>响应与解决及时性</w:t>
            </w:r>
          </w:p>
        </w:tc>
        <w:tc>
          <w:tcPr>
            <w:tcW w:w="823" w:type="pct"/>
            <w:tcBorders>
              <w:left w:val="single" w:color="auto" w:sz="4" w:space="0"/>
            </w:tcBorders>
            <w:vAlign w:val="center"/>
          </w:tcPr>
          <w:p w14:paraId="72E840EF">
            <w:pPr>
              <w:ind w:left="0" w:firstLine="0" w:firstLineChars="0"/>
              <w:rPr>
                <w:rFonts w:ascii="宋体" w:hAnsi="宋体" w:eastAsia="宋体"/>
                <w:szCs w:val="24"/>
              </w:rPr>
            </w:pPr>
            <w:r>
              <w:rPr>
                <w:rFonts w:ascii="宋体" w:hAnsi="宋体" w:eastAsia="宋体"/>
                <w:szCs w:val="24"/>
              </w:rPr>
              <w:t>用于记录</w:t>
            </w:r>
            <w:r>
              <w:rPr>
                <w:rFonts w:hint="eastAsia" w:ascii="宋体" w:hAnsi="宋体" w:eastAsia="宋体"/>
                <w:szCs w:val="24"/>
              </w:rPr>
              <w:t>乙方</w:t>
            </w:r>
            <w:r>
              <w:rPr>
                <w:rFonts w:ascii="宋体" w:hAnsi="宋体" w:eastAsia="宋体"/>
                <w:szCs w:val="24"/>
              </w:rPr>
              <w:t>或服务项目对</w:t>
            </w:r>
            <w:r>
              <w:rPr>
                <w:rFonts w:hint="eastAsia" w:ascii="宋体" w:hAnsi="宋体" w:eastAsia="宋体"/>
                <w:szCs w:val="24"/>
              </w:rPr>
              <w:t>甲方</w:t>
            </w:r>
            <w:r>
              <w:rPr>
                <w:rFonts w:ascii="宋体" w:hAnsi="宋体" w:eastAsia="宋体"/>
                <w:szCs w:val="24"/>
              </w:rPr>
              <w:t>的响应与解决的及时性</w:t>
            </w:r>
          </w:p>
        </w:tc>
        <w:tc>
          <w:tcPr>
            <w:tcW w:w="1134" w:type="pct"/>
            <w:tcBorders>
              <w:left w:val="single" w:color="auto" w:sz="4" w:space="0"/>
            </w:tcBorders>
            <w:vAlign w:val="center"/>
          </w:tcPr>
          <w:p w14:paraId="02A6257F">
            <w:pPr>
              <w:ind w:left="0" w:firstLine="0" w:firstLineChars="0"/>
              <w:rPr>
                <w:rFonts w:ascii="宋体" w:hAnsi="宋体" w:eastAsia="宋体"/>
                <w:szCs w:val="24"/>
              </w:rPr>
            </w:pPr>
            <w:r>
              <w:rPr>
                <w:rFonts w:hint="eastAsia" w:ascii="宋体" w:hAnsi="宋体" w:eastAsia="宋体"/>
                <w:b/>
                <w:bCs/>
                <w:szCs w:val="24"/>
              </w:rPr>
              <w:t>优秀：</w:t>
            </w:r>
            <w:r>
              <w:rPr>
                <w:rFonts w:hint="eastAsia" w:ascii="宋体" w:hAnsi="宋体" w:eastAsia="宋体"/>
                <w:szCs w:val="24"/>
              </w:rPr>
              <w:t>5分，</w:t>
            </w:r>
            <w:r>
              <w:rPr>
                <w:rFonts w:ascii="宋体" w:hAnsi="宋体" w:eastAsia="宋体"/>
                <w:szCs w:val="24"/>
              </w:rPr>
              <w:t>指</w:t>
            </w:r>
            <w:r>
              <w:rPr>
                <w:rFonts w:hint="eastAsia" w:ascii="宋体" w:hAnsi="宋体" w:eastAsia="宋体"/>
                <w:szCs w:val="24"/>
              </w:rPr>
              <w:t>乙方</w:t>
            </w:r>
            <w:r>
              <w:rPr>
                <w:rFonts w:ascii="宋体" w:hAnsi="宋体" w:eastAsia="宋体"/>
                <w:szCs w:val="24"/>
              </w:rPr>
              <w:t>或服务项目能够迅速响应需求，主动快速与</w:t>
            </w:r>
            <w:r>
              <w:rPr>
                <w:rFonts w:hint="eastAsia" w:ascii="宋体" w:hAnsi="宋体" w:eastAsia="宋体"/>
                <w:szCs w:val="24"/>
              </w:rPr>
              <w:t>甲方</w:t>
            </w:r>
            <w:r>
              <w:rPr>
                <w:rFonts w:ascii="宋体" w:hAnsi="宋体" w:eastAsia="宋体"/>
                <w:szCs w:val="24"/>
              </w:rPr>
              <w:t>进行有效的沟通，第一时间从专业角度给出解决方案并解决问题</w:t>
            </w:r>
            <w:r>
              <w:rPr>
                <w:rFonts w:hint="eastAsia" w:ascii="宋体" w:hAnsi="宋体" w:eastAsia="宋体"/>
                <w:szCs w:val="24"/>
              </w:rPr>
              <w:t>；</w:t>
            </w:r>
          </w:p>
          <w:p w14:paraId="17951140">
            <w:pPr>
              <w:ind w:left="0" w:firstLine="0" w:firstLineChars="0"/>
              <w:rPr>
                <w:rFonts w:ascii="宋体" w:hAnsi="宋体" w:eastAsia="宋体"/>
                <w:szCs w:val="24"/>
              </w:rPr>
            </w:pPr>
            <w:r>
              <w:rPr>
                <w:rFonts w:hint="eastAsia" w:ascii="宋体" w:hAnsi="宋体" w:eastAsia="宋体"/>
                <w:b/>
                <w:bCs/>
                <w:szCs w:val="24"/>
              </w:rPr>
              <w:t>良好：</w:t>
            </w:r>
            <w:r>
              <w:rPr>
                <w:rFonts w:hint="eastAsia" w:ascii="宋体" w:hAnsi="宋体" w:eastAsia="宋体"/>
                <w:szCs w:val="24"/>
              </w:rPr>
              <w:t>4分，</w:t>
            </w:r>
            <w:r>
              <w:rPr>
                <w:rFonts w:ascii="宋体" w:hAnsi="宋体" w:eastAsia="宋体"/>
                <w:szCs w:val="24"/>
              </w:rPr>
              <w:t>指</w:t>
            </w:r>
            <w:r>
              <w:rPr>
                <w:rFonts w:hint="eastAsia" w:ascii="宋体" w:hAnsi="宋体" w:eastAsia="宋体"/>
                <w:szCs w:val="24"/>
              </w:rPr>
              <w:t>乙方</w:t>
            </w:r>
            <w:r>
              <w:rPr>
                <w:rFonts w:ascii="宋体" w:hAnsi="宋体" w:eastAsia="宋体"/>
                <w:szCs w:val="24"/>
              </w:rPr>
              <w:t>或服务项目能够按要求响应需求，及时与</w:t>
            </w:r>
            <w:r>
              <w:rPr>
                <w:rFonts w:hint="eastAsia" w:ascii="宋体" w:hAnsi="宋体" w:eastAsia="宋体"/>
                <w:szCs w:val="24"/>
              </w:rPr>
              <w:t>甲方</w:t>
            </w:r>
            <w:r>
              <w:rPr>
                <w:rFonts w:ascii="宋体" w:hAnsi="宋体" w:eastAsia="宋体"/>
                <w:szCs w:val="24"/>
              </w:rPr>
              <w:t>进行有效的沟通，快速给出处理方案并解决问题</w:t>
            </w:r>
            <w:r>
              <w:rPr>
                <w:rFonts w:hint="eastAsia" w:ascii="宋体" w:hAnsi="宋体" w:eastAsia="宋体"/>
                <w:szCs w:val="24"/>
              </w:rPr>
              <w:t>；</w:t>
            </w:r>
          </w:p>
          <w:p w14:paraId="536D2C88">
            <w:pPr>
              <w:ind w:left="0" w:firstLine="0" w:firstLineChars="0"/>
              <w:rPr>
                <w:rFonts w:ascii="宋体" w:hAnsi="宋体" w:eastAsia="宋体"/>
                <w:szCs w:val="24"/>
              </w:rPr>
            </w:pPr>
            <w:r>
              <w:rPr>
                <w:rFonts w:hint="eastAsia" w:ascii="宋体" w:hAnsi="宋体" w:eastAsia="宋体"/>
                <w:b/>
                <w:bCs/>
                <w:szCs w:val="24"/>
              </w:rPr>
              <w:t>合格：</w:t>
            </w:r>
            <w:r>
              <w:rPr>
                <w:rFonts w:hint="eastAsia" w:ascii="宋体" w:hAnsi="宋体" w:eastAsia="宋体"/>
                <w:szCs w:val="24"/>
              </w:rPr>
              <w:t>3分，</w:t>
            </w:r>
            <w:r>
              <w:rPr>
                <w:rFonts w:ascii="宋体" w:hAnsi="宋体" w:eastAsia="宋体"/>
                <w:szCs w:val="24"/>
              </w:rPr>
              <w:t>指</w:t>
            </w:r>
            <w:r>
              <w:rPr>
                <w:rFonts w:hint="eastAsia" w:ascii="宋体" w:hAnsi="宋体" w:eastAsia="宋体"/>
                <w:szCs w:val="24"/>
              </w:rPr>
              <w:t>乙方</w:t>
            </w:r>
            <w:r>
              <w:rPr>
                <w:rFonts w:ascii="宋体" w:hAnsi="宋体" w:eastAsia="宋体"/>
                <w:szCs w:val="24"/>
              </w:rPr>
              <w:t>或服务项目能够基本按要求响应需求</w:t>
            </w:r>
            <w:r>
              <w:rPr>
                <w:rFonts w:hint="eastAsia" w:ascii="宋体" w:hAnsi="宋体" w:eastAsia="宋体"/>
                <w:szCs w:val="24"/>
              </w:rPr>
              <w:t>，</w:t>
            </w:r>
            <w:r>
              <w:rPr>
                <w:rFonts w:ascii="宋体" w:hAnsi="宋体" w:eastAsia="宋体"/>
                <w:szCs w:val="24"/>
              </w:rPr>
              <w:t>保持与</w:t>
            </w:r>
            <w:r>
              <w:rPr>
                <w:rFonts w:hint="eastAsia" w:ascii="宋体" w:hAnsi="宋体" w:eastAsia="宋体"/>
                <w:szCs w:val="24"/>
              </w:rPr>
              <w:t>甲方</w:t>
            </w:r>
            <w:r>
              <w:rPr>
                <w:rFonts w:ascii="宋体" w:hAnsi="宋体" w:eastAsia="宋体"/>
                <w:szCs w:val="24"/>
              </w:rPr>
              <w:t>的沟通，按时解决问题</w:t>
            </w:r>
            <w:r>
              <w:rPr>
                <w:rFonts w:hint="eastAsia" w:ascii="宋体" w:hAnsi="宋体" w:eastAsia="宋体"/>
                <w:szCs w:val="24"/>
              </w:rPr>
              <w:t>；</w:t>
            </w:r>
          </w:p>
          <w:p w14:paraId="7E36F782">
            <w:pPr>
              <w:ind w:left="0" w:firstLine="0" w:firstLineChars="0"/>
              <w:rPr>
                <w:rFonts w:ascii="宋体" w:hAnsi="宋体" w:eastAsia="宋体"/>
                <w:szCs w:val="24"/>
              </w:rPr>
            </w:pPr>
            <w:r>
              <w:rPr>
                <w:rFonts w:hint="eastAsia" w:ascii="宋体" w:hAnsi="宋体" w:eastAsia="宋体"/>
                <w:b/>
                <w:bCs/>
                <w:szCs w:val="24"/>
              </w:rPr>
              <w:t>较差/差：</w:t>
            </w:r>
            <w:r>
              <w:rPr>
                <w:rFonts w:hint="eastAsia" w:ascii="宋体" w:hAnsi="宋体" w:eastAsia="宋体"/>
                <w:szCs w:val="24"/>
              </w:rPr>
              <w:t>0分，</w:t>
            </w:r>
            <w:r>
              <w:rPr>
                <w:rFonts w:ascii="宋体" w:hAnsi="宋体" w:eastAsia="宋体"/>
                <w:szCs w:val="24"/>
              </w:rPr>
              <w:t>指</w:t>
            </w:r>
            <w:r>
              <w:rPr>
                <w:rFonts w:hint="eastAsia" w:ascii="宋体" w:hAnsi="宋体" w:eastAsia="宋体"/>
                <w:szCs w:val="24"/>
              </w:rPr>
              <w:t>乙方</w:t>
            </w:r>
            <w:r>
              <w:rPr>
                <w:rFonts w:ascii="宋体" w:hAnsi="宋体" w:eastAsia="宋体"/>
                <w:szCs w:val="24"/>
              </w:rPr>
              <w:t>或服务项目未及时响应需求，或响应需求后无法</w:t>
            </w:r>
            <w:r>
              <w:rPr>
                <w:rFonts w:hint="eastAsia" w:ascii="宋体" w:hAnsi="宋体" w:eastAsia="宋体"/>
                <w:szCs w:val="24"/>
              </w:rPr>
              <w:t>及时</w:t>
            </w:r>
            <w:r>
              <w:rPr>
                <w:rFonts w:ascii="宋体" w:hAnsi="宋体" w:eastAsia="宋体"/>
                <w:szCs w:val="24"/>
              </w:rPr>
              <w:t>解决问题</w:t>
            </w:r>
            <w:r>
              <w:rPr>
                <w:rFonts w:hint="eastAsia" w:ascii="宋体" w:hAnsi="宋体" w:eastAsia="宋体"/>
                <w:szCs w:val="24"/>
              </w:rPr>
              <w:t>。</w:t>
            </w:r>
          </w:p>
        </w:tc>
        <w:tc>
          <w:tcPr>
            <w:tcW w:w="635" w:type="pct"/>
            <w:tcBorders>
              <w:left w:val="single" w:color="auto" w:sz="4" w:space="0"/>
            </w:tcBorders>
            <w:vAlign w:val="center"/>
          </w:tcPr>
          <w:p w14:paraId="7C2C0A8D">
            <w:pPr>
              <w:ind w:left="0" w:firstLine="0" w:firstLineChars="0"/>
              <w:rPr>
                <w:rFonts w:ascii="宋体" w:hAnsi="宋体" w:eastAsia="宋体"/>
                <w:szCs w:val="24"/>
              </w:rPr>
            </w:pPr>
            <w:r>
              <w:rPr>
                <w:rFonts w:hint="eastAsia" w:ascii="宋体" w:hAnsi="宋体" w:eastAsia="宋体"/>
                <w:szCs w:val="24"/>
              </w:rPr>
              <w:t>评价为较差/差，即乙方</w:t>
            </w:r>
            <w:r>
              <w:rPr>
                <w:rFonts w:ascii="宋体" w:hAnsi="宋体" w:eastAsia="宋体"/>
                <w:szCs w:val="24"/>
              </w:rPr>
              <w:t>或服务项目未及时响应需求，或响应需求后无法</w:t>
            </w:r>
            <w:r>
              <w:rPr>
                <w:rFonts w:hint="eastAsia" w:ascii="宋体" w:hAnsi="宋体" w:eastAsia="宋体"/>
                <w:szCs w:val="24"/>
              </w:rPr>
              <w:t>及时</w:t>
            </w:r>
            <w:r>
              <w:rPr>
                <w:rFonts w:ascii="宋体" w:hAnsi="宋体" w:eastAsia="宋体"/>
                <w:szCs w:val="24"/>
              </w:rPr>
              <w:t>解决问题</w:t>
            </w:r>
            <w:r>
              <w:rPr>
                <w:rFonts w:hint="eastAsia" w:ascii="宋体" w:hAnsi="宋体" w:eastAsia="宋体"/>
                <w:szCs w:val="24"/>
              </w:rPr>
              <w:t>，扣除乙方金额人民币不低于1000元。</w:t>
            </w:r>
          </w:p>
        </w:tc>
        <w:tc>
          <w:tcPr>
            <w:tcW w:w="501" w:type="pct"/>
            <w:tcBorders>
              <w:left w:val="single" w:color="auto" w:sz="4" w:space="0"/>
            </w:tcBorders>
          </w:tcPr>
          <w:p w14:paraId="4636FA58">
            <w:pPr>
              <w:ind w:firstLine="0" w:firstLineChars="0"/>
              <w:rPr>
                <w:rFonts w:ascii="宋体" w:hAnsi="宋体" w:eastAsia="宋体"/>
                <w:szCs w:val="24"/>
              </w:rPr>
            </w:pPr>
          </w:p>
        </w:tc>
        <w:tc>
          <w:tcPr>
            <w:tcW w:w="502" w:type="pct"/>
            <w:tcBorders>
              <w:left w:val="single" w:color="auto" w:sz="4" w:space="0"/>
            </w:tcBorders>
          </w:tcPr>
          <w:p w14:paraId="332A2099">
            <w:pPr>
              <w:ind w:firstLine="0" w:firstLineChars="0"/>
              <w:rPr>
                <w:rFonts w:ascii="宋体" w:hAnsi="宋体" w:eastAsia="宋体"/>
                <w:szCs w:val="24"/>
              </w:rPr>
            </w:pPr>
          </w:p>
        </w:tc>
      </w:tr>
      <w:tr w14:paraId="45BF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7AA05A61">
            <w:pPr>
              <w:ind w:left="0" w:firstLine="0" w:firstLineChars="0"/>
              <w:rPr>
                <w:rFonts w:ascii="宋体" w:hAnsi="宋体" w:eastAsia="宋体"/>
                <w:szCs w:val="24"/>
              </w:rPr>
            </w:pPr>
            <w:r>
              <w:rPr>
                <w:rFonts w:ascii="宋体" w:hAnsi="宋体" w:eastAsia="宋体"/>
                <w:szCs w:val="24"/>
              </w:rPr>
              <w:t>1</w:t>
            </w:r>
            <w:r>
              <w:rPr>
                <w:rFonts w:hint="eastAsia" w:ascii="宋体" w:hAnsi="宋体" w:eastAsia="宋体"/>
                <w:szCs w:val="24"/>
              </w:rPr>
              <w:t>0</w:t>
            </w:r>
          </w:p>
        </w:tc>
        <w:tc>
          <w:tcPr>
            <w:tcW w:w="904" w:type="pct"/>
            <w:vMerge w:val="continue"/>
            <w:tcBorders>
              <w:left w:val="single" w:color="auto" w:sz="4" w:space="0"/>
            </w:tcBorders>
          </w:tcPr>
          <w:p w14:paraId="03CDA97B"/>
        </w:tc>
        <w:tc>
          <w:tcPr>
            <w:tcW w:w="598" w:type="pct"/>
            <w:tcBorders>
              <w:left w:val="single" w:color="auto" w:sz="4" w:space="0"/>
            </w:tcBorders>
            <w:vAlign w:val="center"/>
          </w:tcPr>
          <w:p w14:paraId="4C9B320C">
            <w:pPr>
              <w:ind w:left="0" w:firstLine="0" w:firstLineChars="0"/>
              <w:rPr>
                <w:rFonts w:ascii="宋体" w:hAnsi="宋体" w:eastAsia="宋体"/>
                <w:szCs w:val="24"/>
              </w:rPr>
            </w:pPr>
            <w:r>
              <w:rPr>
                <w:rFonts w:hint="eastAsia" w:ascii="宋体" w:hAnsi="宋体" w:eastAsia="宋体"/>
                <w:szCs w:val="24"/>
              </w:rPr>
              <w:t>需求排期率</w:t>
            </w:r>
          </w:p>
        </w:tc>
        <w:tc>
          <w:tcPr>
            <w:tcW w:w="823" w:type="pct"/>
            <w:tcBorders>
              <w:left w:val="single" w:color="auto" w:sz="4" w:space="0"/>
            </w:tcBorders>
            <w:vAlign w:val="center"/>
          </w:tcPr>
          <w:p w14:paraId="3DAB0E22">
            <w:pPr>
              <w:ind w:left="0" w:firstLine="0" w:firstLineChars="0"/>
              <w:rPr>
                <w:rFonts w:ascii="宋体" w:hAnsi="宋体" w:eastAsia="宋体"/>
                <w:szCs w:val="24"/>
              </w:rPr>
            </w:pPr>
            <w:r>
              <w:rPr>
                <w:rFonts w:ascii="宋体" w:hAnsi="宋体" w:eastAsia="宋体"/>
                <w:szCs w:val="24"/>
              </w:rPr>
              <w:t>用于记录统计周期内对</w:t>
            </w:r>
            <w:r>
              <w:rPr>
                <w:rFonts w:hint="eastAsia" w:ascii="宋体" w:hAnsi="宋体" w:eastAsia="宋体"/>
                <w:szCs w:val="24"/>
              </w:rPr>
              <w:t>甲方</w:t>
            </w:r>
            <w:r>
              <w:rPr>
                <w:rFonts w:ascii="宋体" w:hAnsi="宋体" w:eastAsia="宋体"/>
                <w:szCs w:val="24"/>
              </w:rPr>
              <w:t>需求进行投产计划安排的比例</w:t>
            </w:r>
          </w:p>
        </w:tc>
        <w:tc>
          <w:tcPr>
            <w:tcW w:w="1134" w:type="pct"/>
            <w:tcBorders>
              <w:left w:val="single" w:color="auto" w:sz="4" w:space="0"/>
            </w:tcBorders>
            <w:vAlign w:val="center"/>
          </w:tcPr>
          <w:p w14:paraId="781A8BA1">
            <w:pPr>
              <w:ind w:left="0" w:firstLine="0" w:firstLineChars="0"/>
              <w:rPr>
                <w:rFonts w:ascii="宋体" w:hAnsi="宋体" w:eastAsia="宋体"/>
                <w:szCs w:val="24"/>
              </w:rPr>
            </w:pPr>
            <w:r>
              <w:rPr>
                <w:rFonts w:ascii="宋体" w:hAnsi="宋体" w:eastAsia="宋体"/>
                <w:szCs w:val="24"/>
              </w:rPr>
              <w:t>需求排期率=已排期需求数/总需求数</w:t>
            </w:r>
          </w:p>
          <w:p w14:paraId="0B30E592">
            <w:pPr>
              <w:ind w:left="0" w:firstLine="0" w:firstLineChars="0"/>
              <w:rPr>
                <w:rFonts w:ascii="宋体" w:hAnsi="宋体" w:eastAsia="宋体"/>
                <w:szCs w:val="24"/>
              </w:rPr>
            </w:pPr>
            <w:r>
              <w:rPr>
                <w:rFonts w:ascii="宋体" w:hAnsi="宋体" w:eastAsia="宋体"/>
                <w:szCs w:val="24"/>
              </w:rPr>
              <w:t>注：已排期需求数指统计周期内已经纳入投产计划的需求个数。总需求数指统计周期内由</w:t>
            </w:r>
            <w:r>
              <w:rPr>
                <w:rFonts w:hint="eastAsia" w:ascii="宋体" w:hAnsi="宋体" w:eastAsia="宋体"/>
                <w:szCs w:val="24"/>
              </w:rPr>
              <w:t>甲方</w:t>
            </w:r>
            <w:r>
              <w:rPr>
                <w:rFonts w:ascii="宋体" w:hAnsi="宋体" w:eastAsia="宋体"/>
                <w:szCs w:val="24"/>
              </w:rPr>
              <w:t>提出到达服务商项目组的需求数。</w:t>
            </w:r>
          </w:p>
          <w:p w14:paraId="007C1174">
            <w:pPr>
              <w:ind w:left="0" w:firstLine="0" w:firstLineChars="0"/>
              <w:rPr>
                <w:rFonts w:ascii="宋体" w:hAnsi="宋体" w:eastAsia="宋体"/>
                <w:b/>
                <w:szCs w:val="24"/>
              </w:rPr>
            </w:pPr>
            <w:r>
              <w:rPr>
                <w:rFonts w:hint="eastAsia" w:ascii="宋体" w:hAnsi="宋体" w:eastAsia="宋体"/>
                <w:b/>
                <w:szCs w:val="24"/>
              </w:rPr>
              <w:t>5分【98%-100%】</w:t>
            </w:r>
          </w:p>
          <w:p w14:paraId="11E432A7">
            <w:pPr>
              <w:ind w:left="0" w:firstLine="0" w:firstLineChars="0"/>
              <w:rPr>
                <w:rFonts w:ascii="宋体" w:hAnsi="宋体" w:eastAsia="宋体"/>
                <w:b/>
                <w:szCs w:val="24"/>
              </w:rPr>
            </w:pPr>
            <w:r>
              <w:rPr>
                <w:rFonts w:hint="eastAsia" w:ascii="宋体" w:hAnsi="宋体" w:eastAsia="宋体"/>
                <w:b/>
                <w:szCs w:val="24"/>
              </w:rPr>
              <w:t>3分【95%-97%】</w:t>
            </w:r>
          </w:p>
          <w:p w14:paraId="4699E4F3">
            <w:pPr>
              <w:ind w:left="0" w:firstLine="0" w:firstLineChars="0"/>
              <w:rPr>
                <w:rFonts w:ascii="宋体" w:hAnsi="宋体" w:eastAsia="宋体"/>
                <w:b/>
                <w:bCs/>
                <w:szCs w:val="24"/>
              </w:rPr>
            </w:pPr>
            <w:r>
              <w:rPr>
                <w:rFonts w:hint="eastAsia" w:ascii="宋体" w:hAnsi="宋体" w:eastAsia="宋体"/>
                <w:b/>
                <w:szCs w:val="24"/>
              </w:rPr>
              <w:t>0分【低于95%】</w:t>
            </w:r>
          </w:p>
        </w:tc>
        <w:tc>
          <w:tcPr>
            <w:tcW w:w="635" w:type="pct"/>
            <w:tcBorders>
              <w:left w:val="single" w:color="auto" w:sz="4" w:space="0"/>
            </w:tcBorders>
            <w:vAlign w:val="center"/>
          </w:tcPr>
          <w:p w14:paraId="61A385C7">
            <w:pPr>
              <w:rPr>
                <w:rFonts w:ascii="宋体" w:hAnsi="宋体" w:eastAsia="宋体"/>
                <w:szCs w:val="24"/>
              </w:rPr>
            </w:pPr>
          </w:p>
        </w:tc>
        <w:tc>
          <w:tcPr>
            <w:tcW w:w="501" w:type="pct"/>
            <w:tcBorders>
              <w:left w:val="single" w:color="auto" w:sz="4" w:space="0"/>
            </w:tcBorders>
          </w:tcPr>
          <w:p w14:paraId="7FAD4450">
            <w:pPr>
              <w:rPr>
                <w:rFonts w:ascii="宋体" w:hAnsi="宋体" w:eastAsia="宋体"/>
                <w:szCs w:val="24"/>
              </w:rPr>
            </w:pPr>
          </w:p>
        </w:tc>
        <w:tc>
          <w:tcPr>
            <w:tcW w:w="502" w:type="pct"/>
            <w:tcBorders>
              <w:left w:val="single" w:color="auto" w:sz="4" w:space="0"/>
            </w:tcBorders>
          </w:tcPr>
          <w:p w14:paraId="6974C521">
            <w:pPr>
              <w:rPr>
                <w:rFonts w:ascii="宋体" w:hAnsi="宋体" w:eastAsia="宋体"/>
                <w:szCs w:val="24"/>
              </w:rPr>
            </w:pPr>
          </w:p>
        </w:tc>
      </w:tr>
      <w:tr w14:paraId="452B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09D02945">
            <w:pPr>
              <w:ind w:left="0" w:firstLine="0" w:firstLineChars="0"/>
              <w:rPr>
                <w:rFonts w:ascii="宋体" w:hAnsi="宋体" w:eastAsia="宋体"/>
                <w:szCs w:val="24"/>
              </w:rPr>
            </w:pPr>
            <w:r>
              <w:rPr>
                <w:rFonts w:hint="eastAsia" w:ascii="宋体" w:hAnsi="宋体" w:eastAsia="宋体"/>
                <w:szCs w:val="24"/>
              </w:rPr>
              <w:t>11</w:t>
            </w:r>
          </w:p>
        </w:tc>
        <w:tc>
          <w:tcPr>
            <w:tcW w:w="904" w:type="pct"/>
            <w:vMerge w:val="continue"/>
            <w:tcBorders>
              <w:left w:val="single" w:color="auto" w:sz="4" w:space="0"/>
            </w:tcBorders>
          </w:tcPr>
          <w:p w14:paraId="402A5B1E"/>
        </w:tc>
        <w:tc>
          <w:tcPr>
            <w:tcW w:w="598" w:type="pct"/>
            <w:tcBorders>
              <w:left w:val="single" w:color="auto" w:sz="4" w:space="0"/>
            </w:tcBorders>
            <w:vAlign w:val="center"/>
          </w:tcPr>
          <w:p w14:paraId="7482B8BC">
            <w:pPr>
              <w:ind w:left="0" w:firstLine="0" w:firstLineChars="0"/>
              <w:rPr>
                <w:rFonts w:ascii="宋体" w:hAnsi="宋体" w:eastAsia="宋体"/>
                <w:szCs w:val="24"/>
              </w:rPr>
            </w:pPr>
            <w:r>
              <w:rPr>
                <w:rFonts w:hint="eastAsia" w:ascii="宋体" w:hAnsi="宋体" w:eastAsia="宋体"/>
                <w:szCs w:val="24"/>
              </w:rPr>
              <w:t>需求完成率</w:t>
            </w:r>
          </w:p>
        </w:tc>
        <w:tc>
          <w:tcPr>
            <w:tcW w:w="823" w:type="pct"/>
            <w:tcBorders>
              <w:left w:val="single" w:color="auto" w:sz="4" w:space="0"/>
            </w:tcBorders>
            <w:vAlign w:val="center"/>
          </w:tcPr>
          <w:p w14:paraId="48F72EF2">
            <w:pPr>
              <w:ind w:left="0" w:firstLine="0" w:firstLineChars="0"/>
              <w:rPr>
                <w:rFonts w:ascii="宋体" w:hAnsi="宋体" w:eastAsia="宋体"/>
                <w:szCs w:val="24"/>
              </w:rPr>
            </w:pPr>
            <w:r>
              <w:rPr>
                <w:rFonts w:ascii="宋体" w:hAnsi="宋体" w:eastAsia="宋体"/>
                <w:szCs w:val="24"/>
              </w:rPr>
              <w:t>用于记录统计周期内</w:t>
            </w:r>
            <w:r>
              <w:rPr>
                <w:rFonts w:hint="eastAsia" w:ascii="宋体" w:hAnsi="宋体" w:eastAsia="宋体"/>
                <w:szCs w:val="24"/>
              </w:rPr>
              <w:t>甲方</w:t>
            </w:r>
            <w:r>
              <w:rPr>
                <w:rFonts w:ascii="宋体" w:hAnsi="宋体" w:eastAsia="宋体"/>
                <w:szCs w:val="24"/>
              </w:rPr>
              <w:t>需求完成投产的比例</w:t>
            </w:r>
          </w:p>
        </w:tc>
        <w:tc>
          <w:tcPr>
            <w:tcW w:w="1134" w:type="pct"/>
            <w:tcBorders>
              <w:left w:val="single" w:color="auto" w:sz="4" w:space="0"/>
            </w:tcBorders>
            <w:vAlign w:val="center"/>
          </w:tcPr>
          <w:p w14:paraId="1D43BC65">
            <w:pPr>
              <w:ind w:left="0" w:firstLine="0" w:firstLineChars="0"/>
              <w:rPr>
                <w:rFonts w:ascii="宋体" w:hAnsi="宋体" w:eastAsia="宋体"/>
                <w:szCs w:val="24"/>
              </w:rPr>
            </w:pPr>
            <w:r>
              <w:rPr>
                <w:rFonts w:hint="eastAsia" w:ascii="宋体" w:hAnsi="宋体" w:eastAsia="宋体"/>
                <w:szCs w:val="24"/>
              </w:rPr>
              <w:t>需</w:t>
            </w:r>
            <w:r>
              <w:rPr>
                <w:rFonts w:ascii="宋体" w:hAnsi="宋体" w:eastAsia="宋体"/>
                <w:szCs w:val="24"/>
              </w:rPr>
              <w:t>求完成率=流程完结需求数/总需求数</w:t>
            </w:r>
          </w:p>
          <w:p w14:paraId="101A0114">
            <w:pPr>
              <w:ind w:left="0" w:firstLine="0" w:firstLineChars="0"/>
              <w:rPr>
                <w:rFonts w:ascii="宋体" w:hAnsi="宋体" w:eastAsia="宋体"/>
                <w:szCs w:val="24"/>
              </w:rPr>
            </w:pPr>
            <w:r>
              <w:rPr>
                <w:rFonts w:ascii="宋体" w:hAnsi="宋体" w:eastAsia="宋体"/>
                <w:szCs w:val="24"/>
              </w:rPr>
              <w:t>注：流程完结需求数指统计周期内已完成投产的需求个数</w:t>
            </w:r>
            <w:r>
              <w:rPr>
                <w:rFonts w:hint="eastAsia" w:ascii="宋体" w:hAnsi="宋体" w:eastAsia="宋体"/>
                <w:szCs w:val="24"/>
              </w:rPr>
              <w:t>；</w:t>
            </w:r>
            <w:r>
              <w:rPr>
                <w:rFonts w:ascii="宋体" w:hAnsi="宋体" w:eastAsia="宋体"/>
                <w:szCs w:val="24"/>
              </w:rPr>
              <w:t>总需求数指统计周期内由</w:t>
            </w:r>
            <w:r>
              <w:rPr>
                <w:rFonts w:hint="eastAsia" w:ascii="宋体" w:hAnsi="宋体" w:eastAsia="宋体"/>
                <w:szCs w:val="24"/>
              </w:rPr>
              <w:t>甲方</w:t>
            </w:r>
            <w:r>
              <w:rPr>
                <w:rFonts w:ascii="宋体" w:hAnsi="宋体" w:eastAsia="宋体"/>
                <w:szCs w:val="24"/>
              </w:rPr>
              <w:t>提出到达服务商项目组的需求个数。</w:t>
            </w:r>
          </w:p>
          <w:p w14:paraId="55959ADA">
            <w:pPr>
              <w:ind w:left="0" w:firstLine="0" w:firstLineChars="0"/>
              <w:rPr>
                <w:rFonts w:ascii="宋体" w:hAnsi="宋体" w:eastAsia="宋体"/>
                <w:b/>
                <w:szCs w:val="24"/>
              </w:rPr>
            </w:pPr>
            <w:r>
              <w:rPr>
                <w:rFonts w:hint="eastAsia" w:ascii="宋体" w:hAnsi="宋体" w:eastAsia="宋体"/>
                <w:b/>
                <w:szCs w:val="24"/>
              </w:rPr>
              <w:t>5分【98%-100%】</w:t>
            </w:r>
          </w:p>
          <w:p w14:paraId="6600727D">
            <w:pPr>
              <w:ind w:left="0" w:firstLine="0" w:firstLineChars="0"/>
              <w:rPr>
                <w:rFonts w:ascii="宋体" w:hAnsi="宋体" w:eastAsia="宋体"/>
                <w:b/>
                <w:szCs w:val="24"/>
              </w:rPr>
            </w:pPr>
            <w:r>
              <w:rPr>
                <w:rFonts w:hint="eastAsia" w:ascii="宋体" w:hAnsi="宋体" w:eastAsia="宋体"/>
                <w:b/>
                <w:szCs w:val="24"/>
              </w:rPr>
              <w:t>3分【95%-97%】</w:t>
            </w:r>
          </w:p>
          <w:p w14:paraId="0E3C3B81">
            <w:pPr>
              <w:ind w:left="0" w:firstLine="0" w:firstLineChars="0"/>
              <w:rPr>
                <w:rFonts w:ascii="宋体" w:hAnsi="宋体" w:eastAsia="宋体"/>
                <w:b/>
                <w:bCs/>
                <w:szCs w:val="24"/>
              </w:rPr>
            </w:pPr>
            <w:r>
              <w:rPr>
                <w:rFonts w:hint="eastAsia" w:ascii="宋体" w:hAnsi="宋体" w:eastAsia="宋体"/>
                <w:b/>
                <w:szCs w:val="24"/>
              </w:rPr>
              <w:t>0分【低于95%】</w:t>
            </w:r>
          </w:p>
        </w:tc>
        <w:tc>
          <w:tcPr>
            <w:tcW w:w="635" w:type="pct"/>
            <w:tcBorders>
              <w:left w:val="single" w:color="auto" w:sz="4" w:space="0"/>
            </w:tcBorders>
            <w:vAlign w:val="center"/>
          </w:tcPr>
          <w:p w14:paraId="26D50F3A">
            <w:pPr>
              <w:rPr>
                <w:rFonts w:ascii="宋体" w:hAnsi="宋体" w:eastAsia="宋体"/>
                <w:szCs w:val="24"/>
              </w:rPr>
            </w:pPr>
          </w:p>
        </w:tc>
        <w:tc>
          <w:tcPr>
            <w:tcW w:w="501" w:type="pct"/>
            <w:tcBorders>
              <w:left w:val="single" w:color="auto" w:sz="4" w:space="0"/>
            </w:tcBorders>
          </w:tcPr>
          <w:p w14:paraId="57CC06EF">
            <w:pPr>
              <w:rPr>
                <w:rFonts w:ascii="宋体" w:hAnsi="宋体" w:eastAsia="宋体"/>
                <w:szCs w:val="24"/>
              </w:rPr>
            </w:pPr>
          </w:p>
        </w:tc>
        <w:tc>
          <w:tcPr>
            <w:tcW w:w="502" w:type="pct"/>
            <w:tcBorders>
              <w:left w:val="single" w:color="auto" w:sz="4" w:space="0"/>
            </w:tcBorders>
          </w:tcPr>
          <w:p w14:paraId="35ECE60D">
            <w:pPr>
              <w:rPr>
                <w:rFonts w:ascii="宋体" w:hAnsi="宋体" w:eastAsia="宋体"/>
                <w:szCs w:val="24"/>
              </w:rPr>
            </w:pPr>
          </w:p>
        </w:tc>
      </w:tr>
      <w:tr w14:paraId="464E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7E678F70">
            <w:pPr>
              <w:ind w:left="0" w:firstLine="0" w:firstLineChars="0"/>
              <w:rPr>
                <w:rFonts w:ascii="宋体" w:hAnsi="宋体" w:eastAsia="宋体"/>
                <w:szCs w:val="24"/>
              </w:rPr>
            </w:pPr>
            <w:r>
              <w:rPr>
                <w:rFonts w:hint="eastAsia" w:ascii="宋体" w:hAnsi="宋体" w:eastAsia="宋体"/>
                <w:szCs w:val="24"/>
              </w:rPr>
              <w:t>12</w:t>
            </w:r>
          </w:p>
        </w:tc>
        <w:tc>
          <w:tcPr>
            <w:tcW w:w="904" w:type="pct"/>
            <w:vMerge w:val="continue"/>
            <w:tcBorders>
              <w:left w:val="single" w:color="auto" w:sz="4" w:space="0"/>
            </w:tcBorders>
          </w:tcPr>
          <w:p w14:paraId="7BACFB4B"/>
        </w:tc>
        <w:tc>
          <w:tcPr>
            <w:tcW w:w="598" w:type="pct"/>
            <w:tcBorders>
              <w:left w:val="single" w:color="auto" w:sz="4" w:space="0"/>
            </w:tcBorders>
            <w:vAlign w:val="center"/>
          </w:tcPr>
          <w:p w14:paraId="47231AA2">
            <w:pPr>
              <w:ind w:left="0" w:firstLine="0" w:firstLineChars="0"/>
              <w:rPr>
                <w:rFonts w:ascii="宋体" w:hAnsi="宋体" w:eastAsia="宋体"/>
                <w:szCs w:val="24"/>
              </w:rPr>
            </w:pPr>
            <w:r>
              <w:rPr>
                <w:rFonts w:hint="eastAsia" w:ascii="宋体" w:hAnsi="宋体" w:eastAsia="宋体"/>
                <w:szCs w:val="24"/>
              </w:rPr>
              <w:t>人员行为规范性</w:t>
            </w:r>
          </w:p>
        </w:tc>
        <w:tc>
          <w:tcPr>
            <w:tcW w:w="823" w:type="pct"/>
            <w:tcBorders>
              <w:left w:val="single" w:color="auto" w:sz="4" w:space="0"/>
            </w:tcBorders>
            <w:vAlign w:val="center"/>
          </w:tcPr>
          <w:p w14:paraId="45295B63">
            <w:pPr>
              <w:ind w:left="0" w:firstLine="0" w:firstLineChars="0"/>
              <w:rPr>
                <w:rFonts w:ascii="宋体" w:hAnsi="宋体" w:eastAsia="宋体"/>
                <w:szCs w:val="24"/>
              </w:rPr>
            </w:pPr>
            <w:r>
              <w:rPr>
                <w:rFonts w:hint="eastAsia" w:ascii="宋体" w:hAnsi="宋体" w:eastAsia="宋体"/>
                <w:szCs w:val="24"/>
              </w:rPr>
              <w:t>用</w:t>
            </w:r>
            <w:r>
              <w:rPr>
                <w:rFonts w:ascii="宋体" w:hAnsi="宋体" w:eastAsia="宋体"/>
                <w:szCs w:val="24"/>
              </w:rPr>
              <w:t>于记录外包场地日常管理或</w:t>
            </w:r>
            <w:r>
              <w:rPr>
                <w:rFonts w:hint="eastAsia" w:ascii="宋体" w:hAnsi="宋体" w:eastAsia="宋体"/>
                <w:szCs w:val="24"/>
              </w:rPr>
              <w:t>检查</w:t>
            </w:r>
            <w:r>
              <w:rPr>
                <w:rFonts w:ascii="宋体" w:hAnsi="宋体" w:eastAsia="宋体"/>
                <w:szCs w:val="24"/>
              </w:rPr>
              <w:t>过程中发现外包人员</w:t>
            </w:r>
            <w:r>
              <w:rPr>
                <w:rFonts w:hint="eastAsia" w:ascii="宋体" w:hAnsi="宋体" w:eastAsia="宋体"/>
                <w:szCs w:val="24"/>
              </w:rPr>
              <w:t>行为</w:t>
            </w:r>
            <w:r>
              <w:rPr>
                <w:rFonts w:ascii="宋体" w:hAnsi="宋体" w:eastAsia="宋体"/>
                <w:szCs w:val="24"/>
              </w:rPr>
              <w:t>违</w:t>
            </w:r>
            <w:r>
              <w:rPr>
                <w:rFonts w:hint="eastAsia" w:ascii="宋体" w:hAnsi="宋体" w:eastAsia="宋体"/>
                <w:szCs w:val="24"/>
              </w:rPr>
              <w:t>规（包括但不限于办公纪律、造成办公环境物理安全隐患等）</w:t>
            </w:r>
            <w:r>
              <w:rPr>
                <w:rFonts w:ascii="宋体" w:hAnsi="宋体" w:eastAsia="宋体"/>
                <w:szCs w:val="24"/>
              </w:rPr>
              <w:t>的次数</w:t>
            </w:r>
          </w:p>
        </w:tc>
        <w:tc>
          <w:tcPr>
            <w:tcW w:w="1134" w:type="pct"/>
            <w:tcBorders>
              <w:left w:val="single" w:color="auto" w:sz="4" w:space="0"/>
            </w:tcBorders>
            <w:vAlign w:val="center"/>
          </w:tcPr>
          <w:p w14:paraId="7E5C8E54">
            <w:pPr>
              <w:ind w:left="0" w:firstLine="0" w:firstLineChars="0"/>
              <w:rPr>
                <w:rFonts w:ascii="宋体" w:hAnsi="宋体" w:eastAsia="宋体"/>
                <w:b/>
                <w:bCs/>
                <w:szCs w:val="24"/>
              </w:rPr>
            </w:pPr>
            <w:r>
              <w:rPr>
                <w:rFonts w:hint="eastAsia" w:ascii="宋体" w:hAnsi="宋体" w:eastAsia="宋体"/>
                <w:b/>
                <w:bCs/>
                <w:szCs w:val="24"/>
              </w:rPr>
              <w:t>【得分上限1</w:t>
            </w:r>
            <w:r>
              <w:rPr>
                <w:rFonts w:ascii="宋体" w:hAnsi="宋体" w:eastAsia="宋体"/>
                <w:b/>
                <w:bCs/>
                <w:szCs w:val="24"/>
              </w:rPr>
              <w:t>0</w:t>
            </w:r>
            <w:r>
              <w:rPr>
                <w:rFonts w:hint="eastAsia" w:ascii="宋体" w:hAnsi="宋体" w:eastAsia="宋体"/>
                <w:b/>
                <w:bCs/>
                <w:szCs w:val="24"/>
              </w:rPr>
              <w:t>分】</w:t>
            </w:r>
          </w:p>
          <w:p w14:paraId="6627D1CA">
            <w:pPr>
              <w:ind w:left="0" w:firstLine="0" w:firstLineChars="0"/>
              <w:rPr>
                <w:rFonts w:ascii="宋体" w:hAnsi="宋体" w:eastAsia="宋体"/>
                <w:szCs w:val="24"/>
              </w:rPr>
            </w:pPr>
            <w:r>
              <w:rPr>
                <w:rFonts w:hint="eastAsia" w:ascii="宋体" w:hAnsi="宋体" w:eastAsia="宋体"/>
                <w:b/>
                <w:bCs/>
                <w:szCs w:val="24"/>
              </w:rPr>
              <w:t>0次：</w:t>
            </w:r>
            <w:r>
              <w:rPr>
                <w:rFonts w:hint="eastAsia" w:ascii="宋体" w:hAnsi="宋体" w:eastAsia="宋体"/>
                <w:szCs w:val="24"/>
              </w:rPr>
              <w:t>指未出现外包人员行为违规，该项指标满分；</w:t>
            </w:r>
          </w:p>
          <w:p w14:paraId="21D0F938">
            <w:pPr>
              <w:ind w:left="0" w:firstLine="0" w:firstLineChars="0"/>
              <w:rPr>
                <w:rFonts w:ascii="宋体" w:hAnsi="宋体" w:eastAsia="宋体"/>
                <w:szCs w:val="24"/>
              </w:rPr>
            </w:pPr>
            <w:r>
              <w:rPr>
                <w:rFonts w:hint="eastAsia" w:ascii="宋体" w:hAnsi="宋体" w:eastAsia="宋体"/>
                <w:b/>
                <w:bCs/>
                <w:szCs w:val="24"/>
              </w:rPr>
              <w:t>1次及以上：</w:t>
            </w:r>
            <w:r>
              <w:rPr>
                <w:rFonts w:hint="eastAsia" w:ascii="宋体" w:hAnsi="宋体" w:eastAsia="宋体"/>
                <w:szCs w:val="24"/>
              </w:rPr>
              <w:t>指检查发现外包人员行为违规1次及以上（每人次扣5分，最高扣除1</w:t>
            </w:r>
            <w:r>
              <w:rPr>
                <w:rFonts w:ascii="宋体" w:hAnsi="宋体" w:eastAsia="宋体"/>
                <w:szCs w:val="24"/>
              </w:rPr>
              <w:t>0</w:t>
            </w:r>
            <w:r>
              <w:rPr>
                <w:rFonts w:hint="eastAsia" w:ascii="宋体" w:hAnsi="宋体" w:eastAsia="宋体"/>
                <w:szCs w:val="24"/>
              </w:rPr>
              <w:t>分）</w:t>
            </w:r>
          </w:p>
        </w:tc>
        <w:tc>
          <w:tcPr>
            <w:tcW w:w="635" w:type="pct"/>
            <w:tcBorders>
              <w:left w:val="single" w:color="auto" w:sz="4" w:space="0"/>
            </w:tcBorders>
            <w:vAlign w:val="center"/>
          </w:tcPr>
          <w:p w14:paraId="79E8D3F6">
            <w:pPr>
              <w:ind w:left="0" w:firstLine="0" w:firstLineChars="0"/>
              <w:rPr>
                <w:rFonts w:ascii="宋体" w:hAnsi="宋体" w:eastAsia="宋体"/>
                <w:szCs w:val="24"/>
              </w:rPr>
            </w:pPr>
            <w:r>
              <w:rPr>
                <w:rFonts w:hint="eastAsia" w:ascii="宋体" w:hAnsi="宋体" w:eastAsia="宋体"/>
                <w:szCs w:val="24"/>
              </w:rPr>
              <w:t>每出现一次人员行为</w:t>
            </w:r>
            <w:r>
              <w:rPr>
                <w:rFonts w:ascii="宋体" w:hAnsi="宋体" w:eastAsia="宋体"/>
                <w:szCs w:val="24"/>
              </w:rPr>
              <w:t>违规</w:t>
            </w:r>
            <w:r>
              <w:rPr>
                <w:rFonts w:hint="eastAsia" w:ascii="宋体" w:hAnsi="宋体" w:eastAsia="宋体"/>
                <w:szCs w:val="24"/>
              </w:rPr>
              <w:t>，扣除乙方金额人民币不低于500元。</w:t>
            </w:r>
          </w:p>
        </w:tc>
        <w:tc>
          <w:tcPr>
            <w:tcW w:w="501" w:type="pct"/>
            <w:tcBorders>
              <w:left w:val="single" w:color="auto" w:sz="4" w:space="0"/>
            </w:tcBorders>
          </w:tcPr>
          <w:p w14:paraId="71A574C0">
            <w:pPr>
              <w:ind w:firstLine="0" w:firstLineChars="0"/>
              <w:rPr>
                <w:rFonts w:ascii="宋体" w:hAnsi="宋体" w:eastAsia="宋体"/>
                <w:szCs w:val="24"/>
              </w:rPr>
            </w:pPr>
          </w:p>
        </w:tc>
        <w:tc>
          <w:tcPr>
            <w:tcW w:w="502" w:type="pct"/>
            <w:tcBorders>
              <w:left w:val="single" w:color="auto" w:sz="4" w:space="0"/>
            </w:tcBorders>
          </w:tcPr>
          <w:p w14:paraId="62AED0BB">
            <w:pPr>
              <w:ind w:firstLine="0" w:firstLineChars="0"/>
              <w:rPr>
                <w:rFonts w:ascii="宋体" w:hAnsi="宋体" w:eastAsia="宋体"/>
                <w:szCs w:val="24"/>
              </w:rPr>
            </w:pPr>
          </w:p>
        </w:tc>
      </w:tr>
      <w:tr w14:paraId="2A7B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11422169">
            <w:pPr>
              <w:ind w:left="0" w:firstLine="0" w:firstLineChars="0"/>
              <w:rPr>
                <w:rFonts w:ascii="宋体" w:hAnsi="宋体" w:eastAsia="宋体"/>
                <w:szCs w:val="24"/>
              </w:rPr>
            </w:pPr>
            <w:r>
              <w:rPr>
                <w:rFonts w:hint="eastAsia" w:ascii="宋体" w:hAnsi="宋体" w:eastAsia="宋体"/>
                <w:szCs w:val="24"/>
              </w:rPr>
              <w:t>13</w:t>
            </w:r>
          </w:p>
        </w:tc>
        <w:tc>
          <w:tcPr>
            <w:tcW w:w="904" w:type="pct"/>
            <w:vMerge w:val="continue"/>
            <w:tcBorders>
              <w:left w:val="single" w:color="auto" w:sz="4" w:space="0"/>
            </w:tcBorders>
          </w:tcPr>
          <w:p w14:paraId="521BFC77"/>
        </w:tc>
        <w:tc>
          <w:tcPr>
            <w:tcW w:w="598" w:type="pct"/>
            <w:tcBorders>
              <w:left w:val="single" w:color="auto" w:sz="4" w:space="0"/>
            </w:tcBorders>
            <w:vAlign w:val="center"/>
          </w:tcPr>
          <w:p w14:paraId="6390DE7D">
            <w:pPr>
              <w:ind w:left="0" w:firstLine="0" w:firstLineChars="0"/>
              <w:rPr>
                <w:rFonts w:ascii="宋体" w:hAnsi="宋体" w:eastAsia="宋体"/>
                <w:szCs w:val="24"/>
              </w:rPr>
            </w:pPr>
            <w:r>
              <w:rPr>
                <w:rFonts w:hint="eastAsia" w:ascii="宋体" w:hAnsi="宋体" w:eastAsia="宋体"/>
                <w:szCs w:val="24"/>
              </w:rPr>
              <w:t>人员变动率</w:t>
            </w:r>
          </w:p>
        </w:tc>
        <w:tc>
          <w:tcPr>
            <w:tcW w:w="823" w:type="pct"/>
            <w:tcBorders>
              <w:left w:val="single" w:color="auto" w:sz="4" w:space="0"/>
            </w:tcBorders>
            <w:vAlign w:val="center"/>
          </w:tcPr>
          <w:p w14:paraId="59C759EA">
            <w:pPr>
              <w:ind w:left="0" w:firstLine="0" w:firstLineChars="0"/>
              <w:rPr>
                <w:rFonts w:ascii="宋体" w:hAnsi="宋体" w:eastAsia="宋体"/>
                <w:szCs w:val="24"/>
              </w:rPr>
            </w:pPr>
            <w:r>
              <w:rPr>
                <w:rFonts w:hint="eastAsia" w:ascii="宋体" w:hAnsi="宋体" w:eastAsia="宋体"/>
                <w:szCs w:val="24"/>
              </w:rPr>
              <w:t>用</w:t>
            </w:r>
            <w:r>
              <w:rPr>
                <w:rFonts w:ascii="宋体" w:hAnsi="宋体" w:eastAsia="宋体"/>
                <w:szCs w:val="24"/>
              </w:rPr>
              <w:t>于记录统计周期内</w:t>
            </w:r>
            <w:r>
              <w:rPr>
                <w:rFonts w:hint="eastAsia" w:ascii="宋体" w:hAnsi="宋体" w:eastAsia="宋体"/>
                <w:szCs w:val="24"/>
              </w:rPr>
              <w:t>乙方未经甲方同意</w:t>
            </w:r>
            <w:r>
              <w:rPr>
                <w:rFonts w:ascii="宋体" w:hAnsi="宋体" w:eastAsia="宋体"/>
                <w:szCs w:val="24"/>
              </w:rPr>
              <w:t>更换外包人员数量占</w:t>
            </w:r>
            <w:r>
              <w:rPr>
                <w:rFonts w:hint="eastAsia" w:ascii="宋体" w:hAnsi="宋体" w:eastAsia="宋体"/>
                <w:szCs w:val="24"/>
              </w:rPr>
              <w:t>乙方</w:t>
            </w:r>
            <w:r>
              <w:rPr>
                <w:rFonts w:ascii="宋体" w:hAnsi="宋体" w:eastAsia="宋体"/>
                <w:szCs w:val="24"/>
              </w:rPr>
              <w:t>驻场外包人员总数量的比率</w:t>
            </w:r>
          </w:p>
        </w:tc>
        <w:tc>
          <w:tcPr>
            <w:tcW w:w="1134" w:type="pct"/>
            <w:tcBorders>
              <w:left w:val="single" w:color="auto" w:sz="4" w:space="0"/>
            </w:tcBorders>
            <w:vAlign w:val="center"/>
          </w:tcPr>
          <w:p w14:paraId="2931A713">
            <w:pPr>
              <w:ind w:left="0" w:firstLine="0" w:firstLineChars="0"/>
              <w:rPr>
                <w:rFonts w:ascii="宋体" w:hAnsi="宋体" w:eastAsia="宋体"/>
                <w:szCs w:val="24"/>
              </w:rPr>
            </w:pPr>
            <w:r>
              <w:rPr>
                <w:rFonts w:hint="eastAsia" w:ascii="宋体" w:hAnsi="宋体" w:eastAsia="宋体"/>
                <w:szCs w:val="24"/>
              </w:rPr>
              <w:t>人</w:t>
            </w:r>
            <w:r>
              <w:rPr>
                <w:rFonts w:ascii="宋体" w:hAnsi="宋体" w:eastAsia="宋体"/>
                <w:szCs w:val="24"/>
              </w:rPr>
              <w:t>员变动率=</w:t>
            </w:r>
            <w:r>
              <w:rPr>
                <w:rFonts w:hint="eastAsia" w:ascii="宋体" w:hAnsi="宋体" w:eastAsia="宋体"/>
                <w:szCs w:val="24"/>
              </w:rPr>
              <w:t>乙方未经甲方同意</w:t>
            </w:r>
            <w:r>
              <w:rPr>
                <w:rFonts w:ascii="宋体" w:hAnsi="宋体" w:eastAsia="宋体"/>
                <w:szCs w:val="24"/>
              </w:rPr>
              <w:t>更换外包人员数量/</w:t>
            </w:r>
            <w:r>
              <w:rPr>
                <w:rFonts w:hint="eastAsia" w:ascii="宋体" w:hAnsi="宋体" w:eastAsia="宋体"/>
                <w:szCs w:val="24"/>
              </w:rPr>
              <w:t>乙方</w:t>
            </w:r>
            <w:r>
              <w:rPr>
                <w:rFonts w:ascii="宋体" w:hAnsi="宋体" w:eastAsia="宋体"/>
                <w:szCs w:val="24"/>
              </w:rPr>
              <w:t>驻场外包人员总数量</w:t>
            </w:r>
          </w:p>
          <w:p w14:paraId="7B3B375C">
            <w:pPr>
              <w:ind w:left="0" w:firstLine="0" w:firstLineChars="0"/>
              <w:rPr>
                <w:rFonts w:ascii="宋体" w:hAnsi="宋体" w:eastAsia="宋体"/>
                <w:b/>
                <w:szCs w:val="24"/>
              </w:rPr>
            </w:pPr>
            <w:r>
              <w:rPr>
                <w:rFonts w:hint="eastAsia" w:ascii="宋体" w:hAnsi="宋体" w:eastAsia="宋体"/>
                <w:b/>
                <w:szCs w:val="24"/>
              </w:rPr>
              <w:t>10分【0-20%】</w:t>
            </w:r>
          </w:p>
          <w:p w14:paraId="56A35260">
            <w:pPr>
              <w:ind w:left="0" w:firstLine="0" w:firstLineChars="0"/>
              <w:rPr>
                <w:rFonts w:ascii="宋体" w:hAnsi="宋体" w:eastAsia="宋体"/>
                <w:b/>
                <w:szCs w:val="24"/>
              </w:rPr>
            </w:pPr>
            <w:r>
              <w:rPr>
                <w:rFonts w:hint="eastAsia" w:ascii="宋体" w:hAnsi="宋体" w:eastAsia="宋体"/>
                <w:b/>
                <w:szCs w:val="24"/>
              </w:rPr>
              <w:t>5分【20%-40%】</w:t>
            </w:r>
          </w:p>
          <w:p w14:paraId="4AEF43BB">
            <w:pPr>
              <w:ind w:left="0" w:firstLine="0" w:firstLineChars="0"/>
              <w:rPr>
                <w:rFonts w:ascii="宋体" w:hAnsi="宋体" w:eastAsia="宋体"/>
                <w:b/>
                <w:szCs w:val="24"/>
              </w:rPr>
            </w:pPr>
            <w:r>
              <w:rPr>
                <w:rFonts w:hint="eastAsia" w:ascii="宋体" w:hAnsi="宋体" w:eastAsia="宋体"/>
                <w:b/>
                <w:szCs w:val="24"/>
              </w:rPr>
              <w:t>0分【超过40%】</w:t>
            </w:r>
          </w:p>
        </w:tc>
        <w:tc>
          <w:tcPr>
            <w:tcW w:w="635" w:type="pct"/>
            <w:tcBorders>
              <w:left w:val="single" w:color="auto" w:sz="4" w:space="0"/>
            </w:tcBorders>
            <w:vAlign w:val="center"/>
          </w:tcPr>
          <w:p w14:paraId="3679D9E3">
            <w:pPr>
              <w:ind w:left="0" w:firstLine="0" w:firstLineChars="0"/>
              <w:rPr>
                <w:rFonts w:ascii="宋体" w:hAnsi="宋体" w:eastAsia="宋体"/>
                <w:szCs w:val="24"/>
              </w:rPr>
            </w:pPr>
            <w:r>
              <w:rPr>
                <w:rFonts w:hint="eastAsia" w:ascii="宋体" w:hAnsi="宋体" w:eastAsia="宋体"/>
                <w:szCs w:val="24"/>
              </w:rPr>
              <w:t>技术骨干或项目经理未经甲方同意变动，扣除乙方金额人民币不低于3万元；其余人员变动率超过40</w:t>
            </w:r>
            <w:r>
              <w:rPr>
                <w:rFonts w:ascii="宋体" w:hAnsi="宋体" w:eastAsia="宋体"/>
                <w:szCs w:val="24"/>
              </w:rPr>
              <w:t>%</w:t>
            </w:r>
            <w:r>
              <w:rPr>
                <w:rFonts w:hint="eastAsia" w:ascii="宋体" w:hAnsi="宋体" w:eastAsia="宋体"/>
                <w:szCs w:val="24"/>
              </w:rPr>
              <w:t>，扣除不低于合同总金额的1%。</w:t>
            </w:r>
          </w:p>
        </w:tc>
        <w:tc>
          <w:tcPr>
            <w:tcW w:w="501" w:type="pct"/>
            <w:tcBorders>
              <w:left w:val="single" w:color="auto" w:sz="4" w:space="0"/>
            </w:tcBorders>
          </w:tcPr>
          <w:p w14:paraId="44113066">
            <w:pPr>
              <w:ind w:firstLine="0" w:firstLineChars="0"/>
              <w:rPr>
                <w:rFonts w:ascii="宋体" w:hAnsi="宋体" w:eastAsia="宋体"/>
                <w:szCs w:val="24"/>
              </w:rPr>
            </w:pPr>
          </w:p>
        </w:tc>
        <w:tc>
          <w:tcPr>
            <w:tcW w:w="502" w:type="pct"/>
            <w:tcBorders>
              <w:left w:val="single" w:color="auto" w:sz="4" w:space="0"/>
            </w:tcBorders>
          </w:tcPr>
          <w:p w14:paraId="2683DB96">
            <w:pPr>
              <w:ind w:firstLine="0" w:firstLineChars="0"/>
              <w:rPr>
                <w:rFonts w:ascii="宋体" w:hAnsi="宋体" w:eastAsia="宋体"/>
                <w:szCs w:val="24"/>
              </w:rPr>
            </w:pPr>
          </w:p>
        </w:tc>
      </w:tr>
      <w:tr w14:paraId="6C3C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3A96E579">
            <w:pPr>
              <w:ind w:left="0" w:firstLine="0" w:firstLineChars="0"/>
              <w:rPr>
                <w:rFonts w:ascii="宋体" w:hAnsi="宋体" w:eastAsia="宋体"/>
                <w:szCs w:val="24"/>
              </w:rPr>
            </w:pPr>
            <w:r>
              <w:rPr>
                <w:rFonts w:hint="eastAsia" w:ascii="宋体" w:hAnsi="宋体" w:eastAsia="宋体"/>
                <w:szCs w:val="24"/>
              </w:rPr>
              <w:t>14</w:t>
            </w:r>
          </w:p>
        </w:tc>
        <w:tc>
          <w:tcPr>
            <w:tcW w:w="904" w:type="pct"/>
            <w:vMerge w:val="continue"/>
            <w:tcBorders>
              <w:left w:val="single" w:color="auto" w:sz="4" w:space="0"/>
            </w:tcBorders>
          </w:tcPr>
          <w:p w14:paraId="15D1E6D5"/>
        </w:tc>
        <w:tc>
          <w:tcPr>
            <w:tcW w:w="598" w:type="pct"/>
            <w:tcBorders>
              <w:left w:val="single" w:color="auto" w:sz="4" w:space="0"/>
            </w:tcBorders>
            <w:vAlign w:val="center"/>
          </w:tcPr>
          <w:p w14:paraId="7E8A7B29">
            <w:pPr>
              <w:ind w:left="0" w:firstLine="0" w:firstLineChars="0"/>
              <w:rPr>
                <w:rFonts w:ascii="宋体" w:hAnsi="宋体" w:eastAsia="宋体"/>
                <w:szCs w:val="24"/>
              </w:rPr>
            </w:pPr>
            <w:r>
              <w:rPr>
                <w:rFonts w:hint="eastAsia" w:ascii="宋体" w:hAnsi="宋体" w:eastAsia="宋体"/>
                <w:szCs w:val="24"/>
              </w:rPr>
              <w:t>人员满意度评价</w:t>
            </w:r>
          </w:p>
        </w:tc>
        <w:tc>
          <w:tcPr>
            <w:tcW w:w="823" w:type="pct"/>
            <w:tcBorders>
              <w:left w:val="single" w:color="auto" w:sz="4" w:space="0"/>
            </w:tcBorders>
            <w:vAlign w:val="center"/>
          </w:tcPr>
          <w:p w14:paraId="26FE2064">
            <w:pPr>
              <w:ind w:left="0" w:firstLine="0" w:firstLineChars="0"/>
              <w:rPr>
                <w:rFonts w:ascii="宋体" w:hAnsi="宋体" w:eastAsia="宋体"/>
                <w:szCs w:val="24"/>
              </w:rPr>
            </w:pPr>
            <w:r>
              <w:rPr>
                <w:rFonts w:hint="eastAsia" w:ascii="宋体" w:hAnsi="宋体" w:eastAsia="宋体"/>
                <w:szCs w:val="24"/>
              </w:rPr>
              <w:t>甲方</w:t>
            </w:r>
            <w:r>
              <w:rPr>
                <w:rFonts w:ascii="宋体" w:hAnsi="宋体" w:eastAsia="宋体"/>
                <w:szCs w:val="24"/>
              </w:rPr>
              <w:t>对</w:t>
            </w:r>
            <w:r>
              <w:rPr>
                <w:rFonts w:hint="eastAsia" w:ascii="宋体" w:hAnsi="宋体" w:eastAsia="宋体"/>
                <w:szCs w:val="24"/>
              </w:rPr>
              <w:t>乙方</w:t>
            </w:r>
            <w:r>
              <w:rPr>
                <w:rFonts w:ascii="宋体" w:hAnsi="宋体" w:eastAsia="宋体"/>
                <w:szCs w:val="24"/>
              </w:rPr>
              <w:t>外包人员表现的满意度评价</w:t>
            </w:r>
          </w:p>
        </w:tc>
        <w:tc>
          <w:tcPr>
            <w:tcW w:w="1134" w:type="pct"/>
            <w:tcBorders>
              <w:left w:val="single" w:color="auto" w:sz="4" w:space="0"/>
            </w:tcBorders>
            <w:vAlign w:val="center"/>
          </w:tcPr>
          <w:p w14:paraId="2F6E0AC3">
            <w:pPr>
              <w:ind w:left="0" w:firstLine="0" w:firstLineChars="0"/>
              <w:rPr>
                <w:rFonts w:ascii="宋体" w:hAnsi="宋体" w:eastAsia="宋体"/>
                <w:szCs w:val="24"/>
              </w:rPr>
            </w:pPr>
            <w:r>
              <w:rPr>
                <w:rFonts w:hint="eastAsia" w:ascii="宋体" w:hAnsi="宋体" w:eastAsia="宋体"/>
                <w:b/>
                <w:bCs/>
                <w:szCs w:val="24"/>
              </w:rPr>
              <w:t>优秀：</w:t>
            </w:r>
            <w:r>
              <w:rPr>
                <w:rFonts w:hint="eastAsia" w:ascii="宋体" w:hAnsi="宋体" w:eastAsia="宋体"/>
                <w:szCs w:val="24"/>
              </w:rPr>
              <w:t>5分，</w:t>
            </w:r>
            <w:r>
              <w:rPr>
                <w:rFonts w:ascii="宋体" w:hAnsi="宋体" w:eastAsia="宋体"/>
                <w:szCs w:val="24"/>
              </w:rPr>
              <w:t>指</w:t>
            </w:r>
            <w:r>
              <w:rPr>
                <w:rFonts w:hint="eastAsia" w:ascii="宋体" w:hAnsi="宋体" w:eastAsia="宋体"/>
                <w:szCs w:val="24"/>
              </w:rPr>
              <w:t>工作效率高，态度积极主动，</w:t>
            </w:r>
            <w:r>
              <w:rPr>
                <w:rFonts w:ascii="宋体" w:hAnsi="宋体" w:eastAsia="宋体"/>
                <w:szCs w:val="24"/>
              </w:rPr>
              <w:t>保质保量完成工作任务</w:t>
            </w:r>
            <w:r>
              <w:rPr>
                <w:rFonts w:hint="eastAsia" w:ascii="宋体" w:hAnsi="宋体" w:eastAsia="宋体"/>
                <w:szCs w:val="24"/>
              </w:rPr>
              <w:t>，</w:t>
            </w:r>
            <w:r>
              <w:rPr>
                <w:rFonts w:ascii="宋体" w:hAnsi="宋体" w:eastAsia="宋体"/>
                <w:szCs w:val="24"/>
              </w:rPr>
              <w:t>对团队有突出贡献，日常行为能起到模范带头作用</w:t>
            </w:r>
            <w:r>
              <w:rPr>
                <w:rFonts w:hint="eastAsia" w:ascii="宋体" w:hAnsi="宋体" w:eastAsia="宋体"/>
                <w:szCs w:val="24"/>
              </w:rPr>
              <w:t>的；</w:t>
            </w:r>
          </w:p>
          <w:p w14:paraId="07E56CA8">
            <w:pPr>
              <w:ind w:left="0" w:firstLine="0" w:firstLineChars="0"/>
              <w:rPr>
                <w:rFonts w:ascii="宋体" w:hAnsi="宋体" w:eastAsia="宋体"/>
                <w:szCs w:val="24"/>
              </w:rPr>
            </w:pPr>
            <w:r>
              <w:rPr>
                <w:rFonts w:hint="eastAsia" w:ascii="宋体" w:hAnsi="宋体" w:eastAsia="宋体"/>
                <w:b/>
                <w:bCs/>
                <w:szCs w:val="24"/>
              </w:rPr>
              <w:t>良好：</w:t>
            </w:r>
            <w:r>
              <w:rPr>
                <w:rFonts w:hint="eastAsia" w:ascii="宋体" w:hAnsi="宋体" w:eastAsia="宋体"/>
                <w:szCs w:val="24"/>
              </w:rPr>
              <w:t>4分，</w:t>
            </w:r>
            <w:r>
              <w:rPr>
                <w:rFonts w:ascii="宋体" w:hAnsi="宋体" w:eastAsia="宋体"/>
                <w:szCs w:val="24"/>
              </w:rPr>
              <w:t>指</w:t>
            </w:r>
            <w:r>
              <w:rPr>
                <w:rFonts w:hint="eastAsia" w:ascii="宋体" w:hAnsi="宋体" w:eastAsia="宋体"/>
                <w:szCs w:val="24"/>
              </w:rPr>
              <w:t>工作效率较高，态度比较主动，较好</w:t>
            </w:r>
            <w:r>
              <w:rPr>
                <w:rFonts w:ascii="宋体" w:hAnsi="宋体" w:eastAsia="宋体"/>
                <w:szCs w:val="24"/>
              </w:rPr>
              <w:t>完成工作任务</w:t>
            </w:r>
            <w:r>
              <w:rPr>
                <w:rFonts w:hint="eastAsia" w:ascii="宋体" w:hAnsi="宋体" w:eastAsia="宋体"/>
                <w:szCs w:val="24"/>
              </w:rPr>
              <w:t>，</w:t>
            </w:r>
            <w:r>
              <w:rPr>
                <w:rFonts w:ascii="宋体" w:hAnsi="宋体" w:eastAsia="宋体"/>
                <w:szCs w:val="24"/>
              </w:rPr>
              <w:t>对团队有</w:t>
            </w:r>
            <w:r>
              <w:rPr>
                <w:rFonts w:hint="eastAsia" w:ascii="宋体" w:hAnsi="宋体" w:eastAsia="宋体"/>
                <w:szCs w:val="24"/>
              </w:rPr>
              <w:t>一定</w:t>
            </w:r>
            <w:r>
              <w:rPr>
                <w:rFonts w:ascii="宋体" w:hAnsi="宋体" w:eastAsia="宋体"/>
                <w:szCs w:val="24"/>
              </w:rPr>
              <w:t>贡献，日常行为</w:t>
            </w:r>
            <w:r>
              <w:rPr>
                <w:rFonts w:hint="eastAsia" w:ascii="宋体" w:hAnsi="宋体" w:eastAsia="宋体"/>
                <w:szCs w:val="24"/>
              </w:rPr>
              <w:t>表现较好的；</w:t>
            </w:r>
          </w:p>
          <w:p w14:paraId="4D3D75E0">
            <w:pPr>
              <w:ind w:left="0" w:firstLine="0" w:firstLineChars="0"/>
              <w:rPr>
                <w:rFonts w:ascii="宋体" w:hAnsi="宋体" w:eastAsia="宋体"/>
                <w:szCs w:val="24"/>
              </w:rPr>
            </w:pPr>
            <w:r>
              <w:rPr>
                <w:rFonts w:hint="eastAsia" w:ascii="宋体" w:hAnsi="宋体" w:eastAsia="宋体"/>
                <w:b/>
                <w:bCs/>
                <w:szCs w:val="24"/>
              </w:rPr>
              <w:t>合格：</w:t>
            </w:r>
            <w:r>
              <w:rPr>
                <w:rFonts w:hint="eastAsia" w:ascii="宋体" w:hAnsi="宋体" w:eastAsia="宋体"/>
                <w:szCs w:val="24"/>
              </w:rPr>
              <w:t>3分，</w:t>
            </w:r>
            <w:r>
              <w:rPr>
                <w:rFonts w:ascii="宋体" w:hAnsi="宋体" w:eastAsia="宋体"/>
                <w:szCs w:val="24"/>
              </w:rPr>
              <w:t>指</w:t>
            </w:r>
            <w:r>
              <w:rPr>
                <w:rFonts w:hint="eastAsia" w:ascii="宋体" w:hAnsi="宋体" w:eastAsia="宋体"/>
                <w:szCs w:val="24"/>
              </w:rPr>
              <w:t>工作效率一般，态度合格，能够按时</w:t>
            </w:r>
            <w:r>
              <w:rPr>
                <w:rFonts w:ascii="宋体" w:hAnsi="宋体" w:eastAsia="宋体"/>
                <w:szCs w:val="24"/>
              </w:rPr>
              <w:t>完成工作任务</w:t>
            </w:r>
            <w:r>
              <w:rPr>
                <w:rFonts w:hint="eastAsia" w:ascii="宋体" w:hAnsi="宋体" w:eastAsia="宋体"/>
                <w:szCs w:val="24"/>
              </w:rPr>
              <w:t>的；</w:t>
            </w:r>
          </w:p>
          <w:p w14:paraId="5B5EE5CC">
            <w:pPr>
              <w:ind w:left="0" w:firstLine="0" w:firstLineChars="0"/>
              <w:rPr>
                <w:rFonts w:ascii="宋体" w:hAnsi="宋体" w:eastAsia="宋体"/>
                <w:szCs w:val="24"/>
              </w:rPr>
            </w:pPr>
            <w:r>
              <w:rPr>
                <w:rFonts w:hint="eastAsia" w:ascii="宋体" w:hAnsi="宋体" w:eastAsia="宋体"/>
                <w:b/>
                <w:bCs/>
                <w:szCs w:val="24"/>
              </w:rPr>
              <w:t>较差/差：</w:t>
            </w:r>
            <w:r>
              <w:rPr>
                <w:rFonts w:hint="eastAsia" w:ascii="宋体" w:hAnsi="宋体" w:eastAsia="宋体"/>
                <w:szCs w:val="24"/>
              </w:rPr>
              <w:t>0分，</w:t>
            </w:r>
            <w:r>
              <w:rPr>
                <w:rFonts w:ascii="宋体" w:hAnsi="宋体" w:eastAsia="宋体"/>
                <w:szCs w:val="24"/>
              </w:rPr>
              <w:t>指</w:t>
            </w:r>
            <w:r>
              <w:rPr>
                <w:rFonts w:hint="eastAsia" w:ascii="宋体" w:hAnsi="宋体" w:eastAsia="宋体"/>
                <w:szCs w:val="24"/>
              </w:rPr>
              <w:t>工作效率低下，态度懈怠散漫，不能按时</w:t>
            </w:r>
            <w:r>
              <w:rPr>
                <w:rFonts w:ascii="宋体" w:hAnsi="宋体" w:eastAsia="宋体"/>
                <w:szCs w:val="24"/>
              </w:rPr>
              <w:t>完成工作任务</w:t>
            </w:r>
            <w:r>
              <w:rPr>
                <w:rFonts w:hint="eastAsia" w:ascii="宋体" w:hAnsi="宋体" w:eastAsia="宋体"/>
                <w:szCs w:val="24"/>
              </w:rPr>
              <w:t>的。</w:t>
            </w:r>
          </w:p>
        </w:tc>
        <w:tc>
          <w:tcPr>
            <w:tcW w:w="635" w:type="pct"/>
            <w:tcBorders>
              <w:left w:val="single" w:color="auto" w:sz="4" w:space="0"/>
            </w:tcBorders>
            <w:vAlign w:val="center"/>
          </w:tcPr>
          <w:p w14:paraId="428D4F91">
            <w:pPr>
              <w:ind w:left="0" w:firstLine="0" w:firstLineChars="0"/>
              <w:rPr>
                <w:rFonts w:ascii="宋体" w:hAnsi="宋体" w:eastAsia="宋体"/>
                <w:szCs w:val="24"/>
              </w:rPr>
            </w:pPr>
            <w:r>
              <w:rPr>
                <w:rFonts w:hint="eastAsia" w:ascii="宋体" w:hAnsi="宋体" w:eastAsia="宋体"/>
                <w:szCs w:val="24"/>
              </w:rPr>
              <w:t>评价为较差/差时，甲方有权要求乙方更换人员并赔偿实际损失。</w:t>
            </w:r>
          </w:p>
        </w:tc>
        <w:tc>
          <w:tcPr>
            <w:tcW w:w="501" w:type="pct"/>
            <w:tcBorders>
              <w:left w:val="single" w:color="auto" w:sz="4" w:space="0"/>
            </w:tcBorders>
          </w:tcPr>
          <w:p w14:paraId="0C011EFA">
            <w:pPr>
              <w:ind w:firstLine="0" w:firstLineChars="0"/>
              <w:rPr>
                <w:rFonts w:ascii="宋体" w:hAnsi="宋体" w:eastAsia="宋体"/>
                <w:szCs w:val="24"/>
              </w:rPr>
            </w:pPr>
          </w:p>
        </w:tc>
        <w:tc>
          <w:tcPr>
            <w:tcW w:w="502" w:type="pct"/>
            <w:tcBorders>
              <w:left w:val="single" w:color="auto" w:sz="4" w:space="0"/>
            </w:tcBorders>
          </w:tcPr>
          <w:p w14:paraId="3B8F45AA">
            <w:pPr>
              <w:ind w:firstLine="0" w:firstLineChars="0"/>
              <w:rPr>
                <w:rFonts w:ascii="宋体" w:hAnsi="宋体" w:eastAsia="宋体"/>
                <w:szCs w:val="24"/>
              </w:rPr>
            </w:pPr>
          </w:p>
        </w:tc>
      </w:tr>
    </w:tbl>
    <w:p w14:paraId="206B536F">
      <w:pPr>
        <w:rPr>
          <w:rStyle w:val="47"/>
          <w:rFonts w:ascii="宋体" w:hAnsi="宋体"/>
          <w:kern w:val="0"/>
        </w:rPr>
      </w:pPr>
    </w:p>
    <w:p w14:paraId="50FF2282">
      <w:pPr>
        <w:rPr>
          <w:rStyle w:val="47"/>
          <w:rFonts w:ascii="宋体" w:hAnsi="宋体"/>
          <w:kern w:val="0"/>
        </w:rPr>
      </w:pPr>
    </w:p>
    <w:p w14:paraId="78CA48AF">
      <w:pPr>
        <w:rPr>
          <w:rStyle w:val="47"/>
          <w:rFonts w:ascii="宋体" w:hAnsi="宋体"/>
          <w:kern w:val="0"/>
        </w:rPr>
        <w:sectPr>
          <w:pgSz w:w="11906" w:h="16838"/>
          <w:pgMar w:top="1440" w:right="1800" w:bottom="1440" w:left="1800" w:header="851" w:footer="992" w:gutter="0"/>
          <w:cols w:space="720" w:num="1"/>
          <w:formProt w:val="0"/>
          <w:docGrid w:type="lines" w:linePitch="312" w:charSpace="0"/>
        </w:sectPr>
      </w:pPr>
    </w:p>
    <w:p w14:paraId="6BAD8747">
      <w:pPr>
        <w:pStyle w:val="3"/>
        <w:rPr>
          <w:rStyle w:val="47"/>
          <w:rFonts w:ascii="宋体" w:hAnsi="宋体"/>
          <w:kern w:val="0"/>
          <w:sz w:val="30"/>
        </w:rPr>
      </w:pPr>
      <w:r>
        <w:rPr>
          <w:rStyle w:val="47"/>
          <w:rFonts w:hint="eastAsia" w:ascii="宋体" w:hAnsi="宋体"/>
          <w:kern w:val="0"/>
          <w:sz w:val="30"/>
        </w:rPr>
        <w:t>附件六：服务连续性预案</w:t>
      </w:r>
    </w:p>
    <w:p w14:paraId="40B00B3C">
      <w:pPr>
        <w:rPr>
          <w:rFonts w:hint="eastAsia" w:ascii="宋体" w:hAnsi="宋体"/>
          <w:b/>
          <w:szCs w:val="24"/>
        </w:rPr>
      </w:pPr>
      <w:r>
        <w:rPr>
          <w:rFonts w:hint="eastAsia" w:ascii="宋体" w:hAnsi="宋体"/>
          <w:b/>
          <w:szCs w:val="24"/>
        </w:rPr>
        <w:t>一、目的</w:t>
      </w:r>
    </w:p>
    <w:p w14:paraId="560D21A0">
      <w:pPr>
        <w:ind w:firstLine="489" w:firstLineChars="233"/>
        <w:rPr>
          <w:szCs w:val="24"/>
        </w:rPr>
      </w:pPr>
      <w:r>
        <w:rPr>
          <w:rFonts w:hint="eastAsia" w:ascii="宋体"/>
          <w:szCs w:val="24"/>
        </w:rPr>
        <w:t>为保证甲方项目实施的及时性、连续性和稳定性，避免由于外包服务中断而引起项目中断、项目目标无法达成，故拟定本外包服务中断场景时的应急方案，作为突发外包服务中断事件时的服务恢复依据。</w:t>
      </w:r>
    </w:p>
    <w:p w14:paraId="322C393A">
      <w:pPr>
        <w:rPr>
          <w:rFonts w:hint="eastAsia" w:ascii="宋体" w:hAnsi="宋体"/>
          <w:b/>
          <w:szCs w:val="24"/>
        </w:rPr>
      </w:pPr>
      <w:r>
        <w:rPr>
          <w:rFonts w:hint="eastAsia" w:ascii="宋体" w:hAnsi="宋体"/>
          <w:b/>
          <w:szCs w:val="24"/>
        </w:rPr>
        <w:t>二、应急组织架构及职责</w:t>
      </w:r>
    </w:p>
    <w:p w14:paraId="65AF594A">
      <w:pPr>
        <w:rPr>
          <w:rFonts w:hint="eastAsia" w:ascii="宋体" w:hAnsi="宋体"/>
          <w:b/>
          <w:szCs w:val="24"/>
        </w:rPr>
      </w:pPr>
      <w:r>
        <w:rPr>
          <w:rFonts w:hint="eastAsia" w:ascii="宋体" w:hAnsi="宋体"/>
          <w:b/>
          <w:szCs w:val="24"/>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7C49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4C7C70DA">
            <w:pPr>
              <w:ind w:firstLine="489" w:firstLineChars="233"/>
              <w:rPr>
                <w:rFonts w:ascii="宋体"/>
                <w:szCs w:val="24"/>
              </w:rPr>
            </w:pPr>
            <w:r>
              <w:rPr>
                <w:rFonts w:hint="eastAsia" w:ascii="宋体"/>
                <w:szCs w:val="24"/>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1C5CD819">
            <w:pPr>
              <w:jc w:val="center"/>
              <w:rPr>
                <w:rFonts w:ascii="宋体"/>
                <w:szCs w:val="24"/>
              </w:rPr>
            </w:pPr>
            <w:r>
              <w:rPr>
                <w:rFonts w:hint="eastAsia" w:ascii="宋体"/>
                <w:szCs w:val="24"/>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2BECB33B">
            <w:pPr>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77709A41">
            <w:pPr>
              <w:jc w:val="center"/>
              <w:rPr>
                <w:rFonts w:ascii="宋体"/>
                <w:szCs w:val="24"/>
              </w:rPr>
            </w:pPr>
            <w:r>
              <w:rPr>
                <w:rFonts w:hint="eastAsia" w:ascii="宋体"/>
                <w:szCs w:val="24"/>
              </w:rPr>
              <w:t>职责</w:t>
            </w:r>
          </w:p>
        </w:tc>
      </w:tr>
      <w:tr w14:paraId="78BF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1D6F659B">
            <w:pPr>
              <w:widowControl/>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3D672272">
            <w:pPr>
              <w:widowControl/>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36819CA1">
            <w:pPr>
              <w:widowControl/>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24714CBA">
            <w:pPr>
              <w:widowControl/>
              <w:jc w:val="center"/>
              <w:rPr>
                <w:rFonts w:ascii="宋体"/>
                <w:szCs w:val="24"/>
              </w:rPr>
            </w:pPr>
          </w:p>
        </w:tc>
      </w:tr>
      <w:tr w14:paraId="3984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23251D1B">
            <w:pPr>
              <w:widowControl/>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0AA66B47">
            <w:pPr>
              <w:widowControl/>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67D2D9EF">
            <w:pPr>
              <w:widowControl/>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462A8F60">
            <w:pPr>
              <w:widowControl/>
              <w:jc w:val="center"/>
              <w:rPr>
                <w:rFonts w:ascii="宋体"/>
                <w:szCs w:val="24"/>
              </w:rPr>
            </w:pPr>
          </w:p>
        </w:tc>
      </w:tr>
      <w:tr w14:paraId="09CE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490523F7">
            <w:pPr>
              <w:widowControl/>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322CFDF1">
            <w:pPr>
              <w:widowControl/>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7662DC55">
            <w:pPr>
              <w:widowControl/>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0F959519">
            <w:pPr>
              <w:widowControl/>
              <w:jc w:val="center"/>
              <w:rPr>
                <w:rFonts w:ascii="宋体"/>
                <w:szCs w:val="24"/>
              </w:rPr>
            </w:pPr>
          </w:p>
        </w:tc>
      </w:tr>
    </w:tbl>
    <w:p w14:paraId="37B7340D">
      <w:pPr>
        <w:rPr>
          <w:rFonts w:hint="eastAsia" w:ascii="宋体" w:hAnsi="宋体"/>
          <w:b/>
          <w:szCs w:val="24"/>
        </w:rPr>
      </w:pPr>
      <w:r>
        <w:rPr>
          <w:rFonts w:hint="eastAsia" w:ascii="宋体" w:hAnsi="宋体"/>
          <w:b/>
          <w:szCs w:val="24"/>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5B24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4CF53810">
            <w:pPr>
              <w:ind w:firstLine="48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1B683723">
            <w:pPr>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1569CEBF">
            <w:pPr>
              <w:jc w:val="center"/>
              <w:rPr>
                <w:rFonts w:ascii="宋体"/>
                <w:szCs w:val="24"/>
              </w:rPr>
            </w:pPr>
            <w:r>
              <w:rPr>
                <w:rFonts w:hint="eastAsia" w:ascii="宋体"/>
                <w:szCs w:val="24"/>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1BF0BE96">
            <w:pPr>
              <w:jc w:val="center"/>
              <w:rPr>
                <w:rFonts w:ascii="宋体"/>
                <w:szCs w:val="24"/>
              </w:rPr>
            </w:pPr>
            <w:r>
              <w:rPr>
                <w:rFonts w:hint="eastAsia" w:ascii="宋体"/>
                <w:szCs w:val="24"/>
              </w:rPr>
              <w:t>职责</w:t>
            </w:r>
          </w:p>
        </w:tc>
      </w:tr>
      <w:tr w14:paraId="5C26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77E2D87F">
            <w:pPr>
              <w:widowControl/>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676D1229">
            <w:pPr>
              <w:widowControl/>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603BE0BE">
            <w:pPr>
              <w:widowControl/>
              <w:jc w:val="center"/>
              <w:rPr>
                <w:rFonts w:ascii="宋体"/>
                <w:szCs w:val="24"/>
              </w:rPr>
            </w:pPr>
          </w:p>
        </w:tc>
        <w:tc>
          <w:tcPr>
            <w:tcW w:w="4067" w:type="dxa"/>
            <w:tcBorders>
              <w:top w:val="single" w:color="auto" w:sz="4" w:space="0"/>
              <w:left w:val="nil"/>
              <w:bottom w:val="single" w:color="auto" w:sz="4" w:space="0"/>
              <w:right w:val="single" w:color="auto" w:sz="4" w:space="0"/>
              <w:tl2br w:val="nil"/>
              <w:tr2bl w:val="nil"/>
            </w:tcBorders>
          </w:tcPr>
          <w:p w14:paraId="6E96F250">
            <w:pPr>
              <w:widowControl/>
              <w:jc w:val="center"/>
              <w:rPr>
                <w:rFonts w:ascii="宋体"/>
                <w:szCs w:val="24"/>
              </w:rPr>
            </w:pPr>
          </w:p>
        </w:tc>
      </w:tr>
      <w:tr w14:paraId="6546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5E57825F">
            <w:pPr>
              <w:widowControl/>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5D131B9E">
            <w:pPr>
              <w:widowControl/>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5C38A904">
            <w:pPr>
              <w:widowControl/>
              <w:jc w:val="center"/>
              <w:rPr>
                <w:rFonts w:ascii="宋体"/>
                <w:szCs w:val="24"/>
              </w:rPr>
            </w:pPr>
          </w:p>
        </w:tc>
        <w:tc>
          <w:tcPr>
            <w:tcW w:w="4067" w:type="dxa"/>
            <w:tcBorders>
              <w:top w:val="single" w:color="auto" w:sz="4" w:space="0"/>
              <w:left w:val="nil"/>
              <w:bottom w:val="single" w:color="auto" w:sz="4" w:space="0"/>
              <w:right w:val="single" w:color="auto" w:sz="4" w:space="0"/>
              <w:tl2br w:val="nil"/>
              <w:tr2bl w:val="nil"/>
            </w:tcBorders>
          </w:tcPr>
          <w:p w14:paraId="4B93B672">
            <w:pPr>
              <w:widowControl/>
              <w:jc w:val="center"/>
              <w:rPr>
                <w:rFonts w:ascii="宋体"/>
                <w:szCs w:val="24"/>
              </w:rPr>
            </w:pPr>
          </w:p>
        </w:tc>
      </w:tr>
    </w:tbl>
    <w:p w14:paraId="1118C0FB">
      <w:pPr>
        <w:rPr>
          <w:rFonts w:hint="eastAsia" w:ascii="宋体" w:hAnsi="宋体"/>
          <w:b/>
          <w:szCs w:val="24"/>
        </w:rPr>
      </w:pPr>
      <w:r>
        <w:rPr>
          <w:rFonts w:hint="eastAsia" w:ascii="宋体" w:hAnsi="宋体"/>
          <w:b/>
          <w:szCs w:val="24"/>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2C66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10BAD707">
            <w:pPr>
              <w:ind w:firstLine="48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2B1412AD">
            <w:pPr>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0A52114F">
            <w:pPr>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114AB4C6">
            <w:pPr>
              <w:jc w:val="center"/>
              <w:rPr>
                <w:rFonts w:ascii="宋体"/>
                <w:szCs w:val="24"/>
              </w:rPr>
            </w:pPr>
            <w:r>
              <w:rPr>
                <w:rFonts w:hint="eastAsia" w:ascii="宋体"/>
                <w:szCs w:val="24"/>
              </w:rPr>
              <w:t>职责</w:t>
            </w:r>
          </w:p>
        </w:tc>
      </w:tr>
      <w:tr w14:paraId="7B93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40905514">
            <w:pPr>
              <w:widowControl/>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62230CE5">
            <w:pPr>
              <w:widowControl/>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4D32FE88">
            <w:pPr>
              <w:widowControl/>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3A849497">
            <w:pPr>
              <w:widowControl/>
              <w:jc w:val="center"/>
              <w:rPr>
                <w:rFonts w:ascii="宋体"/>
                <w:szCs w:val="24"/>
              </w:rPr>
            </w:pPr>
          </w:p>
        </w:tc>
      </w:tr>
      <w:tr w14:paraId="120B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70903D80">
            <w:pPr>
              <w:widowControl/>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786A08CB">
            <w:pPr>
              <w:widowControl/>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12BFF8D8">
            <w:pPr>
              <w:widowControl/>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1A8F88CB">
            <w:pPr>
              <w:widowControl/>
              <w:jc w:val="center"/>
              <w:rPr>
                <w:rFonts w:ascii="宋体"/>
                <w:szCs w:val="24"/>
              </w:rPr>
            </w:pPr>
          </w:p>
        </w:tc>
      </w:tr>
    </w:tbl>
    <w:p w14:paraId="5343E595">
      <w:pPr>
        <w:rPr>
          <w:rFonts w:hint="eastAsia" w:ascii="宋体" w:hAnsi="宋体"/>
          <w:b/>
          <w:szCs w:val="24"/>
        </w:rPr>
      </w:pPr>
      <w:r>
        <w:rPr>
          <w:rFonts w:hint="eastAsia" w:ascii="宋体" w:hAnsi="宋体"/>
          <w:b/>
          <w:szCs w:val="24"/>
        </w:rPr>
        <w:t>（四）应急领导小组职责</w:t>
      </w:r>
    </w:p>
    <w:p w14:paraId="2BCEA002">
      <w:pPr>
        <w:ind w:firstLine="489" w:firstLineChars="233"/>
        <w:rPr>
          <w:rFonts w:ascii="宋体"/>
          <w:szCs w:val="24"/>
        </w:rPr>
      </w:pPr>
      <w:r>
        <w:rPr>
          <w:rFonts w:hint="eastAsia" w:ascii="宋体"/>
          <w:szCs w:val="24"/>
        </w:rPr>
        <w:t>1</w:t>
      </w:r>
      <w:r>
        <w:rPr>
          <w:rFonts w:ascii="宋体"/>
          <w:szCs w:val="24"/>
        </w:rPr>
        <w:t>.</w:t>
      </w:r>
      <w:r>
        <w:rPr>
          <w:rFonts w:hint="eastAsia" w:ascii="宋体"/>
          <w:szCs w:val="24"/>
        </w:rPr>
        <w:t>启动应急预案</w:t>
      </w:r>
    </w:p>
    <w:p w14:paraId="0829047E">
      <w:pPr>
        <w:ind w:firstLine="489" w:firstLineChars="233"/>
        <w:rPr>
          <w:rFonts w:ascii="宋体"/>
          <w:szCs w:val="24"/>
        </w:rPr>
      </w:pPr>
      <w:r>
        <w:rPr>
          <w:rFonts w:hint="eastAsia" w:ascii="宋体"/>
          <w:szCs w:val="24"/>
        </w:rPr>
        <w:t>对突发事件进行处置，确保业务的持续性；对项目突发事件业务影响情况进行分析和评估；收集分析项目突发事件应急处置过程中的业务信息、数据、日志；向甲方报告应急处置进展情况和事态发展情况。</w:t>
      </w:r>
    </w:p>
    <w:p w14:paraId="01935E30">
      <w:pPr>
        <w:ind w:firstLine="489" w:firstLineChars="233"/>
        <w:rPr>
          <w:rFonts w:ascii="宋体"/>
          <w:szCs w:val="24"/>
        </w:rPr>
      </w:pPr>
      <w:r>
        <w:rPr>
          <w:rFonts w:hint="eastAsia" w:ascii="宋体"/>
          <w:szCs w:val="24"/>
        </w:rPr>
        <w:t>2</w:t>
      </w:r>
      <w:r>
        <w:rPr>
          <w:rFonts w:ascii="宋体"/>
          <w:szCs w:val="24"/>
        </w:rPr>
        <w:t>.</w:t>
      </w:r>
      <w:r>
        <w:rPr>
          <w:rFonts w:hint="eastAsia" w:ascii="宋体"/>
          <w:szCs w:val="24"/>
        </w:rPr>
        <w:t>应急事件处理</w:t>
      </w:r>
    </w:p>
    <w:p w14:paraId="11709C6A">
      <w:pPr>
        <w:ind w:firstLine="489" w:firstLineChars="233"/>
        <w:rPr>
          <w:rFonts w:ascii="宋体"/>
          <w:szCs w:val="24"/>
        </w:rPr>
      </w:pPr>
      <w:r>
        <w:rPr>
          <w:rFonts w:hint="eastAsia" w:ascii="宋体"/>
          <w:szCs w:val="24"/>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113B9085">
      <w:pPr>
        <w:ind w:firstLine="489" w:firstLineChars="233"/>
        <w:rPr>
          <w:rFonts w:ascii="宋体"/>
          <w:szCs w:val="24"/>
        </w:rPr>
      </w:pPr>
      <w:r>
        <w:rPr>
          <w:rFonts w:hint="eastAsia" w:ascii="宋体"/>
          <w:szCs w:val="24"/>
        </w:rPr>
        <w:t>3</w:t>
      </w:r>
      <w:r>
        <w:rPr>
          <w:rFonts w:ascii="宋体"/>
          <w:szCs w:val="24"/>
        </w:rPr>
        <w:t>.</w:t>
      </w:r>
      <w:r>
        <w:rPr>
          <w:rFonts w:hint="eastAsia" w:ascii="宋体"/>
          <w:szCs w:val="24"/>
        </w:rPr>
        <w:t>业务持续性计划及应急预案优化</w:t>
      </w:r>
    </w:p>
    <w:p w14:paraId="6FD51F37">
      <w:pPr>
        <w:ind w:firstLine="489" w:firstLineChars="233"/>
        <w:rPr>
          <w:rFonts w:ascii="宋体"/>
          <w:szCs w:val="24"/>
        </w:rPr>
      </w:pPr>
      <w:r>
        <w:rPr>
          <w:rFonts w:hint="eastAsia" w:ascii="宋体"/>
          <w:szCs w:val="24"/>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0FFF81C4">
      <w:pPr>
        <w:rPr>
          <w:rFonts w:hint="eastAsia" w:ascii="宋体" w:hAnsi="宋体"/>
          <w:b/>
          <w:szCs w:val="24"/>
        </w:rPr>
      </w:pPr>
      <w:r>
        <w:rPr>
          <w:rFonts w:hint="eastAsia" w:ascii="宋体" w:hAnsi="宋体"/>
          <w:b/>
          <w:szCs w:val="24"/>
        </w:rPr>
        <w:t>三、应急场景</w:t>
      </w:r>
    </w:p>
    <w:p w14:paraId="08DF4B72">
      <w:pPr>
        <w:rPr>
          <w:rFonts w:hint="eastAsia" w:ascii="宋体" w:hAnsi="宋体"/>
          <w:b/>
          <w:szCs w:val="24"/>
        </w:rPr>
      </w:pPr>
      <w:r>
        <w:rPr>
          <w:rFonts w:hint="eastAsia" w:ascii="宋体" w:hAnsi="宋体"/>
          <w:b/>
          <w:szCs w:val="24"/>
        </w:rPr>
        <w:t>（一）单个核心成员或某个角色无法提供正常服务</w:t>
      </w:r>
    </w:p>
    <w:p w14:paraId="474428D7">
      <w:pPr>
        <w:ind w:firstLine="489" w:firstLineChars="233"/>
        <w:rPr>
          <w:rFonts w:ascii="宋体"/>
          <w:szCs w:val="24"/>
        </w:rPr>
      </w:pPr>
      <w:r>
        <w:rPr>
          <w:rFonts w:hint="eastAsia" w:ascii="宋体"/>
          <w:szCs w:val="24"/>
        </w:rPr>
        <w:t>1.影响程度：外包服务部分中断</w:t>
      </w:r>
    </w:p>
    <w:p w14:paraId="3F304EC7">
      <w:pPr>
        <w:ind w:firstLine="489" w:firstLineChars="233"/>
        <w:rPr>
          <w:rFonts w:ascii="宋体"/>
          <w:szCs w:val="24"/>
        </w:rPr>
      </w:pPr>
      <w:r>
        <w:rPr>
          <w:rFonts w:hint="eastAsia" w:ascii="宋体"/>
          <w:szCs w:val="24"/>
        </w:rPr>
        <w:t>2.规避措施：</w:t>
      </w:r>
    </w:p>
    <w:p w14:paraId="2F315137">
      <w:pPr>
        <w:ind w:firstLine="489" w:firstLineChars="233"/>
        <w:rPr>
          <w:rFonts w:ascii="宋体"/>
          <w:szCs w:val="24"/>
        </w:rPr>
      </w:pPr>
      <w:r>
        <w:rPr>
          <w:rFonts w:ascii="宋体"/>
          <w:szCs w:val="24"/>
        </w:rPr>
        <w:t>1</w:t>
      </w:r>
      <w:r>
        <w:rPr>
          <w:rFonts w:hint="eastAsia" w:ascii="宋体"/>
          <w:szCs w:val="24"/>
        </w:rPr>
        <w:t>）乙方在2小时内协调重庆本地高于该成员资历水平的的员工来厂商现场进行顶替，直到合适的补充人员入场能够接替该成员的工作为止，否则按照SLA第6调更换人员的相关条款进行罚款。</w:t>
      </w:r>
    </w:p>
    <w:p w14:paraId="429A9413">
      <w:pPr>
        <w:ind w:firstLine="489" w:firstLineChars="233"/>
        <w:rPr>
          <w:rFonts w:ascii="宋体"/>
          <w:szCs w:val="24"/>
        </w:rPr>
      </w:pPr>
      <w:r>
        <w:rPr>
          <w:rFonts w:ascii="宋体"/>
          <w:szCs w:val="24"/>
        </w:rPr>
        <w:t>2</w:t>
      </w:r>
      <w:r>
        <w:rPr>
          <w:rFonts w:hint="eastAsia" w:ascii="宋体"/>
          <w:szCs w:val="24"/>
        </w:rPr>
        <w:t>）乙方服务团队在合同有效期内，建立人才储备机制和培训机制，同时由A角和B角对项目进行支持工作。</w:t>
      </w:r>
      <w:r>
        <w:rPr>
          <w:rFonts w:ascii="宋体"/>
          <w:szCs w:val="24"/>
        </w:rPr>
        <w:t>因</w:t>
      </w:r>
      <w:r>
        <w:rPr>
          <w:rFonts w:hint="eastAsia" w:ascii="宋体"/>
          <w:szCs w:val="24"/>
        </w:rPr>
        <w:t>乙方原因</w:t>
      </w:r>
      <w:r>
        <w:rPr>
          <w:rFonts w:ascii="宋体"/>
          <w:szCs w:val="24"/>
        </w:rPr>
        <w:t>造成甲方损失的，乙方</w:t>
      </w:r>
      <w:r>
        <w:rPr>
          <w:rFonts w:hint="eastAsia" w:ascii="宋体"/>
          <w:szCs w:val="24"/>
        </w:rPr>
        <w:t>按照SLA进行</w:t>
      </w:r>
      <w:r>
        <w:rPr>
          <w:rFonts w:ascii="宋体"/>
          <w:szCs w:val="24"/>
        </w:rPr>
        <w:t>赔偿。</w:t>
      </w:r>
    </w:p>
    <w:p w14:paraId="7C89A808">
      <w:pPr>
        <w:rPr>
          <w:rFonts w:hint="eastAsia" w:ascii="宋体" w:hAnsi="宋体"/>
          <w:b/>
          <w:szCs w:val="24"/>
        </w:rPr>
      </w:pPr>
      <w:r>
        <w:rPr>
          <w:rFonts w:hint="eastAsia" w:ascii="宋体" w:hAnsi="宋体"/>
          <w:b/>
          <w:szCs w:val="24"/>
        </w:rPr>
        <w:t>（二）乙方服务团队无法提供正常服务，但乙方仍具备履约能力</w:t>
      </w:r>
    </w:p>
    <w:p w14:paraId="470CF4CC">
      <w:pPr>
        <w:ind w:firstLine="489" w:firstLineChars="233"/>
        <w:rPr>
          <w:rFonts w:ascii="宋体"/>
          <w:szCs w:val="24"/>
        </w:rPr>
      </w:pPr>
      <w:r>
        <w:rPr>
          <w:rFonts w:hint="eastAsia" w:ascii="宋体"/>
          <w:szCs w:val="24"/>
        </w:rPr>
        <w:t>1.影响程度：外包服务完全中断</w:t>
      </w:r>
    </w:p>
    <w:p w14:paraId="68F5E47A">
      <w:pPr>
        <w:ind w:firstLine="489" w:firstLineChars="233"/>
        <w:rPr>
          <w:rFonts w:ascii="宋体"/>
          <w:szCs w:val="24"/>
        </w:rPr>
      </w:pPr>
      <w:r>
        <w:rPr>
          <w:rFonts w:hint="eastAsia" w:ascii="宋体"/>
          <w:szCs w:val="24"/>
        </w:rPr>
        <w:t>2.规避措施：</w:t>
      </w:r>
    </w:p>
    <w:p w14:paraId="3ED6478B">
      <w:pPr>
        <w:ind w:firstLine="489" w:firstLineChars="233"/>
        <w:rPr>
          <w:rFonts w:ascii="宋体"/>
          <w:szCs w:val="24"/>
        </w:rPr>
      </w:pPr>
      <w:r>
        <w:rPr>
          <w:rFonts w:hint="eastAsia" w:ascii="宋体"/>
          <w:szCs w:val="24"/>
        </w:rPr>
        <w:t>1）乙方服务团队需按时按照甲方流程及制度规范提交项目各类文档；</w:t>
      </w:r>
    </w:p>
    <w:p w14:paraId="2DFE6553">
      <w:pPr>
        <w:ind w:firstLine="489" w:firstLineChars="233"/>
        <w:rPr>
          <w:rFonts w:ascii="宋体"/>
          <w:szCs w:val="24"/>
        </w:rPr>
      </w:pPr>
      <w:r>
        <w:rPr>
          <w:rFonts w:hint="eastAsia" w:ascii="宋体"/>
          <w:szCs w:val="24"/>
        </w:rPr>
        <w:t>2）乙方服务团队需制定合理的培训计划和培训内容，加强知识转移；</w:t>
      </w:r>
    </w:p>
    <w:p w14:paraId="0C2BE329">
      <w:pPr>
        <w:ind w:firstLine="489" w:firstLineChars="233"/>
        <w:rPr>
          <w:rFonts w:ascii="宋体"/>
          <w:szCs w:val="24"/>
        </w:rPr>
      </w:pPr>
      <w:r>
        <w:rPr>
          <w:rFonts w:hint="eastAsia" w:ascii="宋体"/>
          <w:szCs w:val="24"/>
        </w:rPr>
        <w:t>3）如遇类似事件乙方提前10个工作日书面通知甲方项目经理；</w:t>
      </w:r>
    </w:p>
    <w:p w14:paraId="0DC28AF5">
      <w:pPr>
        <w:ind w:firstLine="489" w:firstLineChars="233"/>
        <w:rPr>
          <w:rFonts w:ascii="宋体"/>
          <w:szCs w:val="24"/>
        </w:rPr>
      </w:pPr>
      <w:r>
        <w:rPr>
          <w:rFonts w:ascii="宋体"/>
          <w:szCs w:val="24"/>
        </w:rPr>
        <w:t>4</w:t>
      </w:r>
      <w:r>
        <w:rPr>
          <w:rFonts w:hint="eastAsia" w:ascii="宋体"/>
          <w:szCs w:val="24"/>
        </w:rPr>
        <w:t>）乙方负责提前协调备用团队，并协调相应角色做好交接工作，协调方案经过甲方认可后，在10个工作日内将补充团队派驻入场，保障工作连续开展。</w:t>
      </w:r>
      <w:r>
        <w:rPr>
          <w:rFonts w:ascii="宋体"/>
          <w:szCs w:val="24"/>
        </w:rPr>
        <w:t>因</w:t>
      </w:r>
      <w:r>
        <w:rPr>
          <w:rFonts w:hint="eastAsia" w:ascii="宋体"/>
          <w:szCs w:val="24"/>
        </w:rPr>
        <w:t>乙方原因</w:t>
      </w:r>
      <w:r>
        <w:rPr>
          <w:rFonts w:ascii="宋体"/>
          <w:szCs w:val="24"/>
        </w:rPr>
        <w:t>造成甲方损失的，乙方在双方协商后做出赔偿。</w:t>
      </w:r>
    </w:p>
    <w:p w14:paraId="50EAE539">
      <w:pPr>
        <w:rPr>
          <w:rFonts w:hint="eastAsia" w:ascii="宋体" w:hAnsi="宋体"/>
          <w:b/>
          <w:szCs w:val="24"/>
        </w:rPr>
      </w:pPr>
      <w:r>
        <w:rPr>
          <w:rFonts w:hint="eastAsia" w:ascii="宋体" w:hAnsi="宋体"/>
          <w:b/>
          <w:szCs w:val="24"/>
        </w:rPr>
        <w:t>（三）乙方服务团队无法提供正常服务且乙方不具备恢复服务能力或意愿</w:t>
      </w:r>
    </w:p>
    <w:p w14:paraId="13D94E3C">
      <w:pPr>
        <w:ind w:firstLine="489" w:firstLineChars="233"/>
        <w:rPr>
          <w:rFonts w:ascii="宋体"/>
          <w:szCs w:val="24"/>
        </w:rPr>
      </w:pPr>
      <w:r>
        <w:rPr>
          <w:rFonts w:hint="eastAsia" w:ascii="宋体"/>
          <w:szCs w:val="24"/>
        </w:rPr>
        <w:t>1.影响程度：外包服务完全中断</w:t>
      </w:r>
    </w:p>
    <w:p w14:paraId="5A594818">
      <w:pPr>
        <w:ind w:firstLine="489" w:firstLineChars="233"/>
        <w:rPr>
          <w:rFonts w:ascii="宋体"/>
          <w:szCs w:val="24"/>
        </w:rPr>
      </w:pPr>
      <w:r>
        <w:rPr>
          <w:rFonts w:hint="eastAsia" w:ascii="宋体"/>
          <w:szCs w:val="24"/>
        </w:rPr>
        <w:t>2.规避措施：</w:t>
      </w:r>
    </w:p>
    <w:p w14:paraId="7A5019AA">
      <w:pPr>
        <w:ind w:firstLine="489" w:firstLineChars="233"/>
        <w:rPr>
          <w:rFonts w:ascii="宋体"/>
          <w:szCs w:val="24"/>
        </w:rPr>
      </w:pPr>
      <w:r>
        <w:rPr>
          <w:rFonts w:hint="eastAsia" w:ascii="宋体"/>
          <w:szCs w:val="24"/>
        </w:rPr>
        <w:t>1）如遇类似事件乙方提前15个工作日书面通知甲方项目经理；</w:t>
      </w:r>
    </w:p>
    <w:p w14:paraId="0ED18BA0">
      <w:pPr>
        <w:ind w:firstLine="489" w:firstLineChars="233"/>
        <w:rPr>
          <w:rFonts w:ascii="宋体"/>
          <w:szCs w:val="24"/>
        </w:rPr>
      </w:pPr>
      <w:r>
        <w:rPr>
          <w:rFonts w:ascii="宋体"/>
          <w:szCs w:val="24"/>
        </w:rPr>
        <w:t>2</w:t>
      </w:r>
      <w:r>
        <w:rPr>
          <w:rFonts w:hint="eastAsia" w:ascii="宋体"/>
          <w:szCs w:val="24"/>
        </w:rPr>
        <w:t>）乙方保证提前沟通协调人力资源，于10个工作日内提交所有阶段性项目文档，并完成甲方认可的所有工作交接和知识转移，包括不限于对替代供应商进行培训；</w:t>
      </w:r>
    </w:p>
    <w:p w14:paraId="3C24CACF">
      <w:pPr>
        <w:ind w:firstLine="48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68BF667D">
      <w:pPr>
        <w:rPr>
          <w:rFonts w:hint="eastAsia" w:ascii="宋体" w:hAnsi="宋体"/>
          <w:b/>
          <w:szCs w:val="24"/>
        </w:rPr>
      </w:pPr>
      <w:r>
        <w:rPr>
          <w:rFonts w:hint="eastAsia" w:ascii="宋体" w:hAnsi="宋体"/>
          <w:b/>
          <w:szCs w:val="24"/>
        </w:rPr>
        <w:t>（四）乙方因资质变更、被收购、兼并或破产等原因致使其无法继续提供服务</w:t>
      </w:r>
    </w:p>
    <w:p w14:paraId="78CC6AC3">
      <w:pPr>
        <w:ind w:firstLine="489" w:firstLineChars="233"/>
        <w:rPr>
          <w:rFonts w:ascii="宋体"/>
          <w:szCs w:val="24"/>
        </w:rPr>
      </w:pPr>
      <w:r>
        <w:rPr>
          <w:rFonts w:hint="eastAsia" w:ascii="宋体"/>
          <w:szCs w:val="24"/>
        </w:rPr>
        <w:t>1.影响程度：外包服务完全中断</w:t>
      </w:r>
    </w:p>
    <w:p w14:paraId="0710AD13">
      <w:pPr>
        <w:ind w:firstLine="489" w:firstLineChars="233"/>
        <w:rPr>
          <w:rFonts w:ascii="宋体"/>
          <w:szCs w:val="24"/>
        </w:rPr>
      </w:pPr>
      <w:r>
        <w:rPr>
          <w:rFonts w:hint="eastAsia" w:ascii="宋体"/>
          <w:szCs w:val="24"/>
        </w:rPr>
        <w:t>2.规避措施：</w:t>
      </w:r>
    </w:p>
    <w:p w14:paraId="621D435A">
      <w:pPr>
        <w:ind w:firstLine="489" w:firstLineChars="233"/>
        <w:rPr>
          <w:rFonts w:ascii="宋体"/>
          <w:szCs w:val="24"/>
        </w:rPr>
      </w:pPr>
      <w:r>
        <w:rPr>
          <w:rFonts w:hint="eastAsia" w:ascii="宋体"/>
          <w:szCs w:val="24"/>
        </w:rPr>
        <w:t>1）如遇类似事件乙方提前20个工作日通知甲方项目经理；</w:t>
      </w:r>
    </w:p>
    <w:p w14:paraId="484409F8">
      <w:pPr>
        <w:ind w:firstLine="489" w:firstLineChars="233"/>
        <w:rPr>
          <w:rFonts w:ascii="宋体"/>
          <w:szCs w:val="24"/>
        </w:rPr>
      </w:pPr>
      <w:r>
        <w:rPr>
          <w:rFonts w:ascii="宋体"/>
          <w:szCs w:val="24"/>
        </w:rPr>
        <w:t>2</w:t>
      </w:r>
      <w:r>
        <w:rPr>
          <w:rFonts w:hint="eastAsia" w:ascii="宋体"/>
          <w:szCs w:val="24"/>
        </w:rPr>
        <w:t>）根据开发合同约定提前与甲方进行沟通协商，做好代码、文档、服务等交接工作，减少对甲方的影响；</w:t>
      </w:r>
    </w:p>
    <w:p w14:paraId="4D1E6DAA">
      <w:pPr>
        <w:ind w:firstLine="489" w:firstLineChars="233"/>
        <w:rPr>
          <w:rFonts w:ascii="宋体"/>
          <w:szCs w:val="24"/>
        </w:rPr>
      </w:pPr>
      <w:r>
        <w:rPr>
          <w:rFonts w:ascii="宋体"/>
          <w:szCs w:val="24"/>
        </w:rPr>
        <w:t>3</w:t>
      </w:r>
      <w:r>
        <w:rPr>
          <w:rFonts w:hint="eastAsia" w:ascii="宋体"/>
          <w:szCs w:val="24"/>
        </w:rPr>
        <w:t>）乙方保证提前沟通协调人力资源，于15个工作日内提交所有阶段性项目文档，并完成甲方认可的所有工作交接和知识转移，包括不限于对替代供应商进行培训。</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7073B933">
      <w:pPr>
        <w:ind w:firstLine="489" w:firstLineChars="233"/>
        <w:rPr>
          <w:rFonts w:ascii="宋体"/>
          <w:szCs w:val="24"/>
        </w:rPr>
      </w:pPr>
      <w:r>
        <w:rPr>
          <w:rFonts w:ascii="宋体"/>
          <w:szCs w:val="24"/>
        </w:rPr>
        <w:t>4</w:t>
      </w:r>
      <w:r>
        <w:rPr>
          <w:rFonts w:hint="eastAsia" w:ascii="宋体"/>
          <w:szCs w:val="24"/>
        </w:rPr>
        <w:t>）允许推荐项目成员到与甲方合作良好的其他供应商任职或由甲方直接聘用。</w:t>
      </w:r>
    </w:p>
    <w:p w14:paraId="12E0023F">
      <w:pPr>
        <w:rPr>
          <w:rFonts w:hint="eastAsia" w:ascii="宋体" w:hAnsi="宋体"/>
          <w:b/>
          <w:szCs w:val="24"/>
        </w:rPr>
      </w:pPr>
      <w:r>
        <w:rPr>
          <w:rFonts w:hint="eastAsia" w:ascii="宋体" w:hAnsi="宋体"/>
          <w:b/>
          <w:szCs w:val="24"/>
        </w:rPr>
        <w:t>（五）乙方因不可抗力导致其主动退出（国家相关法律法规调整、遭受大规模自然灾害等）</w:t>
      </w:r>
    </w:p>
    <w:p w14:paraId="60AF50F2">
      <w:pPr>
        <w:ind w:firstLine="489" w:firstLineChars="233"/>
        <w:rPr>
          <w:rFonts w:ascii="宋体"/>
          <w:szCs w:val="24"/>
        </w:rPr>
      </w:pPr>
      <w:r>
        <w:rPr>
          <w:rFonts w:hint="eastAsia" w:ascii="宋体"/>
          <w:szCs w:val="24"/>
        </w:rPr>
        <w:t>1.影响程度：外包服务完全中断</w:t>
      </w:r>
    </w:p>
    <w:p w14:paraId="4AB856DE">
      <w:pPr>
        <w:ind w:firstLine="489" w:firstLineChars="233"/>
        <w:rPr>
          <w:rFonts w:ascii="宋体"/>
          <w:szCs w:val="24"/>
        </w:rPr>
      </w:pPr>
      <w:r>
        <w:rPr>
          <w:rFonts w:hint="eastAsia" w:ascii="宋体"/>
          <w:szCs w:val="24"/>
        </w:rPr>
        <w:t>2.规避措施：</w:t>
      </w:r>
    </w:p>
    <w:p w14:paraId="64BB173A">
      <w:pPr>
        <w:ind w:firstLine="489" w:firstLineChars="233"/>
        <w:rPr>
          <w:rFonts w:ascii="宋体"/>
          <w:szCs w:val="24"/>
        </w:rPr>
      </w:pPr>
      <w:r>
        <w:rPr>
          <w:rFonts w:hint="eastAsia" w:ascii="宋体"/>
          <w:szCs w:val="24"/>
        </w:rPr>
        <w:t>1）如遇类似事件乙方应立即通知甲方项目经理。</w:t>
      </w:r>
    </w:p>
    <w:p w14:paraId="3818051D">
      <w:pPr>
        <w:ind w:firstLine="489" w:firstLineChars="233"/>
        <w:rPr>
          <w:rFonts w:ascii="宋体"/>
          <w:szCs w:val="24"/>
        </w:rPr>
      </w:pPr>
      <w:r>
        <w:rPr>
          <w:rFonts w:ascii="宋体"/>
          <w:szCs w:val="24"/>
        </w:rPr>
        <w:t>2</w:t>
      </w:r>
      <w:r>
        <w:rPr>
          <w:rFonts w:hint="eastAsia" w:ascii="宋体"/>
          <w:szCs w:val="24"/>
        </w:rPr>
        <w:t>）乙方与甲方及时进行协商，得出一致性解决方案，于15个工作日内提交所有阶段性项目文档，并完成甲方认可的所有工作交接和知识转移，降低突发事件的影响；</w:t>
      </w:r>
    </w:p>
    <w:p w14:paraId="4E9C65ED">
      <w:pPr>
        <w:ind w:firstLine="48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p>
    <w:p w14:paraId="3F4B506B">
      <w:pPr>
        <w:rPr>
          <w:rFonts w:hint="eastAsia" w:ascii="宋体" w:hAnsi="宋体"/>
          <w:szCs w:val="24"/>
        </w:rPr>
      </w:pPr>
      <w:r>
        <w:rPr>
          <w:rFonts w:hint="eastAsia" w:ascii="宋体" w:hAnsi="宋体"/>
          <w:b/>
          <w:szCs w:val="24"/>
        </w:rPr>
        <w:t>四、应急处理阶段</w:t>
      </w:r>
    </w:p>
    <w:p w14:paraId="28072DFF">
      <w:pPr>
        <w:rPr>
          <w:rFonts w:hint="eastAsia" w:ascii="宋体" w:hAnsi="宋体"/>
          <w:b/>
          <w:szCs w:val="24"/>
        </w:rPr>
      </w:pPr>
      <w:r>
        <w:rPr>
          <w:rFonts w:hint="eastAsia" w:ascii="宋体" w:hAnsi="宋体"/>
          <w:b/>
          <w:szCs w:val="24"/>
        </w:rPr>
        <w:t>（一）项目实施过程中应急服务</w:t>
      </w:r>
    </w:p>
    <w:p w14:paraId="1A604470">
      <w:pPr>
        <w:ind w:firstLine="489" w:firstLineChars="233"/>
        <w:rPr>
          <w:rFonts w:ascii="宋体"/>
          <w:szCs w:val="24"/>
        </w:rPr>
      </w:pPr>
      <w:r>
        <w:rPr>
          <w:rFonts w:hint="eastAsia" w:ascii="宋体"/>
          <w:szCs w:val="24"/>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109E501A">
      <w:pPr>
        <w:ind w:firstLine="489" w:firstLineChars="233"/>
        <w:rPr>
          <w:rFonts w:ascii="宋体"/>
          <w:szCs w:val="24"/>
        </w:rPr>
      </w:pPr>
      <w:r>
        <w:rPr>
          <w:rFonts w:hint="eastAsia" w:ascii="宋体"/>
          <w:szCs w:val="24"/>
        </w:rPr>
        <w:t>在应急事件处理完毕后，由乙方应急小组</w:t>
      </w:r>
      <w:r>
        <w:rPr>
          <w:rFonts w:ascii="宋体"/>
          <w:szCs w:val="24"/>
        </w:rPr>
        <w:t>对事件发生原因、性质、影响、后果、责任及应急处置能力、恢复重建等问题进行全面调查评估，总结经验教训，完善应急处理预案，整改</w:t>
      </w:r>
      <w:r>
        <w:rPr>
          <w:rFonts w:hint="eastAsia" w:ascii="宋体"/>
          <w:szCs w:val="24"/>
        </w:rPr>
        <w:t>项目服务过程中</w:t>
      </w:r>
      <w:r>
        <w:rPr>
          <w:rFonts w:ascii="宋体"/>
          <w:szCs w:val="24"/>
        </w:rPr>
        <w:t>存在的隐患</w:t>
      </w:r>
      <w:r>
        <w:rPr>
          <w:rFonts w:hint="eastAsia" w:ascii="宋体"/>
          <w:szCs w:val="24"/>
        </w:rPr>
        <w:t>问题</w:t>
      </w:r>
      <w:r>
        <w:rPr>
          <w:rFonts w:ascii="宋体"/>
          <w:szCs w:val="24"/>
        </w:rPr>
        <w:t>。</w:t>
      </w:r>
    </w:p>
    <w:p w14:paraId="629D1A83">
      <w:pPr>
        <w:rPr>
          <w:rFonts w:hint="eastAsia" w:ascii="宋体" w:hAnsi="宋体"/>
          <w:b/>
          <w:szCs w:val="24"/>
        </w:rPr>
      </w:pPr>
      <w:r>
        <w:rPr>
          <w:rFonts w:hint="eastAsia" w:ascii="宋体" w:hAnsi="宋体"/>
          <w:b/>
          <w:szCs w:val="24"/>
        </w:rPr>
        <w:t>（二）系统上线后应急服务</w:t>
      </w:r>
    </w:p>
    <w:p w14:paraId="37A0E257">
      <w:pPr>
        <w:ind w:firstLine="489" w:firstLineChars="233"/>
        <w:rPr>
          <w:rFonts w:ascii="宋体"/>
          <w:szCs w:val="24"/>
        </w:rPr>
      </w:pPr>
      <w:r>
        <w:rPr>
          <w:rFonts w:hint="eastAsia" w:ascii="宋体"/>
          <w:szCs w:val="24"/>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5586898F">
      <w:pPr>
        <w:ind w:firstLine="489" w:firstLineChars="233"/>
        <w:rPr>
          <w:rFonts w:ascii="宋体"/>
          <w:szCs w:val="24"/>
        </w:rPr>
      </w:pPr>
      <w:r>
        <w:rPr>
          <w:rFonts w:hint="eastAsia" w:ascii="宋体"/>
          <w:szCs w:val="24"/>
        </w:rPr>
        <w:t>姓名:        手机号码：        邮箱：</w:t>
      </w:r>
    </w:p>
    <w:p w14:paraId="3F8E30A5">
      <w:pPr>
        <w:ind w:firstLine="489" w:firstLineChars="233"/>
        <w:rPr>
          <w:rFonts w:ascii="宋体"/>
          <w:szCs w:val="24"/>
        </w:rPr>
      </w:pPr>
      <w:r>
        <w:rPr>
          <w:rFonts w:hint="eastAsia" w:ascii="宋体"/>
          <w:szCs w:val="24"/>
        </w:rPr>
        <w:t>姓名:        手机号码：        邮箱：</w:t>
      </w:r>
    </w:p>
    <w:p w14:paraId="04713571">
      <w:pPr>
        <w:ind w:firstLine="480" w:firstLineChars="0"/>
        <w:rPr>
          <w:kern w:val="0"/>
          <w:szCs w:val="24"/>
        </w:rPr>
      </w:pPr>
    </w:p>
    <w:p w14:paraId="12742EFC">
      <w:pPr>
        <w:ind w:firstLine="480" w:firstLineChars="0"/>
        <w:rPr>
          <w:kern w:val="0"/>
          <w:szCs w:val="24"/>
        </w:rPr>
      </w:pPr>
    </w:p>
    <w:p w14:paraId="7589FC73">
      <w:pPr>
        <w:ind w:firstLine="480" w:firstLineChars="0"/>
        <w:rPr>
          <w:kern w:val="0"/>
          <w:szCs w:val="24"/>
        </w:rPr>
        <w:sectPr>
          <w:pgSz w:w="11906" w:h="16838"/>
          <w:pgMar w:top="1440" w:right="1800" w:bottom="1440" w:left="1800" w:header="851" w:footer="992" w:gutter="0"/>
          <w:cols w:space="720" w:num="1"/>
          <w:formProt w:val="0"/>
          <w:docGrid w:type="lines" w:linePitch="312" w:charSpace="0"/>
        </w:sectPr>
      </w:pPr>
    </w:p>
    <w:p w14:paraId="6142C980">
      <w:pPr>
        <w:pStyle w:val="2"/>
      </w:pPr>
      <w:bookmarkStart w:id="137" w:name="_Toc23529"/>
      <w:bookmarkStart w:id="138" w:name="_Toc7021"/>
      <w:bookmarkStart w:id="139" w:name="_Toc13357"/>
      <w:r>
        <w:rPr>
          <w:rFonts w:hint="eastAsia"/>
        </w:rPr>
        <w:t>第六章 参选文件格式</w:t>
      </w:r>
      <w:bookmarkEnd w:id="137"/>
      <w:bookmarkEnd w:id="138"/>
      <w:bookmarkEnd w:id="139"/>
    </w:p>
    <w:p w14:paraId="58CBD02A">
      <w:pPr>
        <w:tabs>
          <w:tab w:val="left" w:pos="6516"/>
        </w:tabs>
        <w:adjustRightInd w:val="0"/>
        <w:snapToGrid w:val="0"/>
        <w:ind w:firstLine="0" w:firstLineChars="0"/>
        <w:jc w:val="center"/>
        <w:rPr>
          <w:rFonts w:hint="eastAsia" w:ascii="宋体" w:hAnsi="宋体"/>
          <w:b/>
          <w:kern w:val="0"/>
          <w:u w:val="single"/>
        </w:rPr>
      </w:pPr>
    </w:p>
    <w:p w14:paraId="63DF7C1B">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320F625C">
      <w:pPr>
        <w:ind w:firstLine="0" w:firstLineChars="0"/>
        <w:jc w:val="center"/>
        <w:rPr>
          <w:rFonts w:cs="Times New Roman"/>
          <w:b/>
          <w:snapToGrid w:val="0"/>
          <w:kern w:val="0"/>
          <w:sz w:val="48"/>
          <w:szCs w:val="84"/>
        </w:rPr>
      </w:pPr>
      <w:r>
        <w:rPr>
          <w:rFonts w:hint="eastAsia" w:cs="Times New Roman"/>
          <w:b/>
          <w:snapToGrid w:val="0"/>
          <w:kern w:val="0"/>
          <w:sz w:val="48"/>
          <w:szCs w:val="84"/>
        </w:rPr>
        <w:t>金融产品销售平台代销实物贵金属</w:t>
      </w:r>
    </w:p>
    <w:p w14:paraId="59D14214">
      <w:pPr>
        <w:tabs>
          <w:tab w:val="left" w:pos="3600"/>
          <w:tab w:val="left" w:pos="4480"/>
          <w:tab w:val="left" w:pos="5360"/>
        </w:tabs>
        <w:adjustRightInd w:val="0"/>
        <w:snapToGrid w:val="0"/>
        <w:ind w:firstLine="0" w:firstLineChars="0"/>
        <w:jc w:val="center"/>
        <w:rPr>
          <w:rFonts w:hint="eastAsia" w:ascii="宋体" w:hAnsi="宋体"/>
          <w:kern w:val="0"/>
          <w:sz w:val="44"/>
        </w:rPr>
      </w:pPr>
    </w:p>
    <w:p w14:paraId="129A7B5E">
      <w:pPr>
        <w:tabs>
          <w:tab w:val="left" w:pos="3600"/>
          <w:tab w:val="left" w:pos="4480"/>
          <w:tab w:val="left" w:pos="5360"/>
        </w:tabs>
        <w:adjustRightInd w:val="0"/>
        <w:snapToGrid w:val="0"/>
        <w:ind w:firstLine="0" w:firstLineChars="0"/>
        <w:jc w:val="center"/>
        <w:rPr>
          <w:rFonts w:hint="eastAsia" w:ascii="宋体" w:hAnsi="宋体"/>
          <w:kern w:val="0"/>
          <w:sz w:val="44"/>
        </w:rPr>
      </w:pPr>
    </w:p>
    <w:p w14:paraId="5BFFB5B2">
      <w:pPr>
        <w:tabs>
          <w:tab w:val="left" w:pos="3600"/>
          <w:tab w:val="left" w:pos="4480"/>
          <w:tab w:val="left" w:pos="5360"/>
        </w:tabs>
        <w:adjustRightInd w:val="0"/>
        <w:snapToGrid w:val="0"/>
        <w:ind w:firstLine="0" w:firstLineChars="0"/>
        <w:jc w:val="center"/>
        <w:rPr>
          <w:rFonts w:hint="eastAsia" w:ascii="宋体" w:hAnsi="宋体"/>
          <w:b/>
          <w:kern w:val="0"/>
          <w:sz w:val="84"/>
        </w:rPr>
      </w:pPr>
      <w:r>
        <w:rPr>
          <w:rFonts w:hint="eastAsia" w:ascii="宋体" w:hAnsi="宋体"/>
          <w:b/>
          <w:kern w:val="0"/>
          <w:sz w:val="84"/>
        </w:rPr>
        <w:t>参  选  文  件</w:t>
      </w:r>
    </w:p>
    <w:p w14:paraId="262A3B8E">
      <w:pPr>
        <w:adjustRightInd w:val="0"/>
        <w:snapToGrid w:val="0"/>
        <w:ind w:firstLine="0" w:firstLineChars="0"/>
        <w:jc w:val="center"/>
        <w:rPr>
          <w:rFonts w:hint="eastAsia" w:ascii="宋体" w:hAnsi="宋体"/>
          <w:kern w:val="0"/>
          <w:sz w:val="16"/>
        </w:rPr>
      </w:pPr>
    </w:p>
    <w:p w14:paraId="3AD6A197">
      <w:pPr>
        <w:adjustRightInd w:val="0"/>
        <w:snapToGrid w:val="0"/>
        <w:ind w:firstLine="0" w:firstLineChars="0"/>
        <w:jc w:val="center"/>
        <w:rPr>
          <w:rFonts w:hint="eastAsia" w:ascii="宋体" w:hAnsi="宋体"/>
          <w:b/>
          <w:kern w:val="0"/>
          <w:sz w:val="20"/>
        </w:rPr>
      </w:pPr>
    </w:p>
    <w:p w14:paraId="09538667">
      <w:pPr>
        <w:adjustRightInd w:val="0"/>
        <w:snapToGrid w:val="0"/>
        <w:ind w:firstLine="0" w:firstLineChars="0"/>
        <w:jc w:val="center"/>
        <w:rPr>
          <w:rFonts w:hint="eastAsia" w:ascii="宋体" w:hAnsi="宋体"/>
          <w:b/>
          <w:kern w:val="0"/>
          <w:sz w:val="20"/>
        </w:rPr>
      </w:pPr>
    </w:p>
    <w:p w14:paraId="56CD298C">
      <w:pPr>
        <w:adjustRightInd w:val="0"/>
        <w:snapToGrid w:val="0"/>
        <w:ind w:firstLine="0" w:firstLineChars="0"/>
        <w:jc w:val="center"/>
        <w:rPr>
          <w:rFonts w:hint="eastAsia" w:ascii="宋体" w:hAnsi="宋体"/>
          <w:b/>
          <w:kern w:val="0"/>
          <w:sz w:val="20"/>
        </w:rPr>
      </w:pPr>
    </w:p>
    <w:p w14:paraId="3BB1DA1E">
      <w:pPr>
        <w:adjustRightInd w:val="0"/>
        <w:snapToGrid w:val="0"/>
        <w:ind w:firstLine="0" w:firstLineChars="0"/>
        <w:jc w:val="center"/>
        <w:rPr>
          <w:rFonts w:hint="eastAsia" w:ascii="宋体" w:hAnsi="宋体"/>
          <w:b/>
          <w:kern w:val="0"/>
          <w:sz w:val="20"/>
        </w:rPr>
      </w:pPr>
    </w:p>
    <w:p w14:paraId="5888C53C">
      <w:pPr>
        <w:adjustRightInd w:val="0"/>
        <w:snapToGrid w:val="0"/>
        <w:ind w:firstLine="0" w:firstLineChars="0"/>
        <w:jc w:val="center"/>
        <w:rPr>
          <w:rFonts w:hint="eastAsia" w:ascii="宋体" w:hAnsi="宋体"/>
          <w:b/>
          <w:kern w:val="0"/>
          <w:sz w:val="20"/>
        </w:rPr>
      </w:pPr>
    </w:p>
    <w:p w14:paraId="340E71E3">
      <w:pPr>
        <w:adjustRightInd w:val="0"/>
        <w:snapToGrid w:val="0"/>
        <w:ind w:firstLine="0" w:firstLineChars="0"/>
        <w:jc w:val="center"/>
        <w:rPr>
          <w:rFonts w:hint="eastAsia" w:ascii="宋体" w:hAnsi="宋体"/>
          <w:b/>
          <w:kern w:val="0"/>
          <w:sz w:val="20"/>
        </w:rPr>
      </w:pPr>
    </w:p>
    <w:p w14:paraId="7ECA93D4">
      <w:pPr>
        <w:adjustRightInd w:val="0"/>
        <w:snapToGrid w:val="0"/>
        <w:ind w:firstLine="0" w:firstLineChars="0"/>
        <w:jc w:val="center"/>
        <w:rPr>
          <w:rFonts w:hint="eastAsia" w:ascii="宋体" w:hAnsi="宋体"/>
          <w:b/>
          <w:kern w:val="0"/>
          <w:sz w:val="20"/>
        </w:rPr>
      </w:pPr>
    </w:p>
    <w:p w14:paraId="3ADA38D0">
      <w:pPr>
        <w:adjustRightInd w:val="0"/>
        <w:snapToGrid w:val="0"/>
        <w:ind w:firstLine="0" w:firstLineChars="0"/>
        <w:jc w:val="center"/>
        <w:rPr>
          <w:rFonts w:hint="eastAsia" w:ascii="宋体" w:hAnsi="宋体"/>
          <w:b/>
          <w:kern w:val="0"/>
          <w:sz w:val="20"/>
        </w:rPr>
      </w:pPr>
    </w:p>
    <w:p w14:paraId="08C1D745">
      <w:pPr>
        <w:adjustRightInd w:val="0"/>
        <w:snapToGrid w:val="0"/>
        <w:ind w:firstLine="0" w:firstLineChars="0"/>
        <w:jc w:val="center"/>
        <w:rPr>
          <w:rFonts w:hint="eastAsia" w:ascii="宋体" w:hAnsi="宋体"/>
          <w:b/>
          <w:kern w:val="0"/>
          <w:sz w:val="20"/>
        </w:rPr>
      </w:pPr>
    </w:p>
    <w:p w14:paraId="3321FD9C">
      <w:pPr>
        <w:ind w:firstLine="0" w:firstLineChars="0"/>
        <w:jc w:val="center"/>
      </w:pPr>
      <w:r>
        <w:rPr>
          <w:rFonts w:hint="eastAsia"/>
        </w:rPr>
        <w:t>参选人：</w:t>
      </w:r>
      <w:r>
        <w:rPr>
          <w:rFonts w:hint="eastAsia"/>
          <w:u w:val="single"/>
        </w:rPr>
        <w:t xml:space="preserve">                </w:t>
      </w:r>
      <w:r>
        <w:rPr>
          <w:rFonts w:hint="eastAsia"/>
        </w:rPr>
        <w:t>（盖单位公章）</w:t>
      </w:r>
    </w:p>
    <w:p w14:paraId="56D36EE0">
      <w:pPr>
        <w:ind w:firstLine="0" w:firstLineChars="0"/>
        <w:jc w:val="center"/>
      </w:pPr>
      <w:r>
        <w:rPr>
          <w:rFonts w:hint="eastAsia" w:ascii="宋体"/>
          <w:snapToGrid w:val="0"/>
          <w:kern w:val="0"/>
        </w:rPr>
        <w:t>法定代表人</w:t>
      </w:r>
      <w:r>
        <w:rPr>
          <w:rFonts w:hint="eastAsia"/>
        </w:rPr>
        <w:t>/委托代理人：</w:t>
      </w:r>
      <w:r>
        <w:rPr>
          <w:rFonts w:hint="eastAsia"/>
          <w:u w:val="single"/>
        </w:rPr>
        <w:t xml:space="preserve">              </w:t>
      </w:r>
      <w:r>
        <w:rPr>
          <w:rFonts w:hint="eastAsia"/>
        </w:rPr>
        <w:t>（签字或盖章）</w:t>
      </w:r>
    </w:p>
    <w:p w14:paraId="7BAC1583">
      <w:pPr>
        <w:ind w:firstLine="0" w:firstLineChars="0"/>
        <w:jc w:val="center"/>
      </w:pPr>
      <w:r>
        <w:rPr>
          <w:rFonts w:hint="eastAsia"/>
        </w:rPr>
        <w:t>年     月     日</w:t>
      </w:r>
    </w:p>
    <w:p w14:paraId="01114D00">
      <w:pPr>
        <w:tabs>
          <w:tab w:val="left" w:pos="3280"/>
          <w:tab w:val="left" w:pos="4680"/>
          <w:tab w:val="left" w:pos="6080"/>
        </w:tabs>
        <w:adjustRightInd w:val="0"/>
        <w:snapToGrid w:val="0"/>
        <w:ind w:firstLine="0" w:firstLineChars="0"/>
        <w:jc w:val="center"/>
        <w:rPr>
          <w:rFonts w:hint="eastAsia" w:ascii="宋体" w:hAnsi="宋体"/>
          <w:b/>
          <w:kern w:val="0"/>
        </w:rPr>
      </w:pPr>
    </w:p>
    <w:p w14:paraId="3AAF9BF0">
      <w:pPr>
        <w:tabs>
          <w:tab w:val="left" w:pos="6300"/>
        </w:tabs>
        <w:snapToGrid w:val="0"/>
        <w:ind w:firstLine="0" w:firstLineChars="0"/>
        <w:jc w:val="center"/>
        <w:rPr>
          <w:rFonts w:hint="eastAsia" w:ascii="宋体" w:hAnsi="宋体"/>
          <w:snapToGrid w:val="0"/>
          <w:kern w:val="0"/>
          <w:szCs w:val="28"/>
        </w:rPr>
      </w:pPr>
    </w:p>
    <w:p w14:paraId="5CFC53E0">
      <w:pPr>
        <w:tabs>
          <w:tab w:val="left" w:pos="6300"/>
        </w:tabs>
        <w:snapToGrid w:val="0"/>
        <w:ind w:firstLine="0" w:firstLineChars="0"/>
        <w:jc w:val="center"/>
        <w:rPr>
          <w:rFonts w:hint="eastAsia" w:ascii="宋体" w:hAnsi="宋体"/>
          <w:snapToGrid w:val="0"/>
          <w:kern w:val="0"/>
          <w:szCs w:val="28"/>
        </w:rPr>
      </w:pPr>
    </w:p>
    <w:p w14:paraId="263C5EBF">
      <w:pPr>
        <w:tabs>
          <w:tab w:val="left" w:pos="6300"/>
        </w:tabs>
        <w:snapToGrid w:val="0"/>
        <w:ind w:firstLine="0" w:firstLineChars="0"/>
        <w:jc w:val="center"/>
        <w:rPr>
          <w:rFonts w:hint="eastAsia" w:ascii="宋体" w:hAnsi="宋体"/>
          <w:snapToGrid w:val="0"/>
          <w:kern w:val="0"/>
          <w:szCs w:val="28"/>
        </w:rPr>
        <w:sectPr>
          <w:pgSz w:w="11906" w:h="16838"/>
          <w:pgMar w:top="1440" w:right="1800" w:bottom="1440" w:left="1800" w:header="851" w:footer="992" w:gutter="0"/>
          <w:cols w:space="720" w:num="1"/>
          <w:docGrid w:type="lines" w:linePitch="312" w:charSpace="0"/>
        </w:sectPr>
      </w:pPr>
    </w:p>
    <w:bookmarkEnd w:id="85"/>
    <w:bookmarkEnd w:id="86"/>
    <w:p w14:paraId="5BC99954">
      <w:pPr>
        <w:snapToGrid w:val="0"/>
        <w:ind w:firstLine="0" w:firstLineChars="0"/>
        <w:rPr>
          <w:rFonts w:cs="宋体"/>
          <w:snapToGrid w:val="0"/>
          <w:kern w:val="0"/>
          <w:szCs w:val="24"/>
        </w:rPr>
      </w:pPr>
    </w:p>
    <w:p w14:paraId="58766531">
      <w:pPr>
        <w:tabs>
          <w:tab w:val="left" w:pos="6300"/>
        </w:tabs>
        <w:snapToGrid w:val="0"/>
        <w:ind w:firstLine="0" w:firstLineChars="0"/>
        <w:jc w:val="center"/>
        <w:outlineLvl w:val="1"/>
        <w:rPr>
          <w:b/>
          <w:snapToGrid w:val="0"/>
          <w:kern w:val="0"/>
          <w:sz w:val="36"/>
          <w:szCs w:val="28"/>
        </w:rPr>
      </w:pPr>
      <w:r>
        <w:rPr>
          <w:rFonts w:hint="eastAsia"/>
          <w:b/>
          <w:snapToGrid w:val="0"/>
          <w:kern w:val="0"/>
          <w:sz w:val="36"/>
          <w:szCs w:val="28"/>
        </w:rPr>
        <w:t>目  录</w:t>
      </w:r>
    </w:p>
    <w:p w14:paraId="2F6CEF1F">
      <w:pPr>
        <w:spacing w:line="240" w:lineRule="auto"/>
        <w:ind w:firstLine="0" w:firstLineChars="0"/>
        <w:jc w:val="left"/>
      </w:pPr>
      <w:r>
        <w:rPr>
          <w:rFonts w:hint="eastAsia"/>
        </w:rPr>
        <w:t>一、参选函</w:t>
      </w:r>
    </w:p>
    <w:p w14:paraId="272972FD">
      <w:pPr>
        <w:spacing w:line="240" w:lineRule="auto"/>
        <w:ind w:firstLine="0" w:firstLineChars="0"/>
        <w:jc w:val="left"/>
      </w:pPr>
      <w:r>
        <w:rPr>
          <w:rFonts w:hint="eastAsia"/>
        </w:rPr>
        <w:t>二、报价一览表</w:t>
      </w:r>
    </w:p>
    <w:p w14:paraId="32F96074">
      <w:pPr>
        <w:spacing w:line="240" w:lineRule="auto"/>
        <w:ind w:firstLine="0" w:firstLineChars="0"/>
        <w:jc w:val="left"/>
      </w:pPr>
      <w:r>
        <w:rPr>
          <w:rFonts w:hint="eastAsia"/>
        </w:rPr>
        <w:t>三、资格性文件</w:t>
      </w:r>
    </w:p>
    <w:p w14:paraId="0B5F380C">
      <w:pPr>
        <w:spacing w:line="240" w:lineRule="auto"/>
        <w:ind w:firstLine="0" w:firstLineChars="0"/>
        <w:jc w:val="left"/>
      </w:pPr>
      <w:r>
        <w:rPr>
          <w:rFonts w:hint="eastAsia"/>
        </w:rPr>
        <w:t>（一）参选人基本情况介绍，资质证明等</w:t>
      </w:r>
    </w:p>
    <w:p w14:paraId="54ACA8E3">
      <w:pPr>
        <w:spacing w:line="240" w:lineRule="auto"/>
        <w:ind w:firstLine="0" w:firstLineChars="0"/>
        <w:jc w:val="left"/>
      </w:pPr>
      <w:r>
        <w:rPr>
          <w:rFonts w:hint="eastAsia"/>
        </w:rPr>
        <w:t>（二）法定代表人身份证明及授权委托书</w:t>
      </w:r>
    </w:p>
    <w:p w14:paraId="4AEA84AA">
      <w:pPr>
        <w:spacing w:line="240" w:lineRule="auto"/>
        <w:ind w:firstLine="0" w:firstLineChars="0"/>
        <w:jc w:val="left"/>
      </w:pPr>
      <w:r>
        <w:rPr>
          <w:rFonts w:hint="eastAsia"/>
        </w:rPr>
        <w:t>（三）书面声明</w:t>
      </w:r>
    </w:p>
    <w:p w14:paraId="7B8FAA6B">
      <w:pPr>
        <w:spacing w:line="240" w:lineRule="auto"/>
        <w:ind w:firstLine="0" w:firstLineChars="0"/>
        <w:jc w:val="left"/>
      </w:pPr>
      <w:r>
        <w:rPr>
          <w:rFonts w:hint="eastAsia"/>
        </w:rPr>
        <w:t>（四）中国执行信息公开网截图</w:t>
      </w:r>
    </w:p>
    <w:p w14:paraId="07D61D6A">
      <w:pPr>
        <w:spacing w:line="240" w:lineRule="auto"/>
        <w:ind w:firstLine="0" w:firstLineChars="0"/>
        <w:jc w:val="left"/>
      </w:pPr>
      <w:r>
        <w:rPr>
          <w:rFonts w:hint="eastAsia"/>
        </w:rPr>
        <w:t>（五）项目案例和业绩证明文件复印件</w:t>
      </w:r>
    </w:p>
    <w:p w14:paraId="5855799A">
      <w:pPr>
        <w:spacing w:line="240" w:lineRule="auto"/>
        <w:ind w:firstLine="0" w:firstLineChars="0"/>
        <w:jc w:val="left"/>
      </w:pPr>
      <w:r>
        <w:rPr>
          <w:rFonts w:hint="eastAsia"/>
        </w:rPr>
        <w:t>（六）第三方软件产品的原厂商授权书或确认函</w:t>
      </w:r>
    </w:p>
    <w:p w14:paraId="6AF67AD5">
      <w:pPr>
        <w:spacing w:line="240" w:lineRule="auto"/>
        <w:ind w:firstLine="0" w:firstLineChars="0"/>
        <w:jc w:val="left"/>
      </w:pPr>
      <w:r>
        <w:rPr>
          <w:rFonts w:hint="eastAsia"/>
        </w:rPr>
        <w:t>（七）ISO相关认证材料</w:t>
      </w:r>
    </w:p>
    <w:p w14:paraId="6B3EEB8F">
      <w:pPr>
        <w:spacing w:line="240" w:lineRule="auto"/>
        <w:ind w:firstLine="0" w:firstLineChars="0"/>
        <w:jc w:val="left"/>
      </w:pPr>
      <w:r>
        <w:rPr>
          <w:rFonts w:hint="eastAsia"/>
        </w:rPr>
        <w:t>（八）CMMI5级相关认证材料</w:t>
      </w:r>
    </w:p>
    <w:p w14:paraId="1C09AFD8">
      <w:pPr>
        <w:spacing w:line="240" w:lineRule="auto"/>
        <w:ind w:firstLine="0" w:firstLineChars="0"/>
        <w:jc w:val="left"/>
      </w:pPr>
      <w:r>
        <w:rPr>
          <w:rFonts w:hint="eastAsia"/>
        </w:rPr>
        <w:t>（九）国家高新技术企业认证材料</w:t>
      </w:r>
    </w:p>
    <w:p w14:paraId="0BD37456">
      <w:pPr>
        <w:spacing w:line="240" w:lineRule="auto"/>
        <w:ind w:firstLine="0" w:firstLineChars="0"/>
        <w:jc w:val="left"/>
      </w:pPr>
      <w:r>
        <w:rPr>
          <w:rFonts w:hint="eastAsia"/>
        </w:rPr>
        <w:t>（十）其他（如有）</w:t>
      </w:r>
    </w:p>
    <w:p w14:paraId="6496B5ED">
      <w:pPr>
        <w:spacing w:line="240" w:lineRule="auto"/>
        <w:ind w:firstLine="0" w:firstLineChars="0"/>
        <w:jc w:val="left"/>
      </w:pPr>
      <w:r>
        <w:rPr>
          <w:rFonts w:hint="eastAsia"/>
        </w:rPr>
        <w:t>四、响应性文件</w:t>
      </w:r>
    </w:p>
    <w:p w14:paraId="1E576326">
      <w:pPr>
        <w:spacing w:line="240" w:lineRule="auto"/>
        <w:ind w:firstLine="0" w:firstLineChars="0"/>
        <w:jc w:val="left"/>
      </w:pPr>
      <w:r>
        <w:rPr>
          <w:rFonts w:hint="eastAsia"/>
        </w:rPr>
        <w:t>（一）响应承诺函</w:t>
      </w:r>
    </w:p>
    <w:p w14:paraId="1CFD990B">
      <w:pPr>
        <w:spacing w:line="240" w:lineRule="auto"/>
        <w:ind w:firstLine="0" w:firstLineChars="0"/>
        <w:jc w:val="left"/>
      </w:pPr>
      <w:r>
        <w:rPr>
          <w:rFonts w:hint="eastAsia"/>
        </w:rPr>
        <w:t>（二）参选保证金</w:t>
      </w:r>
    </w:p>
    <w:p w14:paraId="38E884C6">
      <w:pPr>
        <w:spacing w:line="240" w:lineRule="auto"/>
        <w:ind w:firstLine="0" w:firstLineChars="0"/>
        <w:jc w:val="left"/>
      </w:pPr>
      <w:r>
        <w:rPr>
          <w:rFonts w:hint="eastAsia"/>
        </w:rPr>
        <w:t>（三）近半年公司为项目组成员缴纳社保的证明材料</w:t>
      </w:r>
    </w:p>
    <w:p w14:paraId="32544DFC">
      <w:pPr>
        <w:spacing w:line="240" w:lineRule="auto"/>
        <w:ind w:firstLine="0" w:firstLineChars="0"/>
        <w:jc w:val="left"/>
      </w:pPr>
      <w:r>
        <w:rPr>
          <w:rFonts w:hint="eastAsia"/>
        </w:rPr>
        <w:t>（四）项目组成员简历信息</w:t>
      </w:r>
    </w:p>
    <w:p w14:paraId="6279E9A5">
      <w:pPr>
        <w:spacing w:line="240" w:lineRule="auto"/>
        <w:ind w:firstLine="0" w:firstLineChars="0"/>
        <w:jc w:val="left"/>
      </w:pPr>
      <w:r>
        <w:rPr>
          <w:rFonts w:hint="eastAsia"/>
        </w:rPr>
        <w:t>（五）售后服务和培训方案</w:t>
      </w:r>
    </w:p>
    <w:p w14:paraId="4E358DF7">
      <w:pPr>
        <w:spacing w:line="240" w:lineRule="auto"/>
        <w:ind w:firstLine="0" w:firstLineChars="0"/>
        <w:jc w:val="left"/>
      </w:pPr>
      <w:r>
        <w:rPr>
          <w:rFonts w:hint="eastAsia"/>
        </w:rPr>
        <w:t>（六）服务连续性预案</w:t>
      </w:r>
    </w:p>
    <w:p w14:paraId="1B256FE8">
      <w:pPr>
        <w:spacing w:line="240" w:lineRule="auto"/>
        <w:ind w:firstLine="0" w:firstLineChars="0"/>
        <w:jc w:val="left"/>
      </w:pPr>
      <w:r>
        <w:rPr>
          <w:rFonts w:hint="eastAsia"/>
        </w:rPr>
        <w:t>（七）项目实施方案</w:t>
      </w:r>
    </w:p>
    <w:p w14:paraId="038FDFC5">
      <w:pPr>
        <w:spacing w:line="240" w:lineRule="auto"/>
        <w:ind w:firstLine="0" w:firstLineChars="0"/>
        <w:jc w:val="left"/>
      </w:pPr>
      <w:r>
        <w:rPr>
          <w:rFonts w:hint="eastAsia"/>
        </w:rPr>
        <w:t>（八）其他（如有）</w:t>
      </w:r>
    </w:p>
    <w:p w14:paraId="7A02872C">
      <w:pPr>
        <w:spacing w:line="240" w:lineRule="auto"/>
        <w:ind w:firstLine="0" w:firstLineChars="0"/>
        <w:jc w:val="left"/>
      </w:pPr>
      <w:r>
        <w:rPr>
          <w:rFonts w:hint="eastAsia"/>
        </w:rPr>
        <w:t>五、服务水平协议（SLA）</w:t>
      </w:r>
    </w:p>
    <w:p w14:paraId="679369C4">
      <w:pPr>
        <w:spacing w:line="240" w:lineRule="auto"/>
        <w:ind w:firstLine="0" w:firstLineChars="0"/>
        <w:jc w:val="left"/>
      </w:pPr>
      <w:r>
        <w:rPr>
          <w:rFonts w:hint="eastAsia"/>
        </w:rPr>
        <w:t>六、商务技术文件（如有）</w:t>
      </w:r>
    </w:p>
    <w:p w14:paraId="60A2CCB5">
      <w:pPr>
        <w:spacing w:line="240" w:lineRule="auto"/>
        <w:ind w:firstLine="0" w:firstLineChars="0"/>
        <w:jc w:val="left"/>
      </w:pPr>
      <w:r>
        <w:rPr>
          <w:rFonts w:hint="eastAsia"/>
        </w:rPr>
        <w:t>七、其他（如有）</w:t>
      </w:r>
    </w:p>
    <w:p w14:paraId="7F7ECC58">
      <w:pPr>
        <w:spacing w:line="240" w:lineRule="auto"/>
        <w:ind w:firstLine="0" w:firstLineChars="0"/>
        <w:jc w:val="left"/>
      </w:pPr>
      <w:r>
        <w:rPr>
          <w:rFonts w:hint="eastAsia"/>
        </w:rPr>
        <w:br w:type="page"/>
      </w:r>
    </w:p>
    <w:p w14:paraId="132E9516">
      <w:pPr>
        <w:pStyle w:val="34"/>
      </w:pPr>
      <w:r>
        <w:t>一、参选函</w:t>
      </w:r>
    </w:p>
    <w:p w14:paraId="6A8174BE">
      <w:pPr>
        <w:tabs>
          <w:tab w:val="left" w:pos="6300"/>
        </w:tabs>
        <w:snapToGrid w:val="0"/>
        <w:ind w:right="-29" w:rightChars="-14"/>
        <w:rPr>
          <w:snapToGrid w:val="0"/>
          <w:kern w:val="0"/>
          <w:szCs w:val="24"/>
          <w:u w:val="single"/>
        </w:rPr>
      </w:pPr>
    </w:p>
    <w:p w14:paraId="0B57ABF0">
      <w:pPr>
        <w:tabs>
          <w:tab w:val="left" w:pos="6300"/>
        </w:tabs>
        <w:snapToGrid w:val="0"/>
        <w:ind w:right="-29" w:rightChars="-14"/>
        <w:rPr>
          <w:snapToGrid w:val="0"/>
          <w:kern w:val="0"/>
          <w:szCs w:val="24"/>
        </w:rPr>
      </w:pPr>
      <w:r>
        <w:rPr>
          <w:rFonts w:hint="eastAsia"/>
          <w:snapToGrid w:val="0"/>
          <w:kern w:val="0"/>
          <w:szCs w:val="24"/>
          <w:u w:val="single"/>
        </w:rPr>
        <w:t>重庆三峡银行股份有限公司</w:t>
      </w:r>
      <w:r>
        <w:rPr>
          <w:rFonts w:hint="eastAsia"/>
          <w:snapToGrid w:val="0"/>
          <w:kern w:val="0"/>
          <w:szCs w:val="24"/>
        </w:rPr>
        <w:t>：</w:t>
      </w:r>
    </w:p>
    <w:p w14:paraId="66F65EB8">
      <w:pPr>
        <w:tabs>
          <w:tab w:val="left" w:pos="6300"/>
        </w:tabs>
        <w:snapToGrid w:val="0"/>
        <w:ind w:right="-29" w:rightChars="-14"/>
        <w:rPr>
          <w:snapToGrid w:val="0"/>
          <w:kern w:val="0"/>
          <w:szCs w:val="24"/>
        </w:rPr>
      </w:pPr>
      <w:r>
        <w:rPr>
          <w:rFonts w:hint="eastAsia"/>
          <w:snapToGrid w:val="0"/>
          <w:kern w:val="0"/>
          <w:szCs w:val="24"/>
        </w:rPr>
        <w:t>我方收到___________________比选文件，经详细研究，决定参加该比选项目的</w:t>
      </w:r>
      <w:r>
        <w:rPr>
          <w:rFonts w:hint="eastAsia" w:cs="Cambria"/>
          <w:snapToGrid w:val="0"/>
          <w:kern w:val="0"/>
          <w:szCs w:val="24"/>
        </w:rPr>
        <w:t>参选</w:t>
      </w:r>
      <w:r>
        <w:rPr>
          <w:rFonts w:hint="eastAsia"/>
          <w:snapToGrid w:val="0"/>
          <w:kern w:val="0"/>
          <w:szCs w:val="24"/>
        </w:rPr>
        <w:t>。</w:t>
      </w:r>
    </w:p>
    <w:p w14:paraId="053BF33B">
      <w:pPr>
        <w:tabs>
          <w:tab w:val="left" w:pos="6300"/>
        </w:tabs>
        <w:snapToGrid w:val="0"/>
        <w:ind w:right="-29" w:rightChars="-14" w:firstLine="573" w:firstLineChars="0"/>
        <w:rPr>
          <w:snapToGrid w:val="0"/>
          <w:kern w:val="0"/>
          <w:szCs w:val="24"/>
        </w:rPr>
      </w:pPr>
      <w:r>
        <w:rPr>
          <w:rFonts w:hint="eastAsia"/>
          <w:snapToGrid w:val="0"/>
          <w:kern w:val="0"/>
          <w:szCs w:val="24"/>
        </w:rPr>
        <w:t>1、愿意按照比选文件中的一切要求，以</w:t>
      </w:r>
      <w:r>
        <w:rPr>
          <w:rFonts w:hint="eastAsia" w:cs="Cambria"/>
          <w:snapToGrid w:val="0"/>
          <w:kern w:val="0"/>
          <w:szCs w:val="24"/>
        </w:rPr>
        <w:t>参选</w:t>
      </w:r>
      <w:r>
        <w:rPr>
          <w:rFonts w:hint="eastAsia"/>
          <w:snapToGrid w:val="0"/>
          <w:kern w:val="0"/>
          <w:szCs w:val="24"/>
        </w:rPr>
        <w:t>报价</w:t>
      </w:r>
      <w:r>
        <w:rPr>
          <w:snapToGrid w:val="0"/>
          <w:kern w:val="0"/>
          <w:szCs w:val="24"/>
        </w:rPr>
        <w:t>（含税）</w:t>
      </w:r>
      <w:r>
        <w:rPr>
          <w:rFonts w:hint="eastAsia"/>
          <w:snapToGrid w:val="0"/>
          <w:kern w:val="0"/>
          <w:szCs w:val="24"/>
        </w:rPr>
        <w:t>承担和完成本项目。免费维保期</w:t>
      </w:r>
      <w:r>
        <w:rPr>
          <w:snapToGrid w:val="0"/>
          <w:kern w:val="0"/>
          <w:szCs w:val="24"/>
        </w:rPr>
        <w:t>：</w:t>
      </w:r>
      <w:r>
        <w:rPr>
          <w:rFonts w:hint="eastAsia"/>
          <w:snapToGrid w:val="0"/>
          <w:kern w:val="0"/>
          <w:szCs w:val="24"/>
          <w:u w:val="single"/>
        </w:rPr>
        <w:t xml:space="preserve">           </w:t>
      </w:r>
      <w:r>
        <w:rPr>
          <w:snapToGrid w:val="0"/>
          <w:kern w:val="0"/>
          <w:szCs w:val="24"/>
        </w:rPr>
        <w:t>。</w:t>
      </w:r>
    </w:p>
    <w:p w14:paraId="362E418C">
      <w:pPr>
        <w:tabs>
          <w:tab w:val="left" w:pos="6300"/>
        </w:tabs>
        <w:snapToGrid w:val="0"/>
        <w:ind w:right="-29" w:rightChars="-14"/>
        <w:rPr>
          <w:snapToGrid w:val="0"/>
          <w:kern w:val="0"/>
          <w:szCs w:val="24"/>
        </w:rPr>
      </w:pPr>
      <w:r>
        <w:rPr>
          <w:rFonts w:hint="eastAsia"/>
          <w:snapToGrid w:val="0"/>
          <w:kern w:val="0"/>
          <w:szCs w:val="24"/>
        </w:rPr>
        <w:t>2、我方现提交的</w:t>
      </w:r>
      <w:r>
        <w:rPr>
          <w:rFonts w:hint="eastAsia" w:cs="Cambria"/>
          <w:snapToGrid w:val="0"/>
          <w:kern w:val="0"/>
          <w:szCs w:val="24"/>
        </w:rPr>
        <w:t>参选</w:t>
      </w:r>
      <w:r>
        <w:rPr>
          <w:rFonts w:hint="eastAsia"/>
          <w:snapToGrid w:val="0"/>
          <w:kern w:val="0"/>
          <w:szCs w:val="24"/>
        </w:rPr>
        <w:t>文件为：</w:t>
      </w:r>
      <w:r>
        <w:rPr>
          <w:rFonts w:hint="eastAsia" w:cs="Cambria"/>
          <w:snapToGrid w:val="0"/>
          <w:kern w:val="0"/>
          <w:szCs w:val="24"/>
        </w:rPr>
        <w:t>参选</w:t>
      </w:r>
      <w:r>
        <w:rPr>
          <w:rFonts w:hint="eastAsia"/>
          <w:snapToGrid w:val="0"/>
          <w:kern w:val="0"/>
          <w:szCs w:val="24"/>
        </w:rPr>
        <w:t>文件正本一份，副本一份，电子文件一份。</w:t>
      </w:r>
    </w:p>
    <w:p w14:paraId="516C1F12">
      <w:pPr>
        <w:tabs>
          <w:tab w:val="left" w:pos="6300"/>
        </w:tabs>
        <w:snapToGrid w:val="0"/>
        <w:ind w:right="-29" w:rightChars="-14"/>
        <w:rPr>
          <w:snapToGrid w:val="0"/>
          <w:kern w:val="0"/>
          <w:szCs w:val="24"/>
        </w:rPr>
      </w:pPr>
      <w:r>
        <w:rPr>
          <w:rFonts w:hint="eastAsia"/>
          <w:snapToGrid w:val="0"/>
          <w:kern w:val="0"/>
          <w:szCs w:val="24"/>
        </w:rPr>
        <w:t>3、如果我方</w:t>
      </w:r>
      <w:r>
        <w:rPr>
          <w:rFonts w:hint="eastAsia" w:cs="Cambria"/>
          <w:snapToGrid w:val="0"/>
          <w:kern w:val="0"/>
          <w:szCs w:val="24"/>
        </w:rPr>
        <w:t>参选</w:t>
      </w:r>
      <w:r>
        <w:rPr>
          <w:rFonts w:hint="eastAsia"/>
          <w:snapToGrid w:val="0"/>
          <w:kern w:val="0"/>
          <w:szCs w:val="24"/>
        </w:rPr>
        <w:t>文件被接受，我方将履行比选文件中规定的各项要求，按相关法律法规和合同约定条款承担我方的责任。</w:t>
      </w:r>
    </w:p>
    <w:p w14:paraId="7B483E17">
      <w:pPr>
        <w:tabs>
          <w:tab w:val="left" w:pos="6300"/>
        </w:tabs>
        <w:snapToGrid w:val="0"/>
        <w:ind w:right="-29" w:rightChars="-14"/>
        <w:rPr>
          <w:snapToGrid w:val="0"/>
          <w:kern w:val="0"/>
          <w:szCs w:val="24"/>
        </w:rPr>
      </w:pPr>
      <w:r>
        <w:rPr>
          <w:rFonts w:hint="eastAsia"/>
          <w:snapToGrid w:val="0"/>
          <w:kern w:val="0"/>
          <w:szCs w:val="24"/>
        </w:rPr>
        <w:t>4、我方愿意提供比选文件中要求的所有资料，并对其真实性负责。</w:t>
      </w:r>
    </w:p>
    <w:p w14:paraId="1C1DA9DC">
      <w:pPr>
        <w:tabs>
          <w:tab w:val="left" w:pos="6300"/>
        </w:tabs>
        <w:snapToGrid w:val="0"/>
        <w:ind w:right="-29" w:rightChars="-14"/>
        <w:rPr>
          <w:snapToGrid w:val="0"/>
          <w:kern w:val="0"/>
          <w:szCs w:val="24"/>
        </w:rPr>
      </w:pPr>
      <w:r>
        <w:rPr>
          <w:rFonts w:hint="eastAsia"/>
          <w:snapToGrid w:val="0"/>
          <w:kern w:val="0"/>
          <w:szCs w:val="24"/>
        </w:rPr>
        <w:t>5、我方理解最低价格不是中选的唯一条件。</w:t>
      </w:r>
    </w:p>
    <w:p w14:paraId="0EC559EB">
      <w:pPr>
        <w:tabs>
          <w:tab w:val="left" w:pos="6300"/>
        </w:tabs>
        <w:snapToGrid w:val="0"/>
        <w:ind w:right="-29" w:rightChars="-14"/>
        <w:rPr>
          <w:snapToGrid w:val="0"/>
          <w:kern w:val="0"/>
          <w:szCs w:val="24"/>
        </w:rPr>
      </w:pPr>
      <w:r>
        <w:rPr>
          <w:rFonts w:hint="eastAsia"/>
          <w:snapToGrid w:val="0"/>
          <w:kern w:val="0"/>
          <w:szCs w:val="24"/>
        </w:rPr>
        <w:t>6、</w:t>
      </w:r>
      <w:r>
        <w:rPr>
          <w:rFonts w:hint="eastAsia" w:cs="Cambria"/>
          <w:snapToGrid w:val="0"/>
          <w:kern w:val="0"/>
          <w:szCs w:val="24"/>
        </w:rPr>
        <w:t>参选</w:t>
      </w:r>
      <w:r>
        <w:rPr>
          <w:rFonts w:hint="eastAsia"/>
          <w:snapToGrid w:val="0"/>
          <w:kern w:val="0"/>
          <w:szCs w:val="24"/>
        </w:rPr>
        <w:t>有效期为</w:t>
      </w:r>
      <w:r>
        <w:rPr>
          <w:rFonts w:hint="eastAsia" w:cs="Cambria"/>
          <w:snapToGrid w:val="0"/>
          <w:kern w:val="0"/>
          <w:szCs w:val="24"/>
        </w:rPr>
        <w:t>参选</w:t>
      </w:r>
      <w:r>
        <w:rPr>
          <w:rFonts w:hint="eastAsia"/>
          <w:snapToGrid w:val="0"/>
          <w:kern w:val="0"/>
          <w:szCs w:val="24"/>
        </w:rPr>
        <w:t>截止日期后90天内。</w:t>
      </w:r>
    </w:p>
    <w:p w14:paraId="4182837F">
      <w:pPr>
        <w:tabs>
          <w:tab w:val="left" w:pos="6300"/>
        </w:tabs>
        <w:snapToGrid w:val="0"/>
        <w:ind w:right="-29" w:rightChars="-14"/>
        <w:rPr>
          <w:snapToGrid w:val="0"/>
          <w:kern w:val="0"/>
          <w:szCs w:val="24"/>
        </w:rPr>
      </w:pPr>
      <w:r>
        <w:rPr>
          <w:rFonts w:hint="eastAsia"/>
          <w:snapToGrid w:val="0"/>
          <w:kern w:val="0"/>
          <w:szCs w:val="24"/>
        </w:rPr>
        <w:t>7、若我方中选，我方开具税率为</w:t>
      </w:r>
      <w:r>
        <w:rPr>
          <w:rFonts w:hint="eastAsia"/>
          <w:snapToGrid w:val="0"/>
          <w:kern w:val="0"/>
          <w:szCs w:val="24"/>
          <w:u w:val="single"/>
        </w:rPr>
        <w:t xml:space="preserve">      </w:t>
      </w:r>
      <w:r>
        <w:rPr>
          <w:rFonts w:hint="eastAsia"/>
          <w:snapToGrid w:val="0"/>
          <w:kern w:val="0"/>
          <w:szCs w:val="24"/>
        </w:rPr>
        <w:t>%的增值税专用发票。</w:t>
      </w:r>
    </w:p>
    <w:p w14:paraId="156DB139">
      <w:pPr>
        <w:tabs>
          <w:tab w:val="left" w:pos="6300"/>
        </w:tabs>
        <w:snapToGrid w:val="0"/>
        <w:ind w:right="-29" w:rightChars="-14"/>
        <w:rPr>
          <w:snapToGrid w:val="0"/>
          <w:kern w:val="0"/>
          <w:szCs w:val="24"/>
        </w:rPr>
      </w:pPr>
    </w:p>
    <w:p w14:paraId="084E337D">
      <w:pPr>
        <w:tabs>
          <w:tab w:val="left" w:pos="6300"/>
        </w:tabs>
        <w:snapToGrid w:val="0"/>
        <w:ind w:right="-29" w:rightChars="-14"/>
        <w:rPr>
          <w:snapToGrid w:val="0"/>
          <w:kern w:val="0"/>
          <w:szCs w:val="24"/>
        </w:rPr>
      </w:pPr>
      <w:r>
        <w:rPr>
          <w:rFonts w:hint="eastAsia" w:cs="Cambria"/>
          <w:snapToGrid w:val="0"/>
          <w:kern w:val="0"/>
          <w:szCs w:val="24"/>
        </w:rPr>
        <w:t>参选</w:t>
      </w:r>
      <w:r>
        <w:rPr>
          <w:rFonts w:hint="eastAsia"/>
          <w:snapToGrid w:val="0"/>
          <w:kern w:val="0"/>
          <w:szCs w:val="24"/>
        </w:rPr>
        <w:t>人（公章）：</w:t>
      </w:r>
    </w:p>
    <w:p w14:paraId="58C098A7">
      <w:pPr>
        <w:tabs>
          <w:tab w:val="left" w:pos="6300"/>
        </w:tabs>
        <w:snapToGrid w:val="0"/>
        <w:ind w:right="-29" w:rightChars="-14"/>
        <w:rPr>
          <w:snapToGrid w:val="0"/>
          <w:kern w:val="0"/>
          <w:szCs w:val="24"/>
        </w:rPr>
      </w:pPr>
      <w:r>
        <w:rPr>
          <w:rFonts w:hint="eastAsia"/>
          <w:snapToGrid w:val="0"/>
          <w:kern w:val="0"/>
          <w:szCs w:val="24"/>
        </w:rPr>
        <w:t xml:space="preserve">地址：  </w:t>
      </w:r>
    </w:p>
    <w:p w14:paraId="586DC2A3">
      <w:pPr>
        <w:tabs>
          <w:tab w:val="left" w:pos="6300"/>
        </w:tabs>
        <w:snapToGrid w:val="0"/>
        <w:ind w:right="-29" w:rightChars="-14"/>
        <w:rPr>
          <w:snapToGrid w:val="0"/>
          <w:kern w:val="0"/>
          <w:szCs w:val="24"/>
        </w:rPr>
      </w:pPr>
      <w:r>
        <w:rPr>
          <w:rFonts w:hint="eastAsia"/>
          <w:snapToGrid w:val="0"/>
          <w:kern w:val="0"/>
          <w:szCs w:val="24"/>
        </w:rPr>
        <w:t>电话：                           传真：</w:t>
      </w:r>
    </w:p>
    <w:p w14:paraId="31763859">
      <w:pPr>
        <w:tabs>
          <w:tab w:val="left" w:pos="6300"/>
        </w:tabs>
        <w:snapToGrid w:val="0"/>
        <w:ind w:right="-29" w:rightChars="-14"/>
        <w:rPr>
          <w:snapToGrid w:val="0"/>
          <w:kern w:val="0"/>
          <w:szCs w:val="24"/>
        </w:rPr>
      </w:pPr>
      <w:r>
        <w:rPr>
          <w:rFonts w:hint="eastAsia"/>
          <w:snapToGrid w:val="0"/>
          <w:kern w:val="0"/>
          <w:szCs w:val="24"/>
        </w:rPr>
        <w:t xml:space="preserve">网址：                         </w:t>
      </w:r>
    </w:p>
    <w:p w14:paraId="481D7DFE">
      <w:pPr>
        <w:tabs>
          <w:tab w:val="left" w:pos="6300"/>
        </w:tabs>
        <w:snapToGrid w:val="0"/>
        <w:ind w:right="-29" w:rightChars="-14" w:firstLine="5722" w:firstLineChars="2725"/>
        <w:rPr>
          <w:snapToGrid w:val="0"/>
          <w:kern w:val="0"/>
          <w:szCs w:val="24"/>
        </w:rPr>
      </w:pPr>
    </w:p>
    <w:p w14:paraId="6B394514">
      <w:pPr>
        <w:tabs>
          <w:tab w:val="left" w:pos="6300"/>
        </w:tabs>
        <w:snapToGrid w:val="0"/>
        <w:ind w:right="-29" w:rightChars="-14" w:firstLine="4725" w:firstLineChars="2250"/>
        <w:rPr>
          <w:snapToGrid w:val="0"/>
          <w:kern w:val="0"/>
          <w:szCs w:val="24"/>
        </w:rPr>
      </w:pPr>
      <w:r>
        <w:rPr>
          <w:rFonts w:hint="eastAsia"/>
          <w:snapToGrid w:val="0"/>
          <w:kern w:val="0"/>
          <w:szCs w:val="24"/>
        </w:rPr>
        <w:t>年     月     日</w:t>
      </w:r>
    </w:p>
    <w:p w14:paraId="05C1E594">
      <w:pPr>
        <w:widowControl/>
        <w:jc w:val="left"/>
        <w:rPr>
          <w:snapToGrid w:val="0"/>
          <w:kern w:val="0"/>
          <w:szCs w:val="24"/>
        </w:rPr>
      </w:pPr>
    </w:p>
    <w:p w14:paraId="4E3B7EDA">
      <w:pPr>
        <w:tabs>
          <w:tab w:val="left" w:pos="6300"/>
        </w:tabs>
        <w:snapToGrid w:val="0"/>
        <w:rPr>
          <w:snapToGrid w:val="0"/>
          <w:kern w:val="0"/>
          <w:szCs w:val="24"/>
        </w:rPr>
      </w:pPr>
    </w:p>
    <w:p w14:paraId="7E7F9E16">
      <w:pPr>
        <w:widowControl/>
        <w:ind w:firstLine="0" w:firstLineChars="0"/>
        <w:jc w:val="left"/>
        <w:rPr>
          <w:snapToGrid w:val="0"/>
          <w:kern w:val="0"/>
          <w:szCs w:val="24"/>
        </w:rPr>
      </w:pPr>
    </w:p>
    <w:p w14:paraId="3390158B">
      <w:pPr>
        <w:snapToGrid w:val="0"/>
        <w:rPr>
          <w:snapToGrid w:val="0"/>
          <w:kern w:val="0"/>
          <w:szCs w:val="24"/>
        </w:rPr>
      </w:pPr>
      <w:r>
        <w:rPr>
          <w:rFonts w:hint="eastAsia"/>
          <w:kern w:val="0"/>
        </w:rPr>
        <w:br w:type="page"/>
      </w:r>
    </w:p>
    <w:p w14:paraId="56D98862">
      <w:pPr>
        <w:pStyle w:val="34"/>
      </w:pPr>
      <w:bookmarkStart w:id="140" w:name="_Toc24907"/>
      <w:bookmarkStart w:id="141" w:name="_Toc27826"/>
      <w:r>
        <w:t>二、报价一览表</w:t>
      </w:r>
      <w:bookmarkEnd w:id="140"/>
      <w:bookmarkEnd w:id="141"/>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2876"/>
        <w:gridCol w:w="2964"/>
      </w:tblGrid>
      <w:tr w14:paraId="6649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bottom w:val="single" w:color="auto" w:sz="4" w:space="0"/>
              <w:right w:val="single" w:color="auto" w:sz="4" w:space="0"/>
            </w:tcBorders>
            <w:vAlign w:val="center"/>
          </w:tcPr>
          <w:p w14:paraId="1D58FEE2">
            <w:pPr>
              <w:spacing w:line="240" w:lineRule="atLeast"/>
              <w:jc w:val="center"/>
              <w:rPr>
                <w:rFonts w:hint="eastAsia" w:ascii="宋体" w:hAnsi="宋体" w:cs="宋体"/>
                <w:snapToGrid w:val="0"/>
                <w:kern w:val="0"/>
                <w:szCs w:val="21"/>
              </w:rPr>
            </w:pPr>
            <w:bookmarkStart w:id="142" w:name="_Hlk59456849"/>
            <w:r>
              <w:rPr>
                <w:rFonts w:hint="eastAsia" w:ascii="宋体" w:hAnsi="宋体" w:cs="宋体"/>
                <w:snapToGrid w:val="0"/>
                <w:kern w:val="0"/>
                <w:szCs w:val="21"/>
              </w:rPr>
              <w:t>参选人全称</w:t>
            </w:r>
          </w:p>
        </w:tc>
        <w:tc>
          <w:tcPr>
            <w:tcW w:w="3426" w:type="pct"/>
            <w:gridSpan w:val="2"/>
            <w:tcBorders>
              <w:top w:val="single" w:color="auto" w:sz="4" w:space="0"/>
              <w:left w:val="single" w:color="auto" w:sz="4" w:space="0"/>
              <w:bottom w:val="single" w:color="auto" w:sz="4" w:space="0"/>
              <w:right w:val="single" w:color="auto" w:sz="4" w:space="0"/>
            </w:tcBorders>
            <w:vAlign w:val="center"/>
          </w:tcPr>
          <w:p w14:paraId="4A4521FB">
            <w:pPr>
              <w:spacing w:line="240" w:lineRule="atLeast"/>
              <w:jc w:val="center"/>
              <w:rPr>
                <w:rFonts w:hint="eastAsia" w:ascii="宋体" w:hAnsi="宋体" w:cs="宋体"/>
                <w:szCs w:val="21"/>
              </w:rPr>
            </w:pPr>
          </w:p>
        </w:tc>
      </w:tr>
      <w:tr w14:paraId="459A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bottom w:val="single" w:color="auto" w:sz="4" w:space="0"/>
              <w:right w:val="single" w:color="auto" w:sz="4" w:space="0"/>
            </w:tcBorders>
            <w:vAlign w:val="center"/>
          </w:tcPr>
          <w:p w14:paraId="09F4104E">
            <w:pPr>
              <w:spacing w:line="240" w:lineRule="atLeast"/>
              <w:jc w:val="center"/>
              <w:rPr>
                <w:rFonts w:hint="eastAsia" w:ascii="宋体" w:hAnsi="宋体" w:cs="宋体"/>
                <w:snapToGrid w:val="0"/>
                <w:kern w:val="0"/>
                <w:szCs w:val="21"/>
              </w:rPr>
            </w:pPr>
            <w:r>
              <w:rPr>
                <w:rFonts w:hint="eastAsia" w:ascii="宋体" w:hAnsi="宋体" w:cs="宋体"/>
                <w:snapToGrid w:val="0"/>
                <w:kern w:val="0"/>
                <w:szCs w:val="21"/>
              </w:rPr>
              <w:t>比选项目名称</w:t>
            </w:r>
          </w:p>
        </w:tc>
        <w:tc>
          <w:tcPr>
            <w:tcW w:w="3426" w:type="pct"/>
            <w:gridSpan w:val="2"/>
            <w:tcBorders>
              <w:top w:val="single" w:color="auto" w:sz="4" w:space="0"/>
              <w:left w:val="single" w:color="auto" w:sz="4" w:space="0"/>
              <w:bottom w:val="single" w:color="auto" w:sz="4" w:space="0"/>
              <w:right w:val="single" w:color="auto" w:sz="4" w:space="0"/>
            </w:tcBorders>
            <w:vAlign w:val="center"/>
          </w:tcPr>
          <w:p w14:paraId="7554E712">
            <w:pPr>
              <w:spacing w:line="240" w:lineRule="atLeast"/>
              <w:jc w:val="center"/>
              <w:rPr>
                <w:rFonts w:hint="eastAsia" w:ascii="宋体" w:hAnsi="宋体" w:cs="宋体"/>
                <w:snapToGrid w:val="0"/>
                <w:szCs w:val="21"/>
              </w:rPr>
            </w:pPr>
          </w:p>
        </w:tc>
      </w:tr>
      <w:tr w14:paraId="0806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bottom w:val="single" w:color="auto" w:sz="4" w:space="0"/>
              <w:right w:val="single" w:color="auto" w:sz="4" w:space="0"/>
            </w:tcBorders>
            <w:vAlign w:val="center"/>
          </w:tcPr>
          <w:p w14:paraId="251ED89D">
            <w:pPr>
              <w:spacing w:line="240" w:lineRule="atLeast"/>
              <w:jc w:val="center"/>
              <w:rPr>
                <w:rFonts w:hint="eastAsia" w:ascii="宋体" w:hAnsi="宋体" w:cs="宋体"/>
                <w:snapToGrid w:val="0"/>
                <w:kern w:val="0"/>
                <w:szCs w:val="21"/>
              </w:rPr>
            </w:pPr>
            <w:r>
              <w:rPr>
                <w:rFonts w:hint="eastAsia" w:ascii="宋体" w:hAnsi="宋体" w:cs="宋体"/>
                <w:snapToGrid w:val="0"/>
                <w:szCs w:val="21"/>
              </w:rPr>
              <w:t>参选</w:t>
            </w:r>
            <w:r>
              <w:rPr>
                <w:rFonts w:hint="eastAsia" w:ascii="宋体" w:hAnsi="宋体" w:cs="宋体"/>
                <w:szCs w:val="21"/>
              </w:rPr>
              <w:t>总价（含税）</w:t>
            </w:r>
          </w:p>
        </w:tc>
        <w:tc>
          <w:tcPr>
            <w:tcW w:w="3426" w:type="pct"/>
            <w:gridSpan w:val="2"/>
            <w:tcBorders>
              <w:top w:val="single" w:color="auto" w:sz="4" w:space="0"/>
              <w:left w:val="single" w:color="auto" w:sz="4" w:space="0"/>
              <w:bottom w:val="single" w:color="auto" w:sz="4" w:space="0"/>
              <w:right w:val="single" w:color="auto" w:sz="4" w:space="0"/>
            </w:tcBorders>
            <w:vAlign w:val="center"/>
          </w:tcPr>
          <w:p w14:paraId="0ED3D111">
            <w:pPr>
              <w:spacing w:line="240" w:lineRule="atLeast"/>
              <w:rPr>
                <w:rFonts w:hint="eastAsia" w:ascii="宋体" w:hAnsi="宋体" w:cs="宋体"/>
                <w:snapToGrid w:val="0"/>
                <w:kern w:val="0"/>
                <w:szCs w:val="21"/>
              </w:rPr>
            </w:pPr>
            <w:r>
              <w:rPr>
                <w:rFonts w:hint="eastAsia" w:ascii="宋体" w:hAnsi="宋体" w:cs="宋体"/>
                <w:snapToGrid w:val="0"/>
                <w:kern w:val="0"/>
                <w:szCs w:val="21"/>
              </w:rPr>
              <w:t xml:space="preserve">小写（人民币）：            </w:t>
            </w:r>
          </w:p>
          <w:p w14:paraId="285B9398">
            <w:pPr>
              <w:spacing w:line="240" w:lineRule="atLeast"/>
              <w:rPr>
                <w:rFonts w:hint="eastAsia" w:ascii="宋体" w:hAnsi="宋体" w:cs="宋体"/>
                <w:snapToGrid w:val="0"/>
                <w:szCs w:val="21"/>
              </w:rPr>
            </w:pPr>
            <w:r>
              <w:rPr>
                <w:rFonts w:hint="eastAsia" w:ascii="宋体" w:hAnsi="宋体" w:cs="宋体"/>
                <w:snapToGrid w:val="0"/>
                <w:kern w:val="0"/>
                <w:szCs w:val="21"/>
              </w:rPr>
              <w:t xml:space="preserve">大写（人民币）：            </w:t>
            </w:r>
          </w:p>
        </w:tc>
      </w:tr>
      <w:tr w14:paraId="0DD0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bottom w:val="single" w:color="auto" w:sz="4" w:space="0"/>
              <w:right w:val="single" w:color="auto" w:sz="4" w:space="0"/>
            </w:tcBorders>
            <w:vAlign w:val="center"/>
          </w:tcPr>
          <w:p w14:paraId="5AB5F369">
            <w:pPr>
              <w:spacing w:line="240" w:lineRule="atLeast"/>
              <w:jc w:val="center"/>
              <w:rPr>
                <w:rFonts w:hint="eastAsia" w:ascii="宋体" w:hAnsi="宋体" w:cs="宋体"/>
                <w:snapToGrid w:val="0"/>
                <w:szCs w:val="21"/>
              </w:rPr>
            </w:pPr>
            <w:r>
              <w:rPr>
                <w:rFonts w:hint="eastAsia" w:ascii="宋体" w:hAnsi="宋体" w:cs="宋体"/>
                <w:snapToGrid w:val="0"/>
                <w:szCs w:val="21"/>
              </w:rPr>
              <w:t>参选</w:t>
            </w:r>
            <w:r>
              <w:rPr>
                <w:rFonts w:hint="eastAsia" w:ascii="宋体" w:hAnsi="宋体" w:cs="宋体"/>
                <w:szCs w:val="21"/>
              </w:rPr>
              <w:t>总价（不含税）</w:t>
            </w:r>
          </w:p>
        </w:tc>
        <w:tc>
          <w:tcPr>
            <w:tcW w:w="3426" w:type="pct"/>
            <w:gridSpan w:val="2"/>
            <w:tcBorders>
              <w:top w:val="single" w:color="auto" w:sz="4" w:space="0"/>
              <w:left w:val="single" w:color="auto" w:sz="4" w:space="0"/>
              <w:bottom w:val="single" w:color="auto" w:sz="4" w:space="0"/>
              <w:right w:val="single" w:color="auto" w:sz="4" w:space="0"/>
            </w:tcBorders>
            <w:vAlign w:val="center"/>
          </w:tcPr>
          <w:p w14:paraId="5A4AC616">
            <w:pPr>
              <w:spacing w:line="240" w:lineRule="atLeast"/>
              <w:rPr>
                <w:rFonts w:hint="eastAsia" w:ascii="宋体" w:hAnsi="宋体" w:cs="宋体"/>
                <w:snapToGrid w:val="0"/>
                <w:kern w:val="0"/>
                <w:szCs w:val="21"/>
              </w:rPr>
            </w:pPr>
            <w:r>
              <w:rPr>
                <w:rFonts w:hint="eastAsia" w:ascii="宋体" w:hAnsi="宋体" w:cs="宋体"/>
                <w:snapToGrid w:val="0"/>
                <w:kern w:val="0"/>
                <w:szCs w:val="21"/>
              </w:rPr>
              <w:t xml:space="preserve">小写（人民币）：            </w:t>
            </w:r>
          </w:p>
          <w:p w14:paraId="4D6AE1F9">
            <w:pPr>
              <w:spacing w:line="240" w:lineRule="atLeast"/>
              <w:rPr>
                <w:rFonts w:hint="eastAsia" w:ascii="宋体" w:hAnsi="宋体" w:cs="宋体"/>
                <w:snapToGrid w:val="0"/>
                <w:kern w:val="0"/>
                <w:szCs w:val="21"/>
              </w:rPr>
            </w:pPr>
            <w:r>
              <w:rPr>
                <w:rFonts w:hint="eastAsia" w:ascii="宋体" w:hAnsi="宋体" w:cs="宋体"/>
                <w:snapToGrid w:val="0"/>
                <w:kern w:val="0"/>
                <w:szCs w:val="21"/>
              </w:rPr>
              <w:t xml:space="preserve">大写（人民币）：            </w:t>
            </w:r>
          </w:p>
        </w:tc>
      </w:tr>
      <w:tr w14:paraId="7196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right w:val="single" w:color="auto" w:sz="4" w:space="0"/>
            </w:tcBorders>
            <w:vAlign w:val="center"/>
          </w:tcPr>
          <w:p w14:paraId="779C68A6">
            <w:pPr>
              <w:spacing w:line="240" w:lineRule="atLeast"/>
              <w:ind w:firstLine="0" w:firstLineChars="0"/>
              <w:jc w:val="center"/>
              <w:rPr>
                <w:rFonts w:hint="eastAsia" w:ascii="宋体" w:hAnsi="宋体" w:cs="宋体"/>
                <w:szCs w:val="21"/>
              </w:rPr>
            </w:pPr>
            <w:r>
              <w:rPr>
                <w:rFonts w:hint="eastAsia" w:ascii="宋体" w:hAnsi="宋体" w:cs="宋体"/>
                <w:szCs w:val="21"/>
              </w:rPr>
              <w:t>产品报价小写</w:t>
            </w:r>
          </w:p>
          <w:p w14:paraId="13AE9729">
            <w:pPr>
              <w:spacing w:line="240" w:lineRule="atLeast"/>
              <w:ind w:firstLine="0" w:firstLineChars="0"/>
              <w:jc w:val="center"/>
              <w:rPr>
                <w:rFonts w:hint="eastAsia" w:ascii="宋体" w:hAnsi="宋体" w:cs="宋体"/>
                <w:szCs w:val="21"/>
              </w:rPr>
            </w:pPr>
            <w:r>
              <w:rPr>
                <w:rFonts w:hint="eastAsia" w:ascii="宋体" w:hAnsi="宋体" w:cs="宋体"/>
                <w:szCs w:val="21"/>
              </w:rPr>
              <w:t>（税率：13%：）</w:t>
            </w:r>
          </w:p>
        </w:tc>
        <w:tc>
          <w:tcPr>
            <w:tcW w:w="1688" w:type="pct"/>
            <w:tcBorders>
              <w:top w:val="single" w:color="auto" w:sz="4" w:space="0"/>
              <w:left w:val="single" w:color="auto" w:sz="4" w:space="0"/>
              <w:right w:val="single" w:color="auto" w:sz="4" w:space="0"/>
            </w:tcBorders>
            <w:vAlign w:val="center"/>
          </w:tcPr>
          <w:p w14:paraId="58EF587E">
            <w:pPr>
              <w:spacing w:line="240" w:lineRule="atLeast"/>
              <w:rPr>
                <w:rFonts w:hint="eastAsia" w:ascii="宋体" w:hAnsi="宋体" w:cs="宋体"/>
                <w:szCs w:val="21"/>
              </w:rPr>
            </w:pPr>
            <w:r>
              <w:rPr>
                <w:rFonts w:hint="eastAsia" w:ascii="宋体" w:hAnsi="宋体" w:cs="宋体"/>
                <w:szCs w:val="21"/>
              </w:rPr>
              <w:t>含税价：</w:t>
            </w:r>
          </w:p>
        </w:tc>
        <w:tc>
          <w:tcPr>
            <w:tcW w:w="1738" w:type="pct"/>
            <w:tcBorders>
              <w:top w:val="single" w:color="auto" w:sz="4" w:space="0"/>
              <w:left w:val="single" w:color="auto" w:sz="4" w:space="0"/>
              <w:bottom w:val="single" w:color="auto" w:sz="4" w:space="0"/>
              <w:right w:val="single" w:color="auto" w:sz="4" w:space="0"/>
            </w:tcBorders>
            <w:vAlign w:val="center"/>
          </w:tcPr>
          <w:p w14:paraId="65FF3168">
            <w:pPr>
              <w:spacing w:line="240" w:lineRule="atLeast"/>
              <w:rPr>
                <w:rFonts w:hint="eastAsia" w:ascii="宋体" w:hAnsi="宋体" w:cs="宋体"/>
                <w:szCs w:val="21"/>
              </w:rPr>
            </w:pPr>
            <w:r>
              <w:rPr>
                <w:rFonts w:hint="eastAsia" w:ascii="宋体" w:hAnsi="宋体" w:cs="宋体"/>
                <w:szCs w:val="21"/>
              </w:rPr>
              <w:t>不含税价：</w:t>
            </w:r>
          </w:p>
        </w:tc>
      </w:tr>
      <w:tr w14:paraId="719F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left w:val="single" w:color="auto" w:sz="4" w:space="0"/>
              <w:bottom w:val="single" w:color="auto" w:sz="4" w:space="0"/>
              <w:right w:val="single" w:color="auto" w:sz="4" w:space="0"/>
            </w:tcBorders>
            <w:vAlign w:val="center"/>
          </w:tcPr>
          <w:p w14:paraId="02582992">
            <w:pPr>
              <w:spacing w:line="240" w:lineRule="atLeast"/>
              <w:ind w:firstLine="0" w:firstLineChars="0"/>
              <w:jc w:val="center"/>
              <w:rPr>
                <w:rFonts w:hint="eastAsia" w:ascii="宋体" w:hAnsi="宋体" w:cs="宋体"/>
                <w:szCs w:val="21"/>
              </w:rPr>
            </w:pPr>
            <w:r>
              <w:rPr>
                <w:rFonts w:hint="eastAsia" w:ascii="宋体" w:hAnsi="宋体" w:cs="宋体"/>
                <w:szCs w:val="21"/>
              </w:rPr>
              <w:t>定制开发报价小写</w:t>
            </w:r>
          </w:p>
          <w:p w14:paraId="2B478E0D">
            <w:pPr>
              <w:spacing w:line="240" w:lineRule="atLeast"/>
              <w:ind w:firstLine="0" w:firstLineChars="0"/>
              <w:jc w:val="center"/>
              <w:rPr>
                <w:rFonts w:hint="eastAsia" w:ascii="宋体" w:hAnsi="宋体" w:cs="宋体"/>
                <w:szCs w:val="21"/>
              </w:rPr>
            </w:pPr>
            <w:r>
              <w:rPr>
                <w:rFonts w:hint="eastAsia" w:ascii="宋体" w:hAnsi="宋体" w:cs="宋体"/>
                <w:szCs w:val="21"/>
              </w:rPr>
              <w:t>（税率：6%）</w:t>
            </w:r>
          </w:p>
        </w:tc>
        <w:tc>
          <w:tcPr>
            <w:tcW w:w="1688" w:type="pct"/>
            <w:tcBorders>
              <w:left w:val="single" w:color="auto" w:sz="4" w:space="0"/>
              <w:bottom w:val="single" w:color="auto" w:sz="4" w:space="0"/>
              <w:right w:val="single" w:color="auto" w:sz="4" w:space="0"/>
            </w:tcBorders>
            <w:vAlign w:val="center"/>
          </w:tcPr>
          <w:p w14:paraId="42B0E668">
            <w:pPr>
              <w:spacing w:line="240" w:lineRule="atLeast"/>
              <w:rPr>
                <w:rFonts w:hint="eastAsia" w:ascii="宋体" w:hAnsi="宋体" w:cs="宋体"/>
                <w:szCs w:val="21"/>
              </w:rPr>
            </w:pPr>
            <w:r>
              <w:rPr>
                <w:rFonts w:hint="eastAsia" w:ascii="宋体" w:hAnsi="宋体" w:cs="宋体"/>
                <w:szCs w:val="21"/>
              </w:rPr>
              <w:t>含税价：</w:t>
            </w:r>
          </w:p>
        </w:tc>
        <w:tc>
          <w:tcPr>
            <w:tcW w:w="1738" w:type="pct"/>
            <w:tcBorders>
              <w:top w:val="single" w:color="auto" w:sz="4" w:space="0"/>
              <w:left w:val="single" w:color="auto" w:sz="4" w:space="0"/>
              <w:bottom w:val="single" w:color="auto" w:sz="4" w:space="0"/>
              <w:right w:val="single" w:color="auto" w:sz="4" w:space="0"/>
            </w:tcBorders>
            <w:vAlign w:val="center"/>
          </w:tcPr>
          <w:p w14:paraId="7FAA78B8">
            <w:pPr>
              <w:spacing w:line="240" w:lineRule="atLeast"/>
              <w:rPr>
                <w:rFonts w:hint="eastAsia" w:ascii="宋体" w:hAnsi="宋体" w:cs="宋体"/>
                <w:szCs w:val="21"/>
              </w:rPr>
            </w:pPr>
            <w:r>
              <w:rPr>
                <w:rFonts w:hint="eastAsia" w:ascii="宋体" w:hAnsi="宋体" w:cs="宋体"/>
                <w:szCs w:val="21"/>
              </w:rPr>
              <w:t>不含税价：</w:t>
            </w:r>
          </w:p>
        </w:tc>
      </w:tr>
      <w:tr w14:paraId="7E98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bottom w:val="single" w:color="auto" w:sz="4" w:space="0"/>
              <w:right w:val="single" w:color="auto" w:sz="4" w:space="0"/>
            </w:tcBorders>
            <w:vAlign w:val="center"/>
          </w:tcPr>
          <w:p w14:paraId="3032BA4E">
            <w:pPr>
              <w:spacing w:line="240" w:lineRule="atLeast"/>
              <w:jc w:val="center"/>
              <w:rPr>
                <w:rFonts w:hint="eastAsia" w:ascii="宋体" w:hAnsi="宋体" w:cs="宋体"/>
                <w:snapToGrid w:val="0"/>
                <w:kern w:val="0"/>
                <w:szCs w:val="21"/>
              </w:rPr>
            </w:pPr>
            <w:r>
              <w:rPr>
                <w:rFonts w:hint="eastAsia" w:ascii="宋体" w:hAnsi="宋体" w:cs="宋体"/>
                <w:snapToGrid w:val="0"/>
                <w:kern w:val="0"/>
                <w:szCs w:val="21"/>
              </w:rPr>
              <w:t>维护期</w:t>
            </w:r>
          </w:p>
        </w:tc>
        <w:tc>
          <w:tcPr>
            <w:tcW w:w="3426" w:type="pct"/>
            <w:gridSpan w:val="2"/>
            <w:tcBorders>
              <w:top w:val="single" w:color="auto" w:sz="4" w:space="0"/>
              <w:left w:val="single" w:color="auto" w:sz="4" w:space="0"/>
              <w:bottom w:val="single" w:color="auto" w:sz="4" w:space="0"/>
              <w:right w:val="single" w:color="auto" w:sz="4" w:space="0"/>
            </w:tcBorders>
            <w:vAlign w:val="center"/>
          </w:tcPr>
          <w:p w14:paraId="173DD67C">
            <w:pPr>
              <w:spacing w:line="240" w:lineRule="atLeast"/>
              <w:jc w:val="center"/>
              <w:rPr>
                <w:rFonts w:hint="eastAsia" w:ascii="宋体" w:hAnsi="宋体" w:cs="宋体"/>
                <w:szCs w:val="21"/>
              </w:rPr>
            </w:pPr>
          </w:p>
        </w:tc>
      </w:tr>
      <w:tr w14:paraId="2C70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bottom w:val="single" w:color="auto" w:sz="4" w:space="0"/>
              <w:right w:val="single" w:color="auto" w:sz="4" w:space="0"/>
            </w:tcBorders>
            <w:vAlign w:val="center"/>
          </w:tcPr>
          <w:p w14:paraId="78F77091">
            <w:pPr>
              <w:spacing w:line="240" w:lineRule="atLeast"/>
              <w:jc w:val="center"/>
              <w:rPr>
                <w:rFonts w:hint="eastAsia" w:ascii="宋体" w:hAnsi="宋体" w:cs="宋体"/>
                <w:snapToGrid w:val="0"/>
                <w:kern w:val="0"/>
                <w:szCs w:val="21"/>
              </w:rPr>
            </w:pPr>
            <w:r>
              <w:rPr>
                <w:rFonts w:hint="eastAsia" w:ascii="宋体" w:hAnsi="宋体" w:cs="宋体"/>
                <w:snapToGrid w:val="0"/>
                <w:kern w:val="0"/>
                <w:szCs w:val="21"/>
              </w:rPr>
              <w:t>维护期后的维保费率</w:t>
            </w:r>
          </w:p>
        </w:tc>
        <w:tc>
          <w:tcPr>
            <w:tcW w:w="3426" w:type="pct"/>
            <w:gridSpan w:val="2"/>
            <w:tcBorders>
              <w:top w:val="single" w:color="auto" w:sz="4" w:space="0"/>
              <w:left w:val="single" w:color="auto" w:sz="4" w:space="0"/>
              <w:bottom w:val="single" w:color="auto" w:sz="4" w:space="0"/>
              <w:right w:val="single" w:color="auto" w:sz="4" w:space="0"/>
            </w:tcBorders>
            <w:vAlign w:val="center"/>
          </w:tcPr>
          <w:p w14:paraId="7ED75133">
            <w:pPr>
              <w:spacing w:line="240" w:lineRule="atLeast"/>
              <w:jc w:val="center"/>
              <w:rPr>
                <w:rFonts w:hint="eastAsia" w:ascii="宋体" w:hAnsi="宋体" w:cs="宋体"/>
                <w:szCs w:val="21"/>
              </w:rPr>
            </w:pPr>
          </w:p>
        </w:tc>
      </w:tr>
      <w:tr w14:paraId="1801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73" w:type="pct"/>
            <w:tcBorders>
              <w:top w:val="single" w:color="auto" w:sz="4" w:space="0"/>
              <w:left w:val="single" w:color="auto" w:sz="4" w:space="0"/>
              <w:bottom w:val="single" w:color="auto" w:sz="4" w:space="0"/>
              <w:right w:val="single" w:color="auto" w:sz="4" w:space="0"/>
            </w:tcBorders>
            <w:vAlign w:val="center"/>
          </w:tcPr>
          <w:p w14:paraId="3B2EBFEC">
            <w:pPr>
              <w:spacing w:line="240" w:lineRule="atLeast"/>
              <w:jc w:val="center"/>
              <w:rPr>
                <w:rFonts w:hint="eastAsia" w:ascii="宋体" w:hAnsi="宋体" w:cs="宋体"/>
                <w:snapToGrid w:val="0"/>
                <w:kern w:val="0"/>
                <w:szCs w:val="21"/>
              </w:rPr>
            </w:pPr>
            <w:r>
              <w:rPr>
                <w:rFonts w:hint="eastAsia" w:ascii="宋体" w:hAnsi="宋体" w:cs="宋体"/>
                <w:snapToGrid w:val="0"/>
                <w:kern w:val="0"/>
                <w:szCs w:val="21"/>
              </w:rPr>
              <w:t>开具发票类型</w:t>
            </w:r>
          </w:p>
        </w:tc>
        <w:tc>
          <w:tcPr>
            <w:tcW w:w="3426" w:type="pct"/>
            <w:gridSpan w:val="2"/>
            <w:tcBorders>
              <w:top w:val="single" w:color="auto" w:sz="4" w:space="0"/>
              <w:left w:val="single" w:color="auto" w:sz="4" w:space="0"/>
              <w:bottom w:val="single" w:color="auto" w:sz="4" w:space="0"/>
              <w:right w:val="single" w:color="auto" w:sz="4" w:space="0"/>
            </w:tcBorders>
            <w:vAlign w:val="center"/>
          </w:tcPr>
          <w:p w14:paraId="3F7A61BB">
            <w:pPr>
              <w:spacing w:line="240" w:lineRule="atLeast"/>
              <w:jc w:val="center"/>
              <w:rPr>
                <w:rFonts w:hint="eastAsia" w:ascii="宋体" w:hAnsi="宋体" w:cs="宋体"/>
                <w:szCs w:val="21"/>
              </w:rPr>
            </w:pPr>
            <w:r>
              <w:rPr>
                <w:rFonts w:hint="eastAsia" w:ascii="宋体" w:hAnsi="宋体" w:cs="宋体"/>
                <w:szCs w:val="21"/>
              </w:rPr>
              <w:t>增值税专用发票</w:t>
            </w:r>
          </w:p>
        </w:tc>
      </w:tr>
      <w:tr w14:paraId="3EBF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000" w:type="pct"/>
            <w:gridSpan w:val="3"/>
            <w:tcBorders>
              <w:top w:val="single" w:color="auto" w:sz="4" w:space="0"/>
              <w:left w:val="single" w:color="auto" w:sz="4" w:space="0"/>
              <w:bottom w:val="single" w:color="auto" w:sz="4" w:space="0"/>
              <w:right w:val="single" w:color="auto" w:sz="4" w:space="0"/>
            </w:tcBorders>
          </w:tcPr>
          <w:p w14:paraId="68F10A3E">
            <w:pPr>
              <w:pStyle w:val="14"/>
              <w:spacing w:line="240" w:lineRule="atLeast"/>
              <w:rPr>
                <w:rFonts w:hint="eastAsia" w:ascii="宋体" w:hAnsi="宋体" w:cs="宋体"/>
                <w:snapToGrid w:val="0"/>
                <w:szCs w:val="21"/>
              </w:rPr>
            </w:pPr>
          </w:p>
          <w:p w14:paraId="46103A45">
            <w:pPr>
              <w:pStyle w:val="14"/>
              <w:spacing w:line="240" w:lineRule="atLeast"/>
              <w:rPr>
                <w:rFonts w:hint="eastAsia" w:ascii="宋体" w:hAnsi="宋体" w:cs="宋体"/>
                <w:snapToGrid w:val="0"/>
                <w:szCs w:val="21"/>
              </w:rPr>
            </w:pPr>
            <w:r>
              <w:rPr>
                <w:rFonts w:hint="eastAsia" w:ascii="宋体" w:hAnsi="宋体" w:cs="宋体"/>
                <w:snapToGrid w:val="0"/>
                <w:szCs w:val="21"/>
              </w:rPr>
              <w:t>备注：</w:t>
            </w:r>
          </w:p>
        </w:tc>
      </w:tr>
    </w:tbl>
    <w:p w14:paraId="4D66B923">
      <w:pPr>
        <w:ind w:right="-29" w:rightChars="-14"/>
        <w:rPr>
          <w:szCs w:val="28"/>
        </w:rPr>
      </w:pPr>
    </w:p>
    <w:p w14:paraId="43E8BF63">
      <w:pPr>
        <w:ind w:right="-29" w:rightChars="-14"/>
        <w:rPr>
          <w:szCs w:val="28"/>
        </w:rPr>
      </w:pPr>
      <w:r>
        <w:rPr>
          <w:rFonts w:hint="eastAsia"/>
          <w:szCs w:val="28"/>
        </w:rPr>
        <w:t>注：上述税率为推荐税率，因国家政策产生的特殊情况除外，若有税收优惠请附相关凭证。若遇国家税率调整，则保持不含税价不变，重新计算含税价格。</w:t>
      </w:r>
    </w:p>
    <w:bookmarkEnd w:id="142"/>
    <w:p w14:paraId="353F0199">
      <w:pPr>
        <w:ind w:right="-29" w:rightChars="-14"/>
        <w:rPr>
          <w:szCs w:val="28"/>
        </w:rPr>
      </w:pPr>
    </w:p>
    <w:p w14:paraId="0CA13F6D">
      <w:pPr>
        <w:ind w:right="-29" w:rightChars="-14"/>
        <w:rPr>
          <w:snapToGrid w:val="0"/>
          <w:kern w:val="0"/>
          <w:szCs w:val="24"/>
        </w:rPr>
      </w:pPr>
      <w:r>
        <w:rPr>
          <w:rFonts w:hint="eastAsia" w:cs="等线 Light"/>
          <w:snapToGrid w:val="0"/>
          <w:kern w:val="0"/>
          <w:szCs w:val="24"/>
        </w:rPr>
        <w:t>参选</w:t>
      </w:r>
      <w:r>
        <w:rPr>
          <w:rFonts w:hint="eastAsia"/>
          <w:snapToGrid w:val="0"/>
          <w:kern w:val="0"/>
          <w:szCs w:val="24"/>
        </w:rPr>
        <w:t>人：                            法人授权代表：</w:t>
      </w:r>
    </w:p>
    <w:p w14:paraId="5C7D294C">
      <w:pPr>
        <w:ind w:right="-29" w:rightChars="-14"/>
        <w:rPr>
          <w:snapToGrid w:val="0"/>
          <w:kern w:val="0"/>
          <w:szCs w:val="24"/>
        </w:rPr>
      </w:pPr>
      <w:r>
        <w:rPr>
          <w:rFonts w:hint="eastAsia"/>
          <w:snapToGrid w:val="0"/>
          <w:kern w:val="0"/>
          <w:szCs w:val="24"/>
        </w:rPr>
        <w:t xml:space="preserve">  （公章）                               （签字或盖章）</w:t>
      </w:r>
    </w:p>
    <w:p w14:paraId="19E1D6E6">
      <w:pPr>
        <w:ind w:right="-29" w:rightChars="-14"/>
        <w:jc w:val="right"/>
        <w:rPr>
          <w:snapToGrid w:val="0"/>
          <w:kern w:val="0"/>
          <w:szCs w:val="24"/>
        </w:rPr>
      </w:pPr>
      <w:r>
        <w:rPr>
          <w:rFonts w:hint="eastAsia"/>
          <w:snapToGrid w:val="0"/>
          <w:kern w:val="0"/>
          <w:szCs w:val="24"/>
        </w:rPr>
        <w:t xml:space="preserve">                                     年     月     日</w:t>
      </w:r>
    </w:p>
    <w:p w14:paraId="601B1228">
      <w:pPr>
        <w:snapToGrid w:val="0"/>
        <w:ind w:firstLine="0" w:firstLineChars="0"/>
        <w:rPr>
          <w:snapToGrid w:val="0"/>
          <w:kern w:val="0"/>
          <w:szCs w:val="24"/>
        </w:rPr>
      </w:pPr>
    </w:p>
    <w:p w14:paraId="5B92B655">
      <w:pPr>
        <w:snapToGrid w:val="0"/>
        <w:spacing w:line="240" w:lineRule="auto"/>
        <w:rPr>
          <w:snapToGrid w:val="0"/>
          <w:kern w:val="0"/>
          <w:szCs w:val="24"/>
        </w:rPr>
      </w:pPr>
      <w:r>
        <w:rPr>
          <w:rFonts w:hint="eastAsia"/>
          <w:snapToGrid w:val="0"/>
          <w:kern w:val="0"/>
          <w:szCs w:val="24"/>
        </w:rPr>
        <w:t>有关说明：</w:t>
      </w:r>
    </w:p>
    <w:p w14:paraId="1ECA83D4">
      <w:pPr>
        <w:snapToGrid w:val="0"/>
        <w:spacing w:line="240" w:lineRule="auto"/>
        <w:rPr>
          <w:snapToGrid w:val="0"/>
          <w:kern w:val="0"/>
          <w:szCs w:val="24"/>
        </w:rPr>
      </w:pPr>
      <w:r>
        <w:rPr>
          <w:rFonts w:hint="eastAsia"/>
          <w:snapToGrid w:val="0"/>
          <w:kern w:val="0"/>
          <w:szCs w:val="24"/>
        </w:rPr>
        <w:t>报价一览表在开标大会上当众宣读，务必填写清楚，准确无误。表格可扩展。</w:t>
      </w:r>
    </w:p>
    <w:p w14:paraId="52CD6775">
      <w:pPr>
        <w:spacing w:line="240" w:lineRule="auto"/>
        <w:rPr>
          <w:snapToGrid w:val="0"/>
          <w:kern w:val="0"/>
          <w:szCs w:val="24"/>
        </w:rPr>
      </w:pPr>
      <w:r>
        <w:rPr>
          <w:rFonts w:hint="eastAsia"/>
          <w:snapToGrid w:val="0"/>
          <w:kern w:val="0"/>
          <w:szCs w:val="24"/>
        </w:rPr>
        <w:t>本次报价包含上述维护期，比选人不再另行支付该维护期内维护费用。</w:t>
      </w:r>
    </w:p>
    <w:p w14:paraId="7DDECD1D">
      <w:pPr>
        <w:rPr>
          <w:snapToGrid w:val="0"/>
          <w:kern w:val="0"/>
          <w:szCs w:val="24"/>
        </w:rPr>
      </w:pPr>
    </w:p>
    <w:p w14:paraId="37298C66">
      <w:pPr>
        <w:rPr>
          <w:snapToGrid w:val="0"/>
          <w:kern w:val="0"/>
          <w:szCs w:val="24"/>
        </w:rPr>
        <w:sectPr>
          <w:pgSz w:w="11906" w:h="16838"/>
          <w:pgMar w:top="1440" w:right="1800" w:bottom="1440" w:left="1800" w:header="851" w:footer="992" w:gutter="0"/>
          <w:cols w:space="720" w:num="1"/>
          <w:docGrid w:type="lines" w:linePitch="312" w:charSpace="0"/>
        </w:sectPr>
      </w:pPr>
    </w:p>
    <w:p w14:paraId="3D99CB22">
      <w:pPr>
        <w:pStyle w:val="34"/>
      </w:pPr>
      <w:r>
        <w:t>三、资格性文件</w:t>
      </w:r>
    </w:p>
    <w:p w14:paraId="7CC7AE28">
      <w:pPr>
        <w:pStyle w:val="40"/>
      </w:pPr>
      <w:r>
        <w:t>（一）参选人基本情况介绍，资质证明等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1F62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7BE95C40">
            <w:pPr>
              <w:ind w:firstLine="0" w:firstLineChars="0"/>
              <w:jc w:val="center"/>
              <w:rPr>
                <w:sz w:val="22"/>
                <w:szCs w:val="24"/>
              </w:rPr>
            </w:pPr>
            <w:r>
              <w:rPr>
                <w:rFonts w:hint="eastAsia"/>
                <w:sz w:val="22"/>
                <w:szCs w:val="24"/>
              </w:rPr>
              <w:t>参选人名称</w:t>
            </w:r>
          </w:p>
        </w:tc>
        <w:tc>
          <w:tcPr>
            <w:tcW w:w="7114" w:type="dxa"/>
            <w:gridSpan w:val="8"/>
          </w:tcPr>
          <w:p w14:paraId="4AB57828">
            <w:pPr>
              <w:ind w:firstLine="0" w:firstLineChars="0"/>
              <w:jc w:val="center"/>
              <w:rPr>
                <w:sz w:val="22"/>
                <w:szCs w:val="24"/>
              </w:rPr>
            </w:pPr>
          </w:p>
        </w:tc>
      </w:tr>
      <w:tr w14:paraId="7941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2758F38A">
            <w:pPr>
              <w:ind w:firstLine="0" w:firstLineChars="0"/>
              <w:jc w:val="center"/>
              <w:rPr>
                <w:sz w:val="22"/>
                <w:szCs w:val="24"/>
              </w:rPr>
            </w:pPr>
            <w:r>
              <w:rPr>
                <w:rFonts w:hint="eastAsia"/>
                <w:sz w:val="22"/>
                <w:szCs w:val="24"/>
              </w:rPr>
              <w:t>注册地址</w:t>
            </w:r>
          </w:p>
        </w:tc>
        <w:tc>
          <w:tcPr>
            <w:tcW w:w="4132" w:type="dxa"/>
            <w:gridSpan w:val="4"/>
            <w:tcBorders>
              <w:top w:val="single" w:color="auto" w:sz="4" w:space="0"/>
              <w:left w:val="single" w:color="auto" w:sz="4" w:space="0"/>
              <w:right w:val="single" w:color="auto" w:sz="4" w:space="0"/>
            </w:tcBorders>
          </w:tcPr>
          <w:p w14:paraId="6E97AF80">
            <w:pPr>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5403C024">
            <w:pPr>
              <w:ind w:firstLine="0" w:firstLineChars="0"/>
              <w:jc w:val="center"/>
              <w:rPr>
                <w:sz w:val="22"/>
                <w:szCs w:val="24"/>
              </w:rPr>
            </w:pPr>
            <w:r>
              <w:rPr>
                <w:rFonts w:hint="eastAsia"/>
                <w:sz w:val="22"/>
                <w:szCs w:val="24"/>
              </w:rPr>
              <w:t>邮政编码</w:t>
            </w:r>
          </w:p>
        </w:tc>
        <w:tc>
          <w:tcPr>
            <w:tcW w:w="1657" w:type="dxa"/>
            <w:gridSpan w:val="3"/>
            <w:tcBorders>
              <w:left w:val="single" w:color="auto" w:sz="4" w:space="0"/>
            </w:tcBorders>
          </w:tcPr>
          <w:p w14:paraId="3E26553A">
            <w:pPr>
              <w:ind w:firstLine="0" w:firstLineChars="0"/>
              <w:jc w:val="center"/>
              <w:rPr>
                <w:sz w:val="22"/>
                <w:szCs w:val="24"/>
              </w:rPr>
            </w:pPr>
          </w:p>
        </w:tc>
      </w:tr>
      <w:tr w14:paraId="70EA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623843B2">
            <w:pPr>
              <w:ind w:firstLine="0" w:firstLineChars="0"/>
              <w:jc w:val="center"/>
              <w:rPr>
                <w:sz w:val="22"/>
                <w:szCs w:val="24"/>
              </w:rPr>
            </w:pPr>
            <w:r>
              <w:rPr>
                <w:rFonts w:hint="eastAsia"/>
                <w:sz w:val="22"/>
                <w:szCs w:val="24"/>
              </w:rPr>
              <w:t>联系方式</w:t>
            </w:r>
          </w:p>
        </w:tc>
        <w:tc>
          <w:tcPr>
            <w:tcW w:w="1077" w:type="dxa"/>
            <w:tcBorders>
              <w:top w:val="single" w:color="auto" w:sz="4" w:space="0"/>
              <w:left w:val="single" w:color="auto" w:sz="4" w:space="0"/>
              <w:right w:val="single" w:color="auto" w:sz="4" w:space="0"/>
            </w:tcBorders>
            <w:vAlign w:val="center"/>
          </w:tcPr>
          <w:p w14:paraId="58CFCA28">
            <w:pPr>
              <w:ind w:firstLine="0" w:firstLineChars="0"/>
              <w:jc w:val="center"/>
              <w:rPr>
                <w:sz w:val="22"/>
                <w:szCs w:val="24"/>
              </w:rPr>
            </w:pPr>
            <w:r>
              <w:rPr>
                <w:rFonts w:hint="eastAsia"/>
                <w:sz w:val="22"/>
                <w:szCs w:val="24"/>
              </w:rPr>
              <w:t>联系人</w:t>
            </w:r>
          </w:p>
        </w:tc>
        <w:tc>
          <w:tcPr>
            <w:tcW w:w="3055" w:type="dxa"/>
            <w:gridSpan w:val="3"/>
            <w:tcBorders>
              <w:top w:val="single" w:color="auto" w:sz="4" w:space="0"/>
              <w:left w:val="single" w:color="auto" w:sz="4" w:space="0"/>
              <w:right w:val="single" w:color="auto" w:sz="4" w:space="0"/>
            </w:tcBorders>
          </w:tcPr>
          <w:p w14:paraId="4E0C50FB">
            <w:pPr>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32884EF6">
            <w:pPr>
              <w:ind w:firstLine="0" w:firstLineChars="0"/>
              <w:jc w:val="center"/>
              <w:rPr>
                <w:sz w:val="22"/>
                <w:szCs w:val="24"/>
              </w:rPr>
            </w:pPr>
            <w:r>
              <w:rPr>
                <w:rFonts w:hint="eastAsia"/>
                <w:sz w:val="22"/>
                <w:szCs w:val="24"/>
              </w:rPr>
              <w:t>电话</w:t>
            </w:r>
          </w:p>
        </w:tc>
        <w:tc>
          <w:tcPr>
            <w:tcW w:w="1657" w:type="dxa"/>
            <w:gridSpan w:val="3"/>
            <w:tcBorders>
              <w:left w:val="single" w:color="auto" w:sz="4" w:space="0"/>
            </w:tcBorders>
          </w:tcPr>
          <w:p w14:paraId="4176E05D">
            <w:pPr>
              <w:ind w:firstLine="0" w:firstLineChars="0"/>
              <w:jc w:val="center"/>
              <w:rPr>
                <w:sz w:val="22"/>
                <w:szCs w:val="24"/>
              </w:rPr>
            </w:pPr>
          </w:p>
        </w:tc>
      </w:tr>
      <w:tr w14:paraId="77DB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08BC2A5D"/>
        </w:tc>
        <w:tc>
          <w:tcPr>
            <w:tcW w:w="1077" w:type="dxa"/>
            <w:tcBorders>
              <w:top w:val="single" w:color="auto" w:sz="4" w:space="0"/>
              <w:left w:val="single" w:color="auto" w:sz="4" w:space="0"/>
              <w:right w:val="single" w:color="auto" w:sz="4" w:space="0"/>
            </w:tcBorders>
            <w:vAlign w:val="center"/>
          </w:tcPr>
          <w:p w14:paraId="18919541">
            <w:pPr>
              <w:ind w:firstLine="0" w:firstLineChars="0"/>
              <w:jc w:val="center"/>
              <w:rPr>
                <w:sz w:val="22"/>
                <w:szCs w:val="24"/>
              </w:rPr>
            </w:pPr>
            <w:r>
              <w:rPr>
                <w:rFonts w:hint="eastAsia"/>
                <w:sz w:val="22"/>
                <w:szCs w:val="24"/>
              </w:rPr>
              <w:t>传真</w:t>
            </w:r>
          </w:p>
        </w:tc>
        <w:tc>
          <w:tcPr>
            <w:tcW w:w="3055" w:type="dxa"/>
            <w:gridSpan w:val="3"/>
            <w:tcBorders>
              <w:top w:val="single" w:color="auto" w:sz="4" w:space="0"/>
              <w:left w:val="single" w:color="auto" w:sz="4" w:space="0"/>
              <w:right w:val="single" w:color="auto" w:sz="4" w:space="0"/>
            </w:tcBorders>
          </w:tcPr>
          <w:p w14:paraId="06D5B98F">
            <w:pPr>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287BF35F">
            <w:pPr>
              <w:ind w:firstLine="0" w:firstLineChars="0"/>
              <w:jc w:val="center"/>
              <w:rPr>
                <w:sz w:val="22"/>
                <w:szCs w:val="24"/>
              </w:rPr>
            </w:pPr>
            <w:r>
              <w:rPr>
                <w:rFonts w:hint="eastAsia"/>
                <w:sz w:val="22"/>
                <w:szCs w:val="24"/>
              </w:rPr>
              <w:t>网址</w:t>
            </w:r>
          </w:p>
        </w:tc>
        <w:tc>
          <w:tcPr>
            <w:tcW w:w="1657" w:type="dxa"/>
            <w:gridSpan w:val="3"/>
            <w:tcBorders>
              <w:left w:val="single" w:color="auto" w:sz="4" w:space="0"/>
            </w:tcBorders>
          </w:tcPr>
          <w:p w14:paraId="4C199D6E">
            <w:pPr>
              <w:ind w:firstLine="0" w:firstLineChars="0"/>
              <w:jc w:val="center"/>
              <w:rPr>
                <w:sz w:val="22"/>
                <w:szCs w:val="24"/>
              </w:rPr>
            </w:pPr>
          </w:p>
        </w:tc>
      </w:tr>
      <w:tr w14:paraId="7104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E72AE79">
            <w:pPr>
              <w:ind w:firstLine="0" w:firstLineChars="0"/>
              <w:jc w:val="center"/>
              <w:rPr>
                <w:sz w:val="22"/>
                <w:szCs w:val="24"/>
              </w:rPr>
            </w:pPr>
            <w:r>
              <w:rPr>
                <w:rFonts w:hint="eastAsia"/>
                <w:sz w:val="22"/>
                <w:szCs w:val="24"/>
              </w:rPr>
              <w:t>组织结构</w:t>
            </w:r>
          </w:p>
        </w:tc>
        <w:tc>
          <w:tcPr>
            <w:tcW w:w="7114" w:type="dxa"/>
            <w:gridSpan w:val="8"/>
            <w:tcBorders>
              <w:left w:val="single" w:color="auto" w:sz="4" w:space="0"/>
            </w:tcBorders>
            <w:vAlign w:val="center"/>
          </w:tcPr>
          <w:p w14:paraId="0158FC0A">
            <w:pPr>
              <w:ind w:firstLine="0" w:firstLineChars="0"/>
              <w:jc w:val="center"/>
              <w:rPr>
                <w:sz w:val="22"/>
                <w:szCs w:val="24"/>
              </w:rPr>
            </w:pPr>
          </w:p>
        </w:tc>
      </w:tr>
      <w:tr w14:paraId="7FF0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4D43DA2B">
            <w:pPr>
              <w:ind w:firstLine="0" w:firstLineChars="0"/>
              <w:jc w:val="center"/>
              <w:rPr>
                <w:sz w:val="22"/>
                <w:szCs w:val="24"/>
              </w:rPr>
            </w:pPr>
            <w:r>
              <w:rPr>
                <w:rFonts w:hint="eastAsia"/>
                <w:sz w:val="22"/>
                <w:szCs w:val="24"/>
              </w:rPr>
              <w:t>法定代表人</w:t>
            </w:r>
          </w:p>
        </w:tc>
        <w:tc>
          <w:tcPr>
            <w:tcW w:w="1077" w:type="dxa"/>
            <w:tcBorders>
              <w:top w:val="single" w:color="auto" w:sz="4" w:space="0"/>
              <w:left w:val="single" w:color="auto" w:sz="4" w:space="0"/>
              <w:right w:val="single" w:color="auto" w:sz="4" w:space="0"/>
            </w:tcBorders>
            <w:vAlign w:val="center"/>
          </w:tcPr>
          <w:p w14:paraId="04326770">
            <w:pPr>
              <w:ind w:firstLine="0" w:firstLineChars="0"/>
              <w:jc w:val="center"/>
              <w:rPr>
                <w:sz w:val="22"/>
                <w:szCs w:val="24"/>
              </w:rPr>
            </w:pPr>
            <w:r>
              <w:rPr>
                <w:rFonts w:hint="eastAsia"/>
                <w:sz w:val="22"/>
                <w:szCs w:val="24"/>
              </w:rPr>
              <w:t>姓名</w:t>
            </w:r>
          </w:p>
        </w:tc>
        <w:tc>
          <w:tcPr>
            <w:tcW w:w="1803" w:type="dxa"/>
            <w:tcBorders>
              <w:top w:val="single" w:color="auto" w:sz="4" w:space="0"/>
              <w:left w:val="single" w:color="auto" w:sz="4" w:space="0"/>
              <w:right w:val="single" w:color="auto" w:sz="4" w:space="0"/>
            </w:tcBorders>
          </w:tcPr>
          <w:p w14:paraId="7A010A33">
            <w:pPr>
              <w:ind w:firstLine="0" w:firstLineChars="0"/>
              <w:jc w:val="center"/>
              <w:rPr>
                <w:sz w:val="22"/>
                <w:szCs w:val="24"/>
              </w:rPr>
            </w:pPr>
          </w:p>
        </w:tc>
        <w:tc>
          <w:tcPr>
            <w:tcW w:w="1252" w:type="dxa"/>
            <w:gridSpan w:val="2"/>
            <w:tcBorders>
              <w:top w:val="single" w:color="auto" w:sz="4" w:space="0"/>
              <w:left w:val="single" w:color="auto" w:sz="4" w:space="0"/>
              <w:right w:val="single" w:color="auto" w:sz="4" w:space="0"/>
            </w:tcBorders>
            <w:vAlign w:val="center"/>
          </w:tcPr>
          <w:p w14:paraId="5813763E">
            <w:pPr>
              <w:ind w:firstLine="0" w:firstLineChars="0"/>
              <w:jc w:val="center"/>
              <w:rPr>
                <w:sz w:val="22"/>
                <w:szCs w:val="24"/>
              </w:rPr>
            </w:pPr>
            <w:r>
              <w:rPr>
                <w:rFonts w:hint="eastAsia"/>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6FBC5CB1">
            <w:pPr>
              <w:ind w:firstLine="0" w:firstLineChars="0"/>
              <w:jc w:val="center"/>
              <w:rPr>
                <w:sz w:val="22"/>
                <w:szCs w:val="24"/>
              </w:rPr>
            </w:pPr>
          </w:p>
        </w:tc>
        <w:tc>
          <w:tcPr>
            <w:tcW w:w="723" w:type="dxa"/>
            <w:tcBorders>
              <w:top w:val="single" w:color="auto" w:sz="4" w:space="0"/>
              <w:left w:val="single" w:color="auto" w:sz="4" w:space="0"/>
              <w:right w:val="single" w:color="auto" w:sz="4" w:space="0"/>
            </w:tcBorders>
            <w:vAlign w:val="center"/>
          </w:tcPr>
          <w:p w14:paraId="1896EB46">
            <w:pPr>
              <w:ind w:firstLine="0" w:firstLineChars="0"/>
              <w:jc w:val="center"/>
              <w:rPr>
                <w:sz w:val="22"/>
                <w:szCs w:val="24"/>
              </w:rPr>
            </w:pPr>
            <w:r>
              <w:rPr>
                <w:rFonts w:hint="eastAsia"/>
                <w:sz w:val="22"/>
                <w:szCs w:val="24"/>
              </w:rPr>
              <w:t>电话</w:t>
            </w:r>
          </w:p>
        </w:tc>
        <w:tc>
          <w:tcPr>
            <w:tcW w:w="758" w:type="dxa"/>
            <w:tcBorders>
              <w:left w:val="single" w:color="auto" w:sz="4" w:space="0"/>
            </w:tcBorders>
          </w:tcPr>
          <w:p w14:paraId="3BB8D991">
            <w:pPr>
              <w:ind w:firstLine="0" w:firstLineChars="0"/>
              <w:jc w:val="center"/>
              <w:rPr>
                <w:sz w:val="22"/>
                <w:szCs w:val="24"/>
              </w:rPr>
            </w:pPr>
          </w:p>
        </w:tc>
      </w:tr>
      <w:tr w14:paraId="49EC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E9A5820">
            <w:pPr>
              <w:ind w:firstLine="0" w:firstLineChars="0"/>
              <w:jc w:val="center"/>
              <w:rPr>
                <w:sz w:val="22"/>
                <w:szCs w:val="24"/>
              </w:rPr>
            </w:pPr>
            <w:r>
              <w:rPr>
                <w:rFonts w:hint="eastAsia"/>
                <w:sz w:val="22"/>
                <w:szCs w:val="24"/>
              </w:rPr>
              <w:t>技术负责人</w:t>
            </w:r>
          </w:p>
        </w:tc>
        <w:tc>
          <w:tcPr>
            <w:tcW w:w="1077" w:type="dxa"/>
            <w:tcBorders>
              <w:top w:val="single" w:color="auto" w:sz="4" w:space="0"/>
              <w:left w:val="single" w:color="auto" w:sz="4" w:space="0"/>
              <w:right w:val="single" w:color="auto" w:sz="4" w:space="0"/>
            </w:tcBorders>
            <w:vAlign w:val="center"/>
          </w:tcPr>
          <w:p w14:paraId="0EC7C73E">
            <w:pPr>
              <w:ind w:firstLine="0" w:firstLineChars="0"/>
              <w:jc w:val="center"/>
              <w:rPr>
                <w:sz w:val="22"/>
                <w:szCs w:val="24"/>
              </w:rPr>
            </w:pPr>
            <w:r>
              <w:rPr>
                <w:rFonts w:hint="eastAsia"/>
                <w:sz w:val="22"/>
                <w:szCs w:val="24"/>
              </w:rPr>
              <w:t>姓名</w:t>
            </w:r>
          </w:p>
        </w:tc>
        <w:tc>
          <w:tcPr>
            <w:tcW w:w="1803" w:type="dxa"/>
            <w:tcBorders>
              <w:top w:val="single" w:color="auto" w:sz="4" w:space="0"/>
              <w:left w:val="single" w:color="auto" w:sz="4" w:space="0"/>
              <w:right w:val="single" w:color="auto" w:sz="4" w:space="0"/>
            </w:tcBorders>
          </w:tcPr>
          <w:p w14:paraId="217E5E49">
            <w:pPr>
              <w:ind w:firstLine="0" w:firstLineChars="0"/>
              <w:jc w:val="center"/>
              <w:rPr>
                <w:sz w:val="22"/>
                <w:szCs w:val="24"/>
              </w:rPr>
            </w:pPr>
          </w:p>
        </w:tc>
        <w:tc>
          <w:tcPr>
            <w:tcW w:w="1252" w:type="dxa"/>
            <w:gridSpan w:val="2"/>
            <w:tcBorders>
              <w:top w:val="single" w:color="auto" w:sz="4" w:space="0"/>
              <w:left w:val="single" w:color="auto" w:sz="4" w:space="0"/>
              <w:right w:val="single" w:color="auto" w:sz="4" w:space="0"/>
            </w:tcBorders>
            <w:vAlign w:val="center"/>
          </w:tcPr>
          <w:p w14:paraId="02201D9A">
            <w:pPr>
              <w:ind w:firstLine="0" w:firstLineChars="0"/>
              <w:jc w:val="center"/>
              <w:rPr>
                <w:sz w:val="22"/>
                <w:szCs w:val="24"/>
              </w:rPr>
            </w:pPr>
            <w:r>
              <w:rPr>
                <w:rFonts w:hint="eastAsia"/>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7678177D">
            <w:pPr>
              <w:ind w:firstLine="0" w:firstLineChars="0"/>
              <w:jc w:val="center"/>
              <w:rPr>
                <w:sz w:val="22"/>
                <w:szCs w:val="24"/>
              </w:rPr>
            </w:pPr>
          </w:p>
        </w:tc>
        <w:tc>
          <w:tcPr>
            <w:tcW w:w="723" w:type="dxa"/>
            <w:tcBorders>
              <w:top w:val="single" w:color="auto" w:sz="4" w:space="0"/>
              <w:left w:val="single" w:color="auto" w:sz="4" w:space="0"/>
              <w:right w:val="single" w:color="auto" w:sz="4" w:space="0"/>
            </w:tcBorders>
            <w:vAlign w:val="center"/>
          </w:tcPr>
          <w:p w14:paraId="4C7464FE">
            <w:pPr>
              <w:ind w:firstLine="0" w:firstLineChars="0"/>
              <w:jc w:val="center"/>
              <w:rPr>
                <w:sz w:val="22"/>
                <w:szCs w:val="24"/>
              </w:rPr>
            </w:pPr>
            <w:r>
              <w:rPr>
                <w:rFonts w:hint="eastAsia"/>
                <w:sz w:val="22"/>
                <w:szCs w:val="24"/>
              </w:rPr>
              <w:t>电话</w:t>
            </w:r>
          </w:p>
        </w:tc>
        <w:tc>
          <w:tcPr>
            <w:tcW w:w="758" w:type="dxa"/>
            <w:tcBorders>
              <w:left w:val="single" w:color="auto" w:sz="4" w:space="0"/>
            </w:tcBorders>
          </w:tcPr>
          <w:p w14:paraId="14DFB83F">
            <w:pPr>
              <w:ind w:firstLine="0" w:firstLineChars="0"/>
              <w:jc w:val="center"/>
              <w:rPr>
                <w:sz w:val="22"/>
                <w:szCs w:val="24"/>
              </w:rPr>
            </w:pPr>
          </w:p>
        </w:tc>
      </w:tr>
      <w:tr w14:paraId="0117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87DF478">
            <w:pPr>
              <w:ind w:firstLine="0" w:firstLineChars="0"/>
              <w:jc w:val="center"/>
              <w:rPr>
                <w:sz w:val="22"/>
                <w:szCs w:val="24"/>
              </w:rPr>
            </w:pPr>
            <w:r>
              <w:rPr>
                <w:rFonts w:hint="eastAsia"/>
                <w:sz w:val="22"/>
                <w:szCs w:val="24"/>
              </w:rPr>
              <w:t>成立时间</w:t>
            </w:r>
          </w:p>
        </w:tc>
        <w:tc>
          <w:tcPr>
            <w:tcW w:w="2880" w:type="dxa"/>
            <w:gridSpan w:val="2"/>
            <w:tcBorders>
              <w:top w:val="single" w:color="auto" w:sz="4" w:space="0"/>
              <w:left w:val="single" w:color="auto" w:sz="4" w:space="0"/>
              <w:right w:val="single" w:color="auto" w:sz="4" w:space="0"/>
            </w:tcBorders>
          </w:tcPr>
          <w:p w14:paraId="6138C7C7">
            <w:pPr>
              <w:ind w:firstLine="0" w:firstLineChars="0"/>
              <w:jc w:val="center"/>
              <w:rPr>
                <w:sz w:val="22"/>
                <w:szCs w:val="24"/>
              </w:rPr>
            </w:pPr>
          </w:p>
        </w:tc>
        <w:tc>
          <w:tcPr>
            <w:tcW w:w="4234" w:type="dxa"/>
            <w:gridSpan w:val="6"/>
            <w:tcBorders>
              <w:left w:val="single" w:color="auto" w:sz="4" w:space="0"/>
            </w:tcBorders>
          </w:tcPr>
          <w:p w14:paraId="18390827">
            <w:pPr>
              <w:ind w:firstLine="0" w:firstLineChars="0"/>
              <w:jc w:val="center"/>
              <w:rPr>
                <w:sz w:val="22"/>
                <w:szCs w:val="24"/>
              </w:rPr>
            </w:pPr>
            <w:r>
              <w:rPr>
                <w:rFonts w:hint="eastAsia"/>
                <w:sz w:val="22"/>
                <w:szCs w:val="24"/>
              </w:rPr>
              <w:t>员工总人数：</w:t>
            </w:r>
          </w:p>
        </w:tc>
      </w:tr>
      <w:tr w14:paraId="5B07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E26E0C5">
            <w:pPr>
              <w:ind w:firstLine="0" w:firstLineChars="0"/>
              <w:jc w:val="center"/>
              <w:rPr>
                <w:sz w:val="22"/>
                <w:szCs w:val="24"/>
              </w:rPr>
            </w:pPr>
            <w:r>
              <w:rPr>
                <w:rFonts w:hint="eastAsia"/>
                <w:sz w:val="22"/>
                <w:szCs w:val="24"/>
              </w:rPr>
              <w:t>企业资质等级</w:t>
            </w:r>
          </w:p>
        </w:tc>
        <w:tc>
          <w:tcPr>
            <w:tcW w:w="2880" w:type="dxa"/>
            <w:gridSpan w:val="2"/>
            <w:tcBorders>
              <w:top w:val="single" w:color="auto" w:sz="4" w:space="0"/>
              <w:left w:val="single" w:color="auto" w:sz="4" w:space="0"/>
              <w:right w:val="single" w:color="auto" w:sz="4" w:space="0"/>
            </w:tcBorders>
          </w:tcPr>
          <w:p w14:paraId="2932616C">
            <w:pPr>
              <w:ind w:firstLine="0" w:firstLineChars="0"/>
              <w:jc w:val="center"/>
              <w:rPr>
                <w:sz w:val="22"/>
                <w:szCs w:val="24"/>
              </w:rPr>
            </w:pPr>
          </w:p>
        </w:tc>
        <w:tc>
          <w:tcPr>
            <w:tcW w:w="714" w:type="dxa"/>
            <w:vMerge w:val="restart"/>
            <w:tcBorders>
              <w:top w:val="single" w:color="auto" w:sz="4" w:space="0"/>
              <w:left w:val="single" w:color="auto" w:sz="4" w:space="0"/>
              <w:right w:val="single" w:color="auto" w:sz="4" w:space="0"/>
            </w:tcBorders>
            <w:vAlign w:val="center"/>
          </w:tcPr>
          <w:p w14:paraId="6C86CAA2">
            <w:pPr>
              <w:ind w:firstLine="0" w:firstLineChars="0"/>
              <w:jc w:val="center"/>
              <w:rPr>
                <w:sz w:val="22"/>
                <w:szCs w:val="24"/>
              </w:rPr>
            </w:pPr>
            <w:r>
              <w:rPr>
                <w:rFonts w:hint="eastAsia"/>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42092AA8">
            <w:pPr>
              <w:ind w:firstLine="0" w:firstLineChars="0"/>
              <w:jc w:val="center"/>
              <w:rPr>
                <w:sz w:val="22"/>
                <w:szCs w:val="24"/>
              </w:rPr>
            </w:pPr>
            <w:r>
              <w:rPr>
                <w:rFonts w:hint="eastAsia"/>
                <w:sz w:val="22"/>
                <w:szCs w:val="24"/>
              </w:rPr>
              <w:t>项目经理</w:t>
            </w:r>
          </w:p>
        </w:tc>
        <w:tc>
          <w:tcPr>
            <w:tcW w:w="1481" w:type="dxa"/>
            <w:gridSpan w:val="2"/>
            <w:tcBorders>
              <w:left w:val="single" w:color="auto" w:sz="4" w:space="0"/>
            </w:tcBorders>
          </w:tcPr>
          <w:p w14:paraId="6E345F82">
            <w:pPr>
              <w:ind w:firstLine="0" w:firstLineChars="0"/>
              <w:jc w:val="center"/>
              <w:rPr>
                <w:sz w:val="22"/>
                <w:szCs w:val="24"/>
              </w:rPr>
            </w:pPr>
          </w:p>
        </w:tc>
      </w:tr>
      <w:tr w14:paraId="11A3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7E3414E">
            <w:pPr>
              <w:ind w:firstLine="0" w:firstLineChars="0"/>
              <w:jc w:val="center"/>
              <w:rPr>
                <w:sz w:val="22"/>
                <w:szCs w:val="24"/>
              </w:rPr>
            </w:pPr>
            <w:r>
              <w:rPr>
                <w:rFonts w:hint="eastAsia"/>
                <w:sz w:val="22"/>
                <w:szCs w:val="24"/>
              </w:rPr>
              <w:t>营业执照号</w:t>
            </w:r>
          </w:p>
        </w:tc>
        <w:tc>
          <w:tcPr>
            <w:tcW w:w="2880" w:type="dxa"/>
            <w:gridSpan w:val="2"/>
            <w:tcBorders>
              <w:top w:val="single" w:color="auto" w:sz="4" w:space="0"/>
              <w:left w:val="single" w:color="auto" w:sz="4" w:space="0"/>
              <w:right w:val="single" w:color="auto" w:sz="4" w:space="0"/>
            </w:tcBorders>
          </w:tcPr>
          <w:p w14:paraId="19503C28">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6F17F63E"/>
        </w:tc>
        <w:tc>
          <w:tcPr>
            <w:tcW w:w="2039" w:type="dxa"/>
            <w:gridSpan w:val="3"/>
            <w:tcBorders>
              <w:top w:val="single" w:color="auto" w:sz="4" w:space="0"/>
              <w:left w:val="single" w:color="auto" w:sz="4" w:space="0"/>
              <w:right w:val="single" w:color="auto" w:sz="4" w:space="0"/>
            </w:tcBorders>
            <w:vAlign w:val="center"/>
          </w:tcPr>
          <w:p w14:paraId="62592AF1">
            <w:pPr>
              <w:ind w:firstLine="0" w:firstLineChars="0"/>
              <w:jc w:val="center"/>
              <w:rPr>
                <w:sz w:val="22"/>
                <w:szCs w:val="24"/>
              </w:rPr>
            </w:pPr>
            <w:r>
              <w:rPr>
                <w:rFonts w:hint="eastAsia"/>
                <w:sz w:val="22"/>
                <w:szCs w:val="24"/>
              </w:rPr>
              <w:t>高级职称人员</w:t>
            </w:r>
          </w:p>
        </w:tc>
        <w:tc>
          <w:tcPr>
            <w:tcW w:w="1481" w:type="dxa"/>
            <w:gridSpan w:val="2"/>
            <w:tcBorders>
              <w:left w:val="single" w:color="auto" w:sz="4" w:space="0"/>
            </w:tcBorders>
          </w:tcPr>
          <w:p w14:paraId="02048857">
            <w:pPr>
              <w:ind w:firstLine="0" w:firstLineChars="0"/>
              <w:jc w:val="center"/>
              <w:rPr>
                <w:sz w:val="22"/>
                <w:szCs w:val="24"/>
              </w:rPr>
            </w:pPr>
          </w:p>
        </w:tc>
      </w:tr>
      <w:tr w14:paraId="6223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D72C2DE">
            <w:pPr>
              <w:ind w:firstLine="0" w:firstLineChars="0"/>
              <w:jc w:val="center"/>
              <w:rPr>
                <w:sz w:val="22"/>
                <w:szCs w:val="24"/>
              </w:rPr>
            </w:pPr>
            <w:r>
              <w:rPr>
                <w:rFonts w:hint="eastAsia"/>
                <w:sz w:val="22"/>
                <w:szCs w:val="24"/>
              </w:rPr>
              <w:t>注册资金</w:t>
            </w:r>
          </w:p>
        </w:tc>
        <w:tc>
          <w:tcPr>
            <w:tcW w:w="2880" w:type="dxa"/>
            <w:gridSpan w:val="2"/>
            <w:tcBorders>
              <w:top w:val="single" w:color="auto" w:sz="4" w:space="0"/>
              <w:left w:val="single" w:color="auto" w:sz="4" w:space="0"/>
              <w:right w:val="single" w:color="auto" w:sz="4" w:space="0"/>
            </w:tcBorders>
          </w:tcPr>
          <w:p w14:paraId="24EA78D2">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4776D822"/>
        </w:tc>
        <w:tc>
          <w:tcPr>
            <w:tcW w:w="2039" w:type="dxa"/>
            <w:gridSpan w:val="3"/>
            <w:tcBorders>
              <w:top w:val="single" w:color="auto" w:sz="4" w:space="0"/>
              <w:left w:val="single" w:color="auto" w:sz="4" w:space="0"/>
              <w:right w:val="single" w:color="auto" w:sz="4" w:space="0"/>
            </w:tcBorders>
            <w:vAlign w:val="center"/>
          </w:tcPr>
          <w:p w14:paraId="294F6DF7">
            <w:pPr>
              <w:ind w:firstLine="0" w:firstLineChars="0"/>
              <w:jc w:val="center"/>
              <w:rPr>
                <w:sz w:val="22"/>
                <w:szCs w:val="24"/>
              </w:rPr>
            </w:pPr>
            <w:r>
              <w:rPr>
                <w:rFonts w:hint="eastAsia"/>
                <w:sz w:val="22"/>
                <w:szCs w:val="24"/>
              </w:rPr>
              <w:t>中级职称人员</w:t>
            </w:r>
          </w:p>
        </w:tc>
        <w:tc>
          <w:tcPr>
            <w:tcW w:w="1481" w:type="dxa"/>
            <w:gridSpan w:val="2"/>
            <w:tcBorders>
              <w:left w:val="single" w:color="auto" w:sz="4" w:space="0"/>
            </w:tcBorders>
          </w:tcPr>
          <w:p w14:paraId="371A4CC7">
            <w:pPr>
              <w:ind w:firstLine="0" w:firstLineChars="0"/>
              <w:jc w:val="center"/>
              <w:rPr>
                <w:sz w:val="22"/>
                <w:szCs w:val="24"/>
              </w:rPr>
            </w:pPr>
          </w:p>
        </w:tc>
      </w:tr>
      <w:tr w14:paraId="6FF2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61AA16C">
            <w:pPr>
              <w:ind w:firstLine="0" w:firstLineChars="0"/>
              <w:jc w:val="center"/>
              <w:rPr>
                <w:sz w:val="22"/>
                <w:szCs w:val="24"/>
              </w:rPr>
            </w:pPr>
            <w:r>
              <w:rPr>
                <w:rFonts w:hint="eastAsia"/>
                <w:sz w:val="22"/>
                <w:szCs w:val="24"/>
              </w:rPr>
              <w:t>开户银行</w:t>
            </w:r>
          </w:p>
        </w:tc>
        <w:tc>
          <w:tcPr>
            <w:tcW w:w="2880" w:type="dxa"/>
            <w:gridSpan w:val="2"/>
            <w:tcBorders>
              <w:top w:val="single" w:color="auto" w:sz="4" w:space="0"/>
              <w:left w:val="single" w:color="auto" w:sz="4" w:space="0"/>
              <w:right w:val="single" w:color="auto" w:sz="4" w:space="0"/>
            </w:tcBorders>
          </w:tcPr>
          <w:p w14:paraId="322236F9">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3379AF86"/>
        </w:tc>
        <w:tc>
          <w:tcPr>
            <w:tcW w:w="2039" w:type="dxa"/>
            <w:gridSpan w:val="3"/>
            <w:tcBorders>
              <w:top w:val="single" w:color="auto" w:sz="4" w:space="0"/>
              <w:left w:val="single" w:color="auto" w:sz="4" w:space="0"/>
              <w:right w:val="single" w:color="auto" w:sz="4" w:space="0"/>
            </w:tcBorders>
            <w:vAlign w:val="center"/>
          </w:tcPr>
          <w:p w14:paraId="29A12E72">
            <w:pPr>
              <w:ind w:firstLine="0" w:firstLineChars="0"/>
              <w:jc w:val="center"/>
              <w:rPr>
                <w:sz w:val="22"/>
                <w:szCs w:val="24"/>
              </w:rPr>
            </w:pPr>
            <w:r>
              <w:rPr>
                <w:rFonts w:hint="eastAsia"/>
                <w:sz w:val="22"/>
                <w:szCs w:val="24"/>
              </w:rPr>
              <w:t>初级职称人员</w:t>
            </w:r>
          </w:p>
        </w:tc>
        <w:tc>
          <w:tcPr>
            <w:tcW w:w="1481" w:type="dxa"/>
            <w:gridSpan w:val="2"/>
            <w:tcBorders>
              <w:left w:val="single" w:color="auto" w:sz="4" w:space="0"/>
            </w:tcBorders>
          </w:tcPr>
          <w:p w14:paraId="6277AB6C">
            <w:pPr>
              <w:ind w:firstLine="0" w:firstLineChars="0"/>
              <w:jc w:val="center"/>
              <w:rPr>
                <w:sz w:val="22"/>
                <w:szCs w:val="24"/>
              </w:rPr>
            </w:pPr>
          </w:p>
        </w:tc>
      </w:tr>
      <w:tr w14:paraId="26ED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6C03F372">
            <w:pPr>
              <w:ind w:firstLine="0" w:firstLineChars="0"/>
              <w:jc w:val="center"/>
              <w:rPr>
                <w:sz w:val="22"/>
                <w:szCs w:val="24"/>
              </w:rPr>
            </w:pPr>
            <w:r>
              <w:rPr>
                <w:rFonts w:hint="eastAsia"/>
                <w:sz w:val="22"/>
                <w:szCs w:val="24"/>
              </w:rPr>
              <w:t>账号</w:t>
            </w:r>
          </w:p>
        </w:tc>
        <w:tc>
          <w:tcPr>
            <w:tcW w:w="2880" w:type="dxa"/>
            <w:gridSpan w:val="2"/>
            <w:tcBorders>
              <w:top w:val="single" w:color="auto" w:sz="4" w:space="0"/>
              <w:left w:val="single" w:color="auto" w:sz="4" w:space="0"/>
              <w:right w:val="single" w:color="auto" w:sz="4" w:space="0"/>
            </w:tcBorders>
          </w:tcPr>
          <w:p w14:paraId="1914D9AC">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5E4689D5"/>
        </w:tc>
        <w:tc>
          <w:tcPr>
            <w:tcW w:w="2039" w:type="dxa"/>
            <w:gridSpan w:val="3"/>
            <w:tcBorders>
              <w:top w:val="single" w:color="auto" w:sz="4" w:space="0"/>
              <w:left w:val="single" w:color="auto" w:sz="4" w:space="0"/>
              <w:right w:val="single" w:color="auto" w:sz="4" w:space="0"/>
            </w:tcBorders>
            <w:vAlign w:val="center"/>
          </w:tcPr>
          <w:p w14:paraId="73D4FB17">
            <w:pPr>
              <w:ind w:firstLine="0" w:firstLineChars="0"/>
              <w:jc w:val="center"/>
              <w:rPr>
                <w:sz w:val="22"/>
                <w:szCs w:val="24"/>
              </w:rPr>
            </w:pPr>
            <w:r>
              <w:rPr>
                <w:rFonts w:hint="eastAsia"/>
                <w:sz w:val="22"/>
                <w:szCs w:val="24"/>
              </w:rPr>
              <w:t>技工</w:t>
            </w:r>
          </w:p>
        </w:tc>
        <w:tc>
          <w:tcPr>
            <w:tcW w:w="1481" w:type="dxa"/>
            <w:gridSpan w:val="2"/>
            <w:tcBorders>
              <w:left w:val="single" w:color="auto" w:sz="4" w:space="0"/>
            </w:tcBorders>
          </w:tcPr>
          <w:p w14:paraId="59895C96">
            <w:pPr>
              <w:ind w:firstLine="0" w:firstLineChars="0"/>
              <w:jc w:val="center"/>
              <w:rPr>
                <w:sz w:val="22"/>
                <w:szCs w:val="24"/>
              </w:rPr>
            </w:pPr>
          </w:p>
        </w:tc>
      </w:tr>
      <w:tr w14:paraId="0FF4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04598F7B">
            <w:pPr>
              <w:ind w:firstLine="0" w:firstLineChars="0"/>
              <w:jc w:val="center"/>
              <w:rPr>
                <w:sz w:val="22"/>
                <w:szCs w:val="24"/>
              </w:rPr>
            </w:pPr>
            <w:r>
              <w:rPr>
                <w:rFonts w:hint="eastAsia"/>
                <w:sz w:val="22"/>
                <w:szCs w:val="24"/>
              </w:rPr>
              <w:t>经营范围</w:t>
            </w:r>
          </w:p>
        </w:tc>
        <w:tc>
          <w:tcPr>
            <w:tcW w:w="7114" w:type="dxa"/>
            <w:gridSpan w:val="8"/>
            <w:tcBorders>
              <w:left w:val="single" w:color="auto" w:sz="4" w:space="0"/>
            </w:tcBorders>
          </w:tcPr>
          <w:p w14:paraId="14567E86">
            <w:pPr>
              <w:ind w:firstLine="0" w:firstLineChars="0"/>
              <w:jc w:val="center"/>
              <w:rPr>
                <w:sz w:val="22"/>
                <w:szCs w:val="24"/>
              </w:rPr>
            </w:pPr>
          </w:p>
        </w:tc>
      </w:tr>
      <w:tr w14:paraId="7A60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AC44D67">
            <w:pPr>
              <w:ind w:firstLine="0" w:firstLineChars="0"/>
              <w:jc w:val="center"/>
              <w:rPr>
                <w:sz w:val="22"/>
                <w:szCs w:val="24"/>
              </w:rPr>
            </w:pPr>
            <w:r>
              <w:rPr>
                <w:rFonts w:hint="eastAsia"/>
                <w:sz w:val="22"/>
                <w:szCs w:val="24"/>
              </w:rPr>
              <w:t>备注</w:t>
            </w:r>
          </w:p>
        </w:tc>
        <w:tc>
          <w:tcPr>
            <w:tcW w:w="7114" w:type="dxa"/>
            <w:gridSpan w:val="8"/>
            <w:tcBorders>
              <w:left w:val="single" w:color="auto" w:sz="4" w:space="0"/>
            </w:tcBorders>
          </w:tcPr>
          <w:p w14:paraId="576722BA">
            <w:pPr>
              <w:ind w:firstLine="0" w:firstLineChars="0"/>
              <w:jc w:val="center"/>
              <w:rPr>
                <w:sz w:val="22"/>
                <w:szCs w:val="24"/>
              </w:rPr>
            </w:pPr>
          </w:p>
        </w:tc>
      </w:tr>
    </w:tbl>
    <w:p w14:paraId="4C4B56F0">
      <w:pPr>
        <w:widowControl/>
        <w:jc w:val="left"/>
        <w:rPr>
          <w:sz w:val="20"/>
          <w:szCs w:val="21"/>
        </w:rPr>
        <w:sectPr>
          <w:pgSz w:w="11906" w:h="16838"/>
          <w:pgMar w:top="1440" w:right="1800" w:bottom="1440" w:left="1800" w:header="851" w:footer="992" w:gutter="0"/>
          <w:cols w:space="720" w:num="1"/>
          <w:docGrid w:type="lines" w:linePitch="312" w:charSpace="0"/>
        </w:sectPr>
      </w:pPr>
      <w:r>
        <w:rPr>
          <w:rFonts w:hint="eastAsia"/>
          <w:sz w:val="20"/>
          <w:szCs w:val="21"/>
        </w:rPr>
        <w:t>注：附营业执照（副本）、资质证明复印件等。</w:t>
      </w:r>
    </w:p>
    <w:p w14:paraId="6754CF6E">
      <w:pPr>
        <w:pStyle w:val="40"/>
      </w:pPr>
      <w:bookmarkStart w:id="143" w:name="_Toc14270"/>
      <w:bookmarkStart w:id="144" w:name="_Toc8213"/>
      <w:bookmarkStart w:id="145" w:name="_Toc378234770"/>
      <w:bookmarkStart w:id="146" w:name="_Toc472780356"/>
      <w:bookmarkStart w:id="147" w:name="_Toc478054435"/>
      <w:bookmarkStart w:id="148" w:name="_Toc478053903"/>
      <w:bookmarkStart w:id="149" w:name="_Toc378234584"/>
      <w:r>
        <w:t>（二）法定代表人身份证明及授权委托书</w:t>
      </w:r>
      <w:bookmarkEnd w:id="143"/>
      <w:bookmarkEnd w:id="144"/>
    </w:p>
    <w:p w14:paraId="0883523E">
      <w:pPr>
        <w:pStyle w:val="41"/>
        <w:rPr>
          <w:rFonts w:ascii="Times New Roman" w:hAnsi="Times New Roman"/>
        </w:rPr>
      </w:pPr>
      <w:r>
        <w:rPr>
          <w:rFonts w:ascii="Times New Roman" w:hAnsi="Times New Roman"/>
        </w:rPr>
        <w:t>法定代表人身份证明书</w:t>
      </w:r>
    </w:p>
    <w:p w14:paraId="2319FFF4">
      <w:pPr>
        <w:tabs>
          <w:tab w:val="left" w:pos="6300"/>
        </w:tabs>
        <w:snapToGrid w:val="0"/>
        <w:rPr>
          <w:snapToGrid w:val="0"/>
          <w:kern w:val="0"/>
        </w:rPr>
      </w:pPr>
    </w:p>
    <w:p w14:paraId="3191BE9A">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14:paraId="4CB0C257">
      <w:pPr>
        <w:tabs>
          <w:tab w:val="left" w:pos="6300"/>
        </w:tabs>
        <w:snapToGrid w:val="0"/>
        <w:rPr>
          <w:snapToGrid w:val="0"/>
          <w:kern w:val="0"/>
        </w:rPr>
      </w:pPr>
    </w:p>
    <w:p w14:paraId="322FBBD4">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12374321">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人法定代表人）在</w:t>
      </w:r>
      <w:r>
        <w:rPr>
          <w:rFonts w:hint="eastAsia"/>
          <w:snapToGrid w:val="0"/>
          <w:kern w:val="0"/>
          <w:u w:val="single"/>
        </w:rPr>
        <w:t xml:space="preserve">        </w:t>
      </w:r>
      <w:r>
        <w:rPr>
          <w:rFonts w:hint="eastAsia"/>
          <w:snapToGrid w:val="0"/>
          <w:kern w:val="0"/>
        </w:rPr>
        <w:t>（参选人名称）任</w:t>
      </w:r>
      <w:r>
        <w:rPr>
          <w:rFonts w:hint="eastAsia"/>
          <w:snapToGrid w:val="0"/>
          <w:kern w:val="0"/>
          <w:u w:val="single"/>
        </w:rPr>
        <w:t xml:space="preserve">        </w:t>
      </w:r>
      <w:r>
        <w:rPr>
          <w:rFonts w:hint="eastAsia"/>
          <w:snapToGrid w:val="0"/>
          <w:kern w:val="0"/>
        </w:rPr>
        <w:t>（职务名称）职务，是（参</w:t>
      </w:r>
      <w:r>
        <w:rPr>
          <w:rFonts w:hint="eastAsia" w:cs="Cambria"/>
          <w:snapToGrid w:val="0"/>
          <w:kern w:val="0"/>
          <w:szCs w:val="24"/>
        </w:rPr>
        <w:t>选</w:t>
      </w:r>
      <w:r>
        <w:rPr>
          <w:rFonts w:hint="eastAsia"/>
          <w:snapToGrid w:val="0"/>
          <w:kern w:val="0"/>
        </w:rPr>
        <w:t>人名称）</w:t>
      </w:r>
      <w:r>
        <w:rPr>
          <w:rFonts w:hint="eastAsia"/>
          <w:snapToGrid w:val="0"/>
          <w:kern w:val="0"/>
          <w:u w:val="single"/>
        </w:rPr>
        <w:t xml:space="preserve">        </w:t>
      </w:r>
      <w:r>
        <w:rPr>
          <w:rFonts w:hint="eastAsia"/>
          <w:snapToGrid w:val="0"/>
          <w:kern w:val="0"/>
        </w:rPr>
        <w:t>的法定代表人。</w:t>
      </w:r>
    </w:p>
    <w:p w14:paraId="63929513">
      <w:pPr>
        <w:tabs>
          <w:tab w:val="left" w:pos="6300"/>
        </w:tabs>
        <w:snapToGrid w:val="0"/>
        <w:rPr>
          <w:snapToGrid w:val="0"/>
          <w:kern w:val="0"/>
        </w:rPr>
      </w:pPr>
    </w:p>
    <w:p w14:paraId="5AD68392">
      <w:pPr>
        <w:tabs>
          <w:tab w:val="left" w:pos="6300"/>
        </w:tabs>
        <w:snapToGrid w:val="0"/>
        <w:rPr>
          <w:snapToGrid w:val="0"/>
          <w:kern w:val="0"/>
        </w:rPr>
      </w:pPr>
      <w:r>
        <w:rPr>
          <w:rFonts w:hint="eastAsia"/>
          <w:snapToGrid w:val="0"/>
          <w:kern w:val="0"/>
        </w:rPr>
        <w:t>特此证明。</w:t>
      </w:r>
    </w:p>
    <w:p w14:paraId="681B3317">
      <w:pPr>
        <w:tabs>
          <w:tab w:val="left" w:pos="6300"/>
        </w:tabs>
        <w:snapToGrid w:val="0"/>
        <w:rPr>
          <w:snapToGrid w:val="0"/>
          <w:kern w:val="0"/>
        </w:rPr>
      </w:pPr>
    </w:p>
    <w:p w14:paraId="06989978">
      <w:pPr>
        <w:tabs>
          <w:tab w:val="left" w:pos="6300"/>
        </w:tabs>
        <w:snapToGrid w:val="0"/>
        <w:rPr>
          <w:snapToGrid w:val="0"/>
          <w:kern w:val="0"/>
        </w:rPr>
      </w:pPr>
    </w:p>
    <w:p w14:paraId="6BD101A4">
      <w:pPr>
        <w:tabs>
          <w:tab w:val="left" w:pos="6300"/>
        </w:tabs>
        <w:snapToGrid w:val="0"/>
        <w:ind w:firstLine="5250" w:firstLineChars="2500"/>
        <w:rPr>
          <w:snapToGrid w:val="0"/>
          <w:kern w:val="0"/>
        </w:rPr>
      </w:pPr>
      <w:r>
        <w:rPr>
          <w:rFonts w:hint="eastAsia"/>
          <w:snapToGrid w:val="0"/>
          <w:kern w:val="0"/>
        </w:rPr>
        <w:t>参选人：</w:t>
      </w:r>
    </w:p>
    <w:p w14:paraId="498DE515">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22C8F858">
      <w:pPr>
        <w:tabs>
          <w:tab w:val="left" w:pos="6300"/>
        </w:tabs>
        <w:snapToGrid w:val="0"/>
        <w:rPr>
          <w:snapToGrid w:val="0"/>
          <w:kern w:val="0"/>
        </w:rPr>
      </w:pPr>
    </w:p>
    <w:p w14:paraId="002AA8B1">
      <w:pPr>
        <w:tabs>
          <w:tab w:val="left" w:pos="6300"/>
        </w:tabs>
        <w:snapToGrid w:val="0"/>
        <w:rPr>
          <w:snapToGrid w:val="0"/>
          <w:kern w:val="0"/>
        </w:rPr>
      </w:pPr>
      <w:r>
        <w:rPr>
          <w:rFonts w:hint="eastAsia"/>
          <w:snapToGrid w:val="0"/>
          <w:kern w:val="0"/>
        </w:rPr>
        <w:t xml:space="preserve">                                             年   月   日</w:t>
      </w:r>
    </w:p>
    <w:p w14:paraId="6BB5D1FC">
      <w:pPr>
        <w:tabs>
          <w:tab w:val="left" w:pos="6300"/>
        </w:tabs>
        <w:snapToGrid w:val="0"/>
        <w:rPr>
          <w:snapToGrid w:val="0"/>
          <w:kern w:val="0"/>
        </w:rPr>
      </w:pPr>
    </w:p>
    <w:p w14:paraId="0C0F49E3">
      <w:pPr>
        <w:tabs>
          <w:tab w:val="left" w:pos="6300"/>
        </w:tabs>
        <w:snapToGrid w:val="0"/>
        <w:rPr>
          <w:snapToGrid w:val="0"/>
          <w:kern w:val="0"/>
        </w:rPr>
      </w:pPr>
      <w:r>
        <w:rPr>
          <w:rFonts w:hint="eastAsia"/>
          <w:snapToGrid w:val="0"/>
          <w:kern w:val="0"/>
        </w:rPr>
        <w:t>（附：法定代表人身份证正反面复印件）</w:t>
      </w:r>
    </w:p>
    <w:p w14:paraId="5851C1F5">
      <w:pPr>
        <w:tabs>
          <w:tab w:val="left" w:pos="6300"/>
        </w:tabs>
        <w:snapToGrid w:val="0"/>
        <w:rPr>
          <w:snapToGrid w:val="0"/>
          <w:kern w:val="0"/>
        </w:rPr>
      </w:pPr>
    </w:p>
    <w:p w14:paraId="3A78DCCD">
      <w:pPr>
        <w:tabs>
          <w:tab w:val="left" w:pos="6300"/>
        </w:tabs>
        <w:snapToGrid w:val="0"/>
        <w:rPr>
          <w:snapToGrid w:val="0"/>
          <w:kern w:val="0"/>
        </w:rPr>
      </w:pPr>
    </w:p>
    <w:p w14:paraId="7B776027">
      <w:pPr>
        <w:tabs>
          <w:tab w:val="left" w:pos="6300"/>
        </w:tabs>
        <w:snapToGrid w:val="0"/>
        <w:rPr>
          <w:snapToGrid w:val="0"/>
          <w:kern w:val="0"/>
        </w:rPr>
      </w:pPr>
    </w:p>
    <w:p w14:paraId="5E151532">
      <w:pPr>
        <w:jc w:val="center"/>
        <w:rPr>
          <w:rStyle w:val="42"/>
          <w:rFonts w:ascii="Times New Roman" w:hAnsi="Times New Roman"/>
        </w:rPr>
      </w:pPr>
      <w:r>
        <w:rPr>
          <w:rFonts w:hint="eastAsia"/>
          <w:snapToGrid w:val="0"/>
          <w:kern w:val="0"/>
        </w:rPr>
        <w:br w:type="column"/>
      </w:r>
      <w:r>
        <w:rPr>
          <w:rStyle w:val="42"/>
          <w:rFonts w:ascii="Times New Roman" w:hAnsi="Times New Roman"/>
        </w:rPr>
        <w:t>法定代表人授权委托书</w:t>
      </w:r>
    </w:p>
    <w:p w14:paraId="5BF235D6">
      <w:pPr>
        <w:tabs>
          <w:tab w:val="left" w:pos="6300"/>
        </w:tabs>
        <w:snapToGrid w:val="0"/>
        <w:rPr>
          <w:snapToGrid w:val="0"/>
          <w:kern w:val="0"/>
        </w:rPr>
      </w:pPr>
    </w:p>
    <w:p w14:paraId="1C50D698">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5577DA0E">
      <w:pPr>
        <w:tabs>
          <w:tab w:val="left" w:pos="6300"/>
        </w:tabs>
        <w:snapToGrid w:val="0"/>
        <w:rPr>
          <w:snapToGrid w:val="0"/>
          <w:kern w:val="0"/>
        </w:rPr>
      </w:pPr>
    </w:p>
    <w:p w14:paraId="2E5F94E4">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5A592A15">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人法定代表人名称）是</w:t>
      </w: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w:t>
      </w:r>
      <w:r>
        <w:rPr>
          <w:snapToGrid w:val="0"/>
          <w:kern w:val="0"/>
        </w:rPr>
        <w:t>委托代理人</w:t>
      </w:r>
      <w:r>
        <w:rPr>
          <w:rFonts w:hint="eastAsia"/>
          <w:snapToGrid w:val="0"/>
          <w:kern w:val="0"/>
        </w:rPr>
        <w:t>姓名及身份证代码）代表我单位全权办理上述项目的</w:t>
      </w:r>
      <w:r>
        <w:rPr>
          <w:rFonts w:hint="eastAsia" w:cs="Cambria"/>
          <w:snapToGrid w:val="0"/>
          <w:kern w:val="0"/>
          <w:szCs w:val="24"/>
        </w:rPr>
        <w:t>参选</w:t>
      </w:r>
      <w:r>
        <w:rPr>
          <w:rFonts w:hint="eastAsia"/>
          <w:snapToGrid w:val="0"/>
          <w:kern w:val="0"/>
        </w:rPr>
        <w:t>、谈判、签约等具体工作，并签署全部有关文件、协议及合同。</w:t>
      </w:r>
    </w:p>
    <w:p w14:paraId="0E9B4507">
      <w:pPr>
        <w:tabs>
          <w:tab w:val="left" w:pos="6300"/>
        </w:tabs>
        <w:snapToGrid w:val="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0418D22C">
      <w:pPr>
        <w:tabs>
          <w:tab w:val="left" w:pos="6300"/>
        </w:tabs>
        <w:snapToGrid w:val="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549AE111">
      <w:pPr>
        <w:tabs>
          <w:tab w:val="left" w:pos="6300"/>
        </w:tabs>
        <w:snapToGrid w:val="0"/>
        <w:rPr>
          <w:snapToGrid w:val="0"/>
          <w:kern w:val="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538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7173980">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6E5B86A7">
            <w:pPr>
              <w:tabs>
                <w:tab w:val="left" w:pos="6300"/>
              </w:tabs>
              <w:snapToGrid w:val="0"/>
              <w:ind w:firstLine="0" w:firstLineChars="0"/>
              <w:rPr>
                <w:snapToGrid w:val="0"/>
                <w:kern w:val="0"/>
              </w:rPr>
            </w:pPr>
            <w:r>
              <w:rPr>
                <w:rFonts w:hint="eastAsia" w:cs="Cambria"/>
                <w:snapToGrid w:val="0"/>
                <w:kern w:val="0"/>
                <w:szCs w:val="24"/>
              </w:rPr>
              <w:t>参选</w:t>
            </w:r>
            <w:r>
              <w:rPr>
                <w:rFonts w:hint="eastAsia"/>
                <w:snapToGrid w:val="0"/>
                <w:kern w:val="0"/>
              </w:rPr>
              <w:t>人法定代表人名称：</w:t>
            </w:r>
          </w:p>
        </w:tc>
      </w:tr>
      <w:tr w14:paraId="13A4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6DE11D0">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791B771D">
            <w:pPr>
              <w:tabs>
                <w:tab w:val="left" w:pos="6300"/>
              </w:tabs>
              <w:snapToGrid w:val="0"/>
              <w:ind w:firstLine="0" w:firstLineChars="0"/>
              <w:rPr>
                <w:snapToGrid w:val="0"/>
                <w:kern w:val="0"/>
              </w:rPr>
            </w:pPr>
            <w:r>
              <w:rPr>
                <w:rFonts w:hint="eastAsia"/>
                <w:snapToGrid w:val="0"/>
                <w:kern w:val="0"/>
                <w:szCs w:val="28"/>
              </w:rPr>
              <w:t>（签字或盖章）</w:t>
            </w:r>
          </w:p>
        </w:tc>
      </w:tr>
    </w:tbl>
    <w:p w14:paraId="3D54F365">
      <w:pPr>
        <w:tabs>
          <w:tab w:val="left" w:pos="6300"/>
        </w:tabs>
        <w:snapToGrid w:val="0"/>
        <w:rPr>
          <w:snapToGrid w:val="0"/>
          <w:kern w:val="0"/>
        </w:rPr>
      </w:pPr>
    </w:p>
    <w:p w14:paraId="5DB546D0">
      <w:pPr>
        <w:tabs>
          <w:tab w:val="left" w:pos="6300"/>
        </w:tabs>
        <w:snapToGrid w:val="0"/>
        <w:rPr>
          <w:snapToGrid w:val="0"/>
          <w:kern w:val="0"/>
          <w:szCs w:val="28"/>
        </w:rPr>
      </w:pPr>
    </w:p>
    <w:p w14:paraId="2BF0E9CF">
      <w:pPr>
        <w:tabs>
          <w:tab w:val="left" w:pos="6300"/>
        </w:tabs>
        <w:snapToGrid w:val="0"/>
        <w:rPr>
          <w:snapToGrid w:val="0"/>
          <w:kern w:val="0"/>
        </w:rPr>
      </w:pPr>
    </w:p>
    <w:p w14:paraId="06001705">
      <w:pPr>
        <w:tabs>
          <w:tab w:val="left" w:pos="6300"/>
        </w:tabs>
        <w:snapToGrid w:val="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077F3CDB">
      <w:pPr>
        <w:tabs>
          <w:tab w:val="left" w:pos="6300"/>
        </w:tabs>
        <w:snapToGrid w:val="0"/>
        <w:rPr>
          <w:snapToGrid w:val="0"/>
          <w:kern w:val="0"/>
        </w:rPr>
      </w:pPr>
    </w:p>
    <w:p w14:paraId="05FF35EB">
      <w:pPr>
        <w:tabs>
          <w:tab w:val="left" w:pos="6300"/>
        </w:tabs>
        <w:snapToGrid w:val="0"/>
        <w:rPr>
          <w:snapToGrid w:val="0"/>
          <w:kern w:val="0"/>
        </w:rPr>
      </w:pPr>
    </w:p>
    <w:p w14:paraId="02E41589">
      <w:pPr>
        <w:tabs>
          <w:tab w:val="left" w:pos="6300"/>
        </w:tabs>
        <w:snapToGrid w:val="0"/>
        <w:ind w:right="480"/>
        <w:jc w:val="right"/>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1B877A75">
      <w:pPr>
        <w:tabs>
          <w:tab w:val="left" w:pos="6300"/>
        </w:tabs>
        <w:snapToGrid w:val="0"/>
        <w:ind w:right="480"/>
        <w:jc w:val="right"/>
        <w:rPr>
          <w:snapToGrid w:val="0"/>
          <w:kern w:val="0"/>
        </w:rPr>
      </w:pPr>
      <w:r>
        <w:rPr>
          <w:rFonts w:hint="eastAsia"/>
          <w:snapToGrid w:val="0"/>
          <w:kern w:val="0"/>
        </w:rPr>
        <w:t>年   月   日</w:t>
      </w:r>
    </w:p>
    <w:p w14:paraId="1255117B">
      <w:pPr>
        <w:tabs>
          <w:tab w:val="left" w:pos="6300"/>
        </w:tabs>
        <w:snapToGrid w:val="0"/>
        <w:rPr>
          <w:snapToGrid w:val="0"/>
          <w:kern w:val="0"/>
        </w:rPr>
      </w:pPr>
    </w:p>
    <w:p w14:paraId="2290B618">
      <w:pPr>
        <w:tabs>
          <w:tab w:val="left" w:pos="6300"/>
        </w:tabs>
        <w:snapToGrid w:val="0"/>
        <w:rPr>
          <w:snapToGrid w:val="0"/>
          <w:kern w:val="0"/>
        </w:rPr>
      </w:pPr>
      <w:r>
        <w:rPr>
          <w:rFonts w:hint="eastAsia"/>
          <w:snapToGrid w:val="0"/>
          <w:kern w:val="0"/>
        </w:rPr>
        <w:t>注：若为法定代表人办理并签署参选文件的，不提供此文件。</w:t>
      </w:r>
    </w:p>
    <w:p w14:paraId="2FD3ECED"/>
    <w:p w14:paraId="198EBC95">
      <w:pPr>
        <w:sectPr>
          <w:pgSz w:w="11906" w:h="16838"/>
          <w:pgMar w:top="1440" w:right="1800" w:bottom="1440" w:left="1800" w:header="851" w:footer="992" w:gutter="0"/>
          <w:cols w:space="720" w:num="1"/>
          <w:docGrid w:type="lines" w:linePitch="312" w:charSpace="0"/>
        </w:sectPr>
      </w:pPr>
    </w:p>
    <w:bookmarkEnd w:id="145"/>
    <w:bookmarkEnd w:id="146"/>
    <w:bookmarkEnd w:id="147"/>
    <w:bookmarkEnd w:id="148"/>
    <w:bookmarkEnd w:id="149"/>
    <w:p w14:paraId="0AEC8938">
      <w:pPr>
        <w:pStyle w:val="40"/>
      </w:pPr>
      <w:r>
        <w:rPr>
          <w:rFonts w:hint="eastAsia"/>
        </w:rPr>
        <w:t>（三）书面声明</w:t>
      </w:r>
    </w:p>
    <w:p w14:paraId="6EF13FEF">
      <w:pPr>
        <w:tabs>
          <w:tab w:val="left" w:pos="6300"/>
        </w:tabs>
        <w:snapToGrid w:val="0"/>
      </w:pPr>
    </w:p>
    <w:p w14:paraId="7F33A71F">
      <w:pPr>
        <w:tabs>
          <w:tab w:val="left" w:pos="6300"/>
        </w:tabs>
        <w:snapToGrid w:val="0"/>
      </w:pPr>
      <w:r>
        <w:rPr>
          <w:rFonts w:hint="eastAsia"/>
          <w:szCs w:val="28"/>
        </w:rPr>
        <w:t>项目名称</w:t>
      </w:r>
      <w:r>
        <w:rPr>
          <w:rFonts w:hint="eastAsia"/>
        </w:rPr>
        <w:t>：</w:t>
      </w:r>
      <w:r>
        <w:rPr>
          <w:rFonts w:hint="eastAsia"/>
          <w:snapToGrid w:val="0"/>
          <w:kern w:val="0"/>
          <w:szCs w:val="24"/>
          <w:u w:val="single"/>
        </w:rPr>
        <w:t>__________________</w:t>
      </w:r>
    </w:p>
    <w:p w14:paraId="6C330DA3">
      <w:pPr>
        <w:tabs>
          <w:tab w:val="left" w:pos="6300"/>
        </w:tabs>
        <w:snapToGrid w:val="0"/>
      </w:pPr>
    </w:p>
    <w:p w14:paraId="3FDD36DB">
      <w:pPr>
        <w:tabs>
          <w:tab w:val="left" w:pos="6300"/>
        </w:tabs>
        <w:snapToGrid w:val="0"/>
      </w:pPr>
      <w:r>
        <w:rPr>
          <w:rFonts w:hint="eastAsia"/>
        </w:rPr>
        <w:t>致：</w:t>
      </w:r>
      <w:r>
        <w:rPr>
          <w:rFonts w:hint="eastAsia"/>
          <w:snapToGrid w:val="0"/>
          <w:kern w:val="0"/>
          <w:u w:val="single"/>
        </w:rPr>
        <w:t>重庆三峡银行股份有限公司</w:t>
      </w:r>
      <w:r>
        <w:rPr>
          <w:rFonts w:hint="eastAsia"/>
        </w:rPr>
        <w:t>：</w:t>
      </w:r>
    </w:p>
    <w:p w14:paraId="4D003234">
      <w:pPr>
        <w:tabs>
          <w:tab w:val="left" w:pos="6300"/>
        </w:tabs>
        <w:snapToGrid w:val="0"/>
      </w:pPr>
      <w:r>
        <w:rPr>
          <w:rFonts w:hint="eastAsia"/>
        </w:rPr>
        <w:t>（</w:t>
      </w:r>
      <w:r>
        <w:rPr>
          <w:rFonts w:hint="eastAsia" w:cs="等线 Light"/>
          <w:snapToGrid w:val="0"/>
          <w:kern w:val="0"/>
          <w:szCs w:val="24"/>
        </w:rPr>
        <w:t>参选</w:t>
      </w:r>
      <w:r>
        <w:rPr>
          <w:rFonts w:hint="eastAsia"/>
        </w:rPr>
        <w:t>人名称）郑重声明，我公司具有良好的商业信誉和健全的财务会计制度，</w:t>
      </w:r>
      <w:r>
        <w:rPr>
          <w:rFonts w:cs="Times New Roman"/>
        </w:rPr>
        <w:t>近3年财务状况稳定</w:t>
      </w:r>
      <w:r>
        <w:rPr>
          <w:rFonts w:hint="eastAsia" w:cs="Times New Roman"/>
        </w:rPr>
        <w:t>，</w:t>
      </w:r>
      <w:r>
        <w:rPr>
          <w:rFonts w:hint="eastAsia"/>
        </w:rPr>
        <w:t>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cs="等线 Light"/>
          <w:snapToGrid w:val="0"/>
          <w:kern w:val="0"/>
          <w:szCs w:val="24"/>
        </w:rPr>
        <w:t>参选</w:t>
      </w:r>
      <w:r>
        <w:rPr>
          <w:rFonts w:hint="eastAsia"/>
        </w:rPr>
        <w:t>人资格条件；</w:t>
      </w:r>
      <w:r>
        <w:rPr>
          <w:rFonts w:hint="eastAsia" w:cs="Cambria"/>
          <w:szCs w:val="24"/>
        </w:rPr>
        <w:t>我公司本次如若中选，中选后不会对项目进行转包</w:t>
      </w:r>
      <w:r>
        <w:rPr>
          <w:rFonts w:hint="eastAsia"/>
        </w:rPr>
        <w:t>。我方对以上声明负全部法律责任。</w:t>
      </w:r>
    </w:p>
    <w:p w14:paraId="382175AF">
      <w:pPr>
        <w:tabs>
          <w:tab w:val="left" w:pos="6300"/>
        </w:tabs>
        <w:snapToGrid w:val="0"/>
      </w:pPr>
      <w:r>
        <w:rPr>
          <w:rFonts w:hint="eastAsia"/>
        </w:rPr>
        <w:t>特此声明。</w:t>
      </w:r>
    </w:p>
    <w:p w14:paraId="1274B71B">
      <w:pPr>
        <w:tabs>
          <w:tab w:val="left" w:pos="6300"/>
        </w:tabs>
        <w:snapToGrid w:val="0"/>
      </w:pPr>
    </w:p>
    <w:p w14:paraId="7FB5DD79">
      <w:pPr>
        <w:tabs>
          <w:tab w:val="left" w:pos="6300"/>
        </w:tabs>
        <w:snapToGrid w:val="0"/>
      </w:pPr>
    </w:p>
    <w:p w14:paraId="55DE2CF7">
      <w:pPr>
        <w:tabs>
          <w:tab w:val="left" w:pos="6300"/>
        </w:tabs>
        <w:snapToGrid w:val="0"/>
      </w:pPr>
    </w:p>
    <w:p w14:paraId="49A5864D">
      <w:pPr>
        <w:tabs>
          <w:tab w:val="left" w:pos="6300"/>
        </w:tabs>
        <w:snapToGrid w:val="0"/>
        <w:ind w:right="424"/>
        <w:jc w:val="right"/>
      </w:pPr>
      <w:r>
        <w:rPr>
          <w:rFonts w:hint="eastAsia"/>
        </w:rPr>
        <w:t>（</w:t>
      </w:r>
      <w:r>
        <w:rPr>
          <w:rFonts w:hint="eastAsia" w:cs="等线 Light"/>
          <w:snapToGrid w:val="0"/>
          <w:kern w:val="0"/>
          <w:szCs w:val="24"/>
        </w:rPr>
        <w:t>参选</w:t>
      </w:r>
      <w:r>
        <w:rPr>
          <w:rFonts w:hint="eastAsia"/>
        </w:rPr>
        <w:t>人公章）</w:t>
      </w:r>
    </w:p>
    <w:p w14:paraId="5CA93703">
      <w:pPr>
        <w:tabs>
          <w:tab w:val="left" w:pos="6300"/>
        </w:tabs>
        <w:snapToGrid w:val="0"/>
        <w:ind w:right="480"/>
        <w:jc w:val="right"/>
      </w:pPr>
      <w:r>
        <w:rPr>
          <w:rFonts w:hint="eastAsia"/>
        </w:rPr>
        <w:t>年   月   日</w:t>
      </w:r>
    </w:p>
    <w:p w14:paraId="4879C889">
      <w:pPr>
        <w:jc w:val="left"/>
        <w:rPr>
          <w:rFonts w:cs="等线 Light"/>
          <w:snapToGrid w:val="0"/>
          <w:kern w:val="0"/>
          <w:szCs w:val="24"/>
        </w:rPr>
      </w:pPr>
    </w:p>
    <w:p w14:paraId="36C5C918">
      <w:pPr>
        <w:jc w:val="left"/>
        <w:rPr>
          <w:rFonts w:cs="等线 Light"/>
          <w:snapToGrid w:val="0"/>
          <w:kern w:val="0"/>
          <w:szCs w:val="24"/>
        </w:rPr>
      </w:pPr>
    </w:p>
    <w:p w14:paraId="6D0807C5">
      <w:pPr>
        <w:jc w:val="left"/>
        <w:rPr>
          <w:rFonts w:cs="等线 Light"/>
          <w:snapToGrid w:val="0"/>
          <w:kern w:val="0"/>
          <w:szCs w:val="24"/>
        </w:rPr>
      </w:pPr>
    </w:p>
    <w:p w14:paraId="49878531">
      <w:pPr>
        <w:jc w:val="left"/>
        <w:rPr>
          <w:rFonts w:cs="等线 Light"/>
          <w:snapToGrid w:val="0"/>
          <w:kern w:val="0"/>
          <w:szCs w:val="24"/>
        </w:rPr>
      </w:pPr>
    </w:p>
    <w:p w14:paraId="0D86C31F">
      <w:pPr>
        <w:jc w:val="left"/>
        <w:rPr>
          <w:rFonts w:cs="等线 Light"/>
          <w:snapToGrid w:val="0"/>
          <w:kern w:val="0"/>
          <w:szCs w:val="24"/>
        </w:rPr>
      </w:pPr>
    </w:p>
    <w:p w14:paraId="0A5933BB">
      <w:pPr>
        <w:jc w:val="left"/>
        <w:rPr>
          <w:rFonts w:cs="等线 Light"/>
          <w:snapToGrid w:val="0"/>
          <w:kern w:val="0"/>
          <w:szCs w:val="24"/>
        </w:rPr>
      </w:pPr>
    </w:p>
    <w:p w14:paraId="156A3F58">
      <w:pPr>
        <w:jc w:val="left"/>
        <w:rPr>
          <w:rFonts w:cs="等线 Light"/>
          <w:snapToGrid w:val="0"/>
          <w:kern w:val="0"/>
          <w:szCs w:val="24"/>
        </w:rPr>
      </w:pPr>
    </w:p>
    <w:p w14:paraId="6731F166">
      <w:pPr>
        <w:rPr>
          <w:b/>
          <w:bCs/>
        </w:rPr>
      </w:pPr>
      <w:r>
        <w:rPr>
          <w:rFonts w:hint="eastAsia"/>
          <w:kern w:val="0"/>
        </w:rPr>
        <w:br w:type="page"/>
      </w:r>
    </w:p>
    <w:p w14:paraId="3A5633BF">
      <w:pPr>
        <w:pStyle w:val="40"/>
      </w:pPr>
      <w:r>
        <w:t>（</w:t>
      </w:r>
      <w:r>
        <w:rPr>
          <w:rFonts w:hint="eastAsia"/>
        </w:rPr>
        <w:t>四</w:t>
      </w:r>
      <w:r>
        <w:t>）中国执行信息公开网截图</w:t>
      </w:r>
    </w:p>
    <w:p w14:paraId="3481FD76">
      <w:r>
        <w:rPr>
          <w:rFonts w:hint="eastAsia"/>
        </w:rPr>
        <w:t>1.法人</w:t>
      </w:r>
      <w:r>
        <w:t>中国执行信息公开网截图</w:t>
      </w:r>
    </w:p>
    <w:p w14:paraId="44207883">
      <w:r>
        <w:rPr>
          <w:rFonts w:hint="eastAsia"/>
        </w:rPr>
        <w:t>2.法定代表人</w:t>
      </w:r>
      <w:r>
        <w:t>中国执行信息公开网截图</w:t>
      </w:r>
    </w:p>
    <w:p w14:paraId="740A410B"/>
    <w:p w14:paraId="603BE0C6"/>
    <w:p w14:paraId="3DECC4DC"/>
    <w:p w14:paraId="30AE491B">
      <w:r>
        <w:rPr>
          <w:rFonts w:hint="eastAsia"/>
        </w:rPr>
        <w:br w:type="page"/>
      </w:r>
    </w:p>
    <w:p w14:paraId="2246AD8A">
      <w:pPr>
        <w:pStyle w:val="40"/>
      </w:pPr>
      <w:r>
        <w:rPr>
          <w:rFonts w:hint="eastAsia"/>
          <w:lang w:val="zh-CN"/>
        </w:rPr>
        <w:t>（</w:t>
      </w:r>
      <w:r>
        <w:rPr>
          <w:rFonts w:hint="eastAsia"/>
        </w:rPr>
        <w:t>五</w:t>
      </w:r>
      <w:r>
        <w:rPr>
          <w:rFonts w:hint="eastAsia"/>
          <w:lang w:val="zh-CN"/>
        </w:rPr>
        <w:t>）项目案例</w:t>
      </w:r>
      <w:r>
        <w:rPr>
          <w:rFonts w:hint="eastAsia"/>
        </w:rPr>
        <w:t>和业绩证明文件复印件</w:t>
      </w:r>
    </w:p>
    <w:p w14:paraId="677B62FE">
      <w:pPr>
        <w:rPr>
          <w:rFonts w:cs="Times New Roman"/>
        </w:rPr>
      </w:pPr>
      <w:r>
        <w:rPr>
          <w:rFonts w:hint="eastAsia" w:cs="Times New Roman"/>
        </w:rPr>
        <w:t>（</w:t>
      </w:r>
      <w:r>
        <w:rPr>
          <w:rFonts w:hint="eastAsia"/>
        </w:rPr>
        <w:t>提供资格业绩。</w:t>
      </w:r>
      <w:r>
        <w:rPr>
          <w:rFonts w:cs="Times New Roman"/>
        </w:rPr>
        <w:t>此处为第一章第2条参选人资格条件所用案例及资质文件</w:t>
      </w:r>
      <w:r>
        <w:rPr>
          <w:rFonts w:hint="eastAsia" w:cs="Times New Roman"/>
        </w:rPr>
        <w:t>）</w:t>
      </w:r>
    </w:p>
    <w:p w14:paraId="5F278A2B">
      <w:pPr>
        <w:rPr>
          <w:lang w:val="zh-CN"/>
        </w:rPr>
      </w:pPr>
    </w:p>
    <w:p w14:paraId="1A547116">
      <w:pPr>
        <w:rPr>
          <w:lang w:val="zh-CN"/>
        </w:rPr>
      </w:pPr>
    </w:p>
    <w:p w14:paraId="3EEBD381">
      <w:pPr>
        <w:rPr>
          <w:lang w:val="zh-CN"/>
        </w:rPr>
        <w:sectPr>
          <w:pgSz w:w="11906" w:h="16838"/>
          <w:pgMar w:top="1440" w:right="1800" w:bottom="1440" w:left="1800" w:header="851" w:footer="992" w:gutter="0"/>
          <w:cols w:space="720" w:num="1"/>
          <w:docGrid w:type="lines" w:linePitch="312" w:charSpace="0"/>
        </w:sectPr>
      </w:pPr>
    </w:p>
    <w:p w14:paraId="325D45AC">
      <w:pPr>
        <w:ind w:firstLine="0" w:firstLineChars="0"/>
        <w:jc w:val="center"/>
        <w:outlineLvl w:val="2"/>
        <w:rPr>
          <w:rFonts w:cs="Times New Roman"/>
        </w:rPr>
      </w:pPr>
      <w:bookmarkStart w:id="150" w:name="_Toc7410"/>
      <w:bookmarkStart w:id="151" w:name="_Toc13224"/>
      <w:r>
        <w:rPr>
          <w:rFonts w:cs="Times New Roman"/>
        </w:rPr>
        <w:t>（六）第三方软件产品的原厂商授权书或确认函</w:t>
      </w:r>
      <w:bookmarkEnd w:id="150"/>
      <w:bookmarkEnd w:id="151"/>
    </w:p>
    <w:p w14:paraId="3088EB50">
      <w:pPr>
        <w:ind w:firstLine="0" w:firstLineChars="0"/>
        <w:jc w:val="center"/>
      </w:pPr>
      <w:r>
        <w:rPr>
          <w:rFonts w:hint="eastAsia"/>
        </w:rPr>
        <w:t>（如果未使用第三方软件产品，需提供未使用确认函并加盖</w:t>
      </w:r>
      <w:r>
        <w:t>公章</w:t>
      </w:r>
      <w:r>
        <w:rPr>
          <w:rFonts w:hint="eastAsia"/>
        </w:rPr>
        <w:t>）</w:t>
      </w:r>
    </w:p>
    <w:p w14:paraId="547E6271"/>
    <w:p w14:paraId="1124B2A1"/>
    <w:p w14:paraId="6BCDBAAE">
      <w:pPr>
        <w:sectPr>
          <w:pgSz w:w="11906" w:h="16838"/>
          <w:pgMar w:top="1440" w:right="1800" w:bottom="1440" w:left="1800" w:header="851" w:footer="992" w:gutter="0"/>
          <w:cols w:space="720" w:num="1"/>
          <w:docGrid w:type="lines" w:linePitch="312" w:charSpace="0"/>
        </w:sectPr>
      </w:pPr>
    </w:p>
    <w:p w14:paraId="0593B52D">
      <w:pPr>
        <w:pStyle w:val="40"/>
        <w:rPr>
          <w:lang w:val="zh-CN"/>
        </w:rPr>
      </w:pPr>
      <w:r>
        <w:rPr>
          <w:rFonts w:hint="eastAsia"/>
          <w:lang w:val="zh-CN"/>
        </w:rPr>
        <w:t>（</w:t>
      </w:r>
      <w:r>
        <w:rPr>
          <w:lang w:val="zh-CN"/>
        </w:rPr>
        <w:t>七</w:t>
      </w:r>
      <w:r>
        <w:rPr>
          <w:rFonts w:hint="eastAsia"/>
          <w:lang w:val="zh-CN"/>
        </w:rPr>
        <w:t>）</w:t>
      </w:r>
      <w:r>
        <w:rPr>
          <w:rFonts w:hint="eastAsia"/>
        </w:rPr>
        <w:t>ISO相关认证材料</w:t>
      </w:r>
    </w:p>
    <w:p w14:paraId="1152239F">
      <w:pPr>
        <w:rPr>
          <w:lang w:val="zh-CN"/>
        </w:rPr>
      </w:pPr>
    </w:p>
    <w:p w14:paraId="202044C5">
      <w:pPr>
        <w:rPr>
          <w:lang w:val="zh-CN"/>
        </w:rPr>
      </w:pPr>
    </w:p>
    <w:p w14:paraId="4DCA3102">
      <w:pPr>
        <w:rPr>
          <w:lang w:val="zh-CN"/>
        </w:rPr>
      </w:pPr>
    </w:p>
    <w:p w14:paraId="01D74AEB">
      <w:pPr>
        <w:rPr>
          <w:lang w:val="zh-CN"/>
        </w:rPr>
        <w:sectPr>
          <w:pgSz w:w="11906" w:h="16838"/>
          <w:pgMar w:top="1440" w:right="1800" w:bottom="1440" w:left="1800" w:header="851" w:footer="992" w:gutter="0"/>
          <w:cols w:space="720" w:num="1"/>
          <w:docGrid w:type="lines" w:linePitch="312" w:charSpace="0"/>
        </w:sectPr>
      </w:pPr>
    </w:p>
    <w:p w14:paraId="23C63E81">
      <w:pPr>
        <w:pStyle w:val="40"/>
        <w:rPr>
          <w:lang w:val="zh-CN"/>
        </w:rPr>
      </w:pPr>
      <w:r>
        <w:rPr>
          <w:rFonts w:hint="eastAsia"/>
          <w:lang w:val="zh-CN"/>
        </w:rPr>
        <w:t>（</w:t>
      </w:r>
      <w:r>
        <w:rPr>
          <w:rFonts w:hint="eastAsia"/>
        </w:rPr>
        <w:t>八</w:t>
      </w:r>
      <w:r>
        <w:rPr>
          <w:rFonts w:hint="eastAsia"/>
          <w:lang w:val="zh-CN"/>
        </w:rPr>
        <w:t>）</w:t>
      </w:r>
      <w:r>
        <w:rPr>
          <w:rFonts w:hint="eastAsia" w:cs="Times New Roman"/>
        </w:rPr>
        <w:t>CMMI5级</w:t>
      </w:r>
      <w:r>
        <w:rPr>
          <w:rFonts w:cs="Times New Roman"/>
        </w:rPr>
        <w:t>相关认证</w:t>
      </w:r>
      <w:r>
        <w:rPr>
          <w:rFonts w:hint="eastAsia" w:cs="Times New Roman"/>
        </w:rPr>
        <w:t>材料</w:t>
      </w:r>
    </w:p>
    <w:p w14:paraId="21789C81">
      <w:pPr>
        <w:rPr>
          <w:lang w:val="zh-CN"/>
        </w:rPr>
      </w:pPr>
    </w:p>
    <w:p w14:paraId="5778C993">
      <w:pPr>
        <w:rPr>
          <w:lang w:val="zh-CN"/>
        </w:rPr>
      </w:pPr>
    </w:p>
    <w:p w14:paraId="35C07FFD">
      <w:pPr>
        <w:rPr>
          <w:lang w:val="zh-CN"/>
        </w:rPr>
      </w:pPr>
    </w:p>
    <w:p w14:paraId="71BBEFC1">
      <w:pPr>
        <w:rPr>
          <w:lang w:val="zh-CN"/>
        </w:rPr>
        <w:sectPr>
          <w:pgSz w:w="11906" w:h="16838"/>
          <w:pgMar w:top="1440" w:right="1800" w:bottom="1440" w:left="1800" w:header="851" w:footer="992" w:gutter="0"/>
          <w:cols w:space="720" w:num="1"/>
          <w:docGrid w:type="lines" w:linePitch="312" w:charSpace="0"/>
        </w:sectPr>
      </w:pPr>
    </w:p>
    <w:p w14:paraId="37999D37">
      <w:pPr>
        <w:pStyle w:val="40"/>
        <w:rPr>
          <w:lang w:val="zh-CN"/>
        </w:rPr>
      </w:pPr>
      <w:r>
        <w:rPr>
          <w:rFonts w:hint="eastAsia"/>
          <w:lang w:val="zh-CN"/>
        </w:rPr>
        <w:t>（</w:t>
      </w:r>
      <w:r>
        <w:rPr>
          <w:rFonts w:hint="eastAsia"/>
        </w:rPr>
        <w:t>九</w:t>
      </w:r>
      <w:r>
        <w:rPr>
          <w:rFonts w:hint="eastAsia"/>
          <w:lang w:val="zh-CN"/>
        </w:rPr>
        <w:t>）</w:t>
      </w:r>
      <w:r>
        <w:t>国家高新技术企业认证</w:t>
      </w:r>
      <w:r>
        <w:rPr>
          <w:rFonts w:hint="eastAsia"/>
        </w:rPr>
        <w:t>材料</w:t>
      </w:r>
    </w:p>
    <w:p w14:paraId="3653EE19">
      <w:pPr>
        <w:rPr>
          <w:lang w:val="zh-CN"/>
        </w:rPr>
      </w:pPr>
    </w:p>
    <w:p w14:paraId="279EA026">
      <w:pPr>
        <w:rPr>
          <w:lang w:val="zh-CN"/>
        </w:rPr>
      </w:pPr>
    </w:p>
    <w:p w14:paraId="21D13083">
      <w:pPr>
        <w:rPr>
          <w:lang w:val="zh-CN"/>
        </w:rPr>
      </w:pPr>
    </w:p>
    <w:p w14:paraId="7C1DC277">
      <w:pPr>
        <w:rPr>
          <w:lang w:val="zh-CN"/>
        </w:rPr>
        <w:sectPr>
          <w:pgSz w:w="11906" w:h="16838"/>
          <w:pgMar w:top="1440" w:right="1800" w:bottom="1440" w:left="1800" w:header="851" w:footer="992" w:gutter="0"/>
          <w:cols w:space="720" w:num="1"/>
          <w:docGrid w:type="lines" w:linePitch="312" w:charSpace="0"/>
        </w:sectPr>
      </w:pPr>
    </w:p>
    <w:p w14:paraId="453F608A">
      <w:pPr>
        <w:pStyle w:val="40"/>
        <w:rPr>
          <w:lang w:val="zh-CN"/>
        </w:rPr>
      </w:pPr>
      <w:r>
        <w:rPr>
          <w:rFonts w:hint="eastAsia"/>
          <w:lang w:val="zh-CN"/>
        </w:rPr>
        <w:t>（</w:t>
      </w:r>
      <w:r>
        <w:rPr>
          <w:rFonts w:hint="eastAsia"/>
        </w:rPr>
        <w:t>十</w:t>
      </w:r>
      <w:r>
        <w:rPr>
          <w:rFonts w:hint="eastAsia"/>
          <w:lang w:val="zh-CN"/>
        </w:rPr>
        <w:t>）其他</w:t>
      </w:r>
      <w:r>
        <w:rPr>
          <w:lang w:val="zh-CN"/>
        </w:rPr>
        <w:t>（如有）</w:t>
      </w:r>
    </w:p>
    <w:p w14:paraId="40099E30">
      <w:pPr>
        <w:rPr>
          <w:lang w:val="zh-CN"/>
        </w:rPr>
      </w:pPr>
    </w:p>
    <w:p w14:paraId="01D185E3">
      <w:pPr>
        <w:rPr>
          <w:lang w:val="zh-CN"/>
        </w:rPr>
      </w:pPr>
    </w:p>
    <w:p w14:paraId="7CB644CA">
      <w:pPr>
        <w:rPr>
          <w:lang w:val="zh-CN"/>
        </w:rPr>
      </w:pPr>
    </w:p>
    <w:p w14:paraId="2C2D236E">
      <w:pPr>
        <w:rPr>
          <w:lang w:val="zh-CN"/>
        </w:rPr>
        <w:sectPr>
          <w:pgSz w:w="11906" w:h="16838"/>
          <w:pgMar w:top="1440" w:right="1800" w:bottom="1440" w:left="1800" w:header="851" w:footer="992" w:gutter="0"/>
          <w:cols w:space="720" w:num="1"/>
          <w:docGrid w:type="lines" w:linePitch="312" w:charSpace="0"/>
        </w:sectPr>
      </w:pPr>
    </w:p>
    <w:p w14:paraId="65E4BB63">
      <w:pPr>
        <w:pStyle w:val="34"/>
      </w:pPr>
      <w:r>
        <w:t>四、响应性文件</w:t>
      </w:r>
    </w:p>
    <w:p w14:paraId="6C86DCCA">
      <w:pPr>
        <w:pStyle w:val="40"/>
      </w:pPr>
      <w:r>
        <w:rPr>
          <w:rFonts w:hint="eastAsia"/>
        </w:rPr>
        <w:t>（一）响应承诺函</w:t>
      </w:r>
    </w:p>
    <w:p w14:paraId="7712585D">
      <w:r>
        <w:rPr>
          <w:rFonts w:hint="eastAsia"/>
        </w:rPr>
        <w:t>根据第三章“项目要求”内容，做出整体承诺，格式自理。</w:t>
      </w:r>
    </w:p>
    <w:p w14:paraId="4815C06B"/>
    <w:p w14:paraId="1172A5ED"/>
    <w:p w14:paraId="6BD3D51F">
      <w:pPr>
        <w:sectPr>
          <w:pgSz w:w="11906" w:h="16838"/>
          <w:pgMar w:top="1440" w:right="1800" w:bottom="1440" w:left="1800" w:header="851" w:footer="992" w:gutter="0"/>
          <w:cols w:space="720" w:num="1"/>
          <w:docGrid w:type="lines" w:linePitch="312" w:charSpace="0"/>
        </w:sectPr>
      </w:pPr>
    </w:p>
    <w:p w14:paraId="17117199">
      <w:pPr>
        <w:pStyle w:val="40"/>
      </w:pPr>
      <w:r>
        <w:rPr>
          <w:rFonts w:hint="eastAsia"/>
        </w:rPr>
        <w:t>（二）参选保证金</w:t>
      </w:r>
    </w:p>
    <w:p w14:paraId="2BD614B3">
      <w:pPr>
        <w:rPr>
          <w:rFonts w:ascii="宋体" w:cs="等线 Light"/>
        </w:rPr>
      </w:pPr>
    </w:p>
    <w:p w14:paraId="61ED9507">
      <w:pPr>
        <w:rPr>
          <w:rFonts w:ascii="宋体" w:cs="等线 Light"/>
        </w:rPr>
      </w:pPr>
    </w:p>
    <w:p w14:paraId="4B755E54">
      <w:pPr>
        <w:rPr>
          <w:rFonts w:ascii="宋体" w:cs="等线 Light"/>
        </w:rPr>
      </w:pPr>
    </w:p>
    <w:p w14:paraId="58A1A791">
      <w:pPr>
        <w:rPr>
          <w:rFonts w:ascii="宋体" w:cs="等线 Light"/>
        </w:rPr>
      </w:pPr>
    </w:p>
    <w:p w14:paraId="4533E709">
      <w:pPr>
        <w:rPr>
          <w:rFonts w:ascii="宋体" w:cs="等线 Light"/>
        </w:rPr>
      </w:pPr>
    </w:p>
    <w:p w14:paraId="2B7A440E">
      <w:pPr>
        <w:rPr>
          <w:rFonts w:ascii="宋体" w:cs="等线 Light"/>
        </w:rPr>
      </w:pPr>
    </w:p>
    <w:p w14:paraId="7EDF66F5">
      <w:pPr>
        <w:rPr>
          <w:rFonts w:ascii="宋体" w:cs="等线 Light"/>
        </w:rPr>
      </w:pPr>
    </w:p>
    <w:p w14:paraId="5709EA96">
      <w:pPr>
        <w:rPr>
          <w:rFonts w:ascii="宋体" w:cs="等线 Light"/>
        </w:rPr>
      </w:pPr>
    </w:p>
    <w:p w14:paraId="0D8D7E40">
      <w:pPr>
        <w:rPr>
          <w:rFonts w:ascii="宋体" w:cs="等线 Light"/>
        </w:rPr>
      </w:pPr>
    </w:p>
    <w:p w14:paraId="10E02B11">
      <w:pPr>
        <w:rPr>
          <w:rFonts w:ascii="宋体" w:cs="等线 Light"/>
        </w:rPr>
      </w:pPr>
    </w:p>
    <w:p w14:paraId="243E0275">
      <w:pPr>
        <w:rPr>
          <w:rFonts w:ascii="宋体" w:cs="等线 Light"/>
        </w:rPr>
      </w:pPr>
    </w:p>
    <w:p w14:paraId="43DB2614">
      <w:pPr>
        <w:rPr>
          <w:rFonts w:ascii="宋体" w:cs="等线 Light"/>
        </w:rPr>
      </w:pPr>
    </w:p>
    <w:p w14:paraId="2EF28940">
      <w:pPr>
        <w:rPr>
          <w:rFonts w:ascii="宋体" w:cs="等线 Light"/>
        </w:rPr>
      </w:pPr>
    </w:p>
    <w:p w14:paraId="49D41A90">
      <w:pPr>
        <w:rPr>
          <w:rFonts w:ascii="宋体" w:cs="等线 Light"/>
        </w:rPr>
      </w:pPr>
    </w:p>
    <w:p w14:paraId="40983B7C">
      <w:pPr>
        <w:rPr>
          <w:rFonts w:ascii="宋体" w:cs="等线 Light"/>
        </w:rPr>
      </w:pPr>
    </w:p>
    <w:p w14:paraId="5273C2A1">
      <w:pPr>
        <w:rPr>
          <w:rFonts w:ascii="宋体" w:cs="等线 Light"/>
        </w:rPr>
      </w:pPr>
    </w:p>
    <w:p w14:paraId="349BFA10">
      <w:pPr>
        <w:rPr>
          <w:rFonts w:ascii="宋体" w:cs="等线 Light"/>
        </w:rPr>
      </w:pPr>
    </w:p>
    <w:p w14:paraId="36C16DC5">
      <w:pPr>
        <w:rPr>
          <w:rFonts w:ascii="宋体" w:cs="等线 Light"/>
        </w:rPr>
      </w:pPr>
    </w:p>
    <w:p w14:paraId="61F469C9">
      <w:pPr>
        <w:adjustRightInd w:val="0"/>
        <w:snapToGrid w:val="0"/>
        <w:jc w:val="left"/>
        <w:rPr>
          <w:rFonts w:ascii="宋体"/>
          <w:kern w:val="0"/>
        </w:rPr>
      </w:pPr>
      <w:r>
        <w:rPr>
          <w:rFonts w:ascii="宋体"/>
        </w:rPr>
        <mc:AlternateContent>
          <mc:Choice Requires="wps">
            <w:drawing>
              <wp:anchor distT="0" distB="0" distL="113030" distR="113030" simplePos="0" relativeHeight="251659264" behindDoc="0" locked="0" layoutInCell="1" allowOverlap="1">
                <wp:simplePos x="0" y="0"/>
                <wp:positionH relativeFrom="column">
                  <wp:posOffset>-28575</wp:posOffset>
                </wp:positionH>
                <wp:positionV relativeFrom="paragraph">
                  <wp:posOffset>235585</wp:posOffset>
                </wp:positionV>
                <wp:extent cx="2828925" cy="0"/>
                <wp:effectExtent l="0" t="4444" r="0" b="5080"/>
                <wp:wrapNone/>
                <wp:docPr id="3" name="直接连接符 3"/>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vert="horz" wrap="square" lIns="91440" tIns="45720" rIns="91440" bIns="45720" anchor="t" anchorCtr="0" upright="0">
                        <a:noAutofit/>
                      </wps:bodyPr>
                    </wps:wsp>
                  </a:graphicData>
                </a:graphic>
              </wp:anchor>
            </w:drawing>
          </mc:Choice>
          <mc:Fallback>
            <w:pict>
              <v:line id="_x0000_s1026" o:spid="_x0000_s1026" o:spt="20" style="position:absolute;left:0pt;margin-left:-2.25pt;margin-top:18.55pt;height:0pt;width:222.75pt;z-index:251659264;mso-width-relative:page;mso-height-relative:page;" filled="f" stroked="t" coordsize="21600,21600" o:gfxdata="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627CdUAAAAI&#10;AQAADwAAAAAAAAABACAAAAAiAAAAZHJzL2Rvd25yZXYueG1sUEsBAhQAFAAAAAgAh07iQDv3zj4f&#10;AgAAJgQAAA4AAAAAAAAAAQAgAAAAJAEAAGRycy9lMm9Eb2MueG1sUEsFBgAAAAAGAAYAWQEAALUF&#10;AAAAAA==&#10;">
                <v:fill on="f" focussize="0,0"/>
                <v:stroke weight="0.25pt" color="#000000" joinstyle="miter"/>
                <v:imagedata o:title=""/>
                <o:lock v:ext="edit" aspectratio="f"/>
              </v:line>
            </w:pict>
          </mc:Fallback>
        </mc:AlternateContent>
      </w:r>
    </w:p>
    <w:p w14:paraId="05131AFC">
      <w:pPr>
        <w:tabs>
          <w:tab w:val="left" w:pos="6300"/>
        </w:tabs>
        <w:snapToGrid w:val="0"/>
        <w:rPr>
          <w:rFonts w:ascii="宋体"/>
          <w:snapToGrid w:val="0"/>
          <w:kern w:val="0"/>
          <w:sz w:val="24"/>
        </w:rPr>
      </w:pPr>
      <w:r>
        <w:rPr>
          <w:rFonts w:hint="eastAsia" w:ascii="宋体"/>
          <w:snapToGrid w:val="0"/>
          <w:kern w:val="0"/>
          <w:sz w:val="24"/>
        </w:rPr>
        <w:t>注：附</w:t>
      </w:r>
      <w:r>
        <w:rPr>
          <w:rFonts w:hint="eastAsia" w:ascii="宋体" w:cs="等线 Light"/>
          <w:snapToGrid w:val="0"/>
          <w:kern w:val="0"/>
          <w:sz w:val="24"/>
          <w:szCs w:val="24"/>
        </w:rPr>
        <w:t>参选</w:t>
      </w:r>
      <w:r>
        <w:rPr>
          <w:rFonts w:hint="eastAsia" w:ascii="宋体"/>
          <w:snapToGrid w:val="0"/>
          <w:kern w:val="0"/>
          <w:sz w:val="24"/>
        </w:rPr>
        <w:t>保证金缴款凭据复印件</w:t>
      </w:r>
    </w:p>
    <w:p w14:paraId="35CF19C5">
      <w:pPr>
        <w:rPr>
          <w:rFonts w:ascii="宋体" w:cs="等线 Light"/>
          <w:szCs w:val="21"/>
        </w:rPr>
      </w:pPr>
    </w:p>
    <w:p w14:paraId="590C88C4">
      <w:pPr>
        <w:rPr>
          <w:rFonts w:ascii="宋体" w:cs="等线 Light"/>
          <w:szCs w:val="21"/>
        </w:rPr>
        <w:sectPr>
          <w:pgSz w:w="11906" w:h="16838"/>
          <w:pgMar w:top="1440" w:right="1800" w:bottom="1440" w:left="1800" w:header="851" w:footer="992" w:gutter="0"/>
          <w:cols w:space="720" w:num="1"/>
          <w:docGrid w:type="lines" w:linePitch="312" w:charSpace="0"/>
        </w:sectPr>
      </w:pPr>
    </w:p>
    <w:p w14:paraId="3D3BE0A9">
      <w:pPr>
        <w:pStyle w:val="40"/>
      </w:pPr>
      <w:r>
        <w:rPr>
          <w:rFonts w:hint="eastAsia"/>
        </w:rPr>
        <w:t>（三）</w:t>
      </w:r>
      <w:r>
        <w:t>近半年公司为项目组成员缴纳社保的证明材料</w:t>
      </w:r>
    </w:p>
    <w:p w14:paraId="1DC3ECB3"/>
    <w:p w14:paraId="22EA0656"/>
    <w:p w14:paraId="56D53734"/>
    <w:p w14:paraId="198529B4"/>
    <w:p w14:paraId="4D785B92"/>
    <w:p w14:paraId="753823D4">
      <w:pPr>
        <w:sectPr>
          <w:pgSz w:w="11906" w:h="16838"/>
          <w:pgMar w:top="1440" w:right="1800" w:bottom="1440" w:left="1800" w:header="851" w:footer="992" w:gutter="0"/>
          <w:cols w:space="720" w:num="1"/>
          <w:docGrid w:type="lines" w:linePitch="312" w:charSpace="0"/>
        </w:sectPr>
      </w:pPr>
    </w:p>
    <w:p w14:paraId="17B3FC1A">
      <w:pPr>
        <w:pStyle w:val="40"/>
      </w:pPr>
      <w:r>
        <w:rPr>
          <w:rFonts w:hint="eastAsia"/>
        </w:rPr>
        <w:t>（四）项目组成员简历信息</w:t>
      </w:r>
    </w:p>
    <w:p w14:paraId="192BCB77">
      <w:pPr>
        <w:ind w:firstLine="0" w:firstLineChars="0"/>
        <w:jc w:val="center"/>
        <w:rPr>
          <w:rFonts w:cs="Times New Roman"/>
          <w:b/>
          <w:sz w:val="32"/>
          <w:szCs w:val="32"/>
        </w:rPr>
      </w:pPr>
      <w:r>
        <w:rPr>
          <w:rFonts w:cs="Times New Roman"/>
          <w:b/>
          <w:sz w:val="32"/>
          <w:szCs w:val="32"/>
        </w:rPr>
        <w:t>参选人项目组成员简历表（模板）</w:t>
      </w:r>
    </w:p>
    <w:p w14:paraId="076C3CAD">
      <w:pPr>
        <w:ind w:firstLine="0" w:firstLineChars="0"/>
        <w:rPr>
          <w:rFonts w:cs="Times New Roman"/>
          <w:b/>
        </w:rPr>
      </w:pPr>
      <w:r>
        <w:rPr>
          <w:rFonts w:cs="Times New Roman"/>
          <w:b/>
        </w:rPr>
        <w:t>单位名称（盖章）：                                填表日期：年 月 日</w:t>
      </w:r>
    </w:p>
    <w:tbl>
      <w:tblPr>
        <w:tblStyle w:val="2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83"/>
        <w:gridCol w:w="1314"/>
        <w:gridCol w:w="812"/>
        <w:gridCol w:w="597"/>
        <w:gridCol w:w="222"/>
        <w:gridCol w:w="1083"/>
        <w:gridCol w:w="1343"/>
        <w:gridCol w:w="437"/>
        <w:gridCol w:w="988"/>
        <w:gridCol w:w="60"/>
        <w:gridCol w:w="86"/>
        <w:gridCol w:w="1874"/>
      </w:tblGrid>
      <w:tr w14:paraId="3575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054AA34D">
            <w:pPr>
              <w:spacing w:line="300" w:lineRule="auto"/>
              <w:jc w:val="center"/>
              <w:rPr>
                <w:rFonts w:eastAsia="仿宋_GB2312" w:cs="Times New Roman"/>
                <w:b/>
              </w:rPr>
            </w:pPr>
            <w:r>
              <w:rPr>
                <w:rFonts w:eastAsia="仿宋_GB2312" w:cs="Times New Roman"/>
                <w:b/>
              </w:rPr>
              <w:t>基本信息</w:t>
            </w:r>
          </w:p>
        </w:tc>
      </w:tr>
      <w:tr w14:paraId="59F0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9424475">
            <w:pPr>
              <w:adjustRightInd w:val="0"/>
              <w:snapToGrid w:val="0"/>
              <w:spacing w:line="400" w:lineRule="exact"/>
              <w:ind w:left="-12" w:leftChars="-51" w:right="-107" w:rightChars="-51" w:hanging="95" w:hangingChars="45"/>
              <w:jc w:val="center"/>
              <w:rPr>
                <w:rFonts w:eastAsia="仿宋_GB2312" w:cs="Times New Roman"/>
                <w:b/>
              </w:rPr>
            </w:pPr>
            <w:r>
              <w:rPr>
                <w:rFonts w:eastAsia="仿宋_GB2312" w:cs="Times New Roman"/>
                <w:b/>
              </w:rPr>
              <w:t>姓名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280BDF93">
            <w:pPr>
              <w:adjustRightInd w:val="0"/>
              <w:snapToGrid w:val="0"/>
              <w:spacing w:line="400" w:lineRule="exact"/>
              <w:ind w:firstLine="0" w:firstLineChars="0"/>
              <w:rPr>
                <w:rFonts w:eastAsia="仿宋_GB2312" w:cs="Times New Roman"/>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8DAE413">
            <w:pPr>
              <w:adjustRightInd w:val="0"/>
              <w:snapToGrid w:val="0"/>
              <w:spacing w:line="400" w:lineRule="exact"/>
              <w:ind w:left="-12" w:leftChars="-51" w:right="-107" w:rightChars="-51" w:hanging="95" w:hangingChars="45"/>
              <w:jc w:val="center"/>
              <w:rPr>
                <w:rFonts w:eastAsia="仿宋_GB2312" w:cs="Times New Roman"/>
                <w:b/>
              </w:rPr>
            </w:pPr>
            <w:r>
              <w:rPr>
                <w:rFonts w:eastAsia="仿宋_GB2312" w:cs="Times New Roman"/>
                <w:b/>
              </w:rPr>
              <w:t>性别</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2B240E">
            <w:pPr>
              <w:adjustRightInd w:val="0"/>
              <w:snapToGrid w:val="0"/>
              <w:spacing w:line="400" w:lineRule="exact"/>
              <w:ind w:firstLine="0" w:firstLineChars="0"/>
              <w:rPr>
                <w:rFonts w:eastAsia="仿宋_GB2312" w:cs="Times New Roman"/>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650C60D4">
            <w:pPr>
              <w:adjustRightInd w:val="0"/>
              <w:snapToGrid w:val="0"/>
              <w:spacing w:line="400" w:lineRule="exact"/>
              <w:ind w:left="-12" w:leftChars="-51" w:right="-107" w:rightChars="-51" w:hanging="95" w:hangingChars="45"/>
              <w:jc w:val="center"/>
              <w:rPr>
                <w:rFonts w:eastAsia="仿宋_GB2312" w:cs="Times New Roman"/>
                <w:b/>
              </w:rPr>
            </w:pPr>
            <w:r>
              <w:rPr>
                <w:rFonts w:eastAsia="仿宋_GB2312" w:cs="Times New Roman"/>
                <w:b/>
              </w:rPr>
              <w:t>出生年月</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6020E4CF">
            <w:pPr>
              <w:adjustRightInd w:val="0"/>
              <w:snapToGrid w:val="0"/>
              <w:spacing w:line="400" w:lineRule="exact"/>
              <w:ind w:firstLine="0" w:firstLineChars="0"/>
              <w:rPr>
                <w:rFonts w:eastAsia="仿宋_GB2312" w:cs="Times New Roman"/>
              </w:rPr>
            </w:pPr>
          </w:p>
        </w:tc>
        <w:tc>
          <w:tcPr>
            <w:tcW w:w="187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ADA4F0B">
            <w:pPr>
              <w:adjustRightInd w:val="0"/>
              <w:snapToGrid w:val="0"/>
              <w:spacing w:line="400" w:lineRule="exact"/>
              <w:ind w:firstLine="0" w:firstLineChars="0"/>
              <w:jc w:val="center"/>
              <w:rPr>
                <w:rFonts w:eastAsia="仿宋_GB2312" w:cs="Times New Roman"/>
              </w:rPr>
            </w:pPr>
            <w:r>
              <w:rPr>
                <w:rFonts w:eastAsia="仿宋_GB2312" w:cs="Times New Roman"/>
              </w:rPr>
              <w:t>贴</w:t>
            </w:r>
          </w:p>
          <w:p w14:paraId="478C1DCC">
            <w:pPr>
              <w:adjustRightInd w:val="0"/>
              <w:snapToGrid w:val="0"/>
              <w:spacing w:line="400" w:lineRule="exact"/>
              <w:ind w:firstLine="0" w:firstLineChars="0"/>
              <w:jc w:val="center"/>
              <w:rPr>
                <w:rFonts w:eastAsia="仿宋_GB2312" w:cs="Times New Roman"/>
              </w:rPr>
            </w:pPr>
            <w:r>
              <w:rPr>
                <w:rFonts w:eastAsia="仿宋_GB2312" w:cs="Times New Roman"/>
              </w:rPr>
              <w:t>照</w:t>
            </w:r>
          </w:p>
          <w:p w14:paraId="0EA9E817">
            <w:pPr>
              <w:adjustRightInd w:val="0"/>
              <w:snapToGrid w:val="0"/>
              <w:spacing w:line="400" w:lineRule="exact"/>
              <w:ind w:firstLine="0" w:firstLineChars="0"/>
              <w:jc w:val="center"/>
              <w:rPr>
                <w:rFonts w:eastAsia="仿宋_GB2312" w:cs="Times New Roman"/>
              </w:rPr>
            </w:pPr>
            <w:r>
              <w:rPr>
                <w:rFonts w:eastAsia="仿宋_GB2312" w:cs="Times New Roman"/>
              </w:rPr>
              <w:t>片</w:t>
            </w:r>
          </w:p>
          <w:p w14:paraId="225D2609">
            <w:pPr>
              <w:adjustRightInd w:val="0"/>
              <w:snapToGrid w:val="0"/>
              <w:spacing w:line="400" w:lineRule="exact"/>
              <w:ind w:firstLine="0" w:firstLineChars="0"/>
              <w:jc w:val="center"/>
              <w:rPr>
                <w:rFonts w:eastAsia="仿宋_GB2312" w:cs="Times New Roman"/>
              </w:rPr>
            </w:pPr>
            <w:r>
              <w:rPr>
                <w:rFonts w:eastAsia="仿宋_GB2312" w:cs="Times New Roman"/>
              </w:rPr>
              <w:t>处</w:t>
            </w:r>
          </w:p>
          <w:p w14:paraId="14F3CD8F">
            <w:pPr>
              <w:adjustRightInd w:val="0"/>
              <w:snapToGrid w:val="0"/>
              <w:spacing w:line="400" w:lineRule="exact"/>
              <w:ind w:firstLine="0" w:firstLineChars="0"/>
              <w:rPr>
                <w:rFonts w:eastAsia="仿宋_GB2312" w:cs="Times New Roman"/>
              </w:rPr>
            </w:pPr>
          </w:p>
        </w:tc>
      </w:tr>
      <w:tr w14:paraId="7F6E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5334838">
            <w:pPr>
              <w:adjustRightInd w:val="0"/>
              <w:snapToGrid w:val="0"/>
              <w:spacing w:line="400" w:lineRule="exact"/>
              <w:ind w:left="-12" w:leftChars="-51" w:right="-107" w:rightChars="-51" w:hanging="95" w:hangingChars="45"/>
              <w:jc w:val="center"/>
              <w:rPr>
                <w:rFonts w:eastAsia="仿宋_GB2312" w:cs="Times New Roman"/>
                <w:b/>
              </w:rPr>
            </w:pPr>
            <w:r>
              <w:rPr>
                <w:rFonts w:eastAsia="仿宋_GB2312" w:cs="Times New Roman"/>
                <w:b/>
              </w:rPr>
              <w:t>籍贯</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0E845411">
            <w:pPr>
              <w:adjustRightInd w:val="0"/>
              <w:snapToGrid w:val="0"/>
              <w:spacing w:line="400" w:lineRule="exact"/>
              <w:ind w:firstLine="0" w:firstLineChars="0"/>
              <w:rPr>
                <w:rFonts w:eastAsia="仿宋_GB2312" w:cs="Times New Roman"/>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2A88141">
            <w:pPr>
              <w:adjustRightInd w:val="0"/>
              <w:snapToGrid w:val="0"/>
              <w:spacing w:line="400" w:lineRule="exact"/>
              <w:ind w:left="-12" w:leftChars="-51" w:right="-107" w:rightChars="-51" w:hanging="95" w:hangingChars="45"/>
              <w:jc w:val="center"/>
              <w:rPr>
                <w:rFonts w:eastAsia="仿宋_GB2312" w:cs="Times New Roman"/>
                <w:b/>
              </w:rPr>
            </w:pPr>
            <w:r>
              <w:rPr>
                <w:rFonts w:eastAsia="仿宋_GB2312" w:cs="Times New Roman"/>
                <w:b/>
              </w:rPr>
              <w:t>常住地</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A0D1827">
            <w:pPr>
              <w:adjustRightInd w:val="0"/>
              <w:snapToGrid w:val="0"/>
              <w:spacing w:line="400" w:lineRule="exact"/>
              <w:ind w:firstLine="0" w:firstLineChars="0"/>
              <w:rPr>
                <w:rFonts w:eastAsia="仿宋_GB2312" w:cs="Times New Roman"/>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1C8BF295">
            <w:pPr>
              <w:adjustRightInd w:val="0"/>
              <w:snapToGrid w:val="0"/>
              <w:spacing w:line="400" w:lineRule="exact"/>
              <w:ind w:left="-12" w:leftChars="-51" w:right="-107" w:rightChars="-51" w:hanging="95" w:hangingChars="45"/>
              <w:jc w:val="center"/>
              <w:rPr>
                <w:rFonts w:eastAsia="仿宋_GB2312" w:cs="Times New Roman"/>
                <w:b/>
              </w:rPr>
            </w:pPr>
            <w:r>
              <w:rPr>
                <w:rFonts w:eastAsia="仿宋_GB2312" w:cs="Times New Roman"/>
                <w:b/>
              </w:rPr>
              <w:t>政治面貌</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0C0A1F7A">
            <w:pPr>
              <w:adjustRightInd w:val="0"/>
              <w:snapToGrid w:val="0"/>
              <w:spacing w:line="400" w:lineRule="exact"/>
              <w:ind w:firstLine="0" w:firstLineChars="0"/>
              <w:rPr>
                <w:rFonts w:eastAsia="仿宋_GB2312" w:cs="Times New Roman"/>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6DDF174D"/>
        </w:tc>
      </w:tr>
      <w:tr w14:paraId="6722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6918E82">
            <w:pPr>
              <w:adjustRightInd w:val="0"/>
              <w:snapToGrid w:val="0"/>
              <w:spacing w:line="280" w:lineRule="exact"/>
              <w:ind w:right="-107" w:rightChars="-51" w:firstLine="0" w:firstLineChars="0"/>
              <w:rPr>
                <w:rFonts w:eastAsia="仿宋_GB2312" w:cs="Times New Roman"/>
                <w:b/>
              </w:rPr>
            </w:pPr>
            <w:r>
              <w:rPr>
                <w:rFonts w:eastAsia="仿宋_GB2312" w:cs="Times New Roman"/>
                <w:b/>
              </w:rPr>
              <w:t>参加工作时间</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75D535EF">
            <w:pPr>
              <w:adjustRightInd w:val="0"/>
              <w:snapToGrid w:val="0"/>
              <w:spacing w:line="280" w:lineRule="exact"/>
              <w:ind w:firstLine="0" w:firstLineChars="0"/>
              <w:rPr>
                <w:rFonts w:eastAsia="仿宋_GB2312" w:cs="Times New Roman"/>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1DDE7F9">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同类项目</w:t>
            </w:r>
          </w:p>
          <w:p w14:paraId="1069D75B">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从业经验</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6939B28">
            <w:pPr>
              <w:adjustRightInd w:val="0"/>
              <w:snapToGrid w:val="0"/>
              <w:spacing w:line="280" w:lineRule="exact"/>
              <w:ind w:firstLine="0" w:firstLineChars="0"/>
              <w:rPr>
                <w:rFonts w:eastAsia="仿宋_GB2312" w:cs="Times New Roman"/>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6A87B380">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拟任本</w:t>
            </w:r>
          </w:p>
          <w:p w14:paraId="0DE2CCFB">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项目岗位</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B5B2206">
            <w:pPr>
              <w:adjustRightInd w:val="0"/>
              <w:snapToGrid w:val="0"/>
              <w:spacing w:line="280" w:lineRule="exact"/>
              <w:ind w:firstLine="0" w:firstLineChars="0"/>
              <w:rPr>
                <w:rFonts w:eastAsia="仿宋_GB2312" w:cs="Times New Roman"/>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78A3587F"/>
        </w:tc>
      </w:tr>
      <w:tr w14:paraId="17AD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4E6DD39">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学历</w:t>
            </w:r>
          </w:p>
          <w:p w14:paraId="19040642">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学位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297553D6">
            <w:pPr>
              <w:adjustRightInd w:val="0"/>
              <w:snapToGrid w:val="0"/>
              <w:spacing w:line="280" w:lineRule="exact"/>
              <w:ind w:right="-107" w:rightChars="-51" w:firstLine="0" w:firstLineChars="0"/>
              <w:rPr>
                <w:rFonts w:eastAsia="仿宋_GB2312" w:cs="Times New Roman"/>
                <w:b/>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C0FB08E">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毕业院校</w:t>
            </w:r>
          </w:p>
          <w:p w14:paraId="100E1DBA">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及专业</w:t>
            </w:r>
          </w:p>
        </w:tc>
        <w:tc>
          <w:tcPr>
            <w:tcW w:w="421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5894C28A">
            <w:pPr>
              <w:adjustRightInd w:val="0"/>
              <w:snapToGrid w:val="0"/>
              <w:spacing w:line="280" w:lineRule="exact"/>
              <w:ind w:right="-107" w:rightChars="-51" w:firstLine="0" w:firstLineChars="0"/>
              <w:rPr>
                <w:rFonts w:eastAsia="仿宋_GB2312" w:cs="Times New Roman"/>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6B334E66"/>
        </w:tc>
      </w:tr>
      <w:tr w14:paraId="596E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15915C8">
            <w:pPr>
              <w:adjustRightInd w:val="0"/>
              <w:snapToGrid w:val="0"/>
              <w:spacing w:line="280" w:lineRule="exact"/>
              <w:ind w:firstLine="0" w:firstLineChars="0"/>
              <w:jc w:val="center"/>
              <w:rPr>
                <w:rFonts w:eastAsia="仿宋_GB2312" w:cs="Times New Roman"/>
                <w:b/>
              </w:rPr>
            </w:pPr>
            <w:r>
              <w:rPr>
                <w:rFonts w:eastAsia="仿宋_GB2312" w:cs="Times New Roman"/>
                <w:b/>
              </w:rPr>
              <w:t>现任职务</w:t>
            </w:r>
          </w:p>
        </w:tc>
        <w:tc>
          <w:tcPr>
            <w:tcW w:w="4057"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5E5E3515">
            <w:pPr>
              <w:adjustRightInd w:val="0"/>
              <w:snapToGrid w:val="0"/>
              <w:spacing w:line="280" w:lineRule="exact"/>
              <w:ind w:firstLine="0" w:firstLineChars="0"/>
              <w:rPr>
                <w:rFonts w:eastAsia="仿宋_GB2312" w:cs="Times New Roman"/>
                <w:b/>
              </w:rPr>
            </w:pP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A7F226A">
            <w:pPr>
              <w:adjustRightInd w:val="0"/>
              <w:snapToGrid w:val="0"/>
              <w:spacing w:line="280" w:lineRule="exact"/>
              <w:ind w:firstLine="0" w:firstLineChars="0"/>
              <w:rPr>
                <w:rFonts w:eastAsia="仿宋_GB2312" w:cs="Times New Roman"/>
                <w:b/>
              </w:rPr>
            </w:pPr>
            <w:r>
              <w:rPr>
                <w:rFonts w:eastAsia="仿宋_GB2312" w:cs="Times New Roman"/>
                <w:b/>
              </w:rPr>
              <w:t>联系方式</w:t>
            </w:r>
          </w:p>
        </w:tc>
        <w:tc>
          <w:tcPr>
            <w:tcW w:w="1874" w:type="dxa"/>
            <w:tcBorders>
              <w:top w:val="single" w:color="auto" w:sz="4" w:space="0"/>
              <w:left w:val="single" w:color="auto" w:sz="4" w:space="0"/>
              <w:bottom w:val="single" w:color="auto" w:sz="4" w:space="0"/>
              <w:right w:val="single" w:color="auto" w:sz="4" w:space="0"/>
              <w:tl2br w:val="nil"/>
              <w:tr2bl w:val="nil"/>
            </w:tcBorders>
            <w:noWrap/>
            <w:vAlign w:val="center"/>
          </w:tcPr>
          <w:p w14:paraId="2CD493E7">
            <w:pPr>
              <w:adjustRightInd w:val="0"/>
              <w:snapToGrid w:val="0"/>
              <w:spacing w:line="280" w:lineRule="exact"/>
              <w:jc w:val="center"/>
              <w:rPr>
                <w:rFonts w:eastAsia="仿宋_GB2312" w:cs="Times New Roman"/>
                <w:b/>
              </w:rPr>
            </w:pPr>
          </w:p>
        </w:tc>
      </w:tr>
      <w:tr w14:paraId="3F46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F0A6748">
            <w:pPr>
              <w:adjustRightInd w:val="0"/>
              <w:snapToGrid w:val="0"/>
              <w:spacing w:line="280" w:lineRule="exact"/>
              <w:ind w:firstLine="0" w:firstLineChars="0"/>
              <w:jc w:val="center"/>
              <w:rPr>
                <w:rFonts w:eastAsia="仿宋_GB2312" w:cs="Times New Roman"/>
                <w:b/>
              </w:rPr>
            </w:pPr>
            <w:r>
              <w:rPr>
                <w:rFonts w:eastAsia="仿宋_GB2312" w:cs="Times New Roman"/>
                <w:b/>
              </w:rPr>
              <w:t>资质证书</w:t>
            </w:r>
          </w:p>
        </w:tc>
        <w:tc>
          <w:tcPr>
            <w:tcW w:w="7501"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7B6CD885">
            <w:pPr>
              <w:adjustRightInd w:val="0"/>
              <w:snapToGrid w:val="0"/>
              <w:spacing w:line="280" w:lineRule="exact"/>
              <w:ind w:firstLine="0" w:firstLineChars="0"/>
              <w:rPr>
                <w:rFonts w:eastAsia="仿宋_GB2312" w:cs="Times New Roman"/>
                <w:b/>
              </w:rPr>
            </w:pPr>
          </w:p>
        </w:tc>
      </w:tr>
      <w:tr w14:paraId="4386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765AC8CF">
            <w:pPr>
              <w:spacing w:line="300" w:lineRule="auto"/>
              <w:jc w:val="center"/>
              <w:rPr>
                <w:rFonts w:eastAsia="仿宋_GB2312" w:cs="Times New Roman"/>
                <w:b/>
              </w:rPr>
            </w:pPr>
            <w:r>
              <w:rPr>
                <w:rFonts w:eastAsia="仿宋_GB2312" w:cs="Times New Roman"/>
                <w:b/>
              </w:rPr>
              <w:t>工作及项目经历信息</w:t>
            </w:r>
          </w:p>
        </w:tc>
      </w:tr>
      <w:tr w14:paraId="6E20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901DB3E">
            <w:pPr>
              <w:spacing w:line="300" w:lineRule="auto"/>
              <w:ind w:firstLine="0" w:firstLineChars="0"/>
              <w:jc w:val="center"/>
              <w:rPr>
                <w:rFonts w:eastAsia="仿宋_GB2312" w:cs="Times New Roman"/>
                <w:b/>
              </w:rPr>
            </w:pPr>
            <w:r>
              <w:rPr>
                <w:rFonts w:eastAsia="仿宋_GB2312" w:cs="Times New Roman"/>
                <w:b/>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0DF94B1">
            <w:pPr>
              <w:spacing w:line="300" w:lineRule="auto"/>
              <w:ind w:firstLine="0" w:firstLineChars="0"/>
              <w:jc w:val="center"/>
              <w:rPr>
                <w:rFonts w:eastAsia="仿宋_GB2312" w:cs="Times New Roman"/>
              </w:rPr>
            </w:pPr>
            <w:r>
              <w:rPr>
                <w:rFonts w:eastAsia="仿宋_GB2312" w:cs="Times New Roman"/>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5F5268F">
            <w:pPr>
              <w:spacing w:line="300" w:lineRule="auto"/>
              <w:ind w:firstLine="0" w:firstLineChars="0"/>
              <w:jc w:val="center"/>
              <w:rPr>
                <w:rFonts w:eastAsia="仿宋_GB2312" w:cs="Times New Roman"/>
              </w:rPr>
            </w:pPr>
            <w:r>
              <w:rPr>
                <w:rFonts w:eastAsia="仿宋_GB2312" w:cs="Times New Roman"/>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7C2B751">
            <w:pPr>
              <w:spacing w:line="300" w:lineRule="auto"/>
              <w:ind w:firstLine="0" w:firstLineChars="0"/>
              <w:jc w:val="center"/>
              <w:rPr>
                <w:rFonts w:eastAsia="仿宋_GB2312" w:cs="Times New Roman"/>
              </w:rPr>
            </w:pPr>
            <w:r>
              <w:rPr>
                <w:rFonts w:eastAsia="仿宋_GB2312" w:cs="Times New Roman"/>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33874752">
            <w:pPr>
              <w:spacing w:line="300" w:lineRule="auto"/>
              <w:ind w:firstLine="0" w:firstLineChars="0"/>
              <w:jc w:val="center"/>
              <w:rPr>
                <w:rFonts w:eastAsia="仿宋_GB2312" w:cs="Times New Roman"/>
              </w:rPr>
            </w:pPr>
            <w:r>
              <w:rPr>
                <w:rFonts w:eastAsia="仿宋_GB2312" w:cs="Times New Roman"/>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0AFF1B1">
            <w:pPr>
              <w:spacing w:line="300" w:lineRule="auto"/>
              <w:ind w:firstLine="0" w:firstLineChars="0"/>
              <w:jc w:val="center"/>
              <w:rPr>
                <w:rFonts w:eastAsia="仿宋_GB2312" w:cs="Times New Roman"/>
              </w:rPr>
            </w:pPr>
            <w:r>
              <w:rPr>
                <w:rFonts w:eastAsia="仿宋_GB2312" w:cs="Times New Roman"/>
              </w:rPr>
              <w:t>联系方式</w:t>
            </w:r>
          </w:p>
        </w:tc>
      </w:tr>
      <w:tr w14:paraId="4FE1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CEBA03D"/>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3635194">
            <w:pPr>
              <w:spacing w:line="300" w:lineRule="auto"/>
              <w:ind w:firstLine="0" w:firstLineChars="0"/>
              <w:rPr>
                <w:rFonts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FAF721E">
            <w:pPr>
              <w:spacing w:line="300" w:lineRule="auto"/>
              <w:ind w:firstLine="0" w:firstLineChars="0"/>
              <w:rPr>
                <w:rFonts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2E3487D">
            <w:pPr>
              <w:spacing w:line="300" w:lineRule="auto"/>
              <w:ind w:firstLine="0" w:firstLineChars="0"/>
              <w:rPr>
                <w:rFonts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3588D2B2">
            <w:pPr>
              <w:spacing w:line="300" w:lineRule="auto"/>
              <w:ind w:firstLine="0" w:firstLineChars="0"/>
              <w:rPr>
                <w:rFonts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67547B4">
            <w:pPr>
              <w:spacing w:line="300" w:lineRule="auto"/>
              <w:ind w:firstLine="0" w:firstLineChars="0"/>
              <w:rPr>
                <w:rFonts w:eastAsia="仿宋_GB2312" w:cs="Times New Roman"/>
              </w:rPr>
            </w:pPr>
          </w:p>
        </w:tc>
      </w:tr>
      <w:tr w14:paraId="2DE3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46D33BA"/>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77A51778">
            <w:pPr>
              <w:spacing w:line="300" w:lineRule="auto"/>
              <w:ind w:firstLine="0" w:firstLineChars="0"/>
              <w:rPr>
                <w:rFonts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3C835335">
            <w:pPr>
              <w:spacing w:line="300" w:lineRule="auto"/>
              <w:ind w:firstLine="0" w:firstLineChars="0"/>
              <w:rPr>
                <w:rFonts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377F3784">
            <w:pPr>
              <w:spacing w:line="300" w:lineRule="auto"/>
              <w:ind w:firstLine="0" w:firstLineChars="0"/>
              <w:rPr>
                <w:rFonts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00BF2B00">
            <w:pPr>
              <w:spacing w:line="300" w:lineRule="auto"/>
              <w:ind w:firstLine="0" w:firstLineChars="0"/>
              <w:rPr>
                <w:rFonts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66B2243B">
            <w:pPr>
              <w:spacing w:line="300" w:lineRule="auto"/>
              <w:ind w:firstLine="0" w:firstLineChars="0"/>
              <w:rPr>
                <w:rFonts w:eastAsia="仿宋_GB2312" w:cs="Times New Roman"/>
              </w:rPr>
            </w:pPr>
          </w:p>
        </w:tc>
      </w:tr>
      <w:tr w14:paraId="2E29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AC58DFF"/>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65A051D4">
            <w:pPr>
              <w:spacing w:line="300" w:lineRule="auto"/>
              <w:ind w:firstLine="0" w:firstLineChars="0"/>
              <w:rPr>
                <w:rFonts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6E0F00D3">
            <w:pPr>
              <w:spacing w:line="300" w:lineRule="auto"/>
              <w:ind w:firstLine="0" w:firstLineChars="0"/>
              <w:rPr>
                <w:rFonts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03E6D658">
            <w:pPr>
              <w:spacing w:line="300" w:lineRule="auto"/>
              <w:ind w:firstLine="0" w:firstLineChars="0"/>
              <w:rPr>
                <w:rFonts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3A38225E">
            <w:pPr>
              <w:spacing w:line="300" w:lineRule="auto"/>
              <w:ind w:firstLine="0" w:firstLineChars="0"/>
              <w:rPr>
                <w:rFonts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4BF1379C">
            <w:pPr>
              <w:spacing w:line="300" w:lineRule="auto"/>
              <w:ind w:firstLine="0" w:firstLineChars="0"/>
              <w:rPr>
                <w:rFonts w:eastAsia="仿宋_GB2312" w:cs="Times New Roman"/>
              </w:rPr>
            </w:pPr>
          </w:p>
        </w:tc>
      </w:tr>
      <w:tr w14:paraId="07E5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603A536">
            <w:pPr>
              <w:adjustRightInd w:val="0"/>
              <w:snapToGrid w:val="0"/>
              <w:spacing w:line="400" w:lineRule="exact"/>
              <w:ind w:firstLine="0" w:firstLineChars="0"/>
              <w:jc w:val="center"/>
              <w:rPr>
                <w:rFonts w:eastAsia="仿宋_GB2312" w:cs="Times New Roman"/>
                <w:b/>
              </w:rPr>
            </w:pPr>
            <w:r>
              <w:rPr>
                <w:rFonts w:eastAsia="仿宋_GB2312" w:cs="Times New Roman"/>
                <w:b/>
              </w:rPr>
              <w:t>参与同类项目经历</w:t>
            </w:r>
          </w:p>
          <w:p w14:paraId="288FD2BC">
            <w:pPr>
              <w:adjustRightInd w:val="0"/>
              <w:snapToGrid w:val="0"/>
              <w:spacing w:line="400" w:lineRule="exact"/>
              <w:ind w:firstLine="0" w:firstLineChars="0"/>
              <w:jc w:val="center"/>
              <w:rPr>
                <w:rFonts w:eastAsia="仿宋_GB2312" w:cs="Times New Roman"/>
                <w:i/>
                <w:szCs w:val="21"/>
              </w:rPr>
            </w:pPr>
            <w:r>
              <w:rPr>
                <w:rFonts w:eastAsia="仿宋_GB2312" w:cs="Times New Roman"/>
                <w:i/>
                <w:szCs w:val="21"/>
              </w:rPr>
              <w:t>(详细</w:t>
            </w:r>
          </w:p>
          <w:p w14:paraId="05149EBD">
            <w:pPr>
              <w:adjustRightInd w:val="0"/>
              <w:snapToGrid w:val="0"/>
              <w:spacing w:line="400" w:lineRule="exact"/>
              <w:ind w:firstLine="0" w:firstLineChars="0"/>
              <w:jc w:val="center"/>
              <w:rPr>
                <w:rFonts w:eastAsia="仿宋_GB2312" w:cs="Times New Roman"/>
                <w:szCs w:val="21"/>
              </w:rPr>
            </w:pPr>
            <w:r>
              <w:rPr>
                <w:rFonts w:eastAsia="仿宋_GB2312" w:cs="Times New Roman"/>
                <w:i/>
                <w:szCs w:val="21"/>
              </w:rPr>
              <w:t>填写)</w:t>
            </w: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F3B5581">
            <w:pPr>
              <w:ind w:firstLine="0" w:firstLineChars="0"/>
              <w:rPr>
                <w:rFonts w:eastAsia="仿宋_GB2312" w:cs="Times New Roman"/>
                <w:b/>
                <w:bCs/>
              </w:rPr>
            </w:pPr>
            <w:r>
              <w:rPr>
                <w:rFonts w:eastAsia="仿宋_GB2312" w:cs="Times New Roman"/>
                <w:b/>
                <w:bCs/>
              </w:rPr>
              <w:t>银行业开发/测试经验</w:t>
            </w:r>
          </w:p>
        </w:tc>
        <w:tc>
          <w:tcPr>
            <w:tcW w:w="2714"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D190361">
            <w:pPr>
              <w:jc w:val="center"/>
              <w:rPr>
                <w:rFonts w:eastAsia="仿宋_GB2312" w:cs="Times New Roman"/>
              </w:rPr>
            </w:pPr>
            <w:r>
              <w:rPr>
                <w:rFonts w:eastAsia="仿宋_GB2312" w:cs="Times New Roman"/>
              </w:rPr>
              <w:t>（年）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F9E416F">
            <w:pPr>
              <w:ind w:firstLine="0" w:firstLineChars="0"/>
              <w:rPr>
                <w:rFonts w:eastAsia="仿宋_GB2312" w:cs="Times New Roman"/>
              </w:rPr>
            </w:pPr>
            <w:r>
              <w:rPr>
                <w:rFonts w:eastAsia="仿宋_GB2312" w:cs="Times New Roman"/>
                <w:b/>
                <w:bCs/>
              </w:rPr>
              <w:t>参与同类项目</w:t>
            </w:r>
          </w:p>
        </w:tc>
        <w:tc>
          <w:tcPr>
            <w:tcW w:w="300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647B8E65">
            <w:pPr>
              <w:jc w:val="center"/>
              <w:rPr>
                <w:rFonts w:eastAsia="仿宋_GB2312" w:cs="Times New Roman"/>
              </w:rPr>
            </w:pPr>
            <w:r>
              <w:rPr>
                <w:rFonts w:eastAsia="仿宋_GB2312" w:cs="Times New Roman"/>
              </w:rPr>
              <w:t>（个）</w:t>
            </w:r>
          </w:p>
        </w:tc>
      </w:tr>
      <w:tr w14:paraId="29D6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B4FE124"/>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DA633DF">
            <w:pPr>
              <w:ind w:firstLine="0" w:firstLineChars="0"/>
              <w:jc w:val="center"/>
              <w:rPr>
                <w:rFonts w:eastAsia="仿宋_GB2312" w:cs="Times New Roman"/>
              </w:rPr>
            </w:pPr>
            <w:r>
              <w:rPr>
                <w:rFonts w:eastAsia="仿宋_GB2312" w:cs="Times New Roman"/>
              </w:rPr>
              <w:t>项目名称</w:t>
            </w: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66AD7E3">
            <w:pPr>
              <w:ind w:firstLine="0" w:firstLineChars="0"/>
              <w:jc w:val="center"/>
              <w:rPr>
                <w:rFonts w:eastAsia="仿宋_GB2312" w:cs="Times New Roman"/>
              </w:rPr>
            </w:pPr>
            <w:r>
              <w:rPr>
                <w:rFonts w:eastAsia="仿宋_GB2312" w:cs="Times New Roman"/>
              </w:rPr>
              <w:t>起止时间</w:t>
            </w: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168A4876">
            <w:pPr>
              <w:ind w:firstLine="0" w:firstLineChars="0"/>
              <w:jc w:val="center"/>
              <w:rPr>
                <w:rFonts w:eastAsia="仿宋_GB2312" w:cs="Times New Roman"/>
              </w:rPr>
            </w:pPr>
            <w:r>
              <w:rPr>
                <w:rFonts w:eastAsia="仿宋_GB2312" w:cs="Times New Roman"/>
              </w:rPr>
              <w:t>承担</w:t>
            </w:r>
          </w:p>
          <w:p w14:paraId="271C1D6D">
            <w:pPr>
              <w:ind w:firstLine="0" w:firstLineChars="0"/>
              <w:jc w:val="center"/>
              <w:rPr>
                <w:rFonts w:eastAsia="仿宋_GB2312" w:cs="Times New Roman"/>
              </w:rPr>
            </w:pPr>
            <w:r>
              <w:rPr>
                <w:rFonts w:eastAsia="仿宋_GB2312" w:cs="Times New Roman"/>
              </w:rPr>
              <w:t>角色</w:t>
            </w: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B97C14A">
            <w:pPr>
              <w:ind w:firstLine="0" w:firstLineChars="0"/>
              <w:jc w:val="center"/>
              <w:rPr>
                <w:rFonts w:eastAsia="仿宋_GB2312" w:cs="Times New Roman"/>
              </w:rPr>
            </w:pPr>
            <w:r>
              <w:rPr>
                <w:rFonts w:eastAsia="仿宋_GB2312" w:cs="Times New Roman"/>
              </w:rPr>
              <w:t>主要负责工作</w:t>
            </w: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9C3379C">
            <w:pPr>
              <w:ind w:firstLine="0" w:firstLineChars="0"/>
              <w:jc w:val="center"/>
              <w:rPr>
                <w:rFonts w:eastAsia="仿宋_GB2312" w:cs="Times New Roman"/>
              </w:rPr>
            </w:pPr>
            <w:r>
              <w:rPr>
                <w:rFonts w:eastAsia="仿宋_GB2312" w:cs="Times New Roman"/>
              </w:rPr>
              <w:t>项目单位证明人及联系电话</w:t>
            </w:r>
          </w:p>
        </w:tc>
      </w:tr>
      <w:tr w14:paraId="5F27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7DB3CA"/>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363E9C8">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9351AEE">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374A9D82">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B0C59AF">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94EF1EC">
            <w:pPr>
              <w:ind w:firstLine="0" w:firstLineChars="0"/>
              <w:rPr>
                <w:rFonts w:cs="Times New Roman"/>
              </w:rPr>
            </w:pPr>
          </w:p>
        </w:tc>
      </w:tr>
      <w:tr w14:paraId="7994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21BAA30"/>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8FC0426">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AEE69C0">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6F2E9E20">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877744C">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933B401">
            <w:pPr>
              <w:ind w:firstLine="0" w:firstLineChars="0"/>
              <w:rPr>
                <w:rFonts w:cs="Times New Roman"/>
              </w:rPr>
            </w:pPr>
          </w:p>
        </w:tc>
      </w:tr>
      <w:tr w14:paraId="1EA6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538CACF"/>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8901C02">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26C8A0F">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255C87B8">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8C8DD2E">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6D383DD">
            <w:pPr>
              <w:ind w:firstLine="0" w:firstLineChars="0"/>
              <w:rPr>
                <w:rFonts w:cs="Times New Roman"/>
              </w:rPr>
            </w:pPr>
          </w:p>
        </w:tc>
      </w:tr>
      <w:tr w14:paraId="6FD4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19FA68E"/>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B8DFFE">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6327CEF">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7DEA0FD6">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23726D6">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49A98E1">
            <w:pPr>
              <w:ind w:firstLine="0" w:firstLineChars="0"/>
              <w:rPr>
                <w:rFonts w:cs="Times New Roman"/>
              </w:rPr>
            </w:pPr>
          </w:p>
        </w:tc>
      </w:tr>
      <w:tr w14:paraId="1816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7A8826F"/>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C6F33C">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D36337D">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1C1F8ACC">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9C6B9A2">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9F7FCC">
            <w:pPr>
              <w:ind w:firstLine="0" w:firstLineChars="0"/>
              <w:rPr>
                <w:rFonts w:cs="Times New Roman"/>
              </w:rPr>
            </w:pPr>
          </w:p>
        </w:tc>
      </w:tr>
    </w:tbl>
    <w:p w14:paraId="17CB7E0D">
      <w:pPr>
        <w:ind w:firstLine="0" w:firstLineChars="0"/>
        <w:rPr>
          <w:rFonts w:cs="Times New Roman"/>
        </w:rPr>
      </w:pPr>
      <w:r>
        <w:rPr>
          <w:rFonts w:cs="Times New Roman"/>
        </w:rPr>
        <w:t>注：以上模板仅供参考，可以根据实际情况进行调整。</w:t>
      </w:r>
    </w:p>
    <w:p w14:paraId="70309273">
      <w:pPr>
        <w:rPr>
          <w:rFonts w:cs="Times New Roman"/>
        </w:rPr>
      </w:pPr>
      <w:r>
        <w:rPr>
          <w:rFonts w:cs="Times New Roman"/>
        </w:rPr>
        <w:br w:type="page"/>
      </w:r>
    </w:p>
    <w:p w14:paraId="72B4EDB2">
      <w:pPr>
        <w:pStyle w:val="40"/>
      </w:pPr>
      <w:r>
        <w:rPr>
          <w:rFonts w:hint="eastAsia"/>
        </w:rPr>
        <w:t>（五）售后服务和培训方案</w:t>
      </w:r>
    </w:p>
    <w:p w14:paraId="50C36699"/>
    <w:p w14:paraId="2DEFDDCF"/>
    <w:p w14:paraId="287DB37D"/>
    <w:p w14:paraId="3072E2D0">
      <w:pPr>
        <w:sectPr>
          <w:pgSz w:w="11906" w:h="16838"/>
          <w:pgMar w:top="1440" w:right="1800" w:bottom="1440" w:left="1800" w:header="851" w:footer="992" w:gutter="0"/>
          <w:cols w:space="720" w:num="1"/>
          <w:docGrid w:type="lines" w:linePitch="312" w:charSpace="0"/>
        </w:sectPr>
      </w:pPr>
    </w:p>
    <w:p w14:paraId="1234F170">
      <w:pPr>
        <w:pStyle w:val="40"/>
      </w:pPr>
      <w:r>
        <w:rPr>
          <w:rFonts w:hint="eastAsia"/>
        </w:rPr>
        <w:t>（六）</w:t>
      </w:r>
      <w:r>
        <w:t>服务连续性预案</w:t>
      </w:r>
    </w:p>
    <w:p w14:paraId="62015004">
      <w:pPr>
        <w:ind w:firstLine="0" w:firstLineChars="0"/>
        <w:jc w:val="center"/>
      </w:pPr>
      <w:r>
        <w:rPr>
          <w:rFonts w:hint="eastAsia"/>
        </w:rPr>
        <w:t>（应考虑供应链风险产生的影响）</w:t>
      </w:r>
    </w:p>
    <w:p w14:paraId="43D36A9F"/>
    <w:p w14:paraId="27AAA284"/>
    <w:p w14:paraId="6AB48FF2">
      <w:pPr>
        <w:sectPr>
          <w:pgSz w:w="11906" w:h="16838"/>
          <w:pgMar w:top="1440" w:right="1800" w:bottom="1440" w:left="1800" w:header="851" w:footer="992" w:gutter="0"/>
          <w:cols w:space="720" w:num="1"/>
          <w:docGrid w:type="lines" w:linePitch="312" w:charSpace="0"/>
        </w:sectPr>
      </w:pPr>
    </w:p>
    <w:p w14:paraId="206CE2A2">
      <w:pPr>
        <w:pStyle w:val="40"/>
      </w:pPr>
      <w:r>
        <w:rPr>
          <w:rFonts w:hint="eastAsia"/>
        </w:rPr>
        <w:t>（七）</w:t>
      </w:r>
      <w:r>
        <w:t>项目实施方案</w:t>
      </w:r>
    </w:p>
    <w:p w14:paraId="325B2E27">
      <w:pPr>
        <w:tabs>
          <w:tab w:val="left" w:pos="6300"/>
        </w:tabs>
        <w:snapToGrid w:val="0"/>
        <w:jc w:val="center"/>
        <w:rPr>
          <w:snapToGrid w:val="0"/>
          <w:kern w:val="0"/>
          <w:szCs w:val="24"/>
        </w:rPr>
      </w:pPr>
      <w:r>
        <w:rPr>
          <w:rFonts w:hint="eastAsia"/>
          <w:snapToGrid w:val="0"/>
          <w:kern w:val="0"/>
          <w:szCs w:val="24"/>
        </w:rPr>
        <w:t>（实施方案包括履行合同的时间计划、提交资料、人员安排等）</w:t>
      </w:r>
    </w:p>
    <w:p w14:paraId="5EA1098C"/>
    <w:p w14:paraId="01B342BE"/>
    <w:p w14:paraId="314ABB56">
      <w:pPr>
        <w:sectPr>
          <w:pgSz w:w="11906" w:h="16838"/>
          <w:pgMar w:top="1440" w:right="1800" w:bottom="1440" w:left="1800" w:header="851" w:footer="992" w:gutter="0"/>
          <w:cols w:space="720" w:num="1"/>
          <w:docGrid w:type="lines" w:linePitch="312" w:charSpace="0"/>
        </w:sectPr>
      </w:pPr>
    </w:p>
    <w:p w14:paraId="10568F39">
      <w:pPr>
        <w:pStyle w:val="40"/>
      </w:pPr>
      <w:r>
        <w:t>（</w:t>
      </w:r>
      <w:r>
        <w:rPr>
          <w:rFonts w:hint="eastAsia"/>
        </w:rPr>
        <w:t>八</w:t>
      </w:r>
      <w:r>
        <w:t>）</w:t>
      </w:r>
      <w:r>
        <w:rPr>
          <w:rFonts w:hint="eastAsia"/>
        </w:rPr>
        <w:t>其他（如有）</w:t>
      </w:r>
    </w:p>
    <w:p w14:paraId="322FF69B"/>
    <w:p w14:paraId="62B91F1C"/>
    <w:p w14:paraId="36D2C1E7">
      <w:pPr>
        <w:sectPr>
          <w:pgSz w:w="11906" w:h="16838"/>
          <w:pgMar w:top="1440" w:right="1800" w:bottom="1440" w:left="1800" w:header="851" w:footer="992" w:gutter="0"/>
          <w:cols w:space="720" w:num="1"/>
          <w:docGrid w:type="lines" w:linePitch="312" w:charSpace="0"/>
        </w:sectPr>
      </w:pPr>
    </w:p>
    <w:p w14:paraId="36154A65">
      <w:pPr>
        <w:pStyle w:val="34"/>
      </w:pPr>
      <w:r>
        <w:t>五、服务水平协议（SLA）</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063"/>
        <w:gridCol w:w="1274"/>
        <w:gridCol w:w="1755"/>
        <w:gridCol w:w="2416"/>
        <w:gridCol w:w="1354"/>
      </w:tblGrid>
      <w:tr w14:paraId="732B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40B2F10">
            <w:pPr>
              <w:ind w:left="0" w:firstLine="0" w:firstLineChars="0"/>
              <w:rPr>
                <w:rFonts w:ascii="宋体" w:hAnsi="宋体" w:eastAsia="宋体"/>
                <w:b/>
                <w:szCs w:val="24"/>
              </w:rPr>
            </w:pPr>
            <w:r>
              <w:rPr>
                <w:rFonts w:ascii="宋体" w:hAnsi="宋体" w:eastAsia="宋体"/>
                <w:b/>
                <w:szCs w:val="24"/>
              </w:rPr>
              <w:t>序号</w:t>
            </w:r>
          </w:p>
        </w:tc>
        <w:tc>
          <w:tcPr>
            <w:tcW w:w="624" w:type="pct"/>
            <w:vAlign w:val="center"/>
          </w:tcPr>
          <w:p w14:paraId="16ADF395">
            <w:pPr>
              <w:ind w:left="0" w:firstLine="0" w:firstLineChars="0"/>
              <w:rPr>
                <w:rFonts w:ascii="宋体" w:hAnsi="宋体" w:eastAsia="宋体"/>
                <w:b/>
                <w:szCs w:val="24"/>
              </w:rPr>
            </w:pPr>
            <w:r>
              <w:rPr>
                <w:rFonts w:ascii="宋体" w:hAnsi="宋体" w:eastAsia="宋体"/>
                <w:b/>
                <w:szCs w:val="24"/>
              </w:rPr>
              <w:t>评价维度</w:t>
            </w:r>
          </w:p>
        </w:tc>
        <w:tc>
          <w:tcPr>
            <w:tcW w:w="748" w:type="pct"/>
            <w:vAlign w:val="center"/>
          </w:tcPr>
          <w:p w14:paraId="0D0B5502">
            <w:pPr>
              <w:ind w:left="0" w:firstLine="0" w:firstLineChars="0"/>
              <w:rPr>
                <w:rFonts w:ascii="宋体" w:hAnsi="宋体" w:eastAsia="宋体"/>
                <w:b/>
                <w:szCs w:val="24"/>
              </w:rPr>
            </w:pPr>
            <w:r>
              <w:rPr>
                <w:rFonts w:ascii="宋体" w:hAnsi="宋体" w:eastAsia="宋体"/>
                <w:b/>
                <w:szCs w:val="24"/>
              </w:rPr>
              <w:t>评价指标</w:t>
            </w:r>
          </w:p>
        </w:tc>
        <w:tc>
          <w:tcPr>
            <w:tcW w:w="1030" w:type="pct"/>
            <w:vAlign w:val="center"/>
          </w:tcPr>
          <w:p w14:paraId="19AA912F">
            <w:pPr>
              <w:ind w:left="0" w:firstLine="0" w:firstLineChars="0"/>
              <w:rPr>
                <w:rFonts w:ascii="宋体" w:hAnsi="宋体" w:eastAsia="宋体"/>
                <w:b/>
                <w:szCs w:val="24"/>
              </w:rPr>
            </w:pPr>
            <w:r>
              <w:rPr>
                <w:rFonts w:ascii="宋体" w:hAnsi="宋体" w:eastAsia="宋体"/>
                <w:b/>
                <w:szCs w:val="24"/>
              </w:rPr>
              <w:t>指标定义</w:t>
            </w:r>
          </w:p>
        </w:tc>
        <w:tc>
          <w:tcPr>
            <w:tcW w:w="1418" w:type="pct"/>
            <w:vAlign w:val="center"/>
          </w:tcPr>
          <w:p w14:paraId="38DAD5BF">
            <w:pPr>
              <w:ind w:left="0" w:firstLine="0" w:firstLineChars="0"/>
              <w:rPr>
                <w:rFonts w:ascii="宋体" w:hAnsi="宋体" w:eastAsia="宋体"/>
                <w:b/>
                <w:szCs w:val="24"/>
              </w:rPr>
            </w:pPr>
            <w:r>
              <w:rPr>
                <w:rFonts w:ascii="宋体" w:hAnsi="宋体" w:eastAsia="宋体"/>
                <w:b/>
                <w:szCs w:val="24"/>
              </w:rPr>
              <w:t>评分</w:t>
            </w:r>
            <w:r>
              <w:rPr>
                <w:rFonts w:hint="eastAsia" w:ascii="宋体" w:hAnsi="宋体" w:eastAsia="宋体"/>
                <w:b/>
                <w:szCs w:val="24"/>
              </w:rPr>
              <w:t>/价</w:t>
            </w:r>
            <w:r>
              <w:rPr>
                <w:rFonts w:ascii="宋体" w:hAnsi="宋体" w:eastAsia="宋体"/>
                <w:b/>
                <w:szCs w:val="24"/>
              </w:rPr>
              <w:t>标准</w:t>
            </w:r>
          </w:p>
        </w:tc>
        <w:tc>
          <w:tcPr>
            <w:tcW w:w="795" w:type="pct"/>
            <w:vAlign w:val="center"/>
          </w:tcPr>
          <w:p w14:paraId="777D107A">
            <w:pPr>
              <w:ind w:left="0" w:firstLine="0" w:firstLineChars="0"/>
              <w:rPr>
                <w:rFonts w:ascii="宋体" w:hAnsi="宋体" w:eastAsia="宋体"/>
                <w:b/>
                <w:szCs w:val="24"/>
              </w:rPr>
            </w:pPr>
            <w:r>
              <w:rPr>
                <w:rFonts w:hint="eastAsia" w:ascii="宋体" w:hAnsi="宋体" w:eastAsia="宋体"/>
                <w:b/>
                <w:szCs w:val="24"/>
              </w:rPr>
              <w:t>违约金标准</w:t>
            </w:r>
          </w:p>
        </w:tc>
      </w:tr>
      <w:tr w14:paraId="0717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1DB72967">
            <w:pPr>
              <w:ind w:left="0" w:firstLine="0" w:firstLineChars="0"/>
              <w:rPr>
                <w:rFonts w:ascii="宋体" w:hAnsi="宋体" w:eastAsia="宋体"/>
                <w:szCs w:val="24"/>
              </w:rPr>
            </w:pPr>
            <w:r>
              <w:rPr>
                <w:rFonts w:hint="eastAsia" w:ascii="宋体" w:hAnsi="宋体" w:eastAsia="宋体"/>
                <w:szCs w:val="24"/>
              </w:rPr>
              <w:t>1</w:t>
            </w:r>
          </w:p>
        </w:tc>
        <w:tc>
          <w:tcPr>
            <w:tcW w:w="624" w:type="pct"/>
            <w:vMerge w:val="restart"/>
            <w:tcBorders>
              <w:left w:val="single" w:color="auto" w:sz="4" w:space="0"/>
            </w:tcBorders>
            <w:vAlign w:val="center"/>
          </w:tcPr>
          <w:p w14:paraId="508A2E49">
            <w:pPr>
              <w:ind w:left="0" w:firstLine="0" w:firstLineChars="0"/>
              <w:jc w:val="left"/>
              <w:rPr>
                <w:rFonts w:ascii="宋体" w:hAnsi="宋体" w:eastAsia="宋体"/>
                <w:szCs w:val="24"/>
              </w:rPr>
            </w:pPr>
            <w:r>
              <w:rPr>
                <w:rFonts w:hint="eastAsia" w:ascii="宋体" w:hAnsi="宋体" w:eastAsia="宋体"/>
                <w:szCs w:val="24"/>
              </w:rPr>
              <w:t>服务质量</w:t>
            </w:r>
          </w:p>
        </w:tc>
        <w:tc>
          <w:tcPr>
            <w:tcW w:w="748" w:type="pct"/>
            <w:tcBorders>
              <w:left w:val="single" w:color="auto" w:sz="4" w:space="0"/>
            </w:tcBorders>
            <w:vAlign w:val="center"/>
          </w:tcPr>
          <w:p w14:paraId="01982F4B">
            <w:pPr>
              <w:ind w:left="0" w:firstLine="0" w:firstLineChars="0"/>
              <w:rPr>
                <w:rFonts w:ascii="宋体" w:hAnsi="宋体" w:eastAsia="宋体"/>
                <w:szCs w:val="24"/>
              </w:rPr>
            </w:pPr>
            <w:r>
              <w:rPr>
                <w:rFonts w:ascii="宋体" w:hAnsi="宋体" w:eastAsia="宋体"/>
                <w:szCs w:val="24"/>
              </w:rPr>
              <w:t>交付成果质量</w:t>
            </w:r>
          </w:p>
        </w:tc>
        <w:tc>
          <w:tcPr>
            <w:tcW w:w="1030" w:type="pct"/>
            <w:tcBorders>
              <w:left w:val="single" w:color="auto" w:sz="4" w:space="0"/>
            </w:tcBorders>
            <w:vAlign w:val="center"/>
          </w:tcPr>
          <w:p w14:paraId="738A46BA">
            <w:pPr>
              <w:ind w:left="0" w:firstLine="0" w:firstLineChars="0"/>
              <w:rPr>
                <w:rFonts w:ascii="宋体" w:hAnsi="宋体" w:eastAsia="宋体"/>
                <w:szCs w:val="24"/>
              </w:rPr>
            </w:pPr>
            <w:r>
              <w:rPr>
                <w:rFonts w:ascii="宋体" w:hAnsi="宋体" w:eastAsia="宋体"/>
                <w:szCs w:val="24"/>
              </w:rPr>
              <w:t>用于记录</w:t>
            </w:r>
            <w:r>
              <w:rPr>
                <w:rFonts w:hint="eastAsia" w:ascii="宋体" w:hAnsi="宋体" w:eastAsia="宋体"/>
                <w:szCs w:val="24"/>
              </w:rPr>
              <w:t>乙方</w:t>
            </w:r>
            <w:r>
              <w:rPr>
                <w:rFonts w:ascii="宋体" w:hAnsi="宋体" w:eastAsia="宋体"/>
                <w:szCs w:val="24"/>
              </w:rPr>
              <w:t>所提交的项目交付成果与</w:t>
            </w:r>
            <w:r>
              <w:rPr>
                <w:rFonts w:hint="eastAsia" w:ascii="宋体" w:hAnsi="宋体" w:eastAsia="宋体"/>
                <w:szCs w:val="24"/>
              </w:rPr>
              <w:t>甲方</w:t>
            </w:r>
            <w:r>
              <w:rPr>
                <w:rFonts w:ascii="宋体" w:hAnsi="宋体" w:eastAsia="宋体"/>
                <w:szCs w:val="24"/>
              </w:rPr>
              <w:t>要求的项目交付成果的契合度或交付成果质量与合同所约定要求的项目交付成果质量的满足程度</w:t>
            </w:r>
          </w:p>
        </w:tc>
        <w:tc>
          <w:tcPr>
            <w:tcW w:w="1418" w:type="pct"/>
            <w:tcBorders>
              <w:left w:val="single" w:color="auto" w:sz="4" w:space="0"/>
            </w:tcBorders>
            <w:vAlign w:val="center"/>
          </w:tcPr>
          <w:p w14:paraId="797BB92B">
            <w:pPr>
              <w:ind w:left="0" w:firstLine="0" w:firstLineChars="0"/>
              <w:rPr>
                <w:rFonts w:ascii="宋体" w:hAnsi="宋体" w:eastAsia="宋体"/>
                <w:szCs w:val="24"/>
              </w:rPr>
            </w:pPr>
            <w:r>
              <w:rPr>
                <w:rFonts w:hint="eastAsia" w:ascii="宋体" w:hAnsi="宋体" w:eastAsia="宋体"/>
                <w:b/>
                <w:bCs/>
                <w:szCs w:val="24"/>
              </w:rPr>
              <w:t>优秀：</w:t>
            </w:r>
            <w:r>
              <w:rPr>
                <w:rFonts w:hint="eastAsia" w:ascii="宋体" w:hAnsi="宋体" w:eastAsia="宋体"/>
                <w:szCs w:val="24"/>
              </w:rPr>
              <w:t>5分，</w:t>
            </w:r>
            <w:r>
              <w:rPr>
                <w:rFonts w:ascii="宋体" w:hAnsi="宋体" w:eastAsia="宋体"/>
                <w:szCs w:val="24"/>
              </w:rPr>
              <w:t>指</w:t>
            </w:r>
            <w:r>
              <w:rPr>
                <w:rFonts w:hint="eastAsia" w:ascii="宋体" w:hAnsi="宋体" w:eastAsia="宋体"/>
                <w:szCs w:val="24"/>
              </w:rPr>
              <w:t>乙方</w:t>
            </w:r>
            <w:r>
              <w:rPr>
                <w:rFonts w:ascii="宋体" w:hAnsi="宋体" w:eastAsia="宋体"/>
                <w:szCs w:val="24"/>
              </w:rPr>
              <w:t>能够主动快速与</w:t>
            </w:r>
            <w:r>
              <w:rPr>
                <w:rFonts w:hint="eastAsia" w:ascii="宋体" w:hAnsi="宋体" w:eastAsia="宋体"/>
                <w:szCs w:val="24"/>
              </w:rPr>
              <w:t>甲方</w:t>
            </w:r>
            <w:r>
              <w:rPr>
                <w:rFonts w:ascii="宋体" w:hAnsi="宋体" w:eastAsia="宋体"/>
                <w:szCs w:val="24"/>
              </w:rPr>
              <w:t>进行有效的沟通，交付成果高度契合需求，完全满足并超出合同约定的预期目标，给</w:t>
            </w:r>
            <w:r>
              <w:rPr>
                <w:rFonts w:hint="eastAsia" w:ascii="宋体" w:hAnsi="宋体" w:eastAsia="宋体"/>
                <w:szCs w:val="24"/>
              </w:rPr>
              <w:t>甲方</w:t>
            </w:r>
            <w:r>
              <w:rPr>
                <w:rFonts w:ascii="宋体" w:hAnsi="宋体" w:eastAsia="宋体"/>
                <w:szCs w:val="24"/>
              </w:rPr>
              <w:t>带来显著的附加价值</w:t>
            </w:r>
            <w:r>
              <w:rPr>
                <w:rFonts w:hint="eastAsia" w:ascii="宋体" w:hAnsi="宋体" w:eastAsia="宋体"/>
                <w:szCs w:val="24"/>
              </w:rPr>
              <w:t>；</w:t>
            </w:r>
          </w:p>
          <w:p w14:paraId="550BDE7A">
            <w:pPr>
              <w:ind w:left="0" w:firstLine="0" w:firstLineChars="0"/>
              <w:rPr>
                <w:rFonts w:ascii="宋体" w:hAnsi="宋体" w:eastAsia="宋体"/>
                <w:szCs w:val="24"/>
              </w:rPr>
            </w:pPr>
            <w:r>
              <w:rPr>
                <w:rFonts w:hint="eastAsia" w:ascii="宋体" w:hAnsi="宋体" w:eastAsia="宋体"/>
                <w:b/>
                <w:bCs/>
                <w:szCs w:val="24"/>
              </w:rPr>
              <w:t>良好：</w:t>
            </w:r>
            <w:r>
              <w:rPr>
                <w:rFonts w:hint="eastAsia" w:ascii="宋体" w:hAnsi="宋体" w:eastAsia="宋体"/>
                <w:szCs w:val="24"/>
              </w:rPr>
              <w:t>4分，</w:t>
            </w:r>
            <w:r>
              <w:rPr>
                <w:rFonts w:ascii="宋体" w:hAnsi="宋体" w:eastAsia="宋体"/>
                <w:szCs w:val="24"/>
              </w:rPr>
              <w:t>指</w:t>
            </w:r>
            <w:r>
              <w:rPr>
                <w:rFonts w:hint="eastAsia" w:ascii="宋体" w:hAnsi="宋体" w:eastAsia="宋体"/>
                <w:szCs w:val="24"/>
              </w:rPr>
              <w:t>乙方</w:t>
            </w:r>
            <w:r>
              <w:rPr>
                <w:rFonts w:ascii="宋体" w:hAnsi="宋体" w:eastAsia="宋体"/>
                <w:szCs w:val="24"/>
              </w:rPr>
              <w:t>能够快速响应需求，交付成果达到合同约定的预期目标，基本契合需求，满足合同约定的预期目标</w:t>
            </w:r>
            <w:r>
              <w:rPr>
                <w:rFonts w:hint="eastAsia" w:ascii="宋体" w:hAnsi="宋体" w:eastAsia="宋体"/>
                <w:szCs w:val="24"/>
              </w:rPr>
              <w:t>；</w:t>
            </w:r>
          </w:p>
          <w:p w14:paraId="3EED232F">
            <w:pPr>
              <w:ind w:left="0" w:firstLine="0" w:firstLineChars="0"/>
              <w:rPr>
                <w:rFonts w:ascii="宋体" w:hAnsi="宋体" w:eastAsia="宋体"/>
                <w:szCs w:val="24"/>
              </w:rPr>
            </w:pPr>
            <w:r>
              <w:rPr>
                <w:rFonts w:hint="eastAsia" w:ascii="宋体" w:hAnsi="宋体" w:eastAsia="宋体"/>
                <w:b/>
                <w:bCs/>
                <w:szCs w:val="24"/>
              </w:rPr>
              <w:t>合格：</w:t>
            </w:r>
            <w:r>
              <w:rPr>
                <w:rFonts w:hint="eastAsia" w:ascii="宋体" w:hAnsi="宋体" w:eastAsia="宋体"/>
                <w:szCs w:val="24"/>
              </w:rPr>
              <w:t>3分，</w:t>
            </w:r>
            <w:r>
              <w:rPr>
                <w:rFonts w:ascii="宋体" w:hAnsi="宋体" w:eastAsia="宋体"/>
                <w:szCs w:val="24"/>
              </w:rPr>
              <w:t>指</w:t>
            </w:r>
            <w:r>
              <w:rPr>
                <w:rFonts w:hint="eastAsia" w:ascii="宋体" w:hAnsi="宋体" w:eastAsia="宋体"/>
                <w:szCs w:val="24"/>
              </w:rPr>
              <w:t>乙方</w:t>
            </w:r>
            <w:r>
              <w:rPr>
                <w:rFonts w:ascii="宋体" w:hAnsi="宋体" w:eastAsia="宋体"/>
                <w:szCs w:val="24"/>
              </w:rPr>
              <w:t>能够按要求响应需求，交付成果</w:t>
            </w:r>
            <w:r>
              <w:rPr>
                <w:rFonts w:hint="eastAsia" w:ascii="宋体" w:hAnsi="宋体" w:eastAsia="宋体"/>
                <w:szCs w:val="24"/>
              </w:rPr>
              <w:t>基本满足</w:t>
            </w:r>
            <w:r>
              <w:rPr>
                <w:rFonts w:ascii="宋体" w:hAnsi="宋体" w:eastAsia="宋体"/>
                <w:szCs w:val="24"/>
              </w:rPr>
              <w:t>需求，但是总体可满足合同约定的预期目标</w:t>
            </w:r>
            <w:r>
              <w:rPr>
                <w:rFonts w:hint="eastAsia" w:ascii="宋体" w:hAnsi="宋体" w:eastAsia="宋体"/>
                <w:szCs w:val="24"/>
              </w:rPr>
              <w:t>；</w:t>
            </w:r>
          </w:p>
          <w:p w14:paraId="57B7DDBA">
            <w:pPr>
              <w:ind w:left="0" w:firstLine="0" w:firstLineChars="0"/>
              <w:rPr>
                <w:rFonts w:ascii="宋体" w:hAnsi="宋体" w:eastAsia="宋体"/>
                <w:szCs w:val="24"/>
              </w:rPr>
            </w:pPr>
            <w:r>
              <w:rPr>
                <w:rFonts w:hint="eastAsia" w:ascii="宋体" w:hAnsi="宋体" w:eastAsia="宋体"/>
                <w:b/>
                <w:bCs/>
                <w:szCs w:val="24"/>
              </w:rPr>
              <w:t>较差/差：</w:t>
            </w:r>
            <w:r>
              <w:rPr>
                <w:rFonts w:hint="eastAsia" w:ascii="宋体" w:hAnsi="宋体" w:eastAsia="宋体"/>
                <w:szCs w:val="24"/>
              </w:rPr>
              <w:t>0分，</w:t>
            </w:r>
            <w:r>
              <w:rPr>
                <w:rFonts w:ascii="宋体" w:hAnsi="宋体" w:eastAsia="宋体"/>
                <w:szCs w:val="24"/>
              </w:rPr>
              <w:t>指</w:t>
            </w:r>
            <w:r>
              <w:rPr>
                <w:rFonts w:hint="eastAsia" w:ascii="宋体" w:hAnsi="宋体" w:eastAsia="宋体"/>
                <w:szCs w:val="24"/>
              </w:rPr>
              <w:t>乙方未</w:t>
            </w:r>
            <w:r>
              <w:rPr>
                <w:rFonts w:ascii="宋体" w:hAnsi="宋体" w:eastAsia="宋体"/>
                <w:szCs w:val="24"/>
              </w:rPr>
              <w:t>能够按要求响应需求，</w:t>
            </w:r>
            <w:r>
              <w:rPr>
                <w:rFonts w:hint="eastAsia" w:ascii="宋体" w:hAnsi="宋体" w:eastAsia="宋体"/>
                <w:szCs w:val="24"/>
              </w:rPr>
              <w:t>或</w:t>
            </w:r>
            <w:r>
              <w:rPr>
                <w:rFonts w:ascii="宋体" w:hAnsi="宋体" w:eastAsia="宋体"/>
                <w:szCs w:val="24"/>
              </w:rPr>
              <w:t>交付成果与需求</w:t>
            </w:r>
            <w:r>
              <w:rPr>
                <w:rFonts w:hint="eastAsia" w:ascii="宋体" w:hAnsi="宋体" w:eastAsia="宋体"/>
                <w:szCs w:val="24"/>
              </w:rPr>
              <w:t>契合度</w:t>
            </w:r>
            <w:r>
              <w:rPr>
                <w:rFonts w:ascii="宋体" w:hAnsi="宋体" w:eastAsia="宋体"/>
                <w:szCs w:val="24"/>
              </w:rPr>
              <w:t>差距较大，无法达到合同约定的预期目标</w:t>
            </w:r>
            <w:r>
              <w:rPr>
                <w:rFonts w:hint="eastAsia" w:ascii="宋体" w:hAnsi="宋体" w:eastAsia="宋体"/>
                <w:szCs w:val="24"/>
              </w:rPr>
              <w:t>。</w:t>
            </w:r>
          </w:p>
        </w:tc>
        <w:tc>
          <w:tcPr>
            <w:tcW w:w="795" w:type="pct"/>
            <w:tcBorders>
              <w:left w:val="single" w:color="auto" w:sz="4" w:space="0"/>
            </w:tcBorders>
            <w:vAlign w:val="center"/>
          </w:tcPr>
          <w:p w14:paraId="78551CFF">
            <w:pPr>
              <w:ind w:left="0" w:firstLine="0" w:firstLineChars="0"/>
              <w:rPr>
                <w:rFonts w:ascii="宋体" w:hAnsi="宋体" w:eastAsia="宋体"/>
                <w:szCs w:val="24"/>
              </w:rPr>
            </w:pPr>
            <w:r>
              <w:rPr>
                <w:rFonts w:hint="eastAsia" w:ascii="宋体" w:hAnsi="宋体" w:eastAsia="宋体"/>
                <w:szCs w:val="24"/>
              </w:rPr>
              <w:t>交付成果每缺少一项扣除乙方金额人民币2</w:t>
            </w:r>
            <w:r>
              <w:rPr>
                <w:rFonts w:ascii="宋体" w:hAnsi="宋体" w:eastAsia="宋体"/>
                <w:szCs w:val="24"/>
              </w:rPr>
              <w:t>000</w:t>
            </w:r>
            <w:r>
              <w:rPr>
                <w:rFonts w:hint="eastAsia" w:ascii="宋体" w:hAnsi="宋体" w:eastAsia="宋体"/>
                <w:szCs w:val="24"/>
              </w:rPr>
              <w:t>元；每有一项交付成果质量不合格扣除乙方金额人民币2</w:t>
            </w:r>
            <w:r>
              <w:rPr>
                <w:rFonts w:ascii="宋体" w:hAnsi="宋体" w:eastAsia="宋体"/>
                <w:szCs w:val="24"/>
              </w:rPr>
              <w:t>000</w:t>
            </w:r>
            <w:r>
              <w:rPr>
                <w:rFonts w:hint="eastAsia" w:ascii="宋体" w:hAnsi="宋体" w:eastAsia="宋体"/>
                <w:szCs w:val="24"/>
              </w:rPr>
              <w:t>元。</w:t>
            </w:r>
          </w:p>
        </w:tc>
      </w:tr>
      <w:tr w14:paraId="628F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33A044D4">
            <w:pPr>
              <w:ind w:left="0" w:firstLine="0" w:firstLineChars="0"/>
              <w:rPr>
                <w:rFonts w:ascii="宋体" w:hAnsi="宋体" w:eastAsia="宋体"/>
                <w:szCs w:val="24"/>
              </w:rPr>
            </w:pPr>
            <w:r>
              <w:rPr>
                <w:rFonts w:hint="eastAsia" w:ascii="宋体" w:hAnsi="宋体" w:eastAsia="宋体"/>
                <w:szCs w:val="24"/>
              </w:rPr>
              <w:t>2</w:t>
            </w:r>
          </w:p>
        </w:tc>
        <w:tc>
          <w:tcPr>
            <w:tcW w:w="904" w:type="pct"/>
            <w:vMerge w:val="continue"/>
            <w:tcBorders>
              <w:left w:val="single" w:color="auto" w:sz="4" w:space="0"/>
            </w:tcBorders>
          </w:tcPr>
          <w:p w14:paraId="69702442"/>
        </w:tc>
        <w:tc>
          <w:tcPr>
            <w:tcW w:w="748" w:type="pct"/>
            <w:tcBorders>
              <w:left w:val="single" w:color="auto" w:sz="4" w:space="0"/>
            </w:tcBorders>
            <w:vAlign w:val="center"/>
          </w:tcPr>
          <w:p w14:paraId="318A99CE">
            <w:pPr>
              <w:ind w:left="0" w:firstLine="0" w:firstLineChars="0"/>
              <w:rPr>
                <w:rFonts w:ascii="宋体" w:hAnsi="宋体" w:eastAsia="宋体"/>
                <w:szCs w:val="24"/>
              </w:rPr>
            </w:pPr>
            <w:r>
              <w:rPr>
                <w:rFonts w:ascii="宋体" w:hAnsi="宋体" w:eastAsia="宋体"/>
                <w:szCs w:val="24"/>
              </w:rPr>
              <w:t>成果交付延期情况</w:t>
            </w:r>
          </w:p>
        </w:tc>
        <w:tc>
          <w:tcPr>
            <w:tcW w:w="1030" w:type="pct"/>
            <w:tcBorders>
              <w:left w:val="single" w:color="auto" w:sz="4" w:space="0"/>
            </w:tcBorders>
            <w:vAlign w:val="center"/>
          </w:tcPr>
          <w:p w14:paraId="2D27567F">
            <w:pPr>
              <w:ind w:left="0" w:firstLine="0" w:firstLineChars="0"/>
              <w:rPr>
                <w:rFonts w:ascii="宋体" w:hAnsi="宋体" w:eastAsia="宋体"/>
                <w:szCs w:val="24"/>
              </w:rPr>
            </w:pPr>
            <w:r>
              <w:rPr>
                <w:rFonts w:ascii="宋体" w:hAnsi="宋体" w:eastAsia="宋体"/>
                <w:szCs w:val="24"/>
              </w:rPr>
              <w:t>用于记录</w:t>
            </w:r>
            <w:r>
              <w:rPr>
                <w:rFonts w:hint="eastAsia" w:ascii="宋体" w:hAnsi="宋体" w:eastAsia="宋体"/>
                <w:szCs w:val="24"/>
              </w:rPr>
              <w:t>因乙方原因导致</w:t>
            </w:r>
            <w:r>
              <w:rPr>
                <w:rFonts w:ascii="宋体" w:hAnsi="宋体" w:eastAsia="宋体"/>
                <w:szCs w:val="24"/>
              </w:rPr>
              <w:t>项目交付成果时间与合同规定时间之间的差距</w:t>
            </w:r>
          </w:p>
        </w:tc>
        <w:tc>
          <w:tcPr>
            <w:tcW w:w="1418" w:type="pct"/>
            <w:tcBorders>
              <w:left w:val="single" w:color="auto" w:sz="4" w:space="0"/>
            </w:tcBorders>
            <w:vAlign w:val="center"/>
          </w:tcPr>
          <w:p w14:paraId="44B5DAA2">
            <w:pPr>
              <w:ind w:left="0" w:firstLine="0" w:firstLineChars="0"/>
              <w:rPr>
                <w:rFonts w:ascii="宋体" w:hAnsi="宋体" w:eastAsia="宋体"/>
                <w:szCs w:val="24"/>
              </w:rPr>
            </w:pPr>
            <w:r>
              <w:rPr>
                <w:rFonts w:hint="eastAsia" w:ascii="宋体" w:hAnsi="宋体" w:eastAsia="宋体"/>
                <w:szCs w:val="24"/>
              </w:rPr>
              <w:t>实</w:t>
            </w:r>
            <w:r>
              <w:rPr>
                <w:rFonts w:ascii="宋体" w:hAnsi="宋体" w:eastAsia="宋体"/>
                <w:szCs w:val="24"/>
              </w:rPr>
              <w:t>际交付成果日期与合同约定交付日期之差</w:t>
            </w:r>
            <w:r>
              <w:rPr>
                <w:rFonts w:hint="eastAsia" w:ascii="宋体" w:hAnsi="宋体" w:eastAsia="宋体"/>
                <w:b/>
                <w:bCs/>
                <w:szCs w:val="24"/>
              </w:rPr>
              <w:t>【得分上限5分】</w:t>
            </w:r>
          </w:p>
          <w:p w14:paraId="09414C49">
            <w:pPr>
              <w:ind w:left="0" w:firstLine="0" w:firstLineChars="0"/>
              <w:rPr>
                <w:rFonts w:ascii="宋体" w:hAnsi="宋体" w:eastAsia="宋体"/>
                <w:szCs w:val="24"/>
              </w:rPr>
            </w:pPr>
            <w:r>
              <w:rPr>
                <w:rFonts w:hint="eastAsia" w:ascii="宋体" w:hAnsi="宋体" w:eastAsia="宋体"/>
                <w:b/>
                <w:bCs/>
                <w:szCs w:val="24"/>
              </w:rPr>
              <w:t>无延期：</w:t>
            </w:r>
            <w:r>
              <w:rPr>
                <w:rFonts w:hint="eastAsia" w:ascii="宋体" w:hAnsi="宋体" w:eastAsia="宋体"/>
                <w:szCs w:val="24"/>
              </w:rPr>
              <w:t>指未出现延期，该项指标满分；</w:t>
            </w:r>
          </w:p>
          <w:p w14:paraId="67944EAF">
            <w:pPr>
              <w:ind w:left="0" w:firstLine="0" w:firstLineChars="0"/>
              <w:rPr>
                <w:rFonts w:ascii="宋体" w:hAnsi="宋体" w:eastAsia="宋体"/>
                <w:szCs w:val="24"/>
              </w:rPr>
            </w:pPr>
            <w:r>
              <w:rPr>
                <w:rFonts w:hint="eastAsia" w:ascii="宋体" w:hAnsi="宋体" w:eastAsia="宋体"/>
                <w:b/>
                <w:bCs/>
                <w:szCs w:val="24"/>
              </w:rPr>
              <w:t>0＜延期≤3个月：</w:t>
            </w:r>
            <w:r>
              <w:rPr>
                <w:rFonts w:hint="eastAsia" w:ascii="宋体" w:hAnsi="宋体" w:eastAsia="宋体"/>
                <w:szCs w:val="24"/>
              </w:rPr>
              <w:t>扣2分，指出现延期3个月</w:t>
            </w:r>
            <w:r>
              <w:rPr>
                <w:rFonts w:ascii="宋体" w:hAnsi="宋体" w:eastAsia="宋体"/>
                <w:szCs w:val="24"/>
              </w:rPr>
              <w:t>（含）</w:t>
            </w:r>
            <w:r>
              <w:rPr>
                <w:rFonts w:hint="eastAsia" w:ascii="宋体" w:hAnsi="宋体" w:eastAsia="宋体"/>
                <w:szCs w:val="24"/>
              </w:rPr>
              <w:t>以内；</w:t>
            </w:r>
          </w:p>
          <w:p w14:paraId="75598D50">
            <w:pPr>
              <w:ind w:left="0" w:firstLine="0" w:firstLineChars="0"/>
              <w:rPr>
                <w:rFonts w:ascii="宋体" w:hAnsi="宋体" w:eastAsia="宋体"/>
                <w:szCs w:val="24"/>
              </w:rPr>
            </w:pPr>
            <w:r>
              <w:rPr>
                <w:rFonts w:hint="eastAsia" w:ascii="宋体" w:hAnsi="宋体" w:eastAsia="宋体"/>
                <w:b/>
                <w:bCs/>
                <w:szCs w:val="24"/>
              </w:rPr>
              <w:t>3＜延期≤6个月：</w:t>
            </w:r>
            <w:r>
              <w:rPr>
                <w:rFonts w:hint="eastAsia" w:ascii="宋体" w:hAnsi="宋体" w:eastAsia="宋体"/>
                <w:szCs w:val="24"/>
              </w:rPr>
              <w:t>扣3分，指出现延期大于3个月且小于等于6个月；</w:t>
            </w:r>
          </w:p>
          <w:p w14:paraId="2986E2C3">
            <w:pPr>
              <w:ind w:left="0" w:firstLine="0" w:firstLineChars="0"/>
              <w:rPr>
                <w:rFonts w:ascii="宋体" w:hAnsi="宋体" w:eastAsia="宋体"/>
                <w:b/>
                <w:bCs/>
                <w:szCs w:val="24"/>
              </w:rPr>
            </w:pPr>
            <w:r>
              <w:rPr>
                <w:rFonts w:hint="eastAsia" w:ascii="宋体" w:hAnsi="宋体" w:eastAsia="宋体"/>
                <w:b/>
                <w:bCs/>
                <w:szCs w:val="24"/>
              </w:rPr>
              <w:t>延期6个月以上：</w:t>
            </w:r>
            <w:r>
              <w:rPr>
                <w:rFonts w:hint="eastAsia" w:ascii="宋体" w:hAnsi="宋体" w:eastAsia="宋体"/>
                <w:szCs w:val="24"/>
              </w:rPr>
              <w:t>扣5分，指出现延期6个月以上。</w:t>
            </w:r>
          </w:p>
        </w:tc>
        <w:tc>
          <w:tcPr>
            <w:tcW w:w="795" w:type="pct"/>
            <w:tcBorders>
              <w:left w:val="single" w:color="auto" w:sz="4" w:space="0"/>
            </w:tcBorders>
            <w:vAlign w:val="center"/>
          </w:tcPr>
          <w:p w14:paraId="4C3415A3">
            <w:pPr>
              <w:ind w:left="0" w:firstLine="0" w:firstLineChars="0"/>
              <w:rPr>
                <w:rFonts w:ascii="宋体" w:hAnsi="宋体" w:eastAsia="宋体"/>
                <w:b/>
                <w:bCs/>
                <w:szCs w:val="24"/>
              </w:rPr>
            </w:pPr>
            <w:r>
              <w:rPr>
                <w:rFonts w:hint="eastAsia" w:ascii="宋体" w:hAnsi="宋体" w:eastAsia="宋体"/>
                <w:szCs w:val="24"/>
              </w:rPr>
              <w:t>若延期超过1个月，每延期增加一天扣除合同总金额的0.1%（注：最多扣除不超过合同总金额的10%）</w:t>
            </w:r>
          </w:p>
        </w:tc>
      </w:tr>
      <w:tr w14:paraId="3026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73783840">
            <w:pPr>
              <w:ind w:left="0" w:firstLine="0" w:firstLineChars="0"/>
              <w:rPr>
                <w:rFonts w:ascii="宋体" w:hAnsi="宋体" w:eastAsia="宋体"/>
                <w:szCs w:val="24"/>
              </w:rPr>
            </w:pPr>
            <w:r>
              <w:rPr>
                <w:rFonts w:hint="eastAsia" w:ascii="宋体" w:hAnsi="宋体" w:eastAsia="宋体"/>
                <w:szCs w:val="24"/>
              </w:rPr>
              <w:t>3</w:t>
            </w:r>
          </w:p>
        </w:tc>
        <w:tc>
          <w:tcPr>
            <w:tcW w:w="904" w:type="pct"/>
            <w:vMerge w:val="continue"/>
            <w:tcBorders>
              <w:left w:val="single" w:color="auto" w:sz="4" w:space="0"/>
            </w:tcBorders>
          </w:tcPr>
          <w:p w14:paraId="77139481"/>
        </w:tc>
        <w:tc>
          <w:tcPr>
            <w:tcW w:w="748" w:type="pct"/>
            <w:tcBorders>
              <w:left w:val="single" w:color="auto" w:sz="4" w:space="0"/>
            </w:tcBorders>
            <w:vAlign w:val="center"/>
          </w:tcPr>
          <w:p w14:paraId="6D9FE419">
            <w:pPr>
              <w:ind w:left="0" w:firstLine="0" w:firstLineChars="0"/>
              <w:rPr>
                <w:rFonts w:ascii="宋体" w:hAnsi="宋体" w:eastAsia="宋体"/>
                <w:szCs w:val="24"/>
              </w:rPr>
            </w:pPr>
            <w:r>
              <w:rPr>
                <w:rFonts w:ascii="宋体" w:hAnsi="宋体" w:eastAsia="宋体"/>
                <w:szCs w:val="24"/>
              </w:rPr>
              <w:t>产品缺陷密度</w:t>
            </w:r>
          </w:p>
        </w:tc>
        <w:tc>
          <w:tcPr>
            <w:tcW w:w="1030" w:type="pct"/>
            <w:tcBorders>
              <w:left w:val="single" w:color="auto" w:sz="4" w:space="0"/>
            </w:tcBorders>
            <w:vAlign w:val="center"/>
          </w:tcPr>
          <w:p w14:paraId="730F356A">
            <w:pPr>
              <w:ind w:left="0" w:firstLine="0" w:firstLineChars="0"/>
              <w:rPr>
                <w:rFonts w:ascii="宋体" w:hAnsi="宋体" w:eastAsia="宋体"/>
                <w:szCs w:val="24"/>
              </w:rPr>
            </w:pPr>
            <w:r>
              <w:rPr>
                <w:rFonts w:ascii="宋体" w:hAnsi="宋体" w:eastAsia="宋体"/>
                <w:szCs w:val="24"/>
              </w:rPr>
              <w:t>用于记录统计周期内单位功能</w:t>
            </w:r>
            <w:r>
              <w:rPr>
                <w:rFonts w:hint="eastAsia" w:ascii="宋体" w:hAnsi="宋体" w:eastAsia="宋体"/>
                <w:szCs w:val="24"/>
              </w:rPr>
              <w:t>（案例）</w:t>
            </w:r>
            <w:r>
              <w:rPr>
                <w:rFonts w:ascii="宋体" w:hAnsi="宋体" w:eastAsia="宋体"/>
                <w:szCs w:val="24"/>
              </w:rPr>
              <w:t>点发现的缺陷数量</w:t>
            </w:r>
          </w:p>
        </w:tc>
        <w:tc>
          <w:tcPr>
            <w:tcW w:w="1418" w:type="pct"/>
            <w:tcBorders>
              <w:left w:val="single" w:color="auto" w:sz="4" w:space="0"/>
            </w:tcBorders>
            <w:vAlign w:val="center"/>
          </w:tcPr>
          <w:p w14:paraId="786859B0">
            <w:pPr>
              <w:ind w:left="0" w:firstLine="0" w:firstLineChars="0"/>
              <w:rPr>
                <w:rFonts w:ascii="宋体" w:hAnsi="宋体" w:eastAsia="宋体"/>
                <w:szCs w:val="24"/>
              </w:rPr>
            </w:pPr>
            <w:r>
              <w:rPr>
                <w:rFonts w:hint="eastAsia" w:ascii="宋体" w:hAnsi="宋体" w:eastAsia="宋体"/>
                <w:szCs w:val="24"/>
              </w:rPr>
              <w:t>产</w:t>
            </w:r>
            <w:r>
              <w:rPr>
                <w:rFonts w:ascii="宋体" w:hAnsi="宋体" w:eastAsia="宋体"/>
                <w:szCs w:val="24"/>
              </w:rPr>
              <w:t>品缺陷密度=统计周期内发现的该系统有效缺陷数/统计周期内该系统功能点总数</w:t>
            </w:r>
            <w:r>
              <w:rPr>
                <w:rFonts w:hint="eastAsia" w:ascii="宋体" w:hAnsi="宋体" w:eastAsia="宋体"/>
                <w:szCs w:val="24"/>
              </w:rPr>
              <w:t>（案例数）</w:t>
            </w:r>
          </w:p>
          <w:p w14:paraId="702FF4CA">
            <w:pPr>
              <w:ind w:left="0" w:firstLine="0" w:firstLineChars="0"/>
              <w:rPr>
                <w:rFonts w:ascii="宋体" w:hAnsi="宋体" w:eastAsia="宋体"/>
                <w:b/>
                <w:szCs w:val="24"/>
              </w:rPr>
            </w:pPr>
            <w:r>
              <w:rPr>
                <w:rFonts w:hint="eastAsia" w:ascii="宋体" w:hAnsi="宋体" w:eastAsia="宋体"/>
                <w:b/>
                <w:szCs w:val="24"/>
              </w:rPr>
              <w:t>10分【0-5%】</w:t>
            </w:r>
          </w:p>
          <w:p w14:paraId="5BBC9999">
            <w:pPr>
              <w:ind w:left="0" w:firstLine="0" w:firstLineChars="0"/>
              <w:rPr>
                <w:rFonts w:ascii="宋体" w:hAnsi="宋体" w:eastAsia="宋体"/>
                <w:b/>
                <w:szCs w:val="24"/>
              </w:rPr>
            </w:pPr>
            <w:r>
              <w:rPr>
                <w:rFonts w:hint="eastAsia" w:ascii="宋体" w:hAnsi="宋体" w:eastAsia="宋体"/>
                <w:b/>
                <w:szCs w:val="24"/>
              </w:rPr>
              <w:t>5分【5%-20%】</w:t>
            </w:r>
          </w:p>
          <w:p w14:paraId="635084D6">
            <w:pPr>
              <w:ind w:left="0" w:firstLine="0" w:firstLineChars="0"/>
              <w:rPr>
                <w:rFonts w:ascii="宋体" w:hAnsi="宋体" w:eastAsia="宋体"/>
                <w:b/>
                <w:szCs w:val="24"/>
              </w:rPr>
            </w:pPr>
            <w:r>
              <w:rPr>
                <w:rFonts w:hint="eastAsia" w:ascii="宋体" w:hAnsi="宋体" w:eastAsia="宋体"/>
                <w:b/>
                <w:szCs w:val="24"/>
              </w:rPr>
              <w:t>0分【超过20%】</w:t>
            </w:r>
          </w:p>
        </w:tc>
        <w:tc>
          <w:tcPr>
            <w:tcW w:w="795" w:type="pct"/>
            <w:tcBorders>
              <w:left w:val="single" w:color="auto" w:sz="4" w:space="0"/>
            </w:tcBorders>
            <w:vAlign w:val="center"/>
          </w:tcPr>
          <w:p w14:paraId="07192FD8">
            <w:pPr>
              <w:ind w:left="0" w:firstLine="0" w:firstLineChars="0"/>
              <w:rPr>
                <w:rFonts w:ascii="宋体" w:hAnsi="宋体" w:eastAsia="宋体"/>
                <w:szCs w:val="24"/>
              </w:rPr>
            </w:pPr>
            <w:r>
              <w:rPr>
                <w:rFonts w:hint="eastAsia" w:ascii="宋体" w:hAnsi="宋体" w:eastAsia="宋体"/>
                <w:szCs w:val="24"/>
              </w:rPr>
              <w:t>产</w:t>
            </w:r>
            <w:r>
              <w:rPr>
                <w:rFonts w:ascii="宋体" w:hAnsi="宋体" w:eastAsia="宋体"/>
                <w:szCs w:val="24"/>
              </w:rPr>
              <w:t>品缺</w:t>
            </w:r>
            <w:r>
              <w:rPr>
                <w:rFonts w:hint="eastAsia" w:ascii="宋体" w:hAnsi="宋体" w:eastAsia="宋体"/>
                <w:szCs w:val="24"/>
              </w:rPr>
              <w:t>陷</w:t>
            </w:r>
            <w:r>
              <w:rPr>
                <w:rFonts w:ascii="宋体" w:hAnsi="宋体" w:eastAsia="宋体"/>
                <w:szCs w:val="24"/>
              </w:rPr>
              <w:t>密度</w:t>
            </w:r>
            <w:r>
              <w:rPr>
                <w:rFonts w:hint="eastAsia" w:ascii="宋体" w:hAnsi="宋体" w:eastAsia="宋体"/>
                <w:szCs w:val="24"/>
              </w:rPr>
              <w:t>超过20%，缺陷密度每增加1%扣除合同总金额的0.1%。</w:t>
            </w:r>
          </w:p>
        </w:tc>
      </w:tr>
      <w:tr w14:paraId="7820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7F359022">
            <w:pPr>
              <w:ind w:left="0" w:firstLine="0" w:firstLineChars="0"/>
              <w:rPr>
                <w:rFonts w:ascii="宋体" w:hAnsi="宋体" w:eastAsia="宋体"/>
                <w:szCs w:val="24"/>
              </w:rPr>
            </w:pPr>
            <w:r>
              <w:rPr>
                <w:rFonts w:hint="eastAsia" w:ascii="宋体" w:hAnsi="宋体" w:eastAsia="宋体"/>
                <w:szCs w:val="24"/>
              </w:rPr>
              <w:t>4</w:t>
            </w:r>
          </w:p>
        </w:tc>
        <w:tc>
          <w:tcPr>
            <w:tcW w:w="904" w:type="pct"/>
            <w:vMerge w:val="continue"/>
            <w:tcBorders>
              <w:left w:val="single" w:color="auto" w:sz="4" w:space="0"/>
            </w:tcBorders>
          </w:tcPr>
          <w:p w14:paraId="63200FA0"/>
        </w:tc>
        <w:tc>
          <w:tcPr>
            <w:tcW w:w="748" w:type="pct"/>
            <w:tcBorders>
              <w:left w:val="single" w:color="auto" w:sz="4" w:space="0"/>
            </w:tcBorders>
            <w:vAlign w:val="center"/>
          </w:tcPr>
          <w:p w14:paraId="7CEBB573">
            <w:pPr>
              <w:ind w:left="0" w:firstLine="0" w:firstLineChars="0"/>
              <w:rPr>
                <w:rFonts w:ascii="宋体" w:hAnsi="宋体" w:eastAsia="宋体"/>
                <w:szCs w:val="24"/>
              </w:rPr>
            </w:pPr>
            <w:r>
              <w:rPr>
                <w:rFonts w:ascii="宋体" w:hAnsi="宋体" w:eastAsia="宋体"/>
                <w:szCs w:val="24"/>
              </w:rPr>
              <w:t>缺陷</w:t>
            </w:r>
            <w:r>
              <w:rPr>
                <w:rFonts w:hint="eastAsia" w:ascii="宋体" w:hAnsi="宋体" w:eastAsia="宋体"/>
                <w:szCs w:val="24"/>
              </w:rPr>
              <w:t>解决率</w:t>
            </w:r>
          </w:p>
        </w:tc>
        <w:tc>
          <w:tcPr>
            <w:tcW w:w="1030" w:type="pct"/>
            <w:tcBorders>
              <w:left w:val="single" w:color="auto" w:sz="4" w:space="0"/>
            </w:tcBorders>
            <w:vAlign w:val="center"/>
          </w:tcPr>
          <w:p w14:paraId="35E7611C">
            <w:pPr>
              <w:ind w:left="0" w:firstLine="0" w:firstLineChars="0"/>
              <w:rPr>
                <w:rFonts w:ascii="宋体" w:hAnsi="宋体" w:eastAsia="宋体"/>
                <w:szCs w:val="24"/>
              </w:rPr>
            </w:pPr>
            <w:r>
              <w:rPr>
                <w:rFonts w:ascii="宋体" w:hAnsi="宋体" w:eastAsia="宋体"/>
                <w:szCs w:val="24"/>
              </w:rPr>
              <w:t>用于记录统计周期内测试发现的缺陷中已解决缺陷的比例</w:t>
            </w:r>
          </w:p>
        </w:tc>
        <w:tc>
          <w:tcPr>
            <w:tcW w:w="1418" w:type="pct"/>
            <w:tcBorders>
              <w:left w:val="single" w:color="auto" w:sz="4" w:space="0"/>
            </w:tcBorders>
            <w:vAlign w:val="center"/>
          </w:tcPr>
          <w:p w14:paraId="261E6AA1">
            <w:pPr>
              <w:ind w:left="0" w:firstLine="0" w:firstLineChars="0"/>
              <w:rPr>
                <w:rFonts w:ascii="宋体" w:hAnsi="宋体" w:eastAsia="宋体"/>
                <w:szCs w:val="24"/>
              </w:rPr>
            </w:pPr>
            <w:r>
              <w:rPr>
                <w:rFonts w:ascii="宋体" w:hAnsi="宋体" w:eastAsia="宋体"/>
                <w:szCs w:val="24"/>
              </w:rPr>
              <w:t>缺陷解决率=统计周期内测试发现的有效缺陷中已解决的数量/统计周期内测试发现的有效缺陷总数量</w:t>
            </w:r>
          </w:p>
          <w:p w14:paraId="064F5447">
            <w:pPr>
              <w:ind w:left="0" w:firstLine="0" w:firstLineChars="0"/>
              <w:rPr>
                <w:rFonts w:ascii="宋体" w:hAnsi="宋体" w:eastAsia="宋体"/>
                <w:b/>
                <w:szCs w:val="24"/>
              </w:rPr>
            </w:pPr>
            <w:r>
              <w:rPr>
                <w:rFonts w:hint="eastAsia" w:ascii="宋体" w:hAnsi="宋体" w:eastAsia="宋体"/>
                <w:b/>
                <w:szCs w:val="24"/>
              </w:rPr>
              <w:t>10分【98%-100%】</w:t>
            </w:r>
          </w:p>
          <w:p w14:paraId="4180382B">
            <w:pPr>
              <w:ind w:left="0" w:firstLine="0" w:firstLineChars="0"/>
              <w:rPr>
                <w:rFonts w:ascii="宋体" w:hAnsi="宋体" w:eastAsia="宋体"/>
                <w:b/>
                <w:szCs w:val="24"/>
              </w:rPr>
            </w:pPr>
            <w:r>
              <w:rPr>
                <w:rFonts w:hint="eastAsia" w:ascii="宋体" w:hAnsi="宋体" w:eastAsia="宋体"/>
                <w:b/>
                <w:szCs w:val="24"/>
              </w:rPr>
              <w:t>5分【95%-97%】</w:t>
            </w:r>
          </w:p>
          <w:p w14:paraId="4D2377D2">
            <w:pPr>
              <w:ind w:left="0" w:firstLine="0" w:firstLineChars="0"/>
              <w:rPr>
                <w:rFonts w:ascii="宋体" w:hAnsi="宋体" w:eastAsia="宋体"/>
                <w:b/>
                <w:szCs w:val="24"/>
              </w:rPr>
            </w:pPr>
            <w:r>
              <w:rPr>
                <w:rFonts w:hint="eastAsia" w:ascii="宋体" w:hAnsi="宋体" w:eastAsia="宋体"/>
                <w:b/>
                <w:szCs w:val="24"/>
              </w:rPr>
              <w:t>0分【低于95%】</w:t>
            </w:r>
          </w:p>
        </w:tc>
        <w:tc>
          <w:tcPr>
            <w:tcW w:w="795" w:type="pct"/>
            <w:tcBorders>
              <w:left w:val="single" w:color="auto" w:sz="4" w:space="0"/>
            </w:tcBorders>
            <w:vAlign w:val="center"/>
          </w:tcPr>
          <w:p w14:paraId="38DCBCA0">
            <w:pPr>
              <w:ind w:left="0" w:firstLine="0" w:firstLineChars="0"/>
              <w:rPr>
                <w:rFonts w:ascii="宋体" w:hAnsi="宋体" w:eastAsia="宋体"/>
                <w:szCs w:val="24"/>
              </w:rPr>
            </w:pPr>
            <w:r>
              <w:rPr>
                <w:rFonts w:hint="eastAsia" w:ascii="宋体" w:hAnsi="宋体" w:eastAsia="宋体"/>
                <w:szCs w:val="24"/>
              </w:rPr>
              <w:t>若</w:t>
            </w:r>
            <w:r>
              <w:rPr>
                <w:rFonts w:ascii="宋体" w:hAnsi="宋体" w:eastAsia="宋体"/>
                <w:szCs w:val="24"/>
              </w:rPr>
              <w:t>缺陷解决率</w:t>
            </w:r>
            <w:r>
              <w:rPr>
                <w:rFonts w:hint="eastAsia" w:ascii="宋体" w:hAnsi="宋体" w:eastAsia="宋体"/>
                <w:bCs/>
                <w:szCs w:val="24"/>
              </w:rPr>
              <w:t>低于95</w:t>
            </w:r>
            <w:r>
              <w:rPr>
                <w:rFonts w:hint="eastAsia" w:ascii="宋体" w:hAnsi="宋体" w:eastAsia="宋体"/>
                <w:szCs w:val="24"/>
              </w:rPr>
              <w:t>%，</w:t>
            </w:r>
            <w:r>
              <w:rPr>
                <w:rFonts w:ascii="宋体" w:hAnsi="宋体" w:eastAsia="宋体"/>
                <w:szCs w:val="24"/>
              </w:rPr>
              <w:t>缺陷</w:t>
            </w:r>
            <w:r>
              <w:rPr>
                <w:rFonts w:hint="eastAsia" w:ascii="宋体" w:hAnsi="宋体" w:eastAsia="宋体"/>
                <w:szCs w:val="24"/>
              </w:rPr>
              <w:t>解决率每低1%扣除合同总金额的0.1%。</w:t>
            </w:r>
          </w:p>
        </w:tc>
      </w:tr>
      <w:tr w14:paraId="25C4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1330C1BA">
            <w:pPr>
              <w:ind w:left="0" w:firstLine="0" w:firstLineChars="0"/>
              <w:rPr>
                <w:rFonts w:ascii="宋体" w:hAnsi="宋体" w:eastAsia="宋体"/>
                <w:szCs w:val="24"/>
              </w:rPr>
            </w:pPr>
            <w:r>
              <w:rPr>
                <w:rFonts w:hint="eastAsia" w:ascii="宋体" w:hAnsi="宋体" w:eastAsia="宋体"/>
                <w:szCs w:val="24"/>
              </w:rPr>
              <w:t>5</w:t>
            </w:r>
          </w:p>
        </w:tc>
        <w:tc>
          <w:tcPr>
            <w:tcW w:w="624" w:type="pct"/>
            <w:vMerge w:val="restart"/>
            <w:tcBorders>
              <w:left w:val="single" w:color="auto" w:sz="4" w:space="0"/>
            </w:tcBorders>
            <w:vAlign w:val="center"/>
          </w:tcPr>
          <w:p w14:paraId="5529A8FA">
            <w:pPr>
              <w:ind w:left="0" w:firstLine="0" w:firstLineChars="0"/>
              <w:jc w:val="left"/>
              <w:rPr>
                <w:rFonts w:ascii="宋体" w:hAnsi="宋体" w:eastAsia="宋体"/>
                <w:szCs w:val="24"/>
              </w:rPr>
            </w:pPr>
            <w:r>
              <w:rPr>
                <w:rFonts w:hint="eastAsia" w:ascii="宋体" w:hAnsi="宋体" w:eastAsia="宋体"/>
                <w:szCs w:val="24"/>
              </w:rPr>
              <w:t>协议履行</w:t>
            </w:r>
          </w:p>
        </w:tc>
        <w:tc>
          <w:tcPr>
            <w:tcW w:w="748" w:type="pct"/>
            <w:tcBorders>
              <w:left w:val="single" w:color="auto" w:sz="4" w:space="0"/>
            </w:tcBorders>
            <w:vAlign w:val="center"/>
          </w:tcPr>
          <w:p w14:paraId="318A9C82">
            <w:pPr>
              <w:ind w:left="0" w:firstLine="0" w:firstLineChars="0"/>
              <w:rPr>
                <w:rFonts w:ascii="宋体" w:hAnsi="宋体" w:eastAsia="宋体"/>
                <w:szCs w:val="24"/>
              </w:rPr>
            </w:pPr>
            <w:r>
              <w:rPr>
                <w:rFonts w:ascii="宋体" w:hAnsi="宋体" w:eastAsia="宋体"/>
                <w:szCs w:val="24"/>
              </w:rPr>
              <w:t>重大事项报告</w:t>
            </w:r>
          </w:p>
        </w:tc>
        <w:tc>
          <w:tcPr>
            <w:tcW w:w="1030" w:type="pct"/>
            <w:tcBorders>
              <w:left w:val="single" w:color="auto" w:sz="4" w:space="0"/>
            </w:tcBorders>
            <w:vAlign w:val="center"/>
          </w:tcPr>
          <w:p w14:paraId="04167477">
            <w:pPr>
              <w:ind w:left="0" w:firstLine="0" w:firstLineChars="0"/>
              <w:rPr>
                <w:rFonts w:ascii="宋体" w:hAnsi="宋体" w:eastAsia="宋体"/>
                <w:szCs w:val="24"/>
              </w:rPr>
            </w:pPr>
            <w:r>
              <w:rPr>
                <w:rFonts w:hint="eastAsia" w:ascii="宋体" w:hAnsi="宋体" w:eastAsia="宋体"/>
                <w:szCs w:val="24"/>
              </w:rPr>
              <w:t>用于记录乙方应对自身的财务、内控及安全管理进行持续监控，将自身因破产、兼并、关键人员流失、投入不足和管理不善等引发的财务状况恶化及内部管理混乱等情况告知甲方的评价</w:t>
            </w:r>
          </w:p>
        </w:tc>
        <w:tc>
          <w:tcPr>
            <w:tcW w:w="1418" w:type="pct"/>
            <w:tcBorders>
              <w:left w:val="single" w:color="auto" w:sz="4" w:space="0"/>
            </w:tcBorders>
            <w:vAlign w:val="center"/>
          </w:tcPr>
          <w:p w14:paraId="47AF7B7A">
            <w:pPr>
              <w:ind w:left="0" w:firstLine="0" w:firstLineChars="0"/>
              <w:rPr>
                <w:rFonts w:ascii="宋体" w:hAnsi="宋体" w:eastAsia="宋体"/>
                <w:szCs w:val="24"/>
              </w:rPr>
            </w:pPr>
            <w:r>
              <w:rPr>
                <w:rFonts w:hint="eastAsia" w:ascii="宋体" w:hAnsi="宋体" w:eastAsia="宋体"/>
                <w:b/>
                <w:bCs/>
                <w:szCs w:val="24"/>
              </w:rPr>
              <w:t>优秀：</w:t>
            </w:r>
            <w:r>
              <w:rPr>
                <w:rFonts w:hint="eastAsia" w:ascii="宋体" w:hAnsi="宋体" w:eastAsia="宋体"/>
                <w:szCs w:val="24"/>
              </w:rPr>
              <w:t>5分，</w:t>
            </w:r>
            <w:r>
              <w:rPr>
                <w:rFonts w:ascii="宋体" w:hAnsi="宋体" w:eastAsia="宋体"/>
                <w:szCs w:val="24"/>
              </w:rPr>
              <w:t>指无重大事项或当发生重大事项时，能够于24小时内</w:t>
            </w:r>
            <w:r>
              <w:rPr>
                <w:rFonts w:hint="eastAsia" w:ascii="宋体" w:hAnsi="宋体" w:eastAsia="宋体"/>
                <w:szCs w:val="24"/>
              </w:rPr>
              <w:t>告知甲方；</w:t>
            </w:r>
          </w:p>
          <w:p w14:paraId="10DB1F4F">
            <w:pPr>
              <w:ind w:left="0" w:firstLine="0" w:firstLineChars="0"/>
              <w:rPr>
                <w:rFonts w:ascii="宋体" w:hAnsi="宋体" w:eastAsia="宋体"/>
                <w:szCs w:val="24"/>
              </w:rPr>
            </w:pPr>
            <w:r>
              <w:rPr>
                <w:rFonts w:hint="eastAsia" w:ascii="宋体" w:hAnsi="宋体" w:eastAsia="宋体"/>
                <w:b/>
                <w:bCs/>
                <w:szCs w:val="24"/>
              </w:rPr>
              <w:t>良好：</w:t>
            </w:r>
            <w:r>
              <w:rPr>
                <w:rFonts w:hint="eastAsia" w:ascii="宋体" w:hAnsi="宋体" w:eastAsia="宋体"/>
                <w:szCs w:val="24"/>
              </w:rPr>
              <w:t>4分，</w:t>
            </w:r>
            <w:r>
              <w:rPr>
                <w:rFonts w:ascii="宋体" w:hAnsi="宋体" w:eastAsia="宋体"/>
                <w:szCs w:val="24"/>
              </w:rPr>
              <w:t>指当发生重大事项时，能够于一周内告知</w:t>
            </w:r>
            <w:r>
              <w:rPr>
                <w:rFonts w:hint="eastAsia" w:ascii="宋体" w:hAnsi="宋体" w:eastAsia="宋体"/>
                <w:szCs w:val="24"/>
              </w:rPr>
              <w:t>甲方；</w:t>
            </w:r>
          </w:p>
          <w:p w14:paraId="04AA7691">
            <w:pPr>
              <w:ind w:left="0" w:firstLine="0" w:firstLineChars="0"/>
              <w:rPr>
                <w:rFonts w:ascii="宋体" w:hAnsi="宋体" w:eastAsia="宋体"/>
                <w:szCs w:val="24"/>
              </w:rPr>
            </w:pPr>
            <w:r>
              <w:rPr>
                <w:rFonts w:hint="eastAsia" w:ascii="宋体" w:hAnsi="宋体" w:eastAsia="宋体"/>
                <w:b/>
                <w:bCs/>
                <w:szCs w:val="24"/>
              </w:rPr>
              <w:t>合格：</w:t>
            </w:r>
            <w:r>
              <w:rPr>
                <w:rFonts w:hint="eastAsia" w:ascii="宋体" w:hAnsi="宋体" w:eastAsia="宋体"/>
                <w:szCs w:val="24"/>
              </w:rPr>
              <w:t>3分，</w:t>
            </w:r>
            <w:r>
              <w:rPr>
                <w:rFonts w:ascii="宋体" w:hAnsi="宋体" w:eastAsia="宋体"/>
                <w:szCs w:val="24"/>
              </w:rPr>
              <w:t>指当发生重大事项时，能够于一</w:t>
            </w:r>
            <w:r>
              <w:rPr>
                <w:rFonts w:hint="eastAsia" w:ascii="宋体" w:hAnsi="宋体" w:eastAsia="宋体"/>
                <w:szCs w:val="24"/>
              </w:rPr>
              <w:t>月</w:t>
            </w:r>
            <w:r>
              <w:rPr>
                <w:rFonts w:ascii="宋体" w:hAnsi="宋体" w:eastAsia="宋体"/>
                <w:szCs w:val="24"/>
              </w:rPr>
              <w:t>内告知</w:t>
            </w:r>
            <w:r>
              <w:rPr>
                <w:rFonts w:hint="eastAsia" w:ascii="宋体" w:hAnsi="宋体" w:eastAsia="宋体"/>
                <w:szCs w:val="24"/>
              </w:rPr>
              <w:t>甲方；</w:t>
            </w:r>
          </w:p>
          <w:p w14:paraId="7FC27BD5">
            <w:pPr>
              <w:ind w:left="0" w:firstLine="0" w:firstLineChars="0"/>
              <w:rPr>
                <w:rFonts w:ascii="宋体" w:hAnsi="宋体" w:eastAsia="宋体"/>
                <w:szCs w:val="24"/>
              </w:rPr>
            </w:pPr>
            <w:r>
              <w:rPr>
                <w:rFonts w:hint="eastAsia" w:ascii="宋体" w:hAnsi="宋体" w:eastAsia="宋体"/>
                <w:b/>
                <w:bCs/>
                <w:szCs w:val="24"/>
              </w:rPr>
              <w:t>较差/差</w:t>
            </w:r>
            <w:r>
              <w:rPr>
                <w:rFonts w:hint="eastAsia" w:ascii="宋体" w:hAnsi="宋体" w:eastAsia="宋体"/>
                <w:szCs w:val="24"/>
              </w:rPr>
              <w:t>：0分，</w:t>
            </w:r>
            <w:r>
              <w:rPr>
                <w:rFonts w:ascii="宋体" w:hAnsi="宋体" w:eastAsia="宋体"/>
                <w:szCs w:val="24"/>
              </w:rPr>
              <w:t>指当发生重大事项时，</w:t>
            </w:r>
            <w:r>
              <w:rPr>
                <w:rFonts w:hint="eastAsia" w:ascii="宋体" w:hAnsi="宋体" w:eastAsia="宋体"/>
                <w:szCs w:val="24"/>
              </w:rPr>
              <w:t>未</w:t>
            </w:r>
            <w:r>
              <w:rPr>
                <w:rFonts w:ascii="宋体" w:hAnsi="宋体" w:eastAsia="宋体"/>
                <w:szCs w:val="24"/>
              </w:rPr>
              <w:t>告知</w:t>
            </w:r>
            <w:r>
              <w:rPr>
                <w:rFonts w:hint="eastAsia" w:ascii="宋体" w:hAnsi="宋体" w:eastAsia="宋体"/>
                <w:szCs w:val="24"/>
              </w:rPr>
              <w:t>甲方。</w:t>
            </w:r>
          </w:p>
        </w:tc>
        <w:tc>
          <w:tcPr>
            <w:tcW w:w="795" w:type="pct"/>
            <w:tcBorders>
              <w:left w:val="single" w:color="auto" w:sz="4" w:space="0"/>
            </w:tcBorders>
            <w:vAlign w:val="center"/>
          </w:tcPr>
          <w:p w14:paraId="633EA357">
            <w:pPr>
              <w:ind w:left="0" w:firstLine="0" w:firstLineChars="0"/>
              <w:rPr>
                <w:rFonts w:ascii="宋体" w:hAnsi="宋体" w:eastAsia="宋体"/>
                <w:szCs w:val="24"/>
              </w:rPr>
            </w:pPr>
            <w:r>
              <w:rPr>
                <w:rFonts w:hint="eastAsia" w:ascii="宋体" w:hAnsi="宋体" w:eastAsia="宋体"/>
                <w:szCs w:val="24"/>
              </w:rPr>
              <w:t>评价为较差/差时，甲方根据实际情况有权终止合同，并要求乙方赔偿实际损失。</w:t>
            </w:r>
          </w:p>
        </w:tc>
      </w:tr>
      <w:tr w14:paraId="4207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091806A6">
            <w:pPr>
              <w:ind w:left="0" w:firstLine="0" w:firstLineChars="0"/>
              <w:rPr>
                <w:rFonts w:ascii="宋体" w:hAnsi="宋体" w:eastAsia="宋体"/>
                <w:szCs w:val="24"/>
              </w:rPr>
            </w:pPr>
            <w:r>
              <w:rPr>
                <w:rFonts w:hint="eastAsia" w:ascii="宋体" w:hAnsi="宋体" w:eastAsia="宋体"/>
                <w:szCs w:val="24"/>
              </w:rPr>
              <w:t>6</w:t>
            </w:r>
          </w:p>
        </w:tc>
        <w:tc>
          <w:tcPr>
            <w:tcW w:w="904" w:type="pct"/>
            <w:vMerge w:val="continue"/>
            <w:tcBorders>
              <w:left w:val="single" w:color="auto" w:sz="4" w:space="0"/>
            </w:tcBorders>
          </w:tcPr>
          <w:p w14:paraId="535A7F56"/>
        </w:tc>
        <w:tc>
          <w:tcPr>
            <w:tcW w:w="748" w:type="pct"/>
            <w:tcBorders>
              <w:left w:val="single" w:color="auto" w:sz="4" w:space="0"/>
            </w:tcBorders>
            <w:vAlign w:val="center"/>
          </w:tcPr>
          <w:p w14:paraId="128EE305">
            <w:pPr>
              <w:ind w:left="0" w:firstLine="0" w:firstLineChars="0"/>
              <w:rPr>
                <w:rFonts w:ascii="宋体" w:hAnsi="宋体" w:eastAsia="宋体"/>
                <w:szCs w:val="24"/>
              </w:rPr>
            </w:pPr>
            <w:r>
              <w:rPr>
                <w:rFonts w:ascii="宋体" w:hAnsi="宋体" w:eastAsia="宋体"/>
                <w:szCs w:val="24"/>
              </w:rPr>
              <w:t>重大</w:t>
            </w:r>
            <w:r>
              <w:rPr>
                <w:rFonts w:hint="eastAsia" w:ascii="宋体" w:hAnsi="宋体" w:eastAsia="宋体"/>
                <w:szCs w:val="24"/>
              </w:rPr>
              <w:t>事件及质量缺陷</w:t>
            </w:r>
          </w:p>
        </w:tc>
        <w:tc>
          <w:tcPr>
            <w:tcW w:w="1030" w:type="pct"/>
            <w:tcBorders>
              <w:left w:val="single" w:color="auto" w:sz="4" w:space="0"/>
            </w:tcBorders>
            <w:vAlign w:val="center"/>
          </w:tcPr>
          <w:p w14:paraId="41480E18">
            <w:pPr>
              <w:ind w:left="0" w:firstLine="0" w:firstLineChars="0"/>
              <w:rPr>
                <w:rFonts w:ascii="宋体" w:hAnsi="宋体" w:eastAsia="宋体"/>
                <w:szCs w:val="24"/>
              </w:rPr>
            </w:pPr>
            <w:r>
              <w:rPr>
                <w:rFonts w:hint="eastAsia" w:ascii="宋体" w:hAnsi="宋体" w:eastAsia="宋体"/>
                <w:szCs w:val="24"/>
              </w:rPr>
              <w:t>用</w:t>
            </w:r>
            <w:r>
              <w:rPr>
                <w:rFonts w:ascii="宋体" w:hAnsi="宋体" w:eastAsia="宋体"/>
                <w:szCs w:val="24"/>
              </w:rPr>
              <w:t>于记录</w:t>
            </w:r>
            <w:r>
              <w:rPr>
                <w:rFonts w:hint="eastAsia" w:ascii="宋体" w:hAnsi="宋体" w:eastAsia="宋体"/>
                <w:szCs w:val="24"/>
              </w:rPr>
              <w:t>乙方在服务</w:t>
            </w:r>
            <w:r>
              <w:rPr>
                <w:rFonts w:ascii="宋体" w:hAnsi="宋体" w:eastAsia="宋体"/>
                <w:szCs w:val="24"/>
              </w:rPr>
              <w:t>期内出现</w:t>
            </w:r>
            <w:r>
              <w:rPr>
                <w:rFonts w:hint="eastAsia" w:ascii="宋体" w:hAnsi="宋体" w:eastAsia="宋体"/>
                <w:szCs w:val="24"/>
              </w:rPr>
              <w:t>以下重大事件及质量缺陷次数：</w:t>
            </w:r>
          </w:p>
          <w:p w14:paraId="3CA2D658">
            <w:pPr>
              <w:ind w:left="0" w:firstLine="0" w:firstLineChars="0"/>
              <w:rPr>
                <w:rFonts w:ascii="宋体" w:hAnsi="宋体" w:eastAsia="宋体"/>
                <w:szCs w:val="24"/>
              </w:rPr>
            </w:pPr>
            <w:r>
              <w:rPr>
                <w:rFonts w:hint="eastAsia" w:ascii="宋体" w:hAnsi="宋体" w:eastAsia="宋体"/>
                <w:szCs w:val="24"/>
              </w:rPr>
              <w:t>a.应用软件出现I</w:t>
            </w:r>
            <w:r>
              <w:rPr>
                <w:rFonts w:ascii="宋体" w:hAnsi="宋体" w:eastAsia="宋体"/>
                <w:szCs w:val="24"/>
              </w:rPr>
              <w:t>II</w:t>
            </w:r>
            <w:r>
              <w:rPr>
                <w:rFonts w:hint="eastAsia" w:ascii="宋体" w:hAnsi="宋体" w:eastAsia="宋体"/>
                <w:szCs w:val="24"/>
              </w:rPr>
              <w:t>级（含）以上的运营中断事件；</w:t>
            </w:r>
          </w:p>
          <w:p w14:paraId="737C6AE7">
            <w:pPr>
              <w:ind w:left="0" w:firstLine="0" w:firstLineChars="0"/>
              <w:rPr>
                <w:rFonts w:ascii="宋体" w:hAnsi="宋体" w:eastAsia="宋体"/>
                <w:szCs w:val="24"/>
              </w:rPr>
            </w:pPr>
            <w:r>
              <w:rPr>
                <w:rFonts w:hint="eastAsia" w:ascii="宋体" w:hAnsi="宋体" w:eastAsia="宋体"/>
                <w:szCs w:val="24"/>
              </w:rPr>
              <w:t>b.因乙方原因（含乙方合作的第三方）导致甲方发生网络安全事件；</w:t>
            </w:r>
          </w:p>
          <w:p w14:paraId="16283430">
            <w:pPr>
              <w:ind w:left="0" w:firstLine="0" w:firstLineChars="0"/>
              <w:rPr>
                <w:rFonts w:ascii="宋体" w:hAnsi="宋体" w:eastAsia="宋体"/>
                <w:szCs w:val="24"/>
              </w:rPr>
            </w:pPr>
            <w:r>
              <w:rPr>
                <w:rFonts w:hint="eastAsia" w:ascii="宋体" w:hAnsi="宋体" w:eastAsia="宋体"/>
                <w:szCs w:val="24"/>
              </w:rPr>
              <w:t>c.应用软件出现严重缺陷和致命缺陷。</w:t>
            </w:r>
          </w:p>
        </w:tc>
        <w:tc>
          <w:tcPr>
            <w:tcW w:w="1418" w:type="pct"/>
            <w:tcBorders>
              <w:left w:val="single" w:color="auto" w:sz="4" w:space="0"/>
            </w:tcBorders>
            <w:vAlign w:val="center"/>
          </w:tcPr>
          <w:p w14:paraId="27EC6F71">
            <w:pPr>
              <w:ind w:left="0" w:firstLine="0" w:firstLineChars="0"/>
              <w:rPr>
                <w:rFonts w:ascii="宋体" w:hAnsi="宋体" w:eastAsia="宋体"/>
                <w:b/>
                <w:bCs/>
                <w:szCs w:val="24"/>
              </w:rPr>
            </w:pPr>
            <w:r>
              <w:rPr>
                <w:rFonts w:hint="eastAsia" w:ascii="宋体" w:hAnsi="宋体" w:eastAsia="宋体"/>
                <w:b/>
                <w:bCs/>
                <w:szCs w:val="24"/>
              </w:rPr>
              <w:t>【得分上限10分】</w:t>
            </w:r>
          </w:p>
          <w:p w14:paraId="70988F63">
            <w:pPr>
              <w:ind w:left="0" w:firstLine="0" w:firstLineChars="0"/>
              <w:rPr>
                <w:rFonts w:ascii="宋体" w:hAnsi="宋体" w:eastAsia="宋体"/>
                <w:szCs w:val="24"/>
              </w:rPr>
            </w:pPr>
            <w:r>
              <w:rPr>
                <w:rFonts w:hint="eastAsia" w:ascii="宋体" w:hAnsi="宋体" w:eastAsia="宋体"/>
                <w:b/>
                <w:bCs/>
                <w:szCs w:val="24"/>
              </w:rPr>
              <w:t>0次：</w:t>
            </w:r>
            <w:r>
              <w:rPr>
                <w:rFonts w:hint="eastAsia" w:ascii="宋体" w:hAnsi="宋体" w:eastAsia="宋体"/>
                <w:szCs w:val="24"/>
              </w:rPr>
              <w:t>指未出现</w:t>
            </w:r>
            <w:r>
              <w:rPr>
                <w:rFonts w:ascii="宋体" w:hAnsi="宋体" w:eastAsia="宋体"/>
                <w:szCs w:val="24"/>
              </w:rPr>
              <w:t>重大事件</w:t>
            </w:r>
            <w:r>
              <w:rPr>
                <w:rFonts w:hint="eastAsia" w:ascii="宋体" w:hAnsi="宋体" w:eastAsia="宋体"/>
                <w:szCs w:val="24"/>
              </w:rPr>
              <w:t>及质量缺陷，该项指标满分；</w:t>
            </w:r>
          </w:p>
          <w:p w14:paraId="2D907B20">
            <w:pPr>
              <w:ind w:left="0" w:firstLine="0" w:firstLineChars="0"/>
              <w:rPr>
                <w:rFonts w:ascii="宋体" w:hAnsi="宋体" w:eastAsia="宋体"/>
                <w:szCs w:val="24"/>
              </w:rPr>
            </w:pPr>
            <w:r>
              <w:rPr>
                <w:rFonts w:hint="eastAsia" w:ascii="宋体" w:hAnsi="宋体" w:eastAsia="宋体"/>
                <w:b/>
                <w:bCs/>
                <w:szCs w:val="24"/>
              </w:rPr>
              <w:t>1次及以上：</w:t>
            </w:r>
            <w:r>
              <w:rPr>
                <w:rFonts w:hint="eastAsia" w:ascii="宋体" w:hAnsi="宋体" w:eastAsia="宋体"/>
                <w:szCs w:val="24"/>
              </w:rPr>
              <w:t>0分，指出现1次及以上任意一项</w:t>
            </w:r>
            <w:r>
              <w:rPr>
                <w:rFonts w:ascii="宋体" w:hAnsi="宋体" w:eastAsia="宋体"/>
                <w:szCs w:val="24"/>
              </w:rPr>
              <w:t>重大事件</w:t>
            </w:r>
            <w:r>
              <w:rPr>
                <w:rFonts w:hint="eastAsia" w:ascii="宋体" w:hAnsi="宋体" w:eastAsia="宋体"/>
                <w:szCs w:val="24"/>
              </w:rPr>
              <w:t>或质量缺陷。</w:t>
            </w:r>
          </w:p>
        </w:tc>
        <w:tc>
          <w:tcPr>
            <w:tcW w:w="795" w:type="pct"/>
            <w:tcBorders>
              <w:left w:val="single" w:color="auto" w:sz="4" w:space="0"/>
            </w:tcBorders>
            <w:vAlign w:val="center"/>
          </w:tcPr>
          <w:p w14:paraId="501FA399">
            <w:pPr>
              <w:ind w:left="0" w:firstLine="0" w:firstLineChars="0"/>
              <w:rPr>
                <w:rFonts w:ascii="宋体" w:hAnsi="宋体" w:eastAsia="宋体"/>
                <w:szCs w:val="24"/>
              </w:rPr>
            </w:pPr>
            <w:r>
              <w:rPr>
                <w:rFonts w:hint="eastAsia" w:ascii="宋体" w:hAnsi="宋体" w:eastAsia="宋体"/>
                <w:szCs w:val="24"/>
              </w:rPr>
              <w:t>每出现一次</w:t>
            </w:r>
            <w:r>
              <w:rPr>
                <w:rFonts w:ascii="宋体" w:hAnsi="宋体" w:eastAsia="宋体"/>
                <w:szCs w:val="24"/>
              </w:rPr>
              <w:t>重大事件</w:t>
            </w:r>
            <w:r>
              <w:rPr>
                <w:rFonts w:hint="eastAsia" w:ascii="宋体" w:hAnsi="宋体" w:eastAsia="宋体"/>
                <w:szCs w:val="24"/>
              </w:rPr>
              <w:t>或质量缺陷，扣除乙方合同总金额不低于5%（不低于2万元），并要求乙方赔偿实际损失。</w:t>
            </w:r>
          </w:p>
        </w:tc>
      </w:tr>
      <w:tr w14:paraId="3E1A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40111B29">
            <w:pPr>
              <w:ind w:left="0" w:firstLine="0" w:firstLineChars="0"/>
              <w:rPr>
                <w:rFonts w:ascii="宋体" w:hAnsi="宋体" w:eastAsia="宋体"/>
                <w:szCs w:val="24"/>
              </w:rPr>
            </w:pPr>
            <w:r>
              <w:rPr>
                <w:rFonts w:hint="eastAsia" w:ascii="宋体" w:hAnsi="宋体" w:eastAsia="宋体"/>
                <w:szCs w:val="24"/>
              </w:rPr>
              <w:t>7</w:t>
            </w:r>
          </w:p>
        </w:tc>
        <w:tc>
          <w:tcPr>
            <w:tcW w:w="904" w:type="pct"/>
            <w:vMerge w:val="continue"/>
            <w:tcBorders>
              <w:left w:val="single" w:color="auto" w:sz="4" w:space="0"/>
            </w:tcBorders>
          </w:tcPr>
          <w:p w14:paraId="6FEB1D27"/>
        </w:tc>
        <w:tc>
          <w:tcPr>
            <w:tcW w:w="748" w:type="pct"/>
            <w:tcBorders>
              <w:left w:val="single" w:color="auto" w:sz="4" w:space="0"/>
            </w:tcBorders>
            <w:vAlign w:val="center"/>
          </w:tcPr>
          <w:p w14:paraId="19BB3649">
            <w:pPr>
              <w:ind w:left="0" w:firstLine="0" w:firstLineChars="0"/>
              <w:rPr>
                <w:rFonts w:ascii="宋体" w:hAnsi="宋体" w:eastAsia="宋体"/>
                <w:szCs w:val="24"/>
              </w:rPr>
            </w:pPr>
            <w:r>
              <w:rPr>
                <w:rFonts w:hint="eastAsia" w:ascii="宋体" w:hAnsi="宋体" w:eastAsia="宋体"/>
                <w:szCs w:val="24"/>
              </w:rPr>
              <w:t>信息安全管理</w:t>
            </w:r>
          </w:p>
        </w:tc>
        <w:tc>
          <w:tcPr>
            <w:tcW w:w="1030" w:type="pct"/>
            <w:tcBorders>
              <w:left w:val="single" w:color="auto" w:sz="4" w:space="0"/>
            </w:tcBorders>
            <w:vAlign w:val="center"/>
          </w:tcPr>
          <w:p w14:paraId="13A5FBD4">
            <w:pPr>
              <w:ind w:left="0" w:firstLine="0" w:firstLineChars="0"/>
              <w:rPr>
                <w:rFonts w:ascii="宋体" w:hAnsi="宋体" w:eastAsia="宋体"/>
                <w:szCs w:val="24"/>
              </w:rPr>
            </w:pPr>
            <w:r>
              <w:rPr>
                <w:rFonts w:hint="eastAsia" w:ascii="宋体" w:hAnsi="宋体" w:eastAsia="宋体"/>
                <w:szCs w:val="24"/>
              </w:rPr>
              <w:t>用</w:t>
            </w:r>
            <w:r>
              <w:rPr>
                <w:rFonts w:ascii="宋体" w:hAnsi="宋体" w:eastAsia="宋体"/>
                <w:szCs w:val="24"/>
              </w:rPr>
              <w:t>于记录</w:t>
            </w:r>
            <w:r>
              <w:rPr>
                <w:rFonts w:hint="eastAsia" w:ascii="宋体" w:hAnsi="宋体" w:eastAsia="宋体"/>
                <w:szCs w:val="24"/>
              </w:rPr>
              <w:t>乙方在服务</w:t>
            </w:r>
            <w:r>
              <w:rPr>
                <w:rFonts w:ascii="宋体" w:hAnsi="宋体" w:eastAsia="宋体"/>
                <w:szCs w:val="24"/>
              </w:rPr>
              <w:t>期内</w:t>
            </w:r>
            <w:r>
              <w:rPr>
                <w:rFonts w:hint="eastAsia" w:ascii="宋体" w:hAnsi="宋体" w:eastAsia="宋体"/>
                <w:szCs w:val="24"/>
              </w:rPr>
              <w:t>网络和信息安全服务的管理能力，针对发现的安全漏洞及安全缺陷（包括源代码、第三方SDK或第三方小程序、第三方软件产品及开源组件等），须按甲方要求完成整改</w:t>
            </w:r>
          </w:p>
        </w:tc>
        <w:tc>
          <w:tcPr>
            <w:tcW w:w="1418" w:type="pct"/>
            <w:tcBorders>
              <w:left w:val="single" w:color="auto" w:sz="4" w:space="0"/>
            </w:tcBorders>
            <w:vAlign w:val="center"/>
          </w:tcPr>
          <w:p w14:paraId="40D5912F">
            <w:pPr>
              <w:ind w:left="0" w:firstLine="0" w:firstLineChars="0"/>
              <w:rPr>
                <w:rFonts w:ascii="宋体" w:hAnsi="宋体" w:eastAsia="宋体"/>
                <w:szCs w:val="24"/>
              </w:rPr>
            </w:pPr>
            <w:r>
              <w:rPr>
                <w:rFonts w:hint="eastAsia" w:ascii="宋体" w:hAnsi="宋体" w:eastAsia="宋体"/>
                <w:szCs w:val="24"/>
              </w:rPr>
              <w:t>互联网或电子银行类系统：</w:t>
            </w:r>
          </w:p>
          <w:p w14:paraId="2C944682">
            <w:pPr>
              <w:ind w:left="0" w:firstLine="0" w:firstLineChars="0"/>
              <w:rPr>
                <w:rFonts w:ascii="宋体" w:hAnsi="宋体" w:eastAsia="宋体"/>
                <w:szCs w:val="24"/>
              </w:rPr>
            </w:pPr>
            <w:r>
              <w:rPr>
                <w:rFonts w:hint="eastAsia" w:ascii="宋体" w:hAnsi="宋体" w:eastAsia="宋体"/>
                <w:szCs w:val="24"/>
              </w:rPr>
              <w:t>1.安全漏洞及安全缺陷整改及时率=100%</w:t>
            </w:r>
          </w:p>
          <w:p w14:paraId="39BBF9B9">
            <w:pPr>
              <w:ind w:left="0" w:firstLine="0" w:firstLineChars="0"/>
              <w:rPr>
                <w:rFonts w:ascii="宋体" w:hAnsi="宋体" w:eastAsia="宋体"/>
                <w:szCs w:val="24"/>
              </w:rPr>
            </w:pPr>
            <w:r>
              <w:rPr>
                <w:rFonts w:hint="eastAsia" w:ascii="宋体" w:hAnsi="宋体" w:eastAsia="宋体"/>
                <w:szCs w:val="24"/>
              </w:rPr>
              <w:t>2.安全漏洞及安全缺陷整改通过率=100%</w:t>
            </w:r>
          </w:p>
          <w:p w14:paraId="1C9ACF33">
            <w:pPr>
              <w:ind w:left="0" w:firstLine="0" w:firstLineChars="0"/>
              <w:rPr>
                <w:rFonts w:ascii="宋体" w:hAnsi="宋体" w:eastAsia="宋体"/>
                <w:szCs w:val="24"/>
              </w:rPr>
            </w:pPr>
            <w:r>
              <w:rPr>
                <w:rFonts w:hint="eastAsia" w:ascii="宋体" w:hAnsi="宋体" w:eastAsia="宋体"/>
                <w:szCs w:val="24"/>
              </w:rPr>
              <w:t>非互联网或电子银行类系统：</w:t>
            </w:r>
          </w:p>
          <w:p w14:paraId="76E716DC">
            <w:pPr>
              <w:ind w:left="0" w:firstLine="0" w:firstLineChars="0"/>
              <w:rPr>
                <w:rFonts w:ascii="宋体" w:hAnsi="宋体" w:eastAsia="宋体"/>
                <w:szCs w:val="24"/>
              </w:rPr>
            </w:pPr>
            <w:r>
              <w:rPr>
                <w:rFonts w:hint="eastAsia" w:ascii="宋体" w:hAnsi="宋体" w:eastAsia="宋体"/>
                <w:szCs w:val="24"/>
              </w:rPr>
              <w:t>1.中高危安全漏洞及安全缺陷整改及时率=100%</w:t>
            </w:r>
          </w:p>
          <w:p w14:paraId="4FE1916C">
            <w:pPr>
              <w:ind w:left="0" w:firstLine="0" w:firstLineChars="0"/>
              <w:rPr>
                <w:rFonts w:ascii="宋体" w:hAnsi="宋体" w:eastAsia="宋体"/>
                <w:szCs w:val="24"/>
              </w:rPr>
            </w:pPr>
            <w:r>
              <w:rPr>
                <w:rFonts w:hint="eastAsia" w:ascii="宋体" w:hAnsi="宋体" w:eastAsia="宋体"/>
                <w:szCs w:val="24"/>
              </w:rPr>
              <w:t>2.中高危安全漏洞及安全缺陷整改通过率=100%</w:t>
            </w:r>
          </w:p>
          <w:p w14:paraId="054FD7EA">
            <w:pPr>
              <w:ind w:left="0" w:firstLine="0" w:firstLineChars="0"/>
              <w:rPr>
                <w:rFonts w:ascii="宋体" w:hAnsi="宋体" w:eastAsia="宋体"/>
                <w:szCs w:val="24"/>
              </w:rPr>
            </w:pPr>
            <w:r>
              <w:rPr>
                <w:rFonts w:hint="eastAsia" w:ascii="宋体" w:hAnsi="宋体" w:eastAsia="宋体"/>
                <w:b/>
                <w:bCs/>
                <w:szCs w:val="24"/>
              </w:rPr>
              <w:t>优秀：</w:t>
            </w:r>
            <w:r>
              <w:rPr>
                <w:rFonts w:hint="eastAsia" w:ascii="宋体" w:hAnsi="宋体" w:eastAsia="宋体"/>
                <w:szCs w:val="24"/>
              </w:rPr>
              <w:t>5分，指未出现安全漏洞及安全缺陷，该项指标满分；</w:t>
            </w:r>
          </w:p>
          <w:p w14:paraId="665220A5">
            <w:pPr>
              <w:ind w:left="0" w:firstLine="0" w:firstLineChars="0"/>
              <w:rPr>
                <w:rFonts w:ascii="宋体" w:hAnsi="宋体" w:eastAsia="宋体"/>
                <w:szCs w:val="24"/>
              </w:rPr>
            </w:pPr>
            <w:r>
              <w:rPr>
                <w:rFonts w:hint="eastAsia" w:ascii="宋体" w:hAnsi="宋体" w:eastAsia="宋体"/>
                <w:b/>
                <w:bCs/>
                <w:szCs w:val="24"/>
              </w:rPr>
              <w:t>合格：</w:t>
            </w:r>
            <w:r>
              <w:rPr>
                <w:rFonts w:hint="eastAsia" w:ascii="宋体" w:hAnsi="宋体" w:eastAsia="宋体"/>
                <w:szCs w:val="24"/>
              </w:rPr>
              <w:t>3分，指出现安全漏洞或安全缺陷，但整改及时率、通过率均为100%；</w:t>
            </w:r>
          </w:p>
          <w:p w14:paraId="4C124408">
            <w:pPr>
              <w:ind w:left="0" w:firstLine="0" w:firstLineChars="0"/>
              <w:rPr>
                <w:rFonts w:ascii="宋体" w:hAnsi="宋体" w:eastAsia="宋体"/>
                <w:szCs w:val="24"/>
              </w:rPr>
            </w:pPr>
            <w:r>
              <w:rPr>
                <w:rFonts w:hint="eastAsia" w:ascii="宋体" w:hAnsi="宋体" w:eastAsia="宋体"/>
                <w:b/>
                <w:bCs/>
                <w:szCs w:val="24"/>
              </w:rPr>
              <w:t>较差/差：</w:t>
            </w:r>
            <w:r>
              <w:rPr>
                <w:rFonts w:hint="eastAsia" w:ascii="宋体" w:hAnsi="宋体" w:eastAsia="宋体"/>
                <w:szCs w:val="24"/>
              </w:rPr>
              <w:t>0分，指出现安全漏洞及安全缺陷，但整改及时率或通过率未达到100%。</w:t>
            </w:r>
          </w:p>
        </w:tc>
        <w:tc>
          <w:tcPr>
            <w:tcW w:w="795" w:type="pct"/>
            <w:tcBorders>
              <w:left w:val="single" w:color="auto" w:sz="4" w:space="0"/>
            </w:tcBorders>
            <w:vAlign w:val="center"/>
          </w:tcPr>
          <w:p w14:paraId="4C4B8633">
            <w:pPr>
              <w:ind w:left="0" w:firstLine="0" w:firstLineChars="0"/>
              <w:rPr>
                <w:rFonts w:ascii="宋体" w:hAnsi="宋体" w:eastAsia="宋体"/>
                <w:szCs w:val="24"/>
              </w:rPr>
            </w:pPr>
            <w:r>
              <w:rPr>
                <w:rFonts w:hint="eastAsia" w:ascii="宋体" w:hAnsi="宋体" w:eastAsia="宋体"/>
                <w:szCs w:val="24"/>
              </w:rPr>
              <w:t>若出现的安全漏洞或安全缺陷被上级或监管单位通报的，扣除乙方金额人民币不低于2万元；</w:t>
            </w:r>
          </w:p>
          <w:p w14:paraId="40928001">
            <w:pPr>
              <w:ind w:left="0" w:firstLine="0" w:firstLineChars="0"/>
              <w:rPr>
                <w:rFonts w:ascii="宋体" w:hAnsi="宋体" w:eastAsia="宋体"/>
                <w:szCs w:val="24"/>
              </w:rPr>
            </w:pPr>
            <w:r>
              <w:rPr>
                <w:rFonts w:hint="eastAsia" w:ascii="宋体" w:hAnsi="宋体" w:eastAsia="宋体"/>
                <w:szCs w:val="24"/>
              </w:rPr>
              <w:t>若评价为较差/差时，扣除乙方金额人民币不低于2万元，并要求乙方赔偿实际损失。</w:t>
            </w:r>
          </w:p>
        </w:tc>
      </w:tr>
      <w:tr w14:paraId="6B75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412C7772">
            <w:pPr>
              <w:ind w:left="0" w:firstLine="0" w:firstLineChars="0"/>
              <w:rPr>
                <w:rFonts w:ascii="宋体" w:hAnsi="宋体" w:eastAsia="宋体"/>
                <w:szCs w:val="24"/>
              </w:rPr>
            </w:pPr>
            <w:r>
              <w:rPr>
                <w:rFonts w:hint="eastAsia" w:ascii="宋体" w:hAnsi="宋体" w:eastAsia="宋体"/>
                <w:szCs w:val="24"/>
              </w:rPr>
              <w:t>8</w:t>
            </w:r>
          </w:p>
        </w:tc>
        <w:tc>
          <w:tcPr>
            <w:tcW w:w="904" w:type="pct"/>
            <w:vMerge w:val="continue"/>
            <w:tcBorders>
              <w:left w:val="single" w:color="auto" w:sz="4" w:space="0"/>
            </w:tcBorders>
          </w:tcPr>
          <w:p w14:paraId="75B261AB"/>
        </w:tc>
        <w:tc>
          <w:tcPr>
            <w:tcW w:w="748" w:type="pct"/>
            <w:tcBorders>
              <w:left w:val="single" w:color="auto" w:sz="4" w:space="0"/>
            </w:tcBorders>
            <w:vAlign w:val="center"/>
          </w:tcPr>
          <w:p w14:paraId="0494DCED">
            <w:pPr>
              <w:ind w:left="0" w:firstLine="0" w:firstLineChars="0"/>
              <w:rPr>
                <w:rFonts w:ascii="宋体" w:hAnsi="宋体" w:eastAsia="宋体"/>
                <w:szCs w:val="24"/>
              </w:rPr>
            </w:pPr>
            <w:r>
              <w:rPr>
                <w:rFonts w:hint="eastAsia" w:ascii="宋体" w:hAnsi="宋体" w:eastAsia="宋体"/>
                <w:szCs w:val="24"/>
              </w:rPr>
              <w:t>外包安全行为</w:t>
            </w:r>
          </w:p>
        </w:tc>
        <w:tc>
          <w:tcPr>
            <w:tcW w:w="1030" w:type="pct"/>
            <w:tcBorders>
              <w:left w:val="single" w:color="auto" w:sz="4" w:space="0"/>
            </w:tcBorders>
            <w:vAlign w:val="center"/>
          </w:tcPr>
          <w:p w14:paraId="3ADCDD3B">
            <w:pPr>
              <w:ind w:left="0" w:firstLine="0" w:firstLineChars="0"/>
              <w:rPr>
                <w:rFonts w:ascii="宋体" w:hAnsi="宋体" w:eastAsia="宋体"/>
                <w:szCs w:val="24"/>
              </w:rPr>
            </w:pPr>
            <w:r>
              <w:rPr>
                <w:rFonts w:hint="eastAsia" w:ascii="宋体" w:hAnsi="宋体" w:eastAsia="宋体"/>
                <w:szCs w:val="24"/>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1418" w:type="pct"/>
            <w:tcBorders>
              <w:left w:val="single" w:color="auto" w:sz="4" w:space="0"/>
            </w:tcBorders>
            <w:vAlign w:val="center"/>
          </w:tcPr>
          <w:p w14:paraId="7536D1F5">
            <w:pPr>
              <w:ind w:left="0" w:firstLine="0" w:firstLineChars="0"/>
              <w:rPr>
                <w:rFonts w:ascii="宋体" w:hAnsi="宋体" w:eastAsia="宋体"/>
                <w:b/>
                <w:bCs/>
                <w:szCs w:val="24"/>
              </w:rPr>
            </w:pPr>
            <w:r>
              <w:rPr>
                <w:rFonts w:hint="eastAsia" w:ascii="宋体" w:hAnsi="宋体" w:eastAsia="宋体"/>
                <w:b/>
                <w:bCs/>
                <w:szCs w:val="24"/>
              </w:rPr>
              <w:t>【得分上限10分】</w:t>
            </w:r>
          </w:p>
          <w:p w14:paraId="10ADEC91">
            <w:pPr>
              <w:ind w:left="0" w:firstLine="0" w:firstLineChars="0"/>
              <w:rPr>
                <w:rFonts w:ascii="宋体" w:hAnsi="宋体" w:eastAsia="宋体"/>
                <w:szCs w:val="24"/>
              </w:rPr>
            </w:pPr>
            <w:r>
              <w:rPr>
                <w:rFonts w:hint="eastAsia" w:ascii="宋体" w:hAnsi="宋体" w:eastAsia="宋体"/>
                <w:b/>
                <w:bCs/>
                <w:szCs w:val="24"/>
              </w:rPr>
              <w:t>0次：</w:t>
            </w:r>
            <w:r>
              <w:rPr>
                <w:rFonts w:hint="eastAsia" w:ascii="宋体" w:hAnsi="宋体" w:eastAsia="宋体"/>
                <w:szCs w:val="24"/>
              </w:rPr>
              <w:t>指乙方服务未出现外包安全行为风险，该项指标满分；</w:t>
            </w:r>
          </w:p>
          <w:p w14:paraId="4639DDB0">
            <w:pPr>
              <w:ind w:left="0" w:firstLine="0" w:firstLineChars="0"/>
              <w:rPr>
                <w:rFonts w:ascii="宋体" w:hAnsi="宋体" w:eastAsia="宋体"/>
                <w:szCs w:val="24"/>
              </w:rPr>
            </w:pPr>
            <w:r>
              <w:rPr>
                <w:rFonts w:hint="eastAsia" w:ascii="宋体" w:hAnsi="宋体" w:eastAsia="宋体"/>
                <w:b/>
                <w:bCs/>
                <w:szCs w:val="24"/>
              </w:rPr>
              <w:t>1次及以上：</w:t>
            </w:r>
            <w:r>
              <w:rPr>
                <w:rFonts w:hint="eastAsia" w:ascii="宋体" w:hAnsi="宋体" w:eastAsia="宋体"/>
                <w:szCs w:val="24"/>
              </w:rPr>
              <w:t>指乙方出现1次及以上外包安全行为风险（每次扣5分，最高扣除10分）。</w:t>
            </w:r>
          </w:p>
        </w:tc>
        <w:tc>
          <w:tcPr>
            <w:tcW w:w="795" w:type="pct"/>
            <w:tcBorders>
              <w:left w:val="single" w:color="auto" w:sz="4" w:space="0"/>
            </w:tcBorders>
            <w:vAlign w:val="center"/>
          </w:tcPr>
          <w:p w14:paraId="3E857EF8">
            <w:pPr>
              <w:ind w:left="0" w:firstLine="0" w:firstLineChars="0"/>
              <w:rPr>
                <w:rFonts w:ascii="宋体" w:hAnsi="宋体" w:eastAsia="宋体"/>
                <w:szCs w:val="24"/>
              </w:rPr>
            </w:pPr>
            <w:r>
              <w:rPr>
                <w:rFonts w:hint="eastAsia" w:ascii="宋体" w:hAnsi="宋体" w:eastAsia="宋体"/>
                <w:szCs w:val="24"/>
              </w:rPr>
              <w:t>每发生一次外包</w:t>
            </w:r>
            <w:r>
              <w:rPr>
                <w:rFonts w:ascii="宋体" w:hAnsi="宋体" w:eastAsia="宋体"/>
                <w:szCs w:val="24"/>
              </w:rPr>
              <w:t>安全</w:t>
            </w:r>
            <w:r>
              <w:rPr>
                <w:rFonts w:hint="eastAsia" w:ascii="宋体" w:hAnsi="宋体" w:eastAsia="宋体"/>
                <w:szCs w:val="24"/>
              </w:rPr>
              <w:t>行为风险，扣除乙方金额人民币不低于</w:t>
            </w:r>
            <w:r>
              <w:rPr>
                <w:rFonts w:ascii="宋体" w:hAnsi="宋体" w:eastAsia="宋体"/>
                <w:szCs w:val="24"/>
              </w:rPr>
              <w:t>1000</w:t>
            </w:r>
            <w:r>
              <w:rPr>
                <w:rFonts w:hint="eastAsia" w:ascii="宋体" w:hAnsi="宋体" w:eastAsia="宋体"/>
                <w:szCs w:val="24"/>
              </w:rPr>
              <w:t>元，并要求乙方赔偿实际损失。</w:t>
            </w:r>
          </w:p>
        </w:tc>
      </w:tr>
      <w:tr w14:paraId="06FE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49C4716A">
            <w:pPr>
              <w:ind w:left="0" w:firstLine="0" w:firstLineChars="0"/>
              <w:rPr>
                <w:rFonts w:ascii="宋体" w:hAnsi="宋体" w:eastAsia="宋体"/>
                <w:szCs w:val="24"/>
              </w:rPr>
            </w:pPr>
            <w:r>
              <w:rPr>
                <w:rFonts w:hint="eastAsia" w:ascii="宋体" w:hAnsi="宋体" w:eastAsia="宋体"/>
                <w:szCs w:val="24"/>
              </w:rPr>
              <w:t>9</w:t>
            </w:r>
          </w:p>
        </w:tc>
        <w:tc>
          <w:tcPr>
            <w:tcW w:w="904" w:type="pct"/>
            <w:vMerge w:val="continue"/>
            <w:tcBorders>
              <w:left w:val="single" w:color="auto" w:sz="4" w:space="0"/>
            </w:tcBorders>
          </w:tcPr>
          <w:p w14:paraId="6EB7D582"/>
        </w:tc>
        <w:tc>
          <w:tcPr>
            <w:tcW w:w="748" w:type="pct"/>
            <w:tcBorders>
              <w:left w:val="single" w:color="auto" w:sz="4" w:space="0"/>
            </w:tcBorders>
            <w:vAlign w:val="center"/>
          </w:tcPr>
          <w:p w14:paraId="2A019E16">
            <w:pPr>
              <w:ind w:left="0" w:firstLine="0" w:firstLineChars="0"/>
              <w:rPr>
                <w:rFonts w:ascii="宋体" w:hAnsi="宋体" w:eastAsia="宋体"/>
                <w:szCs w:val="24"/>
              </w:rPr>
            </w:pPr>
            <w:r>
              <w:rPr>
                <w:rFonts w:hint="eastAsia" w:ascii="宋体" w:hAnsi="宋体" w:eastAsia="宋体"/>
                <w:szCs w:val="24"/>
              </w:rPr>
              <w:t>响应与解决及时性</w:t>
            </w:r>
          </w:p>
        </w:tc>
        <w:tc>
          <w:tcPr>
            <w:tcW w:w="1030" w:type="pct"/>
            <w:tcBorders>
              <w:left w:val="single" w:color="auto" w:sz="4" w:space="0"/>
            </w:tcBorders>
            <w:vAlign w:val="center"/>
          </w:tcPr>
          <w:p w14:paraId="3827A33C">
            <w:pPr>
              <w:ind w:left="0" w:firstLine="0" w:firstLineChars="0"/>
              <w:rPr>
                <w:rFonts w:ascii="宋体" w:hAnsi="宋体" w:eastAsia="宋体"/>
                <w:szCs w:val="24"/>
              </w:rPr>
            </w:pPr>
            <w:r>
              <w:rPr>
                <w:rFonts w:ascii="宋体" w:hAnsi="宋体" w:eastAsia="宋体"/>
                <w:szCs w:val="24"/>
              </w:rPr>
              <w:t>用于记录</w:t>
            </w:r>
            <w:r>
              <w:rPr>
                <w:rFonts w:hint="eastAsia" w:ascii="宋体" w:hAnsi="宋体" w:eastAsia="宋体"/>
                <w:szCs w:val="24"/>
              </w:rPr>
              <w:t>乙方</w:t>
            </w:r>
            <w:r>
              <w:rPr>
                <w:rFonts w:ascii="宋体" w:hAnsi="宋体" w:eastAsia="宋体"/>
                <w:szCs w:val="24"/>
              </w:rPr>
              <w:t>或服务项目对</w:t>
            </w:r>
            <w:r>
              <w:rPr>
                <w:rFonts w:hint="eastAsia" w:ascii="宋体" w:hAnsi="宋体" w:eastAsia="宋体"/>
                <w:szCs w:val="24"/>
              </w:rPr>
              <w:t>甲方</w:t>
            </w:r>
            <w:r>
              <w:rPr>
                <w:rFonts w:ascii="宋体" w:hAnsi="宋体" w:eastAsia="宋体"/>
                <w:szCs w:val="24"/>
              </w:rPr>
              <w:t>的响应与解决的及时性</w:t>
            </w:r>
          </w:p>
        </w:tc>
        <w:tc>
          <w:tcPr>
            <w:tcW w:w="1418" w:type="pct"/>
            <w:tcBorders>
              <w:left w:val="single" w:color="auto" w:sz="4" w:space="0"/>
            </w:tcBorders>
            <w:vAlign w:val="center"/>
          </w:tcPr>
          <w:p w14:paraId="5E1549F4">
            <w:pPr>
              <w:ind w:left="0" w:firstLine="0" w:firstLineChars="0"/>
              <w:rPr>
                <w:rFonts w:ascii="宋体" w:hAnsi="宋体" w:eastAsia="宋体"/>
                <w:szCs w:val="24"/>
              </w:rPr>
            </w:pPr>
            <w:r>
              <w:rPr>
                <w:rFonts w:hint="eastAsia" w:ascii="宋体" w:hAnsi="宋体" w:eastAsia="宋体"/>
                <w:b/>
                <w:bCs/>
                <w:szCs w:val="24"/>
              </w:rPr>
              <w:t>优秀：</w:t>
            </w:r>
            <w:r>
              <w:rPr>
                <w:rFonts w:hint="eastAsia" w:ascii="宋体" w:hAnsi="宋体" w:eastAsia="宋体"/>
                <w:szCs w:val="24"/>
              </w:rPr>
              <w:t>5分，</w:t>
            </w:r>
            <w:r>
              <w:rPr>
                <w:rFonts w:ascii="宋体" w:hAnsi="宋体" w:eastAsia="宋体"/>
                <w:szCs w:val="24"/>
              </w:rPr>
              <w:t>指</w:t>
            </w:r>
            <w:r>
              <w:rPr>
                <w:rFonts w:hint="eastAsia" w:ascii="宋体" w:hAnsi="宋体" w:eastAsia="宋体"/>
                <w:szCs w:val="24"/>
              </w:rPr>
              <w:t>乙方</w:t>
            </w:r>
            <w:r>
              <w:rPr>
                <w:rFonts w:ascii="宋体" w:hAnsi="宋体" w:eastAsia="宋体"/>
                <w:szCs w:val="24"/>
              </w:rPr>
              <w:t>或服务项目能够迅速响应需求，主动快速与</w:t>
            </w:r>
            <w:r>
              <w:rPr>
                <w:rFonts w:hint="eastAsia" w:ascii="宋体" w:hAnsi="宋体" w:eastAsia="宋体"/>
                <w:szCs w:val="24"/>
              </w:rPr>
              <w:t>甲方</w:t>
            </w:r>
            <w:r>
              <w:rPr>
                <w:rFonts w:ascii="宋体" w:hAnsi="宋体" w:eastAsia="宋体"/>
                <w:szCs w:val="24"/>
              </w:rPr>
              <w:t>进行有效的沟通，第一时间从专业角度给出解决方案并解决问题</w:t>
            </w:r>
            <w:r>
              <w:rPr>
                <w:rFonts w:hint="eastAsia" w:ascii="宋体" w:hAnsi="宋体" w:eastAsia="宋体"/>
                <w:szCs w:val="24"/>
              </w:rPr>
              <w:t>；</w:t>
            </w:r>
          </w:p>
          <w:p w14:paraId="18FDA877">
            <w:pPr>
              <w:ind w:left="0" w:firstLine="0" w:firstLineChars="0"/>
              <w:rPr>
                <w:rFonts w:ascii="宋体" w:hAnsi="宋体" w:eastAsia="宋体"/>
                <w:szCs w:val="24"/>
              </w:rPr>
            </w:pPr>
            <w:r>
              <w:rPr>
                <w:rFonts w:hint="eastAsia" w:ascii="宋体" w:hAnsi="宋体" w:eastAsia="宋体"/>
                <w:b/>
                <w:bCs/>
                <w:szCs w:val="24"/>
              </w:rPr>
              <w:t>良好：</w:t>
            </w:r>
            <w:r>
              <w:rPr>
                <w:rFonts w:hint="eastAsia" w:ascii="宋体" w:hAnsi="宋体" w:eastAsia="宋体"/>
                <w:szCs w:val="24"/>
              </w:rPr>
              <w:t>4分，</w:t>
            </w:r>
            <w:r>
              <w:rPr>
                <w:rFonts w:ascii="宋体" w:hAnsi="宋体" w:eastAsia="宋体"/>
                <w:szCs w:val="24"/>
              </w:rPr>
              <w:t>指</w:t>
            </w:r>
            <w:r>
              <w:rPr>
                <w:rFonts w:hint="eastAsia" w:ascii="宋体" w:hAnsi="宋体" w:eastAsia="宋体"/>
                <w:szCs w:val="24"/>
              </w:rPr>
              <w:t>乙方</w:t>
            </w:r>
            <w:r>
              <w:rPr>
                <w:rFonts w:ascii="宋体" w:hAnsi="宋体" w:eastAsia="宋体"/>
                <w:szCs w:val="24"/>
              </w:rPr>
              <w:t>或服务项目能够按要求响应需求，及时与</w:t>
            </w:r>
            <w:r>
              <w:rPr>
                <w:rFonts w:hint="eastAsia" w:ascii="宋体" w:hAnsi="宋体" w:eastAsia="宋体"/>
                <w:szCs w:val="24"/>
              </w:rPr>
              <w:t>甲方</w:t>
            </w:r>
            <w:r>
              <w:rPr>
                <w:rFonts w:ascii="宋体" w:hAnsi="宋体" w:eastAsia="宋体"/>
                <w:szCs w:val="24"/>
              </w:rPr>
              <w:t>进行有效的沟通，快速给出处理方案并解决问题</w:t>
            </w:r>
            <w:r>
              <w:rPr>
                <w:rFonts w:hint="eastAsia" w:ascii="宋体" w:hAnsi="宋体" w:eastAsia="宋体"/>
                <w:szCs w:val="24"/>
              </w:rPr>
              <w:t>；</w:t>
            </w:r>
          </w:p>
          <w:p w14:paraId="79A28654">
            <w:pPr>
              <w:ind w:left="0" w:firstLine="0" w:firstLineChars="0"/>
              <w:rPr>
                <w:rFonts w:ascii="宋体" w:hAnsi="宋体" w:eastAsia="宋体"/>
                <w:szCs w:val="24"/>
              </w:rPr>
            </w:pPr>
            <w:r>
              <w:rPr>
                <w:rFonts w:hint="eastAsia" w:ascii="宋体" w:hAnsi="宋体" w:eastAsia="宋体"/>
                <w:b/>
                <w:bCs/>
                <w:szCs w:val="24"/>
              </w:rPr>
              <w:t>合格：</w:t>
            </w:r>
            <w:r>
              <w:rPr>
                <w:rFonts w:hint="eastAsia" w:ascii="宋体" w:hAnsi="宋体" w:eastAsia="宋体"/>
                <w:szCs w:val="24"/>
              </w:rPr>
              <w:t>3分，</w:t>
            </w:r>
            <w:r>
              <w:rPr>
                <w:rFonts w:ascii="宋体" w:hAnsi="宋体" w:eastAsia="宋体"/>
                <w:szCs w:val="24"/>
              </w:rPr>
              <w:t>指</w:t>
            </w:r>
            <w:r>
              <w:rPr>
                <w:rFonts w:hint="eastAsia" w:ascii="宋体" w:hAnsi="宋体" w:eastAsia="宋体"/>
                <w:szCs w:val="24"/>
              </w:rPr>
              <w:t>乙方</w:t>
            </w:r>
            <w:r>
              <w:rPr>
                <w:rFonts w:ascii="宋体" w:hAnsi="宋体" w:eastAsia="宋体"/>
                <w:szCs w:val="24"/>
              </w:rPr>
              <w:t>或服务项目能够基本按要求响应需求</w:t>
            </w:r>
            <w:r>
              <w:rPr>
                <w:rFonts w:hint="eastAsia" w:ascii="宋体" w:hAnsi="宋体" w:eastAsia="宋体"/>
                <w:szCs w:val="24"/>
              </w:rPr>
              <w:t>，</w:t>
            </w:r>
            <w:r>
              <w:rPr>
                <w:rFonts w:ascii="宋体" w:hAnsi="宋体" w:eastAsia="宋体"/>
                <w:szCs w:val="24"/>
              </w:rPr>
              <w:t>保持与</w:t>
            </w:r>
            <w:r>
              <w:rPr>
                <w:rFonts w:hint="eastAsia" w:ascii="宋体" w:hAnsi="宋体" w:eastAsia="宋体"/>
                <w:szCs w:val="24"/>
              </w:rPr>
              <w:t>甲方</w:t>
            </w:r>
            <w:r>
              <w:rPr>
                <w:rFonts w:ascii="宋体" w:hAnsi="宋体" w:eastAsia="宋体"/>
                <w:szCs w:val="24"/>
              </w:rPr>
              <w:t>的沟通，按时解决问题</w:t>
            </w:r>
            <w:r>
              <w:rPr>
                <w:rFonts w:hint="eastAsia" w:ascii="宋体" w:hAnsi="宋体" w:eastAsia="宋体"/>
                <w:szCs w:val="24"/>
              </w:rPr>
              <w:t>；</w:t>
            </w:r>
          </w:p>
          <w:p w14:paraId="0C80976F">
            <w:pPr>
              <w:ind w:left="0" w:firstLine="0" w:firstLineChars="0"/>
              <w:rPr>
                <w:rFonts w:ascii="宋体" w:hAnsi="宋体" w:eastAsia="宋体"/>
                <w:szCs w:val="24"/>
              </w:rPr>
            </w:pPr>
            <w:r>
              <w:rPr>
                <w:rFonts w:hint="eastAsia" w:ascii="宋体" w:hAnsi="宋体" w:eastAsia="宋体"/>
                <w:b/>
                <w:bCs/>
                <w:szCs w:val="24"/>
              </w:rPr>
              <w:t>较差/差：</w:t>
            </w:r>
            <w:r>
              <w:rPr>
                <w:rFonts w:hint="eastAsia" w:ascii="宋体" w:hAnsi="宋体" w:eastAsia="宋体"/>
                <w:szCs w:val="24"/>
              </w:rPr>
              <w:t>0分，</w:t>
            </w:r>
            <w:r>
              <w:rPr>
                <w:rFonts w:ascii="宋体" w:hAnsi="宋体" w:eastAsia="宋体"/>
                <w:szCs w:val="24"/>
              </w:rPr>
              <w:t>指</w:t>
            </w:r>
            <w:r>
              <w:rPr>
                <w:rFonts w:hint="eastAsia" w:ascii="宋体" w:hAnsi="宋体" w:eastAsia="宋体"/>
                <w:szCs w:val="24"/>
              </w:rPr>
              <w:t>乙方</w:t>
            </w:r>
            <w:r>
              <w:rPr>
                <w:rFonts w:ascii="宋体" w:hAnsi="宋体" w:eastAsia="宋体"/>
                <w:szCs w:val="24"/>
              </w:rPr>
              <w:t>或服务项目未及时响应需求，或响应需求后无法</w:t>
            </w:r>
            <w:r>
              <w:rPr>
                <w:rFonts w:hint="eastAsia" w:ascii="宋体" w:hAnsi="宋体" w:eastAsia="宋体"/>
                <w:szCs w:val="24"/>
              </w:rPr>
              <w:t>及时</w:t>
            </w:r>
            <w:r>
              <w:rPr>
                <w:rFonts w:ascii="宋体" w:hAnsi="宋体" w:eastAsia="宋体"/>
                <w:szCs w:val="24"/>
              </w:rPr>
              <w:t>解决问题</w:t>
            </w:r>
            <w:r>
              <w:rPr>
                <w:rFonts w:hint="eastAsia" w:ascii="宋体" w:hAnsi="宋体" w:eastAsia="宋体"/>
                <w:szCs w:val="24"/>
              </w:rPr>
              <w:t>。</w:t>
            </w:r>
          </w:p>
        </w:tc>
        <w:tc>
          <w:tcPr>
            <w:tcW w:w="795" w:type="pct"/>
            <w:tcBorders>
              <w:left w:val="single" w:color="auto" w:sz="4" w:space="0"/>
            </w:tcBorders>
            <w:vAlign w:val="center"/>
          </w:tcPr>
          <w:p w14:paraId="039CCA4E">
            <w:pPr>
              <w:ind w:left="0" w:firstLine="0" w:firstLineChars="0"/>
              <w:rPr>
                <w:rFonts w:ascii="宋体" w:hAnsi="宋体" w:eastAsia="宋体"/>
                <w:szCs w:val="24"/>
              </w:rPr>
            </w:pPr>
            <w:r>
              <w:rPr>
                <w:rFonts w:hint="eastAsia" w:ascii="宋体" w:hAnsi="宋体" w:eastAsia="宋体"/>
                <w:szCs w:val="24"/>
              </w:rPr>
              <w:t>评价为较差/差，即乙方</w:t>
            </w:r>
            <w:r>
              <w:rPr>
                <w:rFonts w:ascii="宋体" w:hAnsi="宋体" w:eastAsia="宋体"/>
                <w:szCs w:val="24"/>
              </w:rPr>
              <w:t>或服务项目未及时响应需求，或响应需求后无法</w:t>
            </w:r>
            <w:r>
              <w:rPr>
                <w:rFonts w:hint="eastAsia" w:ascii="宋体" w:hAnsi="宋体" w:eastAsia="宋体"/>
                <w:szCs w:val="24"/>
              </w:rPr>
              <w:t>及时</w:t>
            </w:r>
            <w:r>
              <w:rPr>
                <w:rFonts w:ascii="宋体" w:hAnsi="宋体" w:eastAsia="宋体"/>
                <w:szCs w:val="24"/>
              </w:rPr>
              <w:t>解决问题</w:t>
            </w:r>
            <w:r>
              <w:rPr>
                <w:rFonts w:hint="eastAsia" w:ascii="宋体" w:hAnsi="宋体" w:eastAsia="宋体"/>
                <w:szCs w:val="24"/>
              </w:rPr>
              <w:t>，扣除乙方金额人民币不低于1000元。</w:t>
            </w:r>
          </w:p>
        </w:tc>
      </w:tr>
      <w:tr w14:paraId="7457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0B03D4A1">
            <w:pPr>
              <w:ind w:left="0" w:firstLine="0" w:firstLineChars="0"/>
              <w:rPr>
                <w:rFonts w:ascii="宋体" w:hAnsi="宋体" w:eastAsia="宋体"/>
                <w:szCs w:val="24"/>
              </w:rPr>
            </w:pPr>
            <w:r>
              <w:rPr>
                <w:rFonts w:ascii="宋体" w:hAnsi="宋体" w:eastAsia="宋体"/>
                <w:szCs w:val="24"/>
              </w:rPr>
              <w:t>1</w:t>
            </w:r>
            <w:r>
              <w:rPr>
                <w:rFonts w:hint="eastAsia" w:ascii="宋体" w:hAnsi="宋体" w:eastAsia="宋体"/>
                <w:szCs w:val="24"/>
              </w:rPr>
              <w:t>0</w:t>
            </w:r>
          </w:p>
        </w:tc>
        <w:tc>
          <w:tcPr>
            <w:tcW w:w="904" w:type="pct"/>
            <w:vMerge w:val="continue"/>
            <w:tcBorders>
              <w:left w:val="single" w:color="auto" w:sz="4" w:space="0"/>
            </w:tcBorders>
          </w:tcPr>
          <w:p w14:paraId="468965F4"/>
        </w:tc>
        <w:tc>
          <w:tcPr>
            <w:tcW w:w="748" w:type="pct"/>
            <w:tcBorders>
              <w:left w:val="single" w:color="auto" w:sz="4" w:space="0"/>
            </w:tcBorders>
            <w:vAlign w:val="center"/>
          </w:tcPr>
          <w:p w14:paraId="56AD0174">
            <w:pPr>
              <w:ind w:left="0" w:firstLine="0" w:firstLineChars="0"/>
              <w:rPr>
                <w:rFonts w:ascii="宋体" w:hAnsi="宋体" w:eastAsia="宋体"/>
                <w:szCs w:val="24"/>
              </w:rPr>
            </w:pPr>
            <w:r>
              <w:rPr>
                <w:rFonts w:hint="eastAsia" w:ascii="宋体" w:hAnsi="宋体" w:eastAsia="宋体"/>
                <w:szCs w:val="24"/>
              </w:rPr>
              <w:t>需求排期率</w:t>
            </w:r>
          </w:p>
        </w:tc>
        <w:tc>
          <w:tcPr>
            <w:tcW w:w="1030" w:type="pct"/>
            <w:tcBorders>
              <w:left w:val="single" w:color="auto" w:sz="4" w:space="0"/>
            </w:tcBorders>
            <w:vAlign w:val="center"/>
          </w:tcPr>
          <w:p w14:paraId="7AA738A0">
            <w:pPr>
              <w:ind w:left="0" w:firstLine="0" w:firstLineChars="0"/>
              <w:rPr>
                <w:rFonts w:ascii="宋体" w:hAnsi="宋体" w:eastAsia="宋体"/>
                <w:szCs w:val="24"/>
              </w:rPr>
            </w:pPr>
            <w:r>
              <w:rPr>
                <w:rFonts w:ascii="宋体" w:hAnsi="宋体" w:eastAsia="宋体"/>
                <w:szCs w:val="24"/>
              </w:rPr>
              <w:t>用于记录统计周期内对</w:t>
            </w:r>
            <w:r>
              <w:rPr>
                <w:rFonts w:hint="eastAsia" w:ascii="宋体" w:hAnsi="宋体" w:eastAsia="宋体"/>
                <w:szCs w:val="24"/>
              </w:rPr>
              <w:t>甲方</w:t>
            </w:r>
            <w:r>
              <w:rPr>
                <w:rFonts w:ascii="宋体" w:hAnsi="宋体" w:eastAsia="宋体"/>
                <w:szCs w:val="24"/>
              </w:rPr>
              <w:t>需求进行投产计划安排的比例</w:t>
            </w:r>
          </w:p>
        </w:tc>
        <w:tc>
          <w:tcPr>
            <w:tcW w:w="1418" w:type="pct"/>
            <w:tcBorders>
              <w:left w:val="single" w:color="auto" w:sz="4" w:space="0"/>
            </w:tcBorders>
            <w:vAlign w:val="center"/>
          </w:tcPr>
          <w:p w14:paraId="7DC5D89C">
            <w:pPr>
              <w:ind w:left="0" w:firstLine="0" w:firstLineChars="0"/>
              <w:rPr>
                <w:rFonts w:ascii="宋体" w:hAnsi="宋体" w:eastAsia="宋体"/>
                <w:szCs w:val="24"/>
              </w:rPr>
            </w:pPr>
            <w:r>
              <w:rPr>
                <w:rFonts w:ascii="宋体" w:hAnsi="宋体" w:eastAsia="宋体"/>
                <w:szCs w:val="24"/>
              </w:rPr>
              <w:t>需求排期率=已排期需求数/总需求数</w:t>
            </w:r>
          </w:p>
          <w:p w14:paraId="44F8D804">
            <w:pPr>
              <w:ind w:left="0" w:firstLine="0" w:firstLineChars="0"/>
              <w:rPr>
                <w:rFonts w:ascii="宋体" w:hAnsi="宋体" w:eastAsia="宋体"/>
                <w:szCs w:val="24"/>
              </w:rPr>
            </w:pPr>
            <w:r>
              <w:rPr>
                <w:rFonts w:ascii="宋体" w:hAnsi="宋体" w:eastAsia="宋体"/>
                <w:szCs w:val="24"/>
              </w:rPr>
              <w:t>注：已排期需求数指统计周期内已经纳入投产计划的需求个数。总需求数指统计周期内由</w:t>
            </w:r>
            <w:r>
              <w:rPr>
                <w:rFonts w:hint="eastAsia" w:ascii="宋体" w:hAnsi="宋体" w:eastAsia="宋体"/>
                <w:szCs w:val="24"/>
              </w:rPr>
              <w:t>甲方</w:t>
            </w:r>
            <w:r>
              <w:rPr>
                <w:rFonts w:ascii="宋体" w:hAnsi="宋体" w:eastAsia="宋体"/>
                <w:szCs w:val="24"/>
              </w:rPr>
              <w:t>提出到达服务商项目组的需求数。</w:t>
            </w:r>
          </w:p>
          <w:p w14:paraId="5A625FAE">
            <w:pPr>
              <w:ind w:left="0" w:firstLine="0" w:firstLineChars="0"/>
              <w:rPr>
                <w:rFonts w:ascii="宋体" w:hAnsi="宋体" w:eastAsia="宋体"/>
                <w:b/>
                <w:szCs w:val="24"/>
              </w:rPr>
            </w:pPr>
            <w:r>
              <w:rPr>
                <w:rFonts w:hint="eastAsia" w:ascii="宋体" w:hAnsi="宋体" w:eastAsia="宋体"/>
                <w:b/>
                <w:szCs w:val="24"/>
              </w:rPr>
              <w:t>5分【98%-100%】</w:t>
            </w:r>
          </w:p>
          <w:p w14:paraId="3F6855C4">
            <w:pPr>
              <w:ind w:left="0" w:firstLine="0" w:firstLineChars="0"/>
              <w:rPr>
                <w:rFonts w:ascii="宋体" w:hAnsi="宋体" w:eastAsia="宋体"/>
                <w:b/>
                <w:szCs w:val="24"/>
              </w:rPr>
            </w:pPr>
            <w:r>
              <w:rPr>
                <w:rFonts w:hint="eastAsia" w:ascii="宋体" w:hAnsi="宋体" w:eastAsia="宋体"/>
                <w:b/>
                <w:szCs w:val="24"/>
              </w:rPr>
              <w:t>3分【95%-97%】</w:t>
            </w:r>
          </w:p>
          <w:p w14:paraId="5C2B3B32">
            <w:pPr>
              <w:ind w:left="0" w:firstLine="0" w:firstLineChars="0"/>
              <w:rPr>
                <w:rFonts w:ascii="宋体" w:hAnsi="宋体" w:eastAsia="宋体"/>
                <w:b/>
                <w:bCs/>
                <w:szCs w:val="24"/>
              </w:rPr>
            </w:pPr>
            <w:r>
              <w:rPr>
                <w:rFonts w:hint="eastAsia" w:ascii="宋体" w:hAnsi="宋体" w:eastAsia="宋体"/>
                <w:b/>
                <w:szCs w:val="24"/>
              </w:rPr>
              <w:t>0分【低于95%】</w:t>
            </w:r>
          </w:p>
        </w:tc>
        <w:tc>
          <w:tcPr>
            <w:tcW w:w="795" w:type="pct"/>
            <w:tcBorders>
              <w:left w:val="single" w:color="auto" w:sz="4" w:space="0"/>
            </w:tcBorders>
            <w:vAlign w:val="center"/>
          </w:tcPr>
          <w:p w14:paraId="627F8AA0">
            <w:pPr>
              <w:rPr>
                <w:rFonts w:ascii="宋体" w:hAnsi="宋体" w:eastAsia="宋体"/>
                <w:szCs w:val="24"/>
              </w:rPr>
            </w:pPr>
          </w:p>
        </w:tc>
      </w:tr>
      <w:tr w14:paraId="484D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78DDF4A8">
            <w:pPr>
              <w:ind w:left="0" w:firstLine="0" w:firstLineChars="0"/>
              <w:rPr>
                <w:rFonts w:ascii="宋体" w:hAnsi="宋体" w:eastAsia="宋体"/>
                <w:szCs w:val="24"/>
              </w:rPr>
            </w:pPr>
            <w:r>
              <w:rPr>
                <w:rFonts w:hint="eastAsia" w:ascii="宋体" w:hAnsi="宋体" w:eastAsia="宋体"/>
                <w:szCs w:val="24"/>
              </w:rPr>
              <w:t>11</w:t>
            </w:r>
          </w:p>
        </w:tc>
        <w:tc>
          <w:tcPr>
            <w:tcW w:w="904" w:type="pct"/>
            <w:vMerge w:val="continue"/>
            <w:tcBorders>
              <w:left w:val="single" w:color="auto" w:sz="4" w:space="0"/>
            </w:tcBorders>
          </w:tcPr>
          <w:p w14:paraId="28E4D8A0"/>
        </w:tc>
        <w:tc>
          <w:tcPr>
            <w:tcW w:w="748" w:type="pct"/>
            <w:tcBorders>
              <w:left w:val="single" w:color="auto" w:sz="4" w:space="0"/>
            </w:tcBorders>
            <w:vAlign w:val="center"/>
          </w:tcPr>
          <w:p w14:paraId="418BFFE8">
            <w:pPr>
              <w:ind w:left="0" w:firstLine="0" w:firstLineChars="0"/>
              <w:rPr>
                <w:rFonts w:ascii="宋体" w:hAnsi="宋体" w:eastAsia="宋体"/>
                <w:szCs w:val="24"/>
              </w:rPr>
            </w:pPr>
            <w:r>
              <w:rPr>
                <w:rFonts w:hint="eastAsia" w:ascii="宋体" w:hAnsi="宋体" w:eastAsia="宋体"/>
                <w:szCs w:val="24"/>
              </w:rPr>
              <w:t>需求完成率</w:t>
            </w:r>
          </w:p>
        </w:tc>
        <w:tc>
          <w:tcPr>
            <w:tcW w:w="1030" w:type="pct"/>
            <w:tcBorders>
              <w:left w:val="single" w:color="auto" w:sz="4" w:space="0"/>
            </w:tcBorders>
            <w:vAlign w:val="center"/>
          </w:tcPr>
          <w:p w14:paraId="439B141F">
            <w:pPr>
              <w:ind w:left="0" w:firstLine="0" w:firstLineChars="0"/>
              <w:rPr>
                <w:rFonts w:ascii="宋体" w:hAnsi="宋体" w:eastAsia="宋体"/>
                <w:szCs w:val="24"/>
              </w:rPr>
            </w:pPr>
            <w:r>
              <w:rPr>
                <w:rFonts w:ascii="宋体" w:hAnsi="宋体" w:eastAsia="宋体"/>
                <w:szCs w:val="24"/>
              </w:rPr>
              <w:t>用于记录统计周期内</w:t>
            </w:r>
            <w:r>
              <w:rPr>
                <w:rFonts w:hint="eastAsia" w:ascii="宋体" w:hAnsi="宋体" w:eastAsia="宋体"/>
                <w:szCs w:val="24"/>
              </w:rPr>
              <w:t>甲方</w:t>
            </w:r>
            <w:r>
              <w:rPr>
                <w:rFonts w:ascii="宋体" w:hAnsi="宋体" w:eastAsia="宋体"/>
                <w:szCs w:val="24"/>
              </w:rPr>
              <w:t>需求完成投产的比例</w:t>
            </w:r>
          </w:p>
        </w:tc>
        <w:tc>
          <w:tcPr>
            <w:tcW w:w="1418" w:type="pct"/>
            <w:tcBorders>
              <w:left w:val="single" w:color="auto" w:sz="4" w:space="0"/>
            </w:tcBorders>
            <w:vAlign w:val="center"/>
          </w:tcPr>
          <w:p w14:paraId="73C231B7">
            <w:pPr>
              <w:ind w:left="0" w:firstLine="0" w:firstLineChars="0"/>
              <w:rPr>
                <w:rFonts w:ascii="宋体" w:hAnsi="宋体" w:eastAsia="宋体"/>
                <w:szCs w:val="24"/>
              </w:rPr>
            </w:pPr>
            <w:r>
              <w:rPr>
                <w:rFonts w:hint="eastAsia" w:ascii="宋体" w:hAnsi="宋体" w:eastAsia="宋体"/>
                <w:szCs w:val="24"/>
              </w:rPr>
              <w:t>需</w:t>
            </w:r>
            <w:r>
              <w:rPr>
                <w:rFonts w:ascii="宋体" w:hAnsi="宋体" w:eastAsia="宋体"/>
                <w:szCs w:val="24"/>
              </w:rPr>
              <w:t>求完成率=流程完结需求数/总需求数</w:t>
            </w:r>
          </w:p>
          <w:p w14:paraId="6872E1A4">
            <w:pPr>
              <w:ind w:left="0" w:firstLine="0" w:firstLineChars="0"/>
              <w:rPr>
                <w:rFonts w:ascii="宋体" w:hAnsi="宋体" w:eastAsia="宋体"/>
                <w:szCs w:val="24"/>
              </w:rPr>
            </w:pPr>
            <w:r>
              <w:rPr>
                <w:rFonts w:ascii="宋体" w:hAnsi="宋体" w:eastAsia="宋体"/>
                <w:szCs w:val="24"/>
              </w:rPr>
              <w:t>注：流程完结需求数指统计周期内已完成投产的需求个数</w:t>
            </w:r>
            <w:r>
              <w:rPr>
                <w:rFonts w:hint="eastAsia" w:ascii="宋体" w:hAnsi="宋体" w:eastAsia="宋体"/>
                <w:szCs w:val="24"/>
              </w:rPr>
              <w:t>；</w:t>
            </w:r>
            <w:r>
              <w:rPr>
                <w:rFonts w:ascii="宋体" w:hAnsi="宋体" w:eastAsia="宋体"/>
                <w:szCs w:val="24"/>
              </w:rPr>
              <w:t>总需求数指统计周期内由</w:t>
            </w:r>
            <w:r>
              <w:rPr>
                <w:rFonts w:hint="eastAsia" w:ascii="宋体" w:hAnsi="宋体" w:eastAsia="宋体"/>
                <w:szCs w:val="24"/>
              </w:rPr>
              <w:t>甲方</w:t>
            </w:r>
            <w:r>
              <w:rPr>
                <w:rFonts w:ascii="宋体" w:hAnsi="宋体" w:eastAsia="宋体"/>
                <w:szCs w:val="24"/>
              </w:rPr>
              <w:t>提出到达服务商项目组的需求个数。</w:t>
            </w:r>
          </w:p>
          <w:p w14:paraId="7D07105F">
            <w:pPr>
              <w:ind w:left="0" w:firstLine="0" w:firstLineChars="0"/>
              <w:rPr>
                <w:rFonts w:ascii="宋体" w:hAnsi="宋体" w:eastAsia="宋体"/>
                <w:b/>
                <w:szCs w:val="24"/>
              </w:rPr>
            </w:pPr>
            <w:r>
              <w:rPr>
                <w:rFonts w:hint="eastAsia" w:ascii="宋体" w:hAnsi="宋体" w:eastAsia="宋体"/>
                <w:b/>
                <w:szCs w:val="24"/>
              </w:rPr>
              <w:t>5分【98%-100%】</w:t>
            </w:r>
          </w:p>
          <w:p w14:paraId="7394ECF8">
            <w:pPr>
              <w:ind w:left="0" w:firstLine="0" w:firstLineChars="0"/>
              <w:rPr>
                <w:rFonts w:ascii="宋体" w:hAnsi="宋体" w:eastAsia="宋体"/>
                <w:b/>
                <w:szCs w:val="24"/>
              </w:rPr>
            </w:pPr>
            <w:r>
              <w:rPr>
                <w:rFonts w:hint="eastAsia" w:ascii="宋体" w:hAnsi="宋体" w:eastAsia="宋体"/>
                <w:b/>
                <w:szCs w:val="24"/>
              </w:rPr>
              <w:t>3分【95%-97%】</w:t>
            </w:r>
          </w:p>
          <w:p w14:paraId="598F84BA">
            <w:pPr>
              <w:ind w:left="0" w:firstLine="0" w:firstLineChars="0"/>
              <w:rPr>
                <w:rFonts w:ascii="宋体" w:hAnsi="宋体" w:eastAsia="宋体"/>
                <w:b/>
                <w:bCs/>
                <w:szCs w:val="24"/>
              </w:rPr>
            </w:pPr>
            <w:r>
              <w:rPr>
                <w:rFonts w:hint="eastAsia" w:ascii="宋体" w:hAnsi="宋体" w:eastAsia="宋体"/>
                <w:b/>
                <w:szCs w:val="24"/>
              </w:rPr>
              <w:t>0分【低于95%】</w:t>
            </w:r>
          </w:p>
        </w:tc>
        <w:tc>
          <w:tcPr>
            <w:tcW w:w="795" w:type="pct"/>
            <w:tcBorders>
              <w:left w:val="single" w:color="auto" w:sz="4" w:space="0"/>
            </w:tcBorders>
            <w:vAlign w:val="center"/>
          </w:tcPr>
          <w:p w14:paraId="4DA7F460">
            <w:pPr>
              <w:rPr>
                <w:rFonts w:ascii="宋体" w:hAnsi="宋体" w:eastAsia="宋体"/>
                <w:szCs w:val="24"/>
              </w:rPr>
            </w:pPr>
          </w:p>
        </w:tc>
      </w:tr>
      <w:tr w14:paraId="23CF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625149A2">
            <w:pPr>
              <w:ind w:left="0" w:firstLine="0" w:firstLineChars="0"/>
              <w:rPr>
                <w:rFonts w:ascii="宋体" w:hAnsi="宋体" w:eastAsia="宋体"/>
                <w:szCs w:val="24"/>
              </w:rPr>
            </w:pPr>
            <w:r>
              <w:rPr>
                <w:rFonts w:hint="eastAsia" w:ascii="宋体" w:hAnsi="宋体" w:eastAsia="宋体"/>
                <w:szCs w:val="24"/>
              </w:rPr>
              <w:t>12</w:t>
            </w:r>
          </w:p>
        </w:tc>
        <w:tc>
          <w:tcPr>
            <w:tcW w:w="904" w:type="pct"/>
            <w:vMerge w:val="continue"/>
            <w:tcBorders>
              <w:left w:val="single" w:color="auto" w:sz="4" w:space="0"/>
            </w:tcBorders>
          </w:tcPr>
          <w:p w14:paraId="6B0D7BE4"/>
        </w:tc>
        <w:tc>
          <w:tcPr>
            <w:tcW w:w="748" w:type="pct"/>
            <w:tcBorders>
              <w:left w:val="single" w:color="auto" w:sz="4" w:space="0"/>
            </w:tcBorders>
            <w:vAlign w:val="center"/>
          </w:tcPr>
          <w:p w14:paraId="63AA868B">
            <w:pPr>
              <w:ind w:left="0" w:firstLine="0" w:firstLineChars="0"/>
              <w:rPr>
                <w:rFonts w:ascii="宋体" w:hAnsi="宋体" w:eastAsia="宋体"/>
                <w:szCs w:val="24"/>
              </w:rPr>
            </w:pPr>
            <w:r>
              <w:rPr>
                <w:rFonts w:hint="eastAsia" w:ascii="宋体" w:hAnsi="宋体" w:eastAsia="宋体"/>
                <w:szCs w:val="24"/>
              </w:rPr>
              <w:t>人员行为规范性</w:t>
            </w:r>
          </w:p>
        </w:tc>
        <w:tc>
          <w:tcPr>
            <w:tcW w:w="1030" w:type="pct"/>
            <w:tcBorders>
              <w:left w:val="single" w:color="auto" w:sz="4" w:space="0"/>
            </w:tcBorders>
            <w:vAlign w:val="center"/>
          </w:tcPr>
          <w:p w14:paraId="36C8667F">
            <w:pPr>
              <w:ind w:left="0" w:firstLine="0" w:firstLineChars="0"/>
              <w:rPr>
                <w:rFonts w:ascii="宋体" w:hAnsi="宋体" w:eastAsia="宋体"/>
                <w:szCs w:val="24"/>
              </w:rPr>
            </w:pPr>
            <w:r>
              <w:rPr>
                <w:rFonts w:hint="eastAsia" w:ascii="宋体" w:hAnsi="宋体" w:eastAsia="宋体"/>
                <w:szCs w:val="24"/>
              </w:rPr>
              <w:t>用</w:t>
            </w:r>
            <w:r>
              <w:rPr>
                <w:rFonts w:ascii="宋体" w:hAnsi="宋体" w:eastAsia="宋体"/>
                <w:szCs w:val="24"/>
              </w:rPr>
              <w:t>于记录外包场地日常管理或</w:t>
            </w:r>
            <w:r>
              <w:rPr>
                <w:rFonts w:hint="eastAsia" w:ascii="宋体" w:hAnsi="宋体" w:eastAsia="宋体"/>
                <w:szCs w:val="24"/>
              </w:rPr>
              <w:t>检查</w:t>
            </w:r>
            <w:r>
              <w:rPr>
                <w:rFonts w:ascii="宋体" w:hAnsi="宋体" w:eastAsia="宋体"/>
                <w:szCs w:val="24"/>
              </w:rPr>
              <w:t>过程中发现外包人员</w:t>
            </w:r>
            <w:r>
              <w:rPr>
                <w:rFonts w:hint="eastAsia" w:ascii="宋体" w:hAnsi="宋体" w:eastAsia="宋体"/>
                <w:szCs w:val="24"/>
              </w:rPr>
              <w:t>行为</w:t>
            </w:r>
            <w:r>
              <w:rPr>
                <w:rFonts w:ascii="宋体" w:hAnsi="宋体" w:eastAsia="宋体"/>
                <w:szCs w:val="24"/>
              </w:rPr>
              <w:t>违</w:t>
            </w:r>
            <w:r>
              <w:rPr>
                <w:rFonts w:hint="eastAsia" w:ascii="宋体" w:hAnsi="宋体" w:eastAsia="宋体"/>
                <w:szCs w:val="24"/>
              </w:rPr>
              <w:t>规（包括但不限于办公纪律、造成办公环境物理安全隐患等）</w:t>
            </w:r>
            <w:r>
              <w:rPr>
                <w:rFonts w:ascii="宋体" w:hAnsi="宋体" w:eastAsia="宋体"/>
                <w:szCs w:val="24"/>
              </w:rPr>
              <w:t>的次数</w:t>
            </w:r>
          </w:p>
        </w:tc>
        <w:tc>
          <w:tcPr>
            <w:tcW w:w="1418" w:type="pct"/>
            <w:tcBorders>
              <w:left w:val="single" w:color="auto" w:sz="4" w:space="0"/>
            </w:tcBorders>
            <w:vAlign w:val="center"/>
          </w:tcPr>
          <w:p w14:paraId="28EBBFFA">
            <w:pPr>
              <w:ind w:left="0" w:firstLine="0" w:firstLineChars="0"/>
              <w:rPr>
                <w:rFonts w:ascii="宋体" w:hAnsi="宋体" w:eastAsia="宋体"/>
                <w:b/>
                <w:bCs/>
                <w:szCs w:val="24"/>
              </w:rPr>
            </w:pPr>
            <w:r>
              <w:rPr>
                <w:rFonts w:hint="eastAsia" w:ascii="宋体" w:hAnsi="宋体" w:eastAsia="宋体"/>
                <w:b/>
                <w:bCs/>
                <w:szCs w:val="24"/>
              </w:rPr>
              <w:t>【得分上限1</w:t>
            </w:r>
            <w:r>
              <w:rPr>
                <w:rFonts w:ascii="宋体" w:hAnsi="宋体" w:eastAsia="宋体"/>
                <w:b/>
                <w:bCs/>
                <w:szCs w:val="24"/>
              </w:rPr>
              <w:t>0</w:t>
            </w:r>
            <w:r>
              <w:rPr>
                <w:rFonts w:hint="eastAsia" w:ascii="宋体" w:hAnsi="宋体" w:eastAsia="宋体"/>
                <w:b/>
                <w:bCs/>
                <w:szCs w:val="24"/>
              </w:rPr>
              <w:t>分】</w:t>
            </w:r>
          </w:p>
          <w:p w14:paraId="526BEF14">
            <w:pPr>
              <w:ind w:left="0" w:firstLine="0" w:firstLineChars="0"/>
              <w:rPr>
                <w:rFonts w:ascii="宋体" w:hAnsi="宋体" w:eastAsia="宋体"/>
                <w:szCs w:val="24"/>
              </w:rPr>
            </w:pPr>
            <w:r>
              <w:rPr>
                <w:rFonts w:hint="eastAsia" w:ascii="宋体" w:hAnsi="宋体" w:eastAsia="宋体"/>
                <w:b/>
                <w:bCs/>
                <w:szCs w:val="24"/>
              </w:rPr>
              <w:t>0次：</w:t>
            </w:r>
            <w:r>
              <w:rPr>
                <w:rFonts w:hint="eastAsia" w:ascii="宋体" w:hAnsi="宋体" w:eastAsia="宋体"/>
                <w:szCs w:val="24"/>
              </w:rPr>
              <w:t>指未出现外包人员行为违规，该项指标满分；</w:t>
            </w:r>
          </w:p>
          <w:p w14:paraId="63B50A8C">
            <w:pPr>
              <w:ind w:left="0" w:firstLine="0" w:firstLineChars="0"/>
              <w:rPr>
                <w:rFonts w:ascii="宋体" w:hAnsi="宋体" w:eastAsia="宋体"/>
                <w:szCs w:val="24"/>
              </w:rPr>
            </w:pPr>
            <w:r>
              <w:rPr>
                <w:rFonts w:hint="eastAsia" w:ascii="宋体" w:hAnsi="宋体" w:eastAsia="宋体"/>
                <w:b/>
                <w:bCs/>
                <w:szCs w:val="24"/>
              </w:rPr>
              <w:t>1次及以上：</w:t>
            </w:r>
            <w:r>
              <w:rPr>
                <w:rFonts w:hint="eastAsia" w:ascii="宋体" w:hAnsi="宋体" w:eastAsia="宋体"/>
                <w:szCs w:val="24"/>
              </w:rPr>
              <w:t>指检查发现外包人员行为违规1次及以上（每人次扣5分，最高扣除1</w:t>
            </w:r>
            <w:r>
              <w:rPr>
                <w:rFonts w:ascii="宋体" w:hAnsi="宋体" w:eastAsia="宋体"/>
                <w:szCs w:val="24"/>
              </w:rPr>
              <w:t>0</w:t>
            </w:r>
            <w:r>
              <w:rPr>
                <w:rFonts w:hint="eastAsia" w:ascii="宋体" w:hAnsi="宋体" w:eastAsia="宋体"/>
                <w:szCs w:val="24"/>
              </w:rPr>
              <w:t>分）</w:t>
            </w:r>
          </w:p>
        </w:tc>
        <w:tc>
          <w:tcPr>
            <w:tcW w:w="795" w:type="pct"/>
            <w:tcBorders>
              <w:left w:val="single" w:color="auto" w:sz="4" w:space="0"/>
            </w:tcBorders>
            <w:vAlign w:val="center"/>
          </w:tcPr>
          <w:p w14:paraId="70A12515">
            <w:pPr>
              <w:ind w:left="0" w:firstLine="0" w:firstLineChars="0"/>
              <w:rPr>
                <w:rFonts w:ascii="宋体" w:hAnsi="宋体" w:eastAsia="宋体"/>
                <w:szCs w:val="24"/>
              </w:rPr>
            </w:pPr>
            <w:r>
              <w:rPr>
                <w:rFonts w:hint="eastAsia" w:ascii="宋体" w:hAnsi="宋体" w:eastAsia="宋体"/>
                <w:szCs w:val="24"/>
              </w:rPr>
              <w:t>每出现一次人员行为</w:t>
            </w:r>
            <w:r>
              <w:rPr>
                <w:rFonts w:ascii="宋体" w:hAnsi="宋体" w:eastAsia="宋体"/>
                <w:szCs w:val="24"/>
              </w:rPr>
              <w:t>违规</w:t>
            </w:r>
            <w:r>
              <w:rPr>
                <w:rFonts w:hint="eastAsia" w:ascii="宋体" w:hAnsi="宋体" w:eastAsia="宋体"/>
                <w:szCs w:val="24"/>
              </w:rPr>
              <w:t>，扣除乙方金额人民币不低于500元。</w:t>
            </w:r>
          </w:p>
        </w:tc>
      </w:tr>
      <w:tr w14:paraId="2584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4D3DC176">
            <w:pPr>
              <w:ind w:left="0" w:firstLine="0" w:firstLineChars="0"/>
              <w:rPr>
                <w:rFonts w:ascii="宋体" w:hAnsi="宋体" w:eastAsia="宋体"/>
                <w:szCs w:val="24"/>
              </w:rPr>
            </w:pPr>
            <w:r>
              <w:rPr>
                <w:rFonts w:hint="eastAsia" w:ascii="宋体" w:hAnsi="宋体" w:eastAsia="宋体"/>
                <w:szCs w:val="24"/>
              </w:rPr>
              <w:t>13</w:t>
            </w:r>
          </w:p>
        </w:tc>
        <w:tc>
          <w:tcPr>
            <w:tcW w:w="904" w:type="pct"/>
            <w:vMerge w:val="continue"/>
            <w:tcBorders>
              <w:left w:val="single" w:color="auto" w:sz="4" w:space="0"/>
            </w:tcBorders>
          </w:tcPr>
          <w:p w14:paraId="5C069948"/>
        </w:tc>
        <w:tc>
          <w:tcPr>
            <w:tcW w:w="748" w:type="pct"/>
            <w:tcBorders>
              <w:left w:val="single" w:color="auto" w:sz="4" w:space="0"/>
            </w:tcBorders>
            <w:vAlign w:val="center"/>
          </w:tcPr>
          <w:p w14:paraId="573CBE63">
            <w:pPr>
              <w:ind w:left="0" w:firstLine="0" w:firstLineChars="0"/>
              <w:rPr>
                <w:rFonts w:ascii="宋体" w:hAnsi="宋体" w:eastAsia="宋体"/>
                <w:szCs w:val="24"/>
              </w:rPr>
            </w:pPr>
            <w:r>
              <w:rPr>
                <w:rFonts w:hint="eastAsia" w:ascii="宋体" w:hAnsi="宋体" w:eastAsia="宋体"/>
                <w:szCs w:val="24"/>
              </w:rPr>
              <w:t>人员变动率</w:t>
            </w:r>
          </w:p>
        </w:tc>
        <w:tc>
          <w:tcPr>
            <w:tcW w:w="1030" w:type="pct"/>
            <w:tcBorders>
              <w:left w:val="single" w:color="auto" w:sz="4" w:space="0"/>
            </w:tcBorders>
            <w:vAlign w:val="center"/>
          </w:tcPr>
          <w:p w14:paraId="6EAC4204">
            <w:pPr>
              <w:ind w:left="0" w:firstLine="0" w:firstLineChars="0"/>
              <w:rPr>
                <w:rFonts w:ascii="宋体" w:hAnsi="宋体" w:eastAsia="宋体"/>
                <w:szCs w:val="24"/>
              </w:rPr>
            </w:pPr>
            <w:r>
              <w:rPr>
                <w:rFonts w:hint="eastAsia" w:ascii="宋体" w:hAnsi="宋体" w:eastAsia="宋体"/>
                <w:szCs w:val="24"/>
              </w:rPr>
              <w:t>用</w:t>
            </w:r>
            <w:r>
              <w:rPr>
                <w:rFonts w:ascii="宋体" w:hAnsi="宋体" w:eastAsia="宋体"/>
                <w:szCs w:val="24"/>
              </w:rPr>
              <w:t>于记录统计周期内</w:t>
            </w:r>
            <w:r>
              <w:rPr>
                <w:rFonts w:hint="eastAsia" w:ascii="宋体" w:hAnsi="宋体" w:eastAsia="宋体"/>
                <w:szCs w:val="24"/>
              </w:rPr>
              <w:t>乙方未经甲方同意</w:t>
            </w:r>
            <w:r>
              <w:rPr>
                <w:rFonts w:ascii="宋体" w:hAnsi="宋体" w:eastAsia="宋体"/>
                <w:szCs w:val="24"/>
              </w:rPr>
              <w:t>更换外包人员数量占</w:t>
            </w:r>
            <w:r>
              <w:rPr>
                <w:rFonts w:hint="eastAsia" w:ascii="宋体" w:hAnsi="宋体" w:eastAsia="宋体"/>
                <w:szCs w:val="24"/>
              </w:rPr>
              <w:t>乙方</w:t>
            </w:r>
            <w:r>
              <w:rPr>
                <w:rFonts w:ascii="宋体" w:hAnsi="宋体" w:eastAsia="宋体"/>
                <w:szCs w:val="24"/>
              </w:rPr>
              <w:t>驻场外包人员总数量的比率</w:t>
            </w:r>
          </w:p>
        </w:tc>
        <w:tc>
          <w:tcPr>
            <w:tcW w:w="1418" w:type="pct"/>
            <w:tcBorders>
              <w:left w:val="single" w:color="auto" w:sz="4" w:space="0"/>
            </w:tcBorders>
            <w:vAlign w:val="center"/>
          </w:tcPr>
          <w:p w14:paraId="781E3525">
            <w:pPr>
              <w:ind w:left="0" w:firstLine="0" w:firstLineChars="0"/>
              <w:rPr>
                <w:rFonts w:ascii="宋体" w:hAnsi="宋体" w:eastAsia="宋体"/>
                <w:szCs w:val="24"/>
              </w:rPr>
            </w:pPr>
            <w:r>
              <w:rPr>
                <w:rFonts w:hint="eastAsia" w:ascii="宋体" w:hAnsi="宋体" w:eastAsia="宋体"/>
                <w:szCs w:val="24"/>
              </w:rPr>
              <w:t>人</w:t>
            </w:r>
            <w:r>
              <w:rPr>
                <w:rFonts w:ascii="宋体" w:hAnsi="宋体" w:eastAsia="宋体"/>
                <w:szCs w:val="24"/>
              </w:rPr>
              <w:t>员变动率=</w:t>
            </w:r>
            <w:r>
              <w:rPr>
                <w:rFonts w:hint="eastAsia" w:ascii="宋体" w:hAnsi="宋体" w:eastAsia="宋体"/>
                <w:szCs w:val="24"/>
              </w:rPr>
              <w:t>乙方未经甲方同意</w:t>
            </w:r>
            <w:r>
              <w:rPr>
                <w:rFonts w:ascii="宋体" w:hAnsi="宋体" w:eastAsia="宋体"/>
                <w:szCs w:val="24"/>
              </w:rPr>
              <w:t>更换外包人员数量/</w:t>
            </w:r>
            <w:r>
              <w:rPr>
                <w:rFonts w:hint="eastAsia" w:ascii="宋体" w:hAnsi="宋体" w:eastAsia="宋体"/>
                <w:szCs w:val="24"/>
              </w:rPr>
              <w:t>乙方</w:t>
            </w:r>
            <w:r>
              <w:rPr>
                <w:rFonts w:ascii="宋体" w:hAnsi="宋体" w:eastAsia="宋体"/>
                <w:szCs w:val="24"/>
              </w:rPr>
              <w:t>驻场外包人员总数量</w:t>
            </w:r>
          </w:p>
          <w:p w14:paraId="721A4874">
            <w:pPr>
              <w:ind w:left="0" w:firstLine="0" w:firstLineChars="0"/>
              <w:rPr>
                <w:rFonts w:ascii="宋体" w:hAnsi="宋体" w:eastAsia="宋体"/>
                <w:b/>
                <w:szCs w:val="24"/>
              </w:rPr>
            </w:pPr>
            <w:r>
              <w:rPr>
                <w:rFonts w:hint="eastAsia" w:ascii="宋体" w:hAnsi="宋体" w:eastAsia="宋体"/>
                <w:b/>
                <w:szCs w:val="24"/>
              </w:rPr>
              <w:t>10分【0-20%】</w:t>
            </w:r>
          </w:p>
          <w:p w14:paraId="3ACA6E7A">
            <w:pPr>
              <w:ind w:left="0" w:firstLine="0" w:firstLineChars="0"/>
              <w:rPr>
                <w:rFonts w:ascii="宋体" w:hAnsi="宋体" w:eastAsia="宋体"/>
                <w:b/>
                <w:szCs w:val="24"/>
              </w:rPr>
            </w:pPr>
            <w:r>
              <w:rPr>
                <w:rFonts w:hint="eastAsia" w:ascii="宋体" w:hAnsi="宋体" w:eastAsia="宋体"/>
                <w:b/>
                <w:szCs w:val="24"/>
              </w:rPr>
              <w:t>5分【20%-40%】</w:t>
            </w:r>
          </w:p>
          <w:p w14:paraId="61BC5E92">
            <w:pPr>
              <w:ind w:left="0" w:firstLine="0" w:firstLineChars="0"/>
              <w:rPr>
                <w:rFonts w:ascii="宋体" w:hAnsi="宋体" w:eastAsia="宋体"/>
                <w:b/>
                <w:szCs w:val="24"/>
              </w:rPr>
            </w:pPr>
            <w:r>
              <w:rPr>
                <w:rFonts w:hint="eastAsia" w:ascii="宋体" w:hAnsi="宋体" w:eastAsia="宋体"/>
                <w:b/>
                <w:szCs w:val="24"/>
              </w:rPr>
              <w:t>0分【超过40%】</w:t>
            </w:r>
          </w:p>
        </w:tc>
        <w:tc>
          <w:tcPr>
            <w:tcW w:w="795" w:type="pct"/>
            <w:tcBorders>
              <w:left w:val="single" w:color="auto" w:sz="4" w:space="0"/>
            </w:tcBorders>
            <w:vAlign w:val="center"/>
          </w:tcPr>
          <w:p w14:paraId="5D3416F0">
            <w:pPr>
              <w:ind w:left="0" w:firstLine="0" w:firstLineChars="0"/>
              <w:rPr>
                <w:rFonts w:ascii="宋体" w:hAnsi="宋体" w:eastAsia="宋体"/>
                <w:szCs w:val="24"/>
              </w:rPr>
            </w:pPr>
            <w:r>
              <w:rPr>
                <w:rFonts w:hint="eastAsia" w:ascii="宋体" w:hAnsi="宋体" w:eastAsia="宋体"/>
                <w:szCs w:val="24"/>
              </w:rPr>
              <w:t>技术骨干或项目经理未经甲方同意变动，扣除乙方金额人民币不低于3万元；其余人员变动率超过40</w:t>
            </w:r>
            <w:r>
              <w:rPr>
                <w:rFonts w:ascii="宋体" w:hAnsi="宋体" w:eastAsia="宋体"/>
                <w:szCs w:val="24"/>
              </w:rPr>
              <w:t>%</w:t>
            </w:r>
            <w:r>
              <w:rPr>
                <w:rFonts w:hint="eastAsia" w:ascii="宋体" w:hAnsi="宋体" w:eastAsia="宋体"/>
                <w:szCs w:val="24"/>
              </w:rPr>
              <w:t>，扣除不低于合同总金额的1%。</w:t>
            </w:r>
          </w:p>
        </w:tc>
      </w:tr>
      <w:tr w14:paraId="3D5B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4E42CA67">
            <w:pPr>
              <w:ind w:left="0" w:firstLine="0" w:firstLineChars="0"/>
              <w:rPr>
                <w:rFonts w:ascii="宋体" w:hAnsi="宋体" w:eastAsia="宋体"/>
                <w:szCs w:val="24"/>
              </w:rPr>
            </w:pPr>
            <w:r>
              <w:rPr>
                <w:rFonts w:hint="eastAsia" w:ascii="宋体" w:hAnsi="宋体" w:eastAsia="宋体"/>
                <w:szCs w:val="24"/>
              </w:rPr>
              <w:t>14</w:t>
            </w:r>
          </w:p>
        </w:tc>
        <w:tc>
          <w:tcPr>
            <w:tcW w:w="904" w:type="pct"/>
            <w:vMerge w:val="continue"/>
            <w:tcBorders>
              <w:left w:val="single" w:color="auto" w:sz="4" w:space="0"/>
            </w:tcBorders>
          </w:tcPr>
          <w:p w14:paraId="3AAEF23B"/>
        </w:tc>
        <w:tc>
          <w:tcPr>
            <w:tcW w:w="748" w:type="pct"/>
            <w:tcBorders>
              <w:left w:val="single" w:color="auto" w:sz="4" w:space="0"/>
            </w:tcBorders>
            <w:vAlign w:val="center"/>
          </w:tcPr>
          <w:p w14:paraId="17D435C5">
            <w:pPr>
              <w:ind w:left="0" w:firstLine="0" w:firstLineChars="0"/>
              <w:rPr>
                <w:rFonts w:ascii="宋体" w:hAnsi="宋体" w:eastAsia="宋体"/>
                <w:szCs w:val="24"/>
              </w:rPr>
            </w:pPr>
            <w:r>
              <w:rPr>
                <w:rFonts w:hint="eastAsia" w:ascii="宋体" w:hAnsi="宋体" w:eastAsia="宋体"/>
                <w:szCs w:val="24"/>
              </w:rPr>
              <w:t>人员满意度评价</w:t>
            </w:r>
          </w:p>
        </w:tc>
        <w:tc>
          <w:tcPr>
            <w:tcW w:w="1030" w:type="pct"/>
            <w:tcBorders>
              <w:left w:val="single" w:color="auto" w:sz="4" w:space="0"/>
            </w:tcBorders>
            <w:vAlign w:val="center"/>
          </w:tcPr>
          <w:p w14:paraId="2A2E6071">
            <w:pPr>
              <w:ind w:left="0" w:firstLine="0" w:firstLineChars="0"/>
              <w:rPr>
                <w:rFonts w:ascii="宋体" w:hAnsi="宋体" w:eastAsia="宋体"/>
                <w:szCs w:val="24"/>
              </w:rPr>
            </w:pPr>
            <w:r>
              <w:rPr>
                <w:rFonts w:hint="eastAsia" w:ascii="宋体" w:hAnsi="宋体" w:eastAsia="宋体"/>
                <w:szCs w:val="24"/>
              </w:rPr>
              <w:t>甲方</w:t>
            </w:r>
            <w:r>
              <w:rPr>
                <w:rFonts w:ascii="宋体" w:hAnsi="宋体" w:eastAsia="宋体"/>
                <w:szCs w:val="24"/>
              </w:rPr>
              <w:t>对</w:t>
            </w:r>
            <w:r>
              <w:rPr>
                <w:rFonts w:hint="eastAsia" w:ascii="宋体" w:hAnsi="宋体" w:eastAsia="宋体"/>
                <w:szCs w:val="24"/>
              </w:rPr>
              <w:t>乙方</w:t>
            </w:r>
            <w:r>
              <w:rPr>
                <w:rFonts w:ascii="宋体" w:hAnsi="宋体" w:eastAsia="宋体"/>
                <w:szCs w:val="24"/>
              </w:rPr>
              <w:t>外包人员表现的满意度评价</w:t>
            </w:r>
          </w:p>
        </w:tc>
        <w:tc>
          <w:tcPr>
            <w:tcW w:w="1418" w:type="pct"/>
            <w:tcBorders>
              <w:left w:val="single" w:color="auto" w:sz="4" w:space="0"/>
            </w:tcBorders>
            <w:vAlign w:val="center"/>
          </w:tcPr>
          <w:p w14:paraId="76D6CA98">
            <w:pPr>
              <w:ind w:left="0" w:firstLine="0" w:firstLineChars="0"/>
              <w:rPr>
                <w:rFonts w:ascii="宋体" w:hAnsi="宋体" w:eastAsia="宋体"/>
                <w:szCs w:val="24"/>
              </w:rPr>
            </w:pPr>
            <w:r>
              <w:rPr>
                <w:rFonts w:hint="eastAsia" w:ascii="宋体" w:hAnsi="宋体" w:eastAsia="宋体"/>
                <w:b/>
                <w:bCs/>
                <w:szCs w:val="24"/>
              </w:rPr>
              <w:t>优秀：</w:t>
            </w:r>
            <w:r>
              <w:rPr>
                <w:rFonts w:hint="eastAsia" w:ascii="宋体" w:hAnsi="宋体" w:eastAsia="宋体"/>
                <w:szCs w:val="24"/>
              </w:rPr>
              <w:t>5分，</w:t>
            </w:r>
            <w:r>
              <w:rPr>
                <w:rFonts w:ascii="宋体" w:hAnsi="宋体" w:eastAsia="宋体"/>
                <w:szCs w:val="24"/>
              </w:rPr>
              <w:t>指</w:t>
            </w:r>
            <w:r>
              <w:rPr>
                <w:rFonts w:hint="eastAsia" w:ascii="宋体" w:hAnsi="宋体" w:eastAsia="宋体"/>
                <w:szCs w:val="24"/>
              </w:rPr>
              <w:t>工作效率高，态度积极主动，</w:t>
            </w:r>
            <w:r>
              <w:rPr>
                <w:rFonts w:ascii="宋体" w:hAnsi="宋体" w:eastAsia="宋体"/>
                <w:szCs w:val="24"/>
              </w:rPr>
              <w:t>保质保量完成工作任务</w:t>
            </w:r>
            <w:r>
              <w:rPr>
                <w:rFonts w:hint="eastAsia" w:ascii="宋体" w:hAnsi="宋体" w:eastAsia="宋体"/>
                <w:szCs w:val="24"/>
              </w:rPr>
              <w:t>，</w:t>
            </w:r>
            <w:r>
              <w:rPr>
                <w:rFonts w:ascii="宋体" w:hAnsi="宋体" w:eastAsia="宋体"/>
                <w:szCs w:val="24"/>
              </w:rPr>
              <w:t>对团队有突出贡献，日常行为能起到模范带头作用</w:t>
            </w:r>
            <w:r>
              <w:rPr>
                <w:rFonts w:hint="eastAsia" w:ascii="宋体" w:hAnsi="宋体" w:eastAsia="宋体"/>
                <w:szCs w:val="24"/>
              </w:rPr>
              <w:t>的；</w:t>
            </w:r>
          </w:p>
          <w:p w14:paraId="4A6B7325">
            <w:pPr>
              <w:ind w:left="0" w:firstLine="0" w:firstLineChars="0"/>
              <w:rPr>
                <w:rFonts w:ascii="宋体" w:hAnsi="宋体" w:eastAsia="宋体"/>
                <w:szCs w:val="24"/>
              </w:rPr>
            </w:pPr>
            <w:r>
              <w:rPr>
                <w:rFonts w:hint="eastAsia" w:ascii="宋体" w:hAnsi="宋体" w:eastAsia="宋体"/>
                <w:b/>
                <w:bCs/>
                <w:szCs w:val="24"/>
              </w:rPr>
              <w:t>良好：</w:t>
            </w:r>
            <w:r>
              <w:rPr>
                <w:rFonts w:hint="eastAsia" w:ascii="宋体" w:hAnsi="宋体" w:eastAsia="宋体"/>
                <w:szCs w:val="24"/>
              </w:rPr>
              <w:t>4分，</w:t>
            </w:r>
            <w:r>
              <w:rPr>
                <w:rFonts w:ascii="宋体" w:hAnsi="宋体" w:eastAsia="宋体"/>
                <w:szCs w:val="24"/>
              </w:rPr>
              <w:t>指</w:t>
            </w:r>
            <w:r>
              <w:rPr>
                <w:rFonts w:hint="eastAsia" w:ascii="宋体" w:hAnsi="宋体" w:eastAsia="宋体"/>
                <w:szCs w:val="24"/>
              </w:rPr>
              <w:t>工作效率较高，态度比较主动，较好</w:t>
            </w:r>
            <w:r>
              <w:rPr>
                <w:rFonts w:ascii="宋体" w:hAnsi="宋体" w:eastAsia="宋体"/>
                <w:szCs w:val="24"/>
              </w:rPr>
              <w:t>完成工作任务</w:t>
            </w:r>
            <w:r>
              <w:rPr>
                <w:rFonts w:hint="eastAsia" w:ascii="宋体" w:hAnsi="宋体" w:eastAsia="宋体"/>
                <w:szCs w:val="24"/>
              </w:rPr>
              <w:t>，</w:t>
            </w:r>
            <w:r>
              <w:rPr>
                <w:rFonts w:ascii="宋体" w:hAnsi="宋体" w:eastAsia="宋体"/>
                <w:szCs w:val="24"/>
              </w:rPr>
              <w:t>对团队有</w:t>
            </w:r>
            <w:r>
              <w:rPr>
                <w:rFonts w:hint="eastAsia" w:ascii="宋体" w:hAnsi="宋体" w:eastAsia="宋体"/>
                <w:szCs w:val="24"/>
              </w:rPr>
              <w:t>一定</w:t>
            </w:r>
            <w:r>
              <w:rPr>
                <w:rFonts w:ascii="宋体" w:hAnsi="宋体" w:eastAsia="宋体"/>
                <w:szCs w:val="24"/>
              </w:rPr>
              <w:t>贡献，日常行为</w:t>
            </w:r>
            <w:r>
              <w:rPr>
                <w:rFonts w:hint="eastAsia" w:ascii="宋体" w:hAnsi="宋体" w:eastAsia="宋体"/>
                <w:szCs w:val="24"/>
              </w:rPr>
              <w:t>表现较好的；</w:t>
            </w:r>
          </w:p>
          <w:p w14:paraId="2CC77B3F">
            <w:pPr>
              <w:ind w:left="0" w:firstLine="0" w:firstLineChars="0"/>
              <w:rPr>
                <w:rFonts w:ascii="宋体" w:hAnsi="宋体" w:eastAsia="宋体"/>
                <w:szCs w:val="24"/>
              </w:rPr>
            </w:pPr>
            <w:r>
              <w:rPr>
                <w:rFonts w:hint="eastAsia" w:ascii="宋体" w:hAnsi="宋体" w:eastAsia="宋体"/>
                <w:b/>
                <w:bCs/>
                <w:szCs w:val="24"/>
              </w:rPr>
              <w:t>合格：</w:t>
            </w:r>
            <w:r>
              <w:rPr>
                <w:rFonts w:hint="eastAsia" w:ascii="宋体" w:hAnsi="宋体" w:eastAsia="宋体"/>
                <w:szCs w:val="24"/>
              </w:rPr>
              <w:t>3分，</w:t>
            </w:r>
            <w:r>
              <w:rPr>
                <w:rFonts w:ascii="宋体" w:hAnsi="宋体" w:eastAsia="宋体"/>
                <w:szCs w:val="24"/>
              </w:rPr>
              <w:t>指</w:t>
            </w:r>
            <w:r>
              <w:rPr>
                <w:rFonts w:hint="eastAsia" w:ascii="宋体" w:hAnsi="宋体" w:eastAsia="宋体"/>
                <w:szCs w:val="24"/>
              </w:rPr>
              <w:t>工作效率一般，态度合格，能够按时</w:t>
            </w:r>
            <w:r>
              <w:rPr>
                <w:rFonts w:ascii="宋体" w:hAnsi="宋体" w:eastAsia="宋体"/>
                <w:szCs w:val="24"/>
              </w:rPr>
              <w:t>完成工作任务</w:t>
            </w:r>
            <w:r>
              <w:rPr>
                <w:rFonts w:hint="eastAsia" w:ascii="宋体" w:hAnsi="宋体" w:eastAsia="宋体"/>
                <w:szCs w:val="24"/>
              </w:rPr>
              <w:t>的；</w:t>
            </w:r>
          </w:p>
          <w:p w14:paraId="5AFD39C5">
            <w:pPr>
              <w:ind w:left="0" w:firstLine="0" w:firstLineChars="0"/>
              <w:rPr>
                <w:rFonts w:ascii="宋体" w:hAnsi="宋体" w:eastAsia="宋体"/>
                <w:szCs w:val="24"/>
              </w:rPr>
            </w:pPr>
            <w:r>
              <w:rPr>
                <w:rFonts w:hint="eastAsia" w:ascii="宋体" w:hAnsi="宋体" w:eastAsia="宋体"/>
                <w:b/>
                <w:bCs/>
                <w:szCs w:val="24"/>
              </w:rPr>
              <w:t>较差/差：</w:t>
            </w:r>
            <w:r>
              <w:rPr>
                <w:rFonts w:hint="eastAsia" w:ascii="宋体" w:hAnsi="宋体" w:eastAsia="宋体"/>
                <w:szCs w:val="24"/>
              </w:rPr>
              <w:t>0分，</w:t>
            </w:r>
            <w:r>
              <w:rPr>
                <w:rFonts w:ascii="宋体" w:hAnsi="宋体" w:eastAsia="宋体"/>
                <w:szCs w:val="24"/>
              </w:rPr>
              <w:t>指</w:t>
            </w:r>
            <w:r>
              <w:rPr>
                <w:rFonts w:hint="eastAsia" w:ascii="宋体" w:hAnsi="宋体" w:eastAsia="宋体"/>
                <w:szCs w:val="24"/>
              </w:rPr>
              <w:t>工作效率低下，态度懈怠散漫，不能按时</w:t>
            </w:r>
            <w:r>
              <w:rPr>
                <w:rFonts w:ascii="宋体" w:hAnsi="宋体" w:eastAsia="宋体"/>
                <w:szCs w:val="24"/>
              </w:rPr>
              <w:t>完成工作任务</w:t>
            </w:r>
            <w:r>
              <w:rPr>
                <w:rFonts w:hint="eastAsia" w:ascii="宋体" w:hAnsi="宋体" w:eastAsia="宋体"/>
                <w:szCs w:val="24"/>
              </w:rPr>
              <w:t>的。</w:t>
            </w:r>
          </w:p>
        </w:tc>
        <w:tc>
          <w:tcPr>
            <w:tcW w:w="795" w:type="pct"/>
            <w:tcBorders>
              <w:left w:val="single" w:color="auto" w:sz="4" w:space="0"/>
            </w:tcBorders>
            <w:vAlign w:val="center"/>
          </w:tcPr>
          <w:p w14:paraId="1BEE06F4">
            <w:pPr>
              <w:ind w:left="0" w:firstLine="0" w:firstLineChars="0"/>
              <w:rPr>
                <w:rFonts w:ascii="宋体" w:hAnsi="宋体" w:eastAsia="宋体"/>
                <w:szCs w:val="24"/>
              </w:rPr>
            </w:pPr>
            <w:r>
              <w:rPr>
                <w:rFonts w:hint="eastAsia" w:ascii="宋体" w:hAnsi="宋体" w:eastAsia="宋体"/>
                <w:szCs w:val="24"/>
              </w:rPr>
              <w:t>评价为较差/差时，甲方有权要求乙方更换人员并赔偿实际损失。</w:t>
            </w:r>
          </w:p>
        </w:tc>
      </w:tr>
    </w:tbl>
    <w:p w14:paraId="37D4857C">
      <w:pPr>
        <w:sectPr>
          <w:pgSz w:w="11906" w:h="16838"/>
          <w:pgMar w:top="1440" w:right="1800" w:bottom="1440" w:left="1800" w:header="851" w:footer="992" w:gutter="0"/>
          <w:cols w:space="720" w:num="1"/>
          <w:docGrid w:type="lines" w:linePitch="312" w:charSpace="0"/>
        </w:sectPr>
      </w:pPr>
    </w:p>
    <w:p w14:paraId="5BC453FE">
      <w:pPr>
        <w:pStyle w:val="34"/>
      </w:pPr>
      <w:r>
        <w:t>六、商务技术文件（如有）</w:t>
      </w:r>
    </w:p>
    <w:p w14:paraId="3C388F8D">
      <w:r>
        <w:rPr>
          <w:rFonts w:hint="eastAsia"/>
        </w:rPr>
        <w:t>（根据第四章内容提供相关材料。如有除资格业绩的其他业绩、案例，可放于此处）</w:t>
      </w:r>
    </w:p>
    <w:p w14:paraId="3BF303AA"/>
    <w:p w14:paraId="149B87EB">
      <w:pPr>
        <w:sectPr>
          <w:pgSz w:w="11906" w:h="16838"/>
          <w:pgMar w:top="1440" w:right="1800" w:bottom="1440" w:left="1800" w:header="851" w:footer="992" w:gutter="0"/>
          <w:cols w:space="425" w:num="1"/>
          <w:docGrid w:type="lines" w:linePitch="312" w:charSpace="0"/>
        </w:sectPr>
      </w:pPr>
    </w:p>
    <w:p w14:paraId="3328E485">
      <w:pPr>
        <w:pStyle w:val="34"/>
      </w:pPr>
      <w:r>
        <w:t>七、其他（如有）</w:t>
      </w:r>
    </w:p>
    <w:p w14:paraId="66E3855B"/>
    <w:p w14:paraId="6467797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兰亭黑_GBK">
    <w:altName w:val="微软雅黑"/>
    <w:panose1 w:val="02000000000000000000"/>
    <w:charset w:val="86"/>
    <w:family w:val="script"/>
    <w:pitch w:val="default"/>
    <w:sig w:usb0="00000000" w:usb1="00000000" w:usb2="0008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5331">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1625" cy="199390"/>
              <wp:effectExtent l="0" t="0" r="0" b="0"/>
              <wp:wrapNone/>
              <wp:docPr id="2" name="文本框 2"/>
              <wp:cNvGraphicFramePr/>
              <a:graphic xmlns:a="http://schemas.openxmlformats.org/drawingml/2006/main">
                <a:graphicData uri="http://schemas.microsoft.com/office/word/2010/wordprocessingShape">
                  <wps:wsp>
                    <wps:cNvSpPr/>
                    <wps:spPr>
                      <a:xfrm>
                        <a:off x="0" y="0"/>
                        <a:ext cx="301321" cy="199578"/>
                      </a:xfrm>
                      <a:prstGeom prst="rect">
                        <a:avLst/>
                      </a:prstGeom>
                      <a:noFill/>
                      <a:ln w="6350" cap="flat" cmpd="sng">
                        <a:noFill/>
                        <a:prstDash val="solid"/>
                        <a:round/>
                      </a:ln>
                    </wps:spPr>
                    <wps:txbx>
                      <w:txbxContent>
                        <w:p w14:paraId="4837242F">
                          <w:pPr>
                            <w:pStyle w:val="1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5.7pt;width:23.75pt;mso-position-horizontal:center;mso-position-horizontal-relative:margin;mso-wrap-style:none;z-index:251659264;mso-width-relative:page;mso-height-relative:page;" filled="f" stroked="f" coordsize="21600,21600" o:gfxdata="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&#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rzKLYAAAAAwEAAA8AAAAAAAAAAQAgAAAAIgAAAGRy&#10;cy9kb3ducmV2LnhtbFBLAQIUABQAAAAIAIdO4kAJso/6BQIAAPQDAAAOAAAAAAAAAAEAIAAAACcB&#10;AABkcnMvZTJvRG9jLnhtbFBLBQYAAAAABgAGAFkBAACeBQAAAAA=&#10;">
              <v:fill on="f" focussize="0,0"/>
              <v:stroke on="f" weight="0.5pt" joinstyle="round"/>
              <v:imagedata o:title=""/>
              <o:lock v:ext="edit" aspectratio="f"/>
              <v:textbox inset="0mm,0mm,0mm,0mm" style="mso-fit-shape-to-text:t;">
                <w:txbxContent>
                  <w:p w14:paraId="4837242F">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D95E">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7040" cy="199390"/>
              <wp:effectExtent l="0" t="0" r="0" b="0"/>
              <wp:wrapNone/>
              <wp:docPr id="4" name="文本框 4"/>
              <wp:cNvGraphicFramePr/>
              <a:graphic xmlns:a="http://schemas.openxmlformats.org/drawingml/2006/main">
                <a:graphicData uri="http://schemas.microsoft.com/office/word/2010/wordprocessingShape">
                  <wps:wsp>
                    <wps:cNvSpPr/>
                    <wps:spPr>
                      <a:xfrm>
                        <a:off x="0" y="0"/>
                        <a:ext cx="446763" cy="199578"/>
                      </a:xfrm>
                      <a:prstGeom prst="rect">
                        <a:avLst/>
                      </a:prstGeom>
                      <a:noFill/>
                      <a:ln w="6350" cap="flat" cmpd="sng">
                        <a:noFill/>
                        <a:prstDash val="solid"/>
                        <a:round/>
                      </a:ln>
                    </wps:spPr>
                    <wps:txbx>
                      <w:txbxContent>
                        <w:p w14:paraId="602A905D">
                          <w:pPr>
                            <w:pStyle w:val="1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5.7pt;width:35.2pt;mso-position-horizontal:center;mso-position-horizontal-relative:margin;mso-wrap-style:none;z-index:251659264;mso-width-relative:page;mso-height-relative:page;" filled="f" stroked="f" coordsize="21600,21600" o:gfxdata="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ihBbdcAAAADAQAADwAAAAAAAAABACAAAAAiAAAAZHJz&#10;L2Rvd25yZXYueG1sUEsBAhQAFAAAAAgAh07iQPWpDAMFAgAA9AMAAA4AAAAAAAAAAQAgAAAAJgEA&#10;AGRycy9lMm9Eb2MueG1sUEsFBgAAAAAGAAYAWQEAAJ0FAAAAAA==&#10;">
              <v:fill on="f" focussize="0,0"/>
              <v:stroke on="f" weight="0.5pt" joinstyle="round"/>
              <v:imagedata o:title=""/>
              <o:lock v:ext="edit" aspectratio="f"/>
              <v:textbox inset="0mm,0mm,0mm,0mm" style="mso-fit-shape-to-text:t;">
                <w:txbxContent>
                  <w:p w14:paraId="602A905D">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CB865">
    <w:pPr>
      <w:pStyle w:val="17"/>
      <w:framePr w:wrap="around" w:vAnchor="text" w:hAnchor="margin" w:xAlign="center" w:y="1"/>
      <w:rPr>
        <w:rStyle w:val="25"/>
      </w:rPr>
    </w:pPr>
    <w:r>
      <w:rPr>
        <w:rStyle w:val="25"/>
      </w:rPr>
      <w:fldChar w:fldCharType="begin"/>
    </w:r>
    <w:r>
      <w:rPr>
        <w:rStyle w:val="25"/>
      </w:rPr>
      <w:instrText xml:space="preserve">PAGE  </w:instrText>
    </w:r>
    <w:r>
      <w:fldChar w:fldCharType="separate"/>
    </w:r>
    <w:r>
      <w:t xml:space="preserve"> </w:t>
    </w:r>
    <w:r>
      <w:fldChar w:fldCharType="end"/>
    </w:r>
  </w:p>
  <w:p w14:paraId="763CB9B4">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1BE7">
    <w:pP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32869">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8C414">
    <w:pPr>
      <w:pStyle w:val="18"/>
    </w:pPr>
    <w:r>
      <w:rPr>
        <w:rFonts w:hint="eastAsia" w:ascii="宋体"/>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tabs>
          <w:tab w:val="left" w:pos="0"/>
        </w:tabs>
        <w:ind w:left="1080" w:hanging="360"/>
      </w:pPr>
      <w:rPr>
        <w:rFonts w:hint="default" w:ascii="Symbol" w:hAnsi="Symbol"/>
      </w:rPr>
    </w:lvl>
  </w:abstractNum>
  <w:abstractNum w:abstractNumId="1">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4">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5">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6">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7">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hmYmM2ZGU3Mjk4MzA4ZDkyYTRlNDQ1NGZiYzU0MzIifQ=="/>
  </w:docVars>
  <w:rsids>
    <w:rsidRoot w:val="00000000"/>
    <w:rsid w:val="30D16814"/>
    <w:rsid w:val="3B7F3E7E"/>
    <w:rsid w:val="55233046"/>
    <w:rsid w:val="5CF00F7A"/>
    <w:rsid w:val="711B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27"/>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8"/>
    <w:autoRedefine/>
    <w:qFormat/>
    <w:uiPriority w:val="0"/>
    <w:pPr>
      <w:spacing w:line="600" w:lineRule="exact"/>
      <w:ind w:firstLine="0" w:firstLineChars="0"/>
      <w:outlineLvl w:val="1"/>
    </w:pPr>
    <w:rPr>
      <w:rFonts w:cs="方正兰亭黑_GBK"/>
      <w:b/>
      <w:bCs/>
      <w:snapToGrid w:val="0"/>
      <w:szCs w:val="24"/>
    </w:rPr>
  </w:style>
  <w:style w:type="paragraph" w:styleId="4">
    <w:name w:val="heading 3"/>
    <w:basedOn w:val="1"/>
    <w:next w:val="1"/>
    <w:link w:val="29"/>
    <w:autoRedefine/>
    <w:qFormat/>
    <w:uiPriority w:val="0"/>
    <w:pPr>
      <w:outlineLvl w:val="2"/>
    </w:pPr>
    <w:rPr>
      <w:b/>
      <w:bCs/>
      <w:szCs w:val="32"/>
    </w:rPr>
  </w:style>
  <w:style w:type="paragraph" w:styleId="5">
    <w:name w:val="heading 4"/>
    <w:basedOn w:val="1"/>
    <w:next w:val="1"/>
    <w:link w:val="30"/>
    <w:autoRedefine/>
    <w:qFormat/>
    <w:uiPriority w:val="0"/>
    <w:pPr>
      <w:outlineLvl w:val="3"/>
    </w:pPr>
    <w:rPr>
      <w:rFonts w:cs="Times New Roman"/>
      <w:bCs/>
      <w:szCs w:val="28"/>
    </w:rPr>
  </w:style>
  <w:style w:type="paragraph" w:styleId="6">
    <w:name w:val="heading 5"/>
    <w:basedOn w:val="1"/>
    <w:next w:val="1"/>
    <w:link w:val="31"/>
    <w:autoRedefine/>
    <w:qFormat/>
    <w:uiPriority w:val="0"/>
    <w:pPr>
      <w:ind w:firstLine="0" w:firstLineChars="0"/>
      <w:jc w:val="center"/>
      <w:outlineLvl w:val="4"/>
    </w:pPr>
    <w:rPr>
      <w:b/>
      <w:sz w:val="28"/>
    </w:rPr>
  </w:style>
  <w:style w:type="paragraph" w:styleId="7">
    <w:name w:val="heading 6"/>
    <w:basedOn w:val="1"/>
    <w:next w:val="1"/>
    <w:link w:val="32"/>
    <w:autoRedefine/>
    <w:qFormat/>
    <w:uiPriority w:val="0"/>
    <w:pPr>
      <w:keepNext/>
      <w:keepLines/>
      <w:spacing w:before="240" w:after="64" w:line="317" w:lineRule="auto"/>
      <w:outlineLvl w:val="5"/>
    </w:pPr>
    <w:rPr>
      <w:rFonts w:eastAsia="黑体"/>
      <w:b/>
    </w:rPr>
  </w:style>
  <w:style w:type="paragraph" w:styleId="8">
    <w:name w:val="heading 7"/>
    <w:basedOn w:val="1"/>
    <w:next w:val="1"/>
    <w:link w:val="33"/>
    <w:qFormat/>
    <w:uiPriority w:val="0"/>
    <w:pPr>
      <w:keepNext/>
      <w:keepLines/>
      <w:spacing w:before="240" w:after="64" w:line="317" w:lineRule="auto"/>
      <w:outlineLvl w:val="6"/>
    </w:pPr>
    <w:rPr>
      <w:b/>
    </w:rPr>
  </w:style>
  <w:style w:type="character" w:default="1" w:styleId="23">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index 6"/>
    <w:basedOn w:val="1"/>
    <w:next w:val="1"/>
    <w:qFormat/>
    <w:uiPriority w:val="0"/>
    <w:pPr>
      <w:ind w:left="1000" w:leftChars="1000"/>
    </w:pPr>
  </w:style>
  <w:style w:type="paragraph" w:styleId="11">
    <w:name w:val="Body Text"/>
    <w:basedOn w:val="1"/>
    <w:qFormat/>
    <w:uiPriority w:val="0"/>
    <w:pPr>
      <w:spacing w:after="120"/>
    </w:pPr>
  </w:style>
  <w:style w:type="paragraph" w:styleId="12">
    <w:name w:val="Body Text Indent"/>
    <w:basedOn w:val="1"/>
    <w:qFormat/>
    <w:uiPriority w:val="0"/>
    <w:pPr>
      <w:spacing w:after="120"/>
      <w:ind w:left="200" w:leftChars="200"/>
    </w:pPr>
  </w:style>
  <w:style w:type="paragraph" w:styleId="13">
    <w:name w:val="Plain Text"/>
    <w:basedOn w:val="1"/>
    <w:qFormat/>
    <w:uiPriority w:val="0"/>
    <w:rPr>
      <w:rFonts w:ascii="宋体" w:hAnsi="Courier New"/>
    </w:rPr>
  </w:style>
  <w:style w:type="paragraph" w:styleId="14">
    <w:name w:val="Date"/>
    <w:basedOn w:val="1"/>
    <w:next w:val="1"/>
    <w:qFormat/>
    <w:uiPriority w:val="0"/>
    <w:pPr>
      <w:ind w:left="2500" w:leftChars="2500"/>
    </w:pPr>
  </w:style>
  <w:style w:type="paragraph" w:styleId="15">
    <w:name w:val="Body Text Indent 2"/>
    <w:basedOn w:val="1"/>
    <w:qFormat/>
    <w:uiPriority w:val="0"/>
    <w:pPr>
      <w:spacing w:after="120" w:line="480" w:lineRule="auto"/>
      <w:ind w:left="200" w:leftChars="200"/>
    </w:pPr>
  </w:style>
  <w:style w:type="paragraph" w:styleId="16">
    <w:name w:val="Balloon Text"/>
    <w:basedOn w:val="1"/>
    <w:qFormat/>
    <w:uiPriority w:val="0"/>
    <w:rPr>
      <w:sz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9">
    <w:name w:val="toc 1"/>
    <w:basedOn w:val="1"/>
    <w:next w:val="1"/>
    <w:qFormat/>
    <w:uiPriority w:val="0"/>
  </w:style>
  <w:style w:type="paragraph" w:styleId="20">
    <w:name w:val="Subtitle"/>
    <w:basedOn w:val="1"/>
    <w:autoRedefine/>
    <w:qFormat/>
    <w:uiPriority w:val="0"/>
    <w:pPr>
      <w:spacing w:before="240" w:after="60" w:line="312" w:lineRule="auto"/>
      <w:jc w:val="center"/>
      <w:outlineLvl w:val="1"/>
    </w:pPr>
    <w:rPr>
      <w:rFonts w:ascii="Arial" w:hAnsi="Arial"/>
      <w:b/>
      <w:kern w:val="28"/>
      <w:sz w:val="32"/>
    </w:rPr>
  </w:style>
  <w:style w:type="paragraph" w:styleId="21">
    <w:name w:val="annotation subject"/>
    <w:basedOn w:val="9"/>
    <w:next w:val="9"/>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annotation reference"/>
    <w:basedOn w:val="23"/>
    <w:qFormat/>
    <w:uiPriority w:val="0"/>
    <w:rPr>
      <w:sz w:val="21"/>
    </w:rPr>
  </w:style>
  <w:style w:type="character" w:customStyle="1" w:styleId="27">
    <w:name w:val="heading 1 Char"/>
    <w:basedOn w:val="23"/>
    <w:link w:val="2"/>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28">
    <w:name w:val="heading 2 Char"/>
    <w:basedOn w:val="23"/>
    <w:link w:val="3"/>
    <w:autoRedefine/>
    <w:qFormat/>
    <w:uiPriority w:val="0"/>
    <w:rPr>
      <w:rFonts w:ascii="Times New Roman" w:hAnsi="Times New Roman" w:eastAsia="宋体" w:cs="方正兰亭黑_GBK"/>
      <w:b/>
      <w:bCs/>
      <w:snapToGrid w:val="0"/>
      <w:kern w:val="2"/>
      <w:sz w:val="21"/>
      <w:szCs w:val="24"/>
      <w:lang w:val="en-US" w:eastAsia="zh-CN" w:bidi="ar-SA"/>
    </w:rPr>
  </w:style>
  <w:style w:type="character" w:customStyle="1" w:styleId="29">
    <w:name w:val="heading 3 Char"/>
    <w:basedOn w:val="23"/>
    <w:link w:val="4"/>
    <w:autoRedefine/>
    <w:qFormat/>
    <w:uiPriority w:val="0"/>
    <w:rPr>
      <w:rFonts w:ascii="Times New Roman" w:hAnsi="Times New Roman" w:eastAsia="宋体" w:cs="Cambria Math"/>
      <w:b/>
      <w:bCs/>
      <w:kern w:val="2"/>
      <w:sz w:val="21"/>
      <w:szCs w:val="32"/>
      <w:lang w:val="en-US" w:eastAsia="zh-CN" w:bidi="ar-SA"/>
    </w:rPr>
  </w:style>
  <w:style w:type="character" w:customStyle="1" w:styleId="30">
    <w:name w:val="heading 4 Char"/>
    <w:basedOn w:val="23"/>
    <w:link w:val="5"/>
    <w:autoRedefine/>
    <w:qFormat/>
    <w:uiPriority w:val="0"/>
    <w:rPr>
      <w:rFonts w:ascii="Times New Roman" w:hAnsi="Times New Roman" w:eastAsia="宋体" w:cs="Times New Roman"/>
      <w:bCs/>
      <w:kern w:val="2"/>
      <w:sz w:val="21"/>
      <w:szCs w:val="28"/>
      <w:lang w:val="en-US" w:eastAsia="zh-CN" w:bidi="ar-SA"/>
    </w:rPr>
  </w:style>
  <w:style w:type="character" w:customStyle="1" w:styleId="31">
    <w:name w:val="heading 5 Char"/>
    <w:basedOn w:val="23"/>
    <w:link w:val="6"/>
    <w:autoRedefine/>
    <w:qFormat/>
    <w:uiPriority w:val="0"/>
    <w:rPr>
      <w:rFonts w:ascii="Times New Roman" w:hAnsi="Times New Roman" w:eastAsia="宋体" w:cs="Cambria Math"/>
      <w:b/>
      <w:kern w:val="2"/>
      <w:sz w:val="28"/>
      <w:szCs w:val="20"/>
      <w:lang w:val="en-US" w:eastAsia="zh-CN" w:bidi="ar-SA"/>
    </w:rPr>
  </w:style>
  <w:style w:type="character" w:customStyle="1" w:styleId="32">
    <w:name w:val="heading 6 Char"/>
    <w:basedOn w:val="23"/>
    <w:link w:val="7"/>
    <w:autoRedefine/>
    <w:qFormat/>
    <w:uiPriority w:val="0"/>
    <w:rPr>
      <w:rFonts w:ascii="Times New Roman" w:hAnsi="Times New Roman" w:eastAsia="黑体" w:cs="Cambria Math"/>
      <w:b/>
      <w:kern w:val="2"/>
      <w:sz w:val="21"/>
      <w:szCs w:val="20"/>
      <w:lang w:val="en-US" w:eastAsia="zh-CN" w:bidi="ar-SA"/>
    </w:rPr>
  </w:style>
  <w:style w:type="character" w:customStyle="1" w:styleId="33">
    <w:name w:val="heading 7 Char"/>
    <w:basedOn w:val="23"/>
    <w:link w:val="8"/>
    <w:qFormat/>
    <w:uiPriority w:val="0"/>
    <w:rPr>
      <w:rFonts w:ascii="Times New Roman" w:hAnsi="Times New Roman" w:eastAsia="宋体" w:cs="Cambria Math"/>
      <w:b/>
      <w:kern w:val="2"/>
      <w:sz w:val="21"/>
      <w:szCs w:val="20"/>
      <w:lang w:val="en-US" w:eastAsia="zh-CN" w:bidi="ar-SA"/>
    </w:rPr>
  </w:style>
  <w:style w:type="paragraph" w:customStyle="1" w:styleId="34">
    <w:name w:val="参选文件格式1"/>
    <w:basedOn w:val="1"/>
    <w:next w:val="1"/>
    <w:autoRedefine/>
    <w:qFormat/>
    <w:uiPriority w:val="0"/>
    <w:pPr>
      <w:ind w:firstLine="0" w:firstLineChars="0"/>
      <w:jc w:val="center"/>
      <w:outlineLvl w:val="1"/>
    </w:pPr>
    <w:rPr>
      <w:b/>
      <w:sz w:val="28"/>
    </w:rPr>
  </w:style>
  <w:style w:type="character" w:customStyle="1" w:styleId="35">
    <w:name w:val="heading 1 Char1"/>
    <w:autoRedefine/>
    <w:qFormat/>
    <w:uiPriority w:val="0"/>
    <w:rPr>
      <w:rFonts w:ascii="Times New Roman" w:hAnsi="Times New Roman" w:eastAsia="宋体" w:cs="等线 Light"/>
      <w:b/>
      <w:snapToGrid w:val="0"/>
      <w:kern w:val="0"/>
      <w:sz w:val="44"/>
      <w:szCs w:val="44"/>
    </w:rPr>
  </w:style>
  <w:style w:type="character" w:customStyle="1" w:styleId="36">
    <w:name w:val="heading 2 Char1"/>
    <w:autoRedefine/>
    <w:qFormat/>
    <w:uiPriority w:val="0"/>
    <w:rPr>
      <w:rFonts w:ascii="Times New Roman" w:hAnsi="Times New Roman" w:eastAsia="宋体" w:cs="方正兰亭黑_GBK"/>
      <w:b/>
      <w:bCs/>
      <w:snapToGrid w:val="0"/>
      <w:szCs w:val="24"/>
    </w:rPr>
  </w:style>
  <w:style w:type="character" w:customStyle="1" w:styleId="37">
    <w:name w:val="heading 3 Char1"/>
    <w:autoRedefine/>
    <w:qFormat/>
    <w:uiPriority w:val="0"/>
    <w:rPr>
      <w:b/>
      <w:bCs/>
      <w:szCs w:val="32"/>
    </w:rPr>
  </w:style>
  <w:style w:type="character" w:customStyle="1" w:styleId="38">
    <w:name w:val="heading 4 Char1"/>
    <w:autoRedefine/>
    <w:qFormat/>
    <w:uiPriority w:val="0"/>
    <w:rPr>
      <w:rFonts w:cs="Times New Roman"/>
      <w:bCs/>
      <w:szCs w:val="28"/>
    </w:rPr>
  </w:style>
  <w:style w:type="character" w:customStyle="1" w:styleId="39">
    <w:name w:val="heading 5 Char1"/>
    <w:autoRedefine/>
    <w:qFormat/>
    <w:uiPriority w:val="0"/>
    <w:rPr>
      <w:rFonts w:ascii="Times New Roman" w:hAnsi="Times New Roman" w:eastAsia="宋体"/>
      <w:b/>
      <w:sz w:val="28"/>
    </w:rPr>
  </w:style>
  <w:style w:type="paragraph" w:customStyle="1" w:styleId="40">
    <w:name w:val="参选文件格式2"/>
    <w:basedOn w:val="1"/>
    <w:next w:val="1"/>
    <w:autoRedefine/>
    <w:qFormat/>
    <w:uiPriority w:val="0"/>
    <w:pPr>
      <w:ind w:firstLine="0" w:firstLineChars="0"/>
      <w:jc w:val="center"/>
      <w:outlineLvl w:val="2"/>
    </w:pPr>
    <w:rPr>
      <w:bCs/>
      <w:szCs w:val="32"/>
    </w:rPr>
  </w:style>
  <w:style w:type="paragraph" w:customStyle="1" w:styleId="41">
    <w:name w:val="参选文件格式3"/>
    <w:basedOn w:val="1"/>
    <w:link w:val="42"/>
    <w:autoRedefine/>
    <w:qFormat/>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42">
    <w:name w:val="参选文件格式3 Char"/>
    <w:basedOn w:val="23"/>
    <w:link w:val="41"/>
    <w:autoRedefine/>
    <w:qFormat/>
    <w:uiPriority w:val="0"/>
    <w:rPr>
      <w:rFonts w:ascii="宋体" w:hAnsi="宋体" w:eastAsia="宋体" w:cs="Cambria Math"/>
      <w:b/>
      <w:snapToGrid w:val="0"/>
      <w:kern w:val="0"/>
      <w:sz w:val="21"/>
      <w:szCs w:val="20"/>
      <w:lang w:val="en-US" w:eastAsia="zh-CN" w:bidi="ar-SA"/>
    </w:rPr>
  </w:style>
  <w:style w:type="character" w:customStyle="1" w:styleId="43">
    <w:name w:val="font11"/>
    <w:basedOn w:val="23"/>
    <w:autoRedefine/>
    <w:qFormat/>
    <w:uiPriority w:val="0"/>
    <w:rPr>
      <w:rFonts w:ascii="宋体" w:hAnsi="宋体" w:eastAsia="宋体" w:cs="宋体"/>
      <w:b/>
      <w:bCs/>
      <w:color w:val="000000"/>
      <w:sz w:val="21"/>
      <w:szCs w:val="21"/>
      <w:u w:val="none"/>
    </w:rPr>
  </w:style>
  <w:style w:type="character" w:customStyle="1" w:styleId="44">
    <w:name w:val="font21"/>
    <w:basedOn w:val="23"/>
    <w:autoRedefine/>
    <w:qFormat/>
    <w:uiPriority w:val="0"/>
    <w:rPr>
      <w:rFonts w:ascii="宋体" w:hAnsi="宋体" w:eastAsia="宋体" w:cs="宋体"/>
      <w:color w:val="000000"/>
      <w:sz w:val="21"/>
      <w:szCs w:val="21"/>
      <w:u w:val="none"/>
    </w:rPr>
  </w:style>
  <w:style w:type="character" w:customStyle="1" w:styleId="45">
    <w:name w:val="font31"/>
    <w:basedOn w:val="23"/>
    <w:autoRedefine/>
    <w:qFormat/>
    <w:uiPriority w:val="0"/>
    <w:rPr>
      <w:rFonts w:ascii="宋体" w:hAnsi="宋体" w:eastAsia="宋体" w:cs="宋体"/>
      <w:color w:val="FF0000"/>
      <w:sz w:val="21"/>
      <w:szCs w:val="21"/>
      <w:u w:val="none"/>
    </w:rPr>
  </w:style>
  <w:style w:type="paragraph" w:styleId="46">
    <w:name w:val="List Paragraph"/>
    <w:basedOn w:val="1"/>
    <w:qFormat/>
    <w:uiPriority w:val="0"/>
  </w:style>
  <w:style w:type="character" w:customStyle="1" w:styleId="47">
    <w:name w:val="font_text_1"/>
    <w:qFormat/>
    <w:uiPriority w:val="0"/>
  </w:style>
  <w:style w:type="paragraph" w:customStyle="1" w:styleId="48">
    <w:name w:val="表格"/>
    <w:basedOn w:val="1"/>
    <w:qFormat/>
    <w:uiPriority w:val="0"/>
    <w:pPr>
      <w:spacing w:line="240" w:lineRule="auto"/>
      <w:ind w:firstLine="0" w:firstLineChars="0"/>
    </w:pPr>
    <w:rPr>
      <w:bCs/>
      <w:szCs w:val="18"/>
    </w:rPr>
  </w:style>
  <w:style w:type="paragraph" w:customStyle="1" w:styleId="49">
    <w:name w:val="表格（标题）"/>
    <w:basedOn w:val="1"/>
    <w:qFormat/>
    <w:uiPriority w:val="0"/>
    <w:pPr>
      <w:ind w:firstLine="0" w:firstLineChars="0"/>
      <w:jc w:val="center"/>
    </w:pPr>
    <w:rPr>
      <w:b/>
      <w:bCs/>
      <w:szCs w:val="18"/>
    </w:rPr>
  </w:style>
  <w:style w:type="paragraph" w:customStyle="1" w:styleId="50">
    <w:name w:val="标题2（无级别）"/>
    <w:basedOn w:val="1"/>
    <w:next w:val="1"/>
    <w:qFormat/>
    <w:uiPriority w:val="0"/>
    <w:pPr>
      <w:ind w:firstLine="0" w:firstLineChars="0"/>
    </w:pPr>
    <w:rPr>
      <w:rFonts w:cs="方正兰亭黑_GBK"/>
      <w:b/>
      <w:bCs/>
      <w:snapToGrid w:val="0"/>
      <w:szCs w:val="24"/>
    </w:rPr>
  </w:style>
  <w:style w:type="paragraph" w:customStyle="1" w:styleId="51">
    <w:name w:val="标题3（无级别）"/>
    <w:basedOn w:val="1"/>
    <w:next w:val="1"/>
    <w:qFormat/>
    <w:uiPriority w:val="0"/>
    <w:rPr>
      <w:b/>
      <w:bCs/>
      <w:szCs w:val="32"/>
    </w:rPr>
  </w:style>
  <w:style w:type="paragraph" w:customStyle="1" w:styleId="52">
    <w:name w:val="修订1"/>
    <w:qFormat/>
    <w:uiPriority w:val="0"/>
    <w:rPr>
      <w:rFonts w:ascii="Times New Roman" w:hAnsi="Times New Roman" w:eastAsia="宋体" w:cs="Cambria Math"/>
      <w:kern w:val="2"/>
      <w:sz w:val="21"/>
      <w:szCs w:val="20"/>
      <w:lang w:val="en-US" w:eastAsia="zh-CN" w:bidi="ar-SA"/>
    </w:rPr>
  </w:style>
  <w:style w:type="paragraph" w:customStyle="1" w:styleId="53">
    <w:name w:val="修订2"/>
    <w:qFormat/>
    <w:uiPriority w:val="0"/>
    <w:rPr>
      <w:rFonts w:ascii="Times New Roman" w:hAnsi="Times New Roman" w:eastAsia="宋体" w:cs="Cambria Math"/>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242A9-EDE5-4CEE-8728-B9E33E882F79}">
  <ds:schemaRefs/>
</ds:datastoreItem>
</file>

<file path=docProps/app.xml><?xml version="1.0" encoding="utf-8"?>
<Properties xmlns="http://schemas.openxmlformats.org/officeDocument/2006/extended-properties" xmlns:vt="http://schemas.openxmlformats.org/officeDocument/2006/docPropsVTypes">
  <Template>Normal.eit</Template>
  <Pages>105</Pages>
  <Words>46625</Words>
  <Characters>49266</Characters>
  <Lines>0</Lines>
  <Paragraphs>1227</Paragraphs>
  <TotalTime>2</TotalTime>
  <ScaleCrop>false</ScaleCrop>
  <LinksUpToDate>false</LinksUpToDate>
  <CharactersWithSpaces>50175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张婷</cp:lastModifiedBy>
  <cp:lastPrinted>2024-10-08T07:57:00Z</cp:lastPrinted>
  <dcterms:modified xsi:type="dcterms:W3CDTF">2024-11-11T09:33:42Z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E825C8F34CAC4C1888D5B93FF287CB5A_13</vt:lpwstr>
  </property>
</Properties>
</file>